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AE39D3A" w14:textId="77777777" w:rsidTr="00387CD4">
        <w:trPr>
          <w:trHeight w:hRule="exact" w:val="851"/>
        </w:trPr>
        <w:tc>
          <w:tcPr>
            <w:tcW w:w="142" w:type="dxa"/>
            <w:tcBorders>
              <w:bottom w:val="single" w:sz="4" w:space="0" w:color="auto"/>
            </w:tcBorders>
          </w:tcPr>
          <w:p w14:paraId="2DDC0B61" w14:textId="77777777" w:rsidR="002D5AAC" w:rsidRDefault="002D5AAC" w:rsidP="00B155C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DAD5AE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E84775B" w14:textId="31D311ED" w:rsidR="002D5AAC" w:rsidRDefault="00B155CD" w:rsidP="00B155CD">
            <w:pPr>
              <w:jc w:val="right"/>
            </w:pPr>
            <w:r w:rsidRPr="00B155CD">
              <w:rPr>
                <w:sz w:val="40"/>
              </w:rPr>
              <w:t>ECE</w:t>
            </w:r>
            <w:r>
              <w:t>/TRANS/WP.15/2021/8</w:t>
            </w:r>
          </w:p>
        </w:tc>
      </w:tr>
      <w:tr w:rsidR="002D5AAC" w:rsidRPr="00A863B4" w14:paraId="0B525C0F" w14:textId="77777777" w:rsidTr="00387CD4">
        <w:trPr>
          <w:trHeight w:hRule="exact" w:val="2835"/>
        </w:trPr>
        <w:tc>
          <w:tcPr>
            <w:tcW w:w="1280" w:type="dxa"/>
            <w:gridSpan w:val="2"/>
            <w:tcBorders>
              <w:top w:val="single" w:sz="4" w:space="0" w:color="auto"/>
              <w:bottom w:val="single" w:sz="12" w:space="0" w:color="auto"/>
            </w:tcBorders>
          </w:tcPr>
          <w:p w14:paraId="79137243" w14:textId="77777777" w:rsidR="002D5AAC" w:rsidRDefault="002E5067" w:rsidP="00387CD4">
            <w:pPr>
              <w:spacing w:before="120"/>
              <w:jc w:val="center"/>
            </w:pPr>
            <w:r>
              <w:rPr>
                <w:noProof/>
                <w:lang w:val="fr-CH" w:eastAsia="fr-CH"/>
              </w:rPr>
              <w:drawing>
                <wp:inline distT="0" distB="0" distL="0" distR="0" wp14:anchorId="157EEC4C" wp14:editId="413BE64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A137D6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003E3B1" w14:textId="77777777" w:rsidR="002D5AAC" w:rsidRDefault="00B155CD" w:rsidP="00387CD4">
            <w:pPr>
              <w:spacing w:before="240"/>
              <w:rPr>
                <w:lang w:val="en-US"/>
              </w:rPr>
            </w:pPr>
            <w:r>
              <w:rPr>
                <w:lang w:val="en-US"/>
              </w:rPr>
              <w:t>Distr.: General</w:t>
            </w:r>
          </w:p>
          <w:p w14:paraId="48488E90" w14:textId="77777777" w:rsidR="00B155CD" w:rsidRDefault="00B155CD" w:rsidP="00B155CD">
            <w:pPr>
              <w:spacing w:line="240" w:lineRule="exact"/>
              <w:rPr>
                <w:lang w:val="en-US"/>
              </w:rPr>
            </w:pPr>
            <w:r>
              <w:rPr>
                <w:lang w:val="en-US"/>
              </w:rPr>
              <w:t>19 August 2021</w:t>
            </w:r>
          </w:p>
          <w:p w14:paraId="64B629A2" w14:textId="77777777" w:rsidR="00B155CD" w:rsidRDefault="00B155CD" w:rsidP="00B155CD">
            <w:pPr>
              <w:spacing w:line="240" w:lineRule="exact"/>
              <w:rPr>
                <w:lang w:val="en-US"/>
              </w:rPr>
            </w:pPr>
            <w:r>
              <w:rPr>
                <w:lang w:val="en-US"/>
              </w:rPr>
              <w:t>Russian</w:t>
            </w:r>
          </w:p>
          <w:p w14:paraId="58BDFAFB" w14:textId="220DD932" w:rsidR="00B155CD" w:rsidRPr="008D53B6" w:rsidRDefault="00B155CD" w:rsidP="00B155CD">
            <w:pPr>
              <w:spacing w:line="240" w:lineRule="exact"/>
              <w:rPr>
                <w:lang w:val="en-US"/>
              </w:rPr>
            </w:pPr>
            <w:r>
              <w:rPr>
                <w:lang w:val="en-US"/>
              </w:rPr>
              <w:t>Original: English</w:t>
            </w:r>
          </w:p>
        </w:tc>
      </w:tr>
    </w:tbl>
    <w:p w14:paraId="71A25C0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AE83D3D" w14:textId="77777777" w:rsidR="00B155CD" w:rsidRPr="00182EA4" w:rsidRDefault="00B155CD" w:rsidP="00B155CD">
      <w:pPr>
        <w:spacing w:before="120"/>
        <w:rPr>
          <w:sz w:val="28"/>
          <w:szCs w:val="28"/>
        </w:rPr>
      </w:pPr>
      <w:r w:rsidRPr="00182EA4">
        <w:rPr>
          <w:sz w:val="28"/>
          <w:szCs w:val="28"/>
        </w:rPr>
        <w:t>Комитет по внутреннему транспорту</w:t>
      </w:r>
    </w:p>
    <w:p w14:paraId="3A82547B" w14:textId="77777777" w:rsidR="00B155CD" w:rsidRPr="00182EA4" w:rsidRDefault="00B155CD" w:rsidP="00B155CD">
      <w:pPr>
        <w:spacing w:before="120"/>
        <w:rPr>
          <w:b/>
          <w:sz w:val="24"/>
          <w:szCs w:val="24"/>
        </w:rPr>
      </w:pPr>
      <w:r w:rsidRPr="00182EA4">
        <w:rPr>
          <w:b/>
          <w:bCs/>
          <w:sz w:val="24"/>
          <w:szCs w:val="24"/>
        </w:rPr>
        <w:t>Рабочая группа по перевозкам опасных грузов</w:t>
      </w:r>
    </w:p>
    <w:p w14:paraId="34EFCE52" w14:textId="77777777" w:rsidR="00B155CD" w:rsidRPr="00EC2D8D" w:rsidRDefault="00B155CD" w:rsidP="00B155CD">
      <w:pPr>
        <w:spacing w:before="120"/>
        <w:rPr>
          <w:rFonts w:eastAsia="SimSun"/>
          <w:b/>
        </w:rPr>
      </w:pPr>
      <w:r>
        <w:rPr>
          <w:b/>
          <w:bCs/>
        </w:rPr>
        <w:t>Сто десятая сессия</w:t>
      </w:r>
      <w:r>
        <w:t xml:space="preserve"> </w:t>
      </w:r>
    </w:p>
    <w:p w14:paraId="6ECAFF3F" w14:textId="77777777" w:rsidR="00B155CD" w:rsidRPr="00EC2D8D" w:rsidRDefault="00B155CD" w:rsidP="00B155CD">
      <w:pPr>
        <w:rPr>
          <w:rFonts w:eastAsia="SimSun"/>
        </w:rPr>
      </w:pPr>
      <w:r>
        <w:t>Женева, 8–12 ноября 2021 года</w:t>
      </w:r>
    </w:p>
    <w:p w14:paraId="7CAEFD75" w14:textId="77777777" w:rsidR="00B155CD" w:rsidRPr="00EC2D8D" w:rsidRDefault="00B155CD" w:rsidP="00B155CD">
      <w:r>
        <w:t>Пункт 5 b) предварительной повестки дня</w:t>
      </w:r>
    </w:p>
    <w:p w14:paraId="603E6F28" w14:textId="21D1643E" w:rsidR="00B155CD" w:rsidRPr="00EC2D8D" w:rsidRDefault="00B155CD" w:rsidP="00B155CD">
      <w:pPr>
        <w:rPr>
          <w:b/>
          <w:bCs/>
        </w:rPr>
      </w:pPr>
      <w:r>
        <w:rPr>
          <w:b/>
          <w:bCs/>
        </w:rPr>
        <w:t xml:space="preserve">Предложения о внесении поправок </w:t>
      </w:r>
      <w:r>
        <w:rPr>
          <w:b/>
          <w:bCs/>
        </w:rPr>
        <w:br/>
        <w:t>в приложения А и B к ДОПОГ:</w:t>
      </w:r>
    </w:p>
    <w:p w14:paraId="7444DED6" w14:textId="563B42E6" w:rsidR="00E12C5F" w:rsidRDefault="00B155CD" w:rsidP="00B155CD">
      <w:r>
        <w:rPr>
          <w:b/>
          <w:bCs/>
        </w:rPr>
        <w:t>различные предложения</w:t>
      </w:r>
    </w:p>
    <w:p w14:paraId="68EC24FA" w14:textId="77777777" w:rsidR="00B155CD" w:rsidRPr="00EC2D8D" w:rsidRDefault="00B155CD" w:rsidP="00B155CD">
      <w:pPr>
        <w:pStyle w:val="HChG"/>
      </w:pPr>
      <w:r>
        <w:tab/>
      </w:r>
      <w:r>
        <w:tab/>
        <w:t xml:space="preserve">Требования к обеспечению безопасности при перевозке опасных грузов в соответствии с подразделом 1.1.3.6 </w:t>
      </w:r>
    </w:p>
    <w:p w14:paraId="465374B2" w14:textId="77777777" w:rsidR="00B155CD" w:rsidRPr="00EC2D8D" w:rsidRDefault="00B155CD" w:rsidP="00B155CD">
      <w:pPr>
        <w:pStyle w:val="H1G"/>
      </w:pPr>
      <w:r>
        <w:tab/>
      </w:r>
      <w:r>
        <w:tab/>
        <w:t>Передано правительствами Швеции и Норвегии</w:t>
      </w:r>
      <w:r w:rsidRPr="00B155CD">
        <w:rPr>
          <w:b w:val="0"/>
          <w:bCs/>
          <w:sz w:val="20"/>
        </w:rPr>
        <w:footnoteReference w:customMarkFollows="1" w:id="1"/>
        <w:sym w:font="Symbol" w:char="F02A"/>
      </w:r>
    </w:p>
    <w:p w14:paraId="0AB09D65" w14:textId="77777777" w:rsidR="00B155CD" w:rsidRPr="00EC2D8D" w:rsidRDefault="00B155CD" w:rsidP="00B155CD">
      <w:pPr>
        <w:pStyle w:val="HChG"/>
      </w:pPr>
      <w:r>
        <w:tab/>
      </w:r>
      <w:r>
        <w:tab/>
        <w:t>Введение</w:t>
      </w:r>
    </w:p>
    <w:p w14:paraId="3492DF2B" w14:textId="77777777" w:rsidR="00B155CD" w:rsidRPr="00EC2D8D" w:rsidRDefault="00B155CD" w:rsidP="00B155CD">
      <w:pPr>
        <w:pStyle w:val="SingleTxtG"/>
      </w:pPr>
      <w:r>
        <w:t>1.</w:t>
      </w:r>
      <w:r>
        <w:tab/>
        <w:t xml:space="preserve">На сто девятой сессии Рабочей группы Норвегия и Швеция представили неофициальный документ INF.8. В нем были указаны расхождения между положениями по обеспечению безопасности, содержащимися в главе 1.10, и положениями главы 8.5, S1 (6), и подраздела 1.1.3.6 соответственно. Настоящий документ является продолжением обсуждений, состоявшихся на последнем совещании, и посвящен подразделу 1.1.3.6. </w:t>
      </w:r>
    </w:p>
    <w:p w14:paraId="0188464C" w14:textId="768725E7" w:rsidR="00B155CD" w:rsidRPr="00EC2D8D" w:rsidRDefault="00B155CD" w:rsidP="00B155CD">
      <w:pPr>
        <w:pStyle w:val="SingleTxtG"/>
      </w:pPr>
      <w:r>
        <w:t>2.</w:t>
      </w:r>
      <w:r>
        <w:tab/>
        <w:t xml:space="preserve">Существует 212 веществ и изделий класса 1, перечисленных как опасные грузы повышенной опасности в упаковках (таблица 1.10.3.1.2) в количестве от 0 кг, которые могут перевозиться в соответствии с подразделом 1.1.3.6 без необходимости применения каких-либо положений по обеспечению безопасности, содержащихся в главе 1.10. </w:t>
      </w:r>
    </w:p>
    <w:p w14:paraId="63FD84A2" w14:textId="77777777" w:rsidR="00B155CD" w:rsidRPr="00EC2D8D" w:rsidRDefault="00B155CD" w:rsidP="00B155CD">
      <w:pPr>
        <w:pStyle w:val="SingleTxtG"/>
      </w:pPr>
      <w:r>
        <w:t>3.</w:t>
      </w:r>
      <w:r>
        <w:tab/>
        <w:t>Кроме того, существует 318 веществ и изделий, относящихся к другим классам, которые также включены в перечень грузов повышенной опасности, но разрешены к перевозке в соответствии с подразделом 1.1.3.6. Речь идет о токсичных газах, десенсибилизированных взрывчатых веществах класса 3 и класса 4.1 и токсичных веществах группы упаковки I. Мы перечислили все соответствующие вещества и изделия, включая вещества и изделия класса 1, в неофициальном документе INF.3.</w:t>
      </w:r>
    </w:p>
    <w:p w14:paraId="0FD62F72" w14:textId="77777777" w:rsidR="00B155CD" w:rsidRPr="00EC2D8D" w:rsidRDefault="00B155CD" w:rsidP="00B155CD">
      <w:pPr>
        <w:pStyle w:val="SingleTxtG"/>
      </w:pPr>
      <w:r>
        <w:t>4.</w:t>
      </w:r>
      <w:r>
        <w:tab/>
        <w:t xml:space="preserve">Мы считаем непоследовательным то, что грузы, рассматриваемые как грузы повышенной опасности в количестве от 0 кг, освобождаются от действия положений главы 1.10 при перевозке в соответствии с подразделом 1.1.3.6. Это актуально для всех классов, но особенно для взрывчатых веществ и изделий класса 1. В наших странах </w:t>
      </w:r>
      <w:r>
        <w:lastRenderedPageBreak/>
        <w:t>нет аналогичных исключений из правил безопасности в других нормативных документах по хранению, обработке и использованию взрывчатых веществ и изделий.</w:t>
      </w:r>
    </w:p>
    <w:p w14:paraId="26E6D945" w14:textId="77777777" w:rsidR="00B155CD" w:rsidRPr="00EC2D8D" w:rsidRDefault="00B155CD" w:rsidP="00B155CD">
      <w:pPr>
        <w:pStyle w:val="SingleTxtG"/>
      </w:pPr>
      <w:r>
        <w:t>5.</w:t>
      </w:r>
      <w:r>
        <w:tab/>
        <w:t>Для повышения уровня безопасности при перевозке в соответствии с подразделом 1.1.3.6 Швеция и Норвегия предлагают, чтобы положения по обеспечению безопасности применялись ко всем веществам и изделиям, которые включены в таблицу 1.10.3.1.2.</w:t>
      </w:r>
    </w:p>
    <w:p w14:paraId="0129F008" w14:textId="77777777" w:rsidR="00B155CD" w:rsidRPr="00EC2D8D" w:rsidRDefault="00B155CD" w:rsidP="00B155CD">
      <w:pPr>
        <w:pStyle w:val="SingleTxtG"/>
      </w:pPr>
      <w:r>
        <w:t>6.</w:t>
      </w:r>
      <w:r>
        <w:tab/>
        <w:t xml:space="preserve">Если предложение (альтернативный вариант 1 или 2 ниже) будет принято, то в пункт 1.10.4 необходимо будет внести сопутствующие поправки. </w:t>
      </w:r>
    </w:p>
    <w:p w14:paraId="40EA0CB7" w14:textId="67632CA0" w:rsidR="00B155CD" w:rsidRPr="00C833CF" w:rsidRDefault="00B155CD" w:rsidP="00B155CD">
      <w:pPr>
        <w:pStyle w:val="SingleTxtG"/>
      </w:pPr>
      <w:r>
        <w:t>7.</w:t>
      </w:r>
      <w:r>
        <w:tab/>
        <w:t>В пункте 1.10.4 мы предлагаем исключить первое предложение; если подраздел</w:t>
      </w:r>
      <w:r w:rsidR="00405437">
        <w:rPr>
          <w:lang w:val="en-US"/>
        </w:rPr>
        <w:t> </w:t>
      </w:r>
      <w:r>
        <w:t>1.1.3.6 применяется к перевозке веществ или изделий, освобожденных от действия положений главы 1.10, то пункт 1.10.4 более не применяется. Если перевозятся вещества или изделия, не освобожденные от действия положений главы</w:t>
      </w:r>
      <w:r w:rsidR="00405437">
        <w:rPr>
          <w:lang w:val="en-US"/>
        </w:rPr>
        <w:t> </w:t>
      </w:r>
      <w:r>
        <w:t>1.10, то это уже оговорено в первом подпункте пункта 1.1.3.6.2. Таким образом, первое предложение пункта 1.10.4 лишь повторяет то, что уже разъяснено в подразделе 1.1.3.6.</w:t>
      </w:r>
    </w:p>
    <w:p w14:paraId="6DF6AFF5" w14:textId="77777777" w:rsidR="00B155CD" w:rsidRPr="00EC2D8D" w:rsidRDefault="00B155CD" w:rsidP="00B155CD">
      <w:pPr>
        <w:pStyle w:val="SingleTxtG"/>
      </w:pPr>
      <w:r>
        <w:t>8.</w:t>
      </w:r>
      <w:r>
        <w:tab/>
        <w:t xml:space="preserve">Кроме того, мы также предлагаем исключить второе предложение пункта 1.10.4, касающееся освобождения от действия положений главы 1.10 при перевозке навалом/насыпью и в цистернах. Независимо от содержащегося объема, при перевозке навалом/насыпью или в цистернах транспортные единицы имеют таблички оранжевого цвета, а также обычно снабжены большими знаками опасности или знаками опасности для некоторых небольших объемов. Таким образом, потенциальный нарушитель во многих случаях не сможет определить, перевозится ли полный груз или только меньший объем, при этом угроза безопасности может оставаться одинаковой. </w:t>
      </w:r>
    </w:p>
    <w:p w14:paraId="2BC92964" w14:textId="77777777" w:rsidR="00B155CD" w:rsidRPr="00EC2D8D" w:rsidRDefault="00B155CD" w:rsidP="00B155CD">
      <w:pPr>
        <w:pStyle w:val="SingleTxtG"/>
      </w:pPr>
      <w:r>
        <w:t>9.</w:t>
      </w:r>
      <w:r>
        <w:tab/>
        <w:t>Кроме того, распределение опасных грузов, перевозимых навалом/насыпью и в цистернах, не допускается в соответствии с подразделом 1.1.3.6 или при применении любого другого изъятия, предусмотренного в разделе 1.1.3. Поэтому представляется непоследовательным разрешать изъятие, которое относится к количествам, указанным в подразделе 1.1.3.6.</w:t>
      </w:r>
    </w:p>
    <w:p w14:paraId="5F459DA5" w14:textId="322F7DBB" w:rsidR="00B155CD" w:rsidRPr="00EC2D8D" w:rsidRDefault="00405437" w:rsidP="00405437">
      <w:pPr>
        <w:pStyle w:val="HChG"/>
      </w:pPr>
      <w:r>
        <w:tab/>
      </w:r>
      <w:r w:rsidR="00B155CD">
        <w:tab/>
        <w:t>Предложения</w:t>
      </w:r>
    </w:p>
    <w:p w14:paraId="0CBDA540" w14:textId="5E312D86" w:rsidR="00B155CD" w:rsidRPr="00A863B4" w:rsidRDefault="00B155CD" w:rsidP="00405437">
      <w:pPr>
        <w:pStyle w:val="H1G"/>
      </w:pPr>
      <w:r>
        <w:tab/>
      </w:r>
      <w:r>
        <w:tab/>
        <w:t>Альтернативный вариант 1</w:t>
      </w:r>
    </w:p>
    <w:p w14:paraId="627947B6" w14:textId="77777777" w:rsidR="00B155CD" w:rsidRPr="00EC2D8D" w:rsidRDefault="00B155CD" w:rsidP="00B155CD">
      <w:pPr>
        <w:pStyle w:val="SingleTxtG"/>
      </w:pPr>
      <w:r>
        <w:t>10.</w:t>
      </w:r>
      <w:r>
        <w:tab/>
        <w:t>Изменить первый подпункт в пункте 1.1.3.6.2 следующим образом (добавленный текст подчеркнут, исключенный текст зачеркнут):</w:t>
      </w:r>
    </w:p>
    <w:p w14:paraId="61C10B8C" w14:textId="40AE1588" w:rsidR="00B155CD" w:rsidRPr="00EC2D8D" w:rsidRDefault="00B155CD" w:rsidP="00B155CD">
      <w:pPr>
        <w:keepNext/>
        <w:snapToGrid w:val="0"/>
        <w:spacing w:before="120" w:after="120"/>
        <w:ind w:left="1134" w:right="1134"/>
        <w:jc w:val="both"/>
      </w:pPr>
      <w:r>
        <w:t>«–</w:t>
      </w:r>
      <w:r>
        <w:tab/>
        <w:t>глава 1.10, кроме</w:t>
      </w:r>
      <w:r>
        <w:rPr>
          <w:u w:val="single"/>
        </w:rPr>
        <w:t xml:space="preserve"> грузов повышенной опасности (в соответствии с подразделом 1.10.3.1)</w:t>
      </w:r>
      <w:r>
        <w:t xml:space="preserve"> </w:t>
      </w:r>
      <w:r>
        <w:rPr>
          <w:strike/>
        </w:rPr>
        <w:t xml:space="preserve">взрывчатых веществ и изделий класса 1 под № ООН 0029, 0030, 0059, 0065, 0073, 0104, 0237, 0255, 0267, 0288, 0289, 0290, 0360, 0361, 0364, 0365, 0366, 0439, 0440, 0441, 0455, 0456, 0500, 0512 и 0513 </w:t>
      </w:r>
      <w:r>
        <w:t>и кроме освобожденных упаковок класса 7 под №</w:t>
      </w:r>
      <w:r w:rsidR="00405437">
        <w:rPr>
          <w:lang w:val="en-US"/>
        </w:rPr>
        <w:t> </w:t>
      </w:r>
      <w:r>
        <w:t>ООН 2910 и 2911, если уровень активности превышает значение А</w:t>
      </w:r>
      <w:r>
        <w:rPr>
          <w:vertAlign w:val="subscript"/>
        </w:rPr>
        <w:t>2</w:t>
      </w:r>
      <w:r>
        <w:t>;».</w:t>
      </w:r>
    </w:p>
    <w:p w14:paraId="45E4F26B" w14:textId="710FE0EB" w:rsidR="00B155CD" w:rsidRPr="00EC2D8D" w:rsidRDefault="00B155CD" w:rsidP="00B155CD">
      <w:pPr>
        <w:pStyle w:val="H1G"/>
      </w:pPr>
      <w:r>
        <w:tab/>
      </w:r>
      <w:r>
        <w:tab/>
      </w:r>
      <w:r>
        <w:rPr>
          <w:bCs/>
        </w:rPr>
        <w:t>Альтернативный вариант 2</w:t>
      </w:r>
    </w:p>
    <w:p w14:paraId="7B34D6AC" w14:textId="77777777" w:rsidR="00B155CD" w:rsidRPr="00EC2D8D" w:rsidRDefault="00B155CD" w:rsidP="00A863B4">
      <w:pPr>
        <w:pStyle w:val="SingleTxtG"/>
        <w:tabs>
          <w:tab w:val="left" w:pos="1134"/>
        </w:tabs>
        <w:ind w:right="1133"/>
      </w:pPr>
      <w:r>
        <w:t>11.</w:t>
      </w:r>
      <w:r>
        <w:tab/>
        <w:t xml:space="preserve">В случае, если вышеизложенное предложение не будет принято, мы предлагаем второй альтернативный вариант, который предусматривает только поправки, касающиеся класса 1. </w:t>
      </w:r>
    </w:p>
    <w:p w14:paraId="351C8297" w14:textId="77777777" w:rsidR="00B155CD" w:rsidRPr="00EC2D8D" w:rsidRDefault="00B155CD" w:rsidP="00A863B4">
      <w:pPr>
        <w:pStyle w:val="SingleTxtG"/>
      </w:pPr>
      <w:r>
        <w:t>Изменить первый подпункт в пункте 1.1.3.6.2 следующим образом (добавленный текст подчеркнут, исключенный текст зачеркнут):</w:t>
      </w:r>
    </w:p>
    <w:p w14:paraId="21CAA94F" w14:textId="77777777" w:rsidR="00B155CD" w:rsidRPr="00EC2D8D" w:rsidRDefault="00B155CD" w:rsidP="00B155CD">
      <w:pPr>
        <w:pStyle w:val="SingleTxtG"/>
      </w:pPr>
      <w:r>
        <w:t>«–</w:t>
      </w:r>
      <w:r>
        <w:tab/>
        <w:t>глава 1.10, кроме взрывчаты</w:t>
      </w:r>
      <w:r w:rsidRPr="001031AB">
        <w:t>х</w:t>
      </w:r>
      <w:r>
        <w:t xml:space="preserve"> веществ и издели</w:t>
      </w:r>
      <w:r w:rsidRPr="001031AB">
        <w:t>й</w:t>
      </w:r>
      <w:r>
        <w:t xml:space="preserve"> класса 1</w:t>
      </w:r>
      <w:r w:rsidRPr="00DB0842">
        <w:rPr>
          <w:u w:val="single"/>
        </w:rPr>
        <w:t>, относящихся к</w:t>
      </w:r>
      <w:r w:rsidRPr="001031AB">
        <w:rPr>
          <w:u w:val="single"/>
        </w:rPr>
        <w:t xml:space="preserve"> </w:t>
      </w:r>
      <w:r>
        <w:rPr>
          <w:u w:val="single"/>
        </w:rPr>
        <w:t>грузам повышенной опасности</w:t>
      </w:r>
      <w:r w:rsidRPr="00DB0842">
        <w:rPr>
          <w:u w:val="single"/>
        </w:rPr>
        <w:t xml:space="preserve"> </w:t>
      </w:r>
      <w:r>
        <w:rPr>
          <w:u w:val="single"/>
        </w:rPr>
        <w:t>(в соответствии с подразделом 1.10.3.1),</w:t>
      </w:r>
      <w:r>
        <w:t xml:space="preserve"> под № ООН 0029, 0030, 0059, 0065, 0073, 0104, 0237, 0255, 0267, 0288, 0289, 0290, 0360, 0361, 0364, 0365, </w:t>
      </w:r>
      <w:r>
        <w:lastRenderedPageBreak/>
        <w:t>0366, 0439, 0440, 0441, 0455, 0456, 0500, 0512 и 0513 и кроме освобожденных упаковок класса 7 под № ООН 2910 и 2911, если уровень активности превышает значение А</w:t>
      </w:r>
      <w:r>
        <w:rPr>
          <w:vertAlign w:val="subscript"/>
        </w:rPr>
        <w:t>2</w:t>
      </w:r>
      <w:r>
        <w:t>;».</w:t>
      </w:r>
    </w:p>
    <w:p w14:paraId="76CDF5FE" w14:textId="77777777" w:rsidR="00B155CD" w:rsidRPr="00EC2D8D" w:rsidRDefault="00B155CD" w:rsidP="00B155CD">
      <w:pPr>
        <w:pStyle w:val="H1G"/>
      </w:pPr>
      <w:r>
        <w:tab/>
      </w:r>
      <w:r>
        <w:tab/>
      </w:r>
      <w:r>
        <w:rPr>
          <w:bCs/>
        </w:rPr>
        <w:t>Сопутствующая поправка (альтернативные варианты 1 и 2)</w:t>
      </w:r>
    </w:p>
    <w:p w14:paraId="5662F740" w14:textId="77777777" w:rsidR="00B155CD" w:rsidRPr="00EC2D8D" w:rsidRDefault="00B155CD" w:rsidP="00B155CD">
      <w:pPr>
        <w:pStyle w:val="SingleTxtG"/>
        <w:rPr>
          <w:i/>
          <w:iCs/>
        </w:rPr>
      </w:pPr>
      <w:r w:rsidRPr="00405437">
        <w:rPr>
          <w:i/>
          <w:iCs/>
          <w:u w:val="single"/>
        </w:rPr>
        <w:t>Замечание</w:t>
      </w:r>
      <w:r>
        <w:rPr>
          <w:i/>
          <w:iCs/>
        </w:rPr>
        <w:t>: Второе предложение предлагается исключить, но оставить в квадратных скобках для отдельного рассмотрения.</w:t>
      </w:r>
      <w:r>
        <w:t xml:space="preserve"> </w:t>
      </w:r>
    </w:p>
    <w:p w14:paraId="2DB43455" w14:textId="77777777" w:rsidR="00B155CD" w:rsidRPr="00EC2D8D" w:rsidRDefault="00B155CD" w:rsidP="00B155CD">
      <w:pPr>
        <w:pStyle w:val="SingleTxtG"/>
      </w:pPr>
      <w:r>
        <w:t>12.</w:t>
      </w:r>
      <w:r>
        <w:tab/>
        <w:t>Внести следующие поправки в раздел 1.10.4 (измененный текст подчеркнут или зачеркнут):</w:t>
      </w:r>
    </w:p>
    <w:p w14:paraId="754871CC" w14:textId="77777777" w:rsidR="00B155CD" w:rsidRPr="00EC2D8D" w:rsidRDefault="00B155CD" w:rsidP="00B155CD">
      <w:pPr>
        <w:spacing w:after="200"/>
        <w:ind w:left="1134" w:right="1134"/>
        <w:jc w:val="both"/>
      </w:pPr>
      <w:r>
        <w:rPr>
          <w:strike/>
        </w:rPr>
        <w:t>В соответствии с положениями подраздела 1.1.3.6 требования разделов 1.10.1, 1.10.2, 1.10.3 и пункта 8.1.2.1 d) не применяются в тех случаях, когда количества, перевозимые в упаковках в одной транспортной единице, не превышают значений, указанных в пункте 1.1.3.6.3, за исключением № ООН 0029, 0030, 0059, 0065, 0073, 0104, 0237, 0255, 0267, 0288, 0289, 0290, 0360, 0361, 0364, 0365, 0366, 0439, 0440, 0441, 0455, 0456, 0500, 0512 и 0513, а также за исключением № 2910 и 2911, если уровень активности превышает значение А</w:t>
      </w:r>
      <w:r>
        <w:rPr>
          <w:strike/>
          <w:vertAlign w:val="subscript"/>
        </w:rPr>
        <w:t>2</w:t>
      </w:r>
      <w:r>
        <w:rPr>
          <w:strike/>
        </w:rPr>
        <w:t xml:space="preserve"> (см. первый абзац пункта 1.1.3.6.2).</w:t>
      </w:r>
      <w:r>
        <w:t xml:space="preserve"> </w:t>
      </w:r>
      <w:r>
        <w:rPr>
          <w:strike/>
        </w:rPr>
        <w:t xml:space="preserve">Кроме того, </w:t>
      </w:r>
      <w:r>
        <w:t>[</w:t>
      </w:r>
      <w:r>
        <w:rPr>
          <w:strike/>
        </w:rPr>
        <w:t>т</w:t>
      </w:r>
      <w:r>
        <w:rPr>
          <w:u w:val="single"/>
        </w:rPr>
        <w:t>Т</w:t>
      </w:r>
      <w:r>
        <w:t>ребования разделов 1.10.1, 1.10.2, 1.10.3 и пункта 8.1.2.1 d) не применяются в тех случаях, когда количества, перевозимые в цистернах или навалом/насыпью в одной транспортной единице, не превышают значений, указанных в пункте 1.1.3.6.3./</w:t>
      </w:r>
      <w:r>
        <w:rPr>
          <w:strike/>
        </w:rPr>
        <w:t>Требования разделов 1.10.1, 1.10.2, 1.10.3 и пункта 8.1.2.1 d) не применяются в тех случаях, когда количества, перевозимые в цистернах или навалом/насыпью в одной транспортной единице, не превышают значений, указанных в пункте 1.1.3.6.3.</w:t>
      </w:r>
      <w:r>
        <w:t>]</w:t>
      </w:r>
    </w:p>
    <w:p w14:paraId="7742A5E7" w14:textId="2B5A7818" w:rsidR="00B155CD" w:rsidRPr="00EC2D8D" w:rsidRDefault="00B155CD" w:rsidP="00B155CD">
      <w:pPr>
        <w:pStyle w:val="SingleTxtG"/>
        <w:rPr>
          <w:rStyle w:val="HChGChar"/>
          <w:b w:val="0"/>
          <w:sz w:val="20"/>
        </w:rPr>
      </w:pPr>
      <w:r>
        <w:rPr>
          <w:strike/>
        </w:rPr>
        <w:t>Кроме того, п</w:t>
      </w:r>
      <w:r>
        <w:t>Положения настоящей главы не применяются к перевозке № ООН 2912 РАДИОАКТИВНЫЙ МАТЕРИАЛ, НИЗКАЯ УДЕЛЬНАЯ АКТИВНОСТЬ (LSA</w:t>
      </w:r>
      <w:r w:rsidR="009B4570" w:rsidRPr="009B4570">
        <w:t>-</w:t>
      </w:r>
      <w:r>
        <w:t>I) и № ООН 2913 РАДИОАКТИВНЫЙ МАТЕРИАЛ, ОБЪЕКТЫ С ПОВЕРХНОСТНЫМ РАДИОАКТИВНЫМ ЗАГРЯЗНЕНИЕМ (SCO-I).</w:t>
      </w:r>
    </w:p>
    <w:p w14:paraId="52E3866E" w14:textId="77777777" w:rsidR="00B155CD" w:rsidRPr="00EC2D8D" w:rsidRDefault="00B155CD" w:rsidP="009B4570">
      <w:pPr>
        <w:pStyle w:val="HChG"/>
      </w:pPr>
      <w:r>
        <w:tab/>
      </w:r>
      <w:r>
        <w:tab/>
        <w:t>Обоснование</w:t>
      </w:r>
    </w:p>
    <w:p w14:paraId="731EAF84" w14:textId="3A15CABF" w:rsidR="00B155CD" w:rsidRDefault="00B155CD" w:rsidP="00B155CD">
      <w:pPr>
        <w:pStyle w:val="SingleTxtG"/>
      </w:pPr>
      <w:r>
        <w:t>13.</w:t>
      </w:r>
      <w:r>
        <w:tab/>
        <w:t>За исключением конкретных номеров ООН, подраздел 1.1.3.6 освобождает от применения положений главы 1.10. Таким образом, когда речь идет о перевозке грузов в соответствии с подразделом 1.1.3.6, подготовка персонала требуется только в соответствии с главой 1.3, но за исключением последнего предложения пункта 1.3.1, в</w:t>
      </w:r>
      <w:r w:rsidR="009B4570">
        <w:rPr>
          <w:lang w:val="en-US"/>
        </w:rPr>
        <w:t> </w:t>
      </w:r>
      <w:r>
        <w:t>котором говорится о подготовке по вопросам безопасности. Этот факт, а также освобождение от действия других положений по обеспечению безопасности, содержащихся в главе 1.10, дают неверные сигналы относительно рисков для безопасности, связанных с грузами повышенной опасности. Введение требований по обеспечению безопасности будет способствовать углублению осведомленности о безопасности и повысит безопасность водителя.</w:t>
      </w:r>
    </w:p>
    <w:p w14:paraId="672DF471" w14:textId="71009D48" w:rsidR="00B155CD" w:rsidRPr="00B155CD" w:rsidRDefault="00B155CD" w:rsidP="00B155CD">
      <w:pPr>
        <w:pStyle w:val="SingleTxtG"/>
        <w:spacing w:before="240" w:after="0"/>
        <w:jc w:val="center"/>
        <w:rPr>
          <w:u w:val="single"/>
        </w:rPr>
      </w:pPr>
      <w:r>
        <w:rPr>
          <w:u w:val="single"/>
        </w:rPr>
        <w:tab/>
      </w:r>
      <w:r>
        <w:rPr>
          <w:u w:val="single"/>
        </w:rPr>
        <w:tab/>
      </w:r>
      <w:r>
        <w:rPr>
          <w:u w:val="single"/>
        </w:rPr>
        <w:tab/>
      </w:r>
    </w:p>
    <w:sectPr w:rsidR="00B155CD" w:rsidRPr="00B155CD" w:rsidSect="00B155C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9706C" w14:textId="77777777" w:rsidR="007D61A8" w:rsidRPr="00A312BC" w:rsidRDefault="007D61A8" w:rsidP="00A312BC"/>
  </w:endnote>
  <w:endnote w:type="continuationSeparator" w:id="0">
    <w:p w14:paraId="4AA93486" w14:textId="77777777" w:rsidR="007D61A8" w:rsidRPr="00A312BC" w:rsidRDefault="007D61A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A872" w14:textId="3290FC10" w:rsidR="00B155CD" w:rsidRPr="00B155CD" w:rsidRDefault="00B155CD">
    <w:pPr>
      <w:pStyle w:val="Footer"/>
    </w:pPr>
    <w:r w:rsidRPr="00B155CD">
      <w:rPr>
        <w:b/>
        <w:sz w:val="18"/>
      </w:rPr>
      <w:fldChar w:fldCharType="begin"/>
    </w:r>
    <w:r w:rsidRPr="00B155CD">
      <w:rPr>
        <w:b/>
        <w:sz w:val="18"/>
      </w:rPr>
      <w:instrText xml:space="preserve"> PAGE  \* MERGEFORMAT </w:instrText>
    </w:r>
    <w:r w:rsidRPr="00B155CD">
      <w:rPr>
        <w:b/>
        <w:sz w:val="18"/>
      </w:rPr>
      <w:fldChar w:fldCharType="separate"/>
    </w:r>
    <w:r w:rsidRPr="00B155CD">
      <w:rPr>
        <w:b/>
        <w:noProof/>
        <w:sz w:val="18"/>
      </w:rPr>
      <w:t>2</w:t>
    </w:r>
    <w:r w:rsidRPr="00B155CD">
      <w:rPr>
        <w:b/>
        <w:sz w:val="18"/>
      </w:rPr>
      <w:fldChar w:fldCharType="end"/>
    </w:r>
    <w:r>
      <w:rPr>
        <w:b/>
        <w:sz w:val="18"/>
      </w:rPr>
      <w:tab/>
    </w:r>
    <w:r>
      <w:t>GE.21-11432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58D8" w14:textId="646A1B48" w:rsidR="00B155CD" w:rsidRPr="00B155CD" w:rsidRDefault="00B155CD" w:rsidP="00B155CD">
    <w:pPr>
      <w:pStyle w:val="Footer"/>
      <w:tabs>
        <w:tab w:val="clear" w:pos="9639"/>
        <w:tab w:val="right" w:pos="9638"/>
      </w:tabs>
      <w:rPr>
        <w:b/>
        <w:sz w:val="18"/>
      </w:rPr>
    </w:pPr>
    <w:r>
      <w:t>GE.21-11432</w:t>
    </w:r>
    <w:r>
      <w:tab/>
    </w:r>
    <w:r w:rsidRPr="00B155CD">
      <w:rPr>
        <w:b/>
        <w:sz w:val="18"/>
      </w:rPr>
      <w:fldChar w:fldCharType="begin"/>
    </w:r>
    <w:r w:rsidRPr="00B155CD">
      <w:rPr>
        <w:b/>
        <w:sz w:val="18"/>
      </w:rPr>
      <w:instrText xml:space="preserve"> PAGE  \* MERGEFORMAT </w:instrText>
    </w:r>
    <w:r w:rsidRPr="00B155CD">
      <w:rPr>
        <w:b/>
        <w:sz w:val="18"/>
      </w:rPr>
      <w:fldChar w:fldCharType="separate"/>
    </w:r>
    <w:r w:rsidRPr="00B155CD">
      <w:rPr>
        <w:b/>
        <w:noProof/>
        <w:sz w:val="18"/>
      </w:rPr>
      <w:t>3</w:t>
    </w:r>
    <w:r w:rsidRPr="00B155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F020" w14:textId="41C35178" w:rsidR="00042B72" w:rsidRPr="009B4570" w:rsidRDefault="00B155CD" w:rsidP="00B155C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7CBF213" wp14:editId="1EE1598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21-11432  (R)</w:t>
    </w:r>
    <w:r>
      <w:rPr>
        <w:noProof/>
      </w:rPr>
      <w:drawing>
        <wp:anchor distT="0" distB="0" distL="114300" distR="114300" simplePos="0" relativeHeight="251659264" behindDoc="0" locked="0" layoutInCell="1" allowOverlap="1" wp14:anchorId="4B727033" wp14:editId="69505CA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4570">
      <w:rPr>
        <w:lang w:val="en-US"/>
      </w:rPr>
      <w:t xml:space="preserve">  200821  240821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DA38F" w14:textId="77777777" w:rsidR="007D61A8" w:rsidRPr="001075E9" w:rsidRDefault="007D61A8" w:rsidP="001075E9">
      <w:pPr>
        <w:tabs>
          <w:tab w:val="right" w:pos="2155"/>
        </w:tabs>
        <w:spacing w:after="80" w:line="240" w:lineRule="auto"/>
        <w:ind w:left="680"/>
        <w:rPr>
          <w:u w:val="single"/>
        </w:rPr>
      </w:pPr>
      <w:r>
        <w:rPr>
          <w:u w:val="single"/>
        </w:rPr>
        <w:tab/>
      </w:r>
    </w:p>
  </w:footnote>
  <w:footnote w:type="continuationSeparator" w:id="0">
    <w:p w14:paraId="28B3BEF1" w14:textId="77777777" w:rsidR="007D61A8" w:rsidRDefault="007D61A8" w:rsidP="00407B78">
      <w:pPr>
        <w:tabs>
          <w:tab w:val="right" w:pos="2155"/>
        </w:tabs>
        <w:spacing w:after="80"/>
        <w:ind w:left="680"/>
        <w:rPr>
          <w:u w:val="single"/>
        </w:rPr>
      </w:pPr>
      <w:r>
        <w:rPr>
          <w:u w:val="single"/>
        </w:rPr>
        <w:tab/>
      </w:r>
    </w:p>
  </w:footnote>
  <w:footnote w:id="1">
    <w:p w14:paraId="5665B3C4" w14:textId="7DD52F5E" w:rsidR="00B155CD" w:rsidRDefault="00405437" w:rsidP="00405437">
      <w:pPr>
        <w:pStyle w:val="FootnoteText"/>
      </w:pPr>
      <w:r>
        <w:rPr>
          <w:sz w:val="20"/>
        </w:rPr>
        <w:tab/>
      </w:r>
      <w:r w:rsidR="00B155CD" w:rsidRPr="00405437">
        <w:rPr>
          <w:rStyle w:val="FootnoteReference"/>
          <w:sz w:val="20"/>
          <w:vertAlign w:val="baseline"/>
        </w:rPr>
        <w:sym w:font="Symbol" w:char="F02A"/>
      </w:r>
      <w:r w:rsidR="00B155CD">
        <w:tab/>
        <w:t>A/75/6 (разд. 20), п.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1ECE2" w14:textId="6053880D" w:rsidR="00B155CD" w:rsidRPr="00B155CD" w:rsidRDefault="001E3DF7">
    <w:pPr>
      <w:pStyle w:val="Header"/>
    </w:pPr>
    <w:fldSimple w:instr=" TITLE  \* MERGEFORMAT ">
      <w:r>
        <w:t>ECE/TRANS/WP.15/2021/8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0822C" w14:textId="6AB09CFA" w:rsidR="00B155CD" w:rsidRPr="00B155CD" w:rsidRDefault="001E3DF7" w:rsidP="00B155CD">
    <w:pPr>
      <w:pStyle w:val="Header"/>
      <w:jc w:val="right"/>
    </w:pPr>
    <w:fldSimple w:instr=" TITLE  \* MERGEFORMAT ">
      <w:r>
        <w:t>ECE/TRANS/WP.15/2021/8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A8"/>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E3DF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02A7"/>
    <w:rsid w:val="00322004"/>
    <w:rsid w:val="003402C2"/>
    <w:rsid w:val="00381C24"/>
    <w:rsid w:val="00387CD4"/>
    <w:rsid w:val="003958D0"/>
    <w:rsid w:val="003A0D43"/>
    <w:rsid w:val="003A48CE"/>
    <w:rsid w:val="003B00E5"/>
    <w:rsid w:val="003E0B46"/>
    <w:rsid w:val="00405437"/>
    <w:rsid w:val="00407B78"/>
    <w:rsid w:val="00424203"/>
    <w:rsid w:val="00452493"/>
    <w:rsid w:val="00453318"/>
    <w:rsid w:val="00454AF2"/>
    <w:rsid w:val="00454E07"/>
    <w:rsid w:val="00472C5C"/>
    <w:rsid w:val="00485F8A"/>
    <w:rsid w:val="0049159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D61A8"/>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B4570"/>
    <w:rsid w:val="009C59D7"/>
    <w:rsid w:val="009C6FE6"/>
    <w:rsid w:val="009D7E7D"/>
    <w:rsid w:val="00A14DA8"/>
    <w:rsid w:val="00A312BC"/>
    <w:rsid w:val="00A67170"/>
    <w:rsid w:val="00A84021"/>
    <w:rsid w:val="00A84D35"/>
    <w:rsid w:val="00A863B4"/>
    <w:rsid w:val="00A917B3"/>
    <w:rsid w:val="00AB4B51"/>
    <w:rsid w:val="00B10CC7"/>
    <w:rsid w:val="00B155CD"/>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42881"/>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D55AE"/>
  <w15:docId w15:val="{F7D20DC5-33AC-4403-8F5F-2080E132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B155CD"/>
    <w:rPr>
      <w:lang w:val="ru-RU" w:eastAsia="en-US"/>
    </w:rPr>
  </w:style>
  <w:style w:type="paragraph" w:customStyle="1" w:styleId="ParNoG">
    <w:name w:val="_ParNo_G"/>
    <w:basedOn w:val="SingleTxtG"/>
    <w:qFormat/>
    <w:rsid w:val="00B155CD"/>
    <w:pPr>
      <w:numPr>
        <w:numId w:val="22"/>
      </w:numPr>
      <w:tabs>
        <w:tab w:val="clear" w:pos="2268"/>
        <w:tab w:val="clear" w:pos="2835"/>
      </w:tabs>
      <w:suppressAutoHyphens w:val="0"/>
    </w:pPr>
    <w:rPr>
      <w:lang w:val="en-GB" w:eastAsia="fr-FR"/>
    </w:rPr>
  </w:style>
  <w:style w:type="character" w:customStyle="1" w:styleId="H1GChar">
    <w:name w:val="_ H_1_G Char"/>
    <w:link w:val="H1G"/>
    <w:rsid w:val="00B155CD"/>
    <w:rPr>
      <w:b/>
      <w:sz w:val="24"/>
      <w:lang w:val="ru-RU" w:eastAsia="ru-RU"/>
    </w:rPr>
  </w:style>
  <w:style w:type="character" w:customStyle="1" w:styleId="HChGChar">
    <w:name w:val="_ H _Ch_G Char"/>
    <w:link w:val="HChG"/>
    <w:rsid w:val="00B155CD"/>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6537</Characters>
  <Application>Microsoft Office Word</Application>
  <DocSecurity>0</DocSecurity>
  <Lines>54</Lines>
  <Paragraphs>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ECE/TRANS/WP.15/2021/8</vt:lpstr>
      <vt:lpstr>A/</vt:lpstr>
      <vt:lpstr>A/</vt:lpstr>
    </vt:vector>
  </TitlesOfParts>
  <Company>DCM</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ECE/TRANS/WP.15/2021/8</dc:title>
  <dc:subject/>
  <dc:creator>Marina KOROTKOVA</dc:creator>
  <cp:keywords/>
  <cp:lastModifiedBy>Christine Barrio-Champeau</cp:lastModifiedBy>
  <cp:revision>2</cp:revision>
  <cp:lastPrinted>2021-08-24T13:31:00Z</cp:lastPrinted>
  <dcterms:created xsi:type="dcterms:W3CDTF">2021-09-07T12:31:00Z</dcterms:created>
  <dcterms:modified xsi:type="dcterms:W3CDTF">2021-09-07T12:31:00Z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