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26C77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15881F" w14:textId="77777777" w:rsidR="00F35BAF" w:rsidRPr="00DB58B5" w:rsidRDefault="00F35BAF" w:rsidP="001E0FA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13C83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F55767" w14:textId="33ADB5FE" w:rsidR="00F35BAF" w:rsidRPr="00DB58B5" w:rsidRDefault="001E0FAB" w:rsidP="001E0FAB">
            <w:pPr>
              <w:jc w:val="right"/>
            </w:pPr>
            <w:r w:rsidRPr="001E0FAB">
              <w:rPr>
                <w:sz w:val="40"/>
              </w:rPr>
              <w:t>ECE</w:t>
            </w:r>
            <w:r>
              <w:t>/TRANS/WP.15/2021/12</w:t>
            </w:r>
          </w:p>
        </w:tc>
      </w:tr>
      <w:tr w:rsidR="00F35BAF" w:rsidRPr="00DB58B5" w14:paraId="06E828E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BFBB5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B14F91" wp14:editId="064642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81A8A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EF639C" w14:textId="77777777" w:rsidR="00F35BAF" w:rsidRDefault="001E0FA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AF9A3C3" w14:textId="77777777" w:rsidR="001E0FAB" w:rsidRDefault="001E0FAB" w:rsidP="001E0FAB">
            <w:pPr>
              <w:spacing w:line="240" w:lineRule="exact"/>
            </w:pPr>
            <w:r>
              <w:t>20 août 2021</w:t>
            </w:r>
          </w:p>
          <w:p w14:paraId="76C83F92" w14:textId="77777777" w:rsidR="001E0FAB" w:rsidRDefault="001E0FAB" w:rsidP="001E0FAB">
            <w:pPr>
              <w:spacing w:line="240" w:lineRule="exact"/>
            </w:pPr>
            <w:r>
              <w:t>Français</w:t>
            </w:r>
          </w:p>
          <w:p w14:paraId="0E30F308" w14:textId="3DD05CB0" w:rsidR="001E0FAB" w:rsidRPr="00DB58B5" w:rsidRDefault="001E0FAB" w:rsidP="001E0FAB">
            <w:pPr>
              <w:spacing w:line="240" w:lineRule="exact"/>
            </w:pPr>
            <w:r>
              <w:t>Original : anglais</w:t>
            </w:r>
          </w:p>
        </w:tc>
      </w:tr>
    </w:tbl>
    <w:p w14:paraId="13756209" w14:textId="2CE50A72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869E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93EB76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2D65AD" w14:textId="77777777" w:rsidR="001E0FAB" w:rsidRPr="001E0FAB" w:rsidRDefault="001E0FAB" w:rsidP="00B869E0">
      <w:pPr>
        <w:spacing w:before="120"/>
        <w:rPr>
          <w:b/>
          <w:sz w:val="32"/>
          <w:szCs w:val="32"/>
        </w:rPr>
      </w:pPr>
      <w:r w:rsidRPr="001E0FAB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31A2937C" w14:textId="77777777" w:rsidR="001E0FAB" w:rsidRPr="001E0FAB" w:rsidRDefault="001E0FAB" w:rsidP="00B869E0">
      <w:pPr>
        <w:spacing w:before="120"/>
        <w:rPr>
          <w:b/>
          <w:bCs/>
        </w:rPr>
      </w:pPr>
      <w:r w:rsidRPr="001E0FAB">
        <w:rPr>
          <w:b/>
          <w:bCs/>
          <w:lang w:val="fr-FR"/>
        </w:rPr>
        <w:t>110</w:t>
      </w:r>
      <w:r w:rsidRPr="001E0FAB">
        <w:rPr>
          <w:b/>
          <w:bCs/>
          <w:vertAlign w:val="superscript"/>
          <w:lang w:val="fr-FR"/>
        </w:rPr>
        <w:t>e</w:t>
      </w:r>
      <w:r w:rsidRPr="001E0FAB">
        <w:rPr>
          <w:b/>
          <w:bCs/>
          <w:lang w:val="fr-FR"/>
        </w:rPr>
        <w:t xml:space="preserve"> session</w:t>
      </w:r>
    </w:p>
    <w:p w14:paraId="4500DCA1" w14:textId="77777777" w:rsidR="001E0FAB" w:rsidRPr="001E0FAB" w:rsidRDefault="001E0FAB" w:rsidP="001E0FAB">
      <w:pPr>
        <w:rPr>
          <w:rFonts w:eastAsia="SimSun"/>
        </w:rPr>
      </w:pPr>
      <w:r w:rsidRPr="001E0FAB">
        <w:rPr>
          <w:lang w:val="fr-FR"/>
        </w:rPr>
        <w:t>Genève, 8-12 novembre 2021</w:t>
      </w:r>
    </w:p>
    <w:p w14:paraId="4D1CEB7F" w14:textId="2FBF14CD" w:rsidR="001E0FAB" w:rsidRPr="001E0FAB" w:rsidRDefault="001E0FAB" w:rsidP="001E0FAB">
      <w:r w:rsidRPr="001E0FAB">
        <w:rPr>
          <w:lang w:val="fr-FR"/>
        </w:rPr>
        <w:t>Point 5 b) de l</w:t>
      </w:r>
      <w:r w:rsidR="00B869E0">
        <w:rPr>
          <w:lang w:val="fr-FR"/>
        </w:rPr>
        <w:t>’</w:t>
      </w:r>
      <w:r w:rsidRPr="001E0FAB">
        <w:rPr>
          <w:lang w:val="fr-FR"/>
        </w:rPr>
        <w:t>ordre du jour provisoire</w:t>
      </w:r>
    </w:p>
    <w:p w14:paraId="6D37F348" w14:textId="53643FA6" w:rsidR="001E0FAB" w:rsidRPr="001E0FAB" w:rsidRDefault="001E0FAB" w:rsidP="001E0FAB">
      <w:pPr>
        <w:rPr>
          <w:b/>
          <w:bCs/>
        </w:rPr>
      </w:pPr>
      <w:r w:rsidRPr="001E0FAB">
        <w:rPr>
          <w:b/>
          <w:bCs/>
          <w:lang w:val="fr-FR"/>
        </w:rPr>
        <w:t>Propositions d</w:t>
      </w:r>
      <w:r w:rsidR="00B869E0">
        <w:rPr>
          <w:b/>
          <w:bCs/>
          <w:lang w:val="fr-FR"/>
        </w:rPr>
        <w:t>’</w:t>
      </w:r>
      <w:r w:rsidRPr="001E0FAB">
        <w:rPr>
          <w:b/>
          <w:bCs/>
          <w:lang w:val="fr-FR"/>
        </w:rPr>
        <w:t>amendements aux annexes A et B de l</w:t>
      </w:r>
      <w:r w:rsidR="00B869E0">
        <w:rPr>
          <w:b/>
          <w:bCs/>
          <w:lang w:val="fr-FR"/>
        </w:rPr>
        <w:t>’</w:t>
      </w:r>
      <w:r w:rsidRPr="001E0FAB">
        <w:rPr>
          <w:b/>
          <w:bCs/>
          <w:lang w:val="fr-FR"/>
        </w:rPr>
        <w:t>ADR</w:t>
      </w:r>
      <w:r w:rsidR="00B869E0">
        <w:rPr>
          <w:b/>
          <w:bCs/>
          <w:lang w:val="fr-FR"/>
        </w:rPr>
        <w:t> </w:t>
      </w:r>
      <w:r w:rsidRPr="001E0FAB">
        <w:rPr>
          <w:b/>
          <w:bCs/>
          <w:lang w:val="fr-FR"/>
        </w:rPr>
        <w:t>:</w:t>
      </w:r>
      <w:r w:rsidR="00B869E0">
        <w:rPr>
          <w:b/>
          <w:bCs/>
        </w:rPr>
        <w:br/>
      </w:r>
      <w:r w:rsidRPr="001E0FAB">
        <w:rPr>
          <w:b/>
          <w:bCs/>
          <w:lang w:val="fr-FR"/>
        </w:rPr>
        <w:t>propositions diverses</w:t>
      </w:r>
    </w:p>
    <w:p w14:paraId="167CF93C" w14:textId="6B37B373" w:rsidR="001E0FAB" w:rsidRPr="001E0FAB" w:rsidRDefault="001E0FAB" w:rsidP="00B869E0">
      <w:pPr>
        <w:pStyle w:val="HChG"/>
      </w:pPr>
      <w:r w:rsidRPr="001E0FAB">
        <w:rPr>
          <w:lang w:val="fr-FR"/>
        </w:rPr>
        <w:tab/>
      </w:r>
      <w:r w:rsidRPr="001E0FAB">
        <w:rPr>
          <w:lang w:val="fr-FR"/>
        </w:rPr>
        <w:tab/>
        <w:t>Harmonisation des divisions de la classe 1 dans les tableaux du 1.10.3.1.2 et du chapitre 8.5, S1 (6)</w:t>
      </w:r>
    </w:p>
    <w:p w14:paraId="537231D0" w14:textId="1E02B8D6" w:rsidR="001E0FAB" w:rsidRPr="001E0FAB" w:rsidRDefault="001E0FAB" w:rsidP="00B869E0">
      <w:pPr>
        <w:pStyle w:val="H1G"/>
      </w:pPr>
      <w:r w:rsidRPr="001E0FAB">
        <w:rPr>
          <w:lang w:val="fr-FR"/>
        </w:rPr>
        <w:tab/>
      </w:r>
      <w:r w:rsidRPr="001E0FAB">
        <w:rPr>
          <w:lang w:val="fr-FR"/>
        </w:rPr>
        <w:tab/>
        <w:t>Communication des Gouvernements suédois et norvégien</w:t>
      </w:r>
      <w:r w:rsidR="00B869E0" w:rsidRPr="00B869E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5EEDC92F" w14:textId="77777777" w:rsidR="001E0FAB" w:rsidRPr="001E0FAB" w:rsidRDefault="001E0FAB" w:rsidP="00B869E0">
      <w:pPr>
        <w:pStyle w:val="HChG"/>
      </w:pPr>
      <w:r w:rsidRPr="001E0FAB">
        <w:rPr>
          <w:lang w:val="fr-FR"/>
        </w:rPr>
        <w:tab/>
      </w:r>
      <w:r w:rsidRPr="001E0FAB">
        <w:rPr>
          <w:lang w:val="fr-FR"/>
        </w:rPr>
        <w:tab/>
      </w:r>
      <w:r w:rsidRPr="001E0FAB">
        <w:rPr>
          <w:lang w:val="fr-FR"/>
        </w:rPr>
        <w:tab/>
        <w:t>Introduction</w:t>
      </w:r>
    </w:p>
    <w:p w14:paraId="634BFAFF" w14:textId="48268F9A" w:rsidR="001E0FAB" w:rsidRPr="001E0FAB" w:rsidRDefault="001E0FAB" w:rsidP="00B869E0">
      <w:pPr>
        <w:pStyle w:val="SingleTxtG"/>
      </w:pPr>
      <w:r w:rsidRPr="001E0FAB">
        <w:rPr>
          <w:lang w:val="fr-FR"/>
        </w:rPr>
        <w:t>1.</w:t>
      </w:r>
      <w:r w:rsidRPr="001E0FAB">
        <w:rPr>
          <w:lang w:val="fr-FR"/>
        </w:rPr>
        <w:tab/>
        <w:t>Dans le document informel INF.8 de la l09</w:t>
      </w:r>
      <w:r w:rsidRPr="001E0FAB">
        <w:rPr>
          <w:vertAlign w:val="superscript"/>
          <w:lang w:val="fr-FR"/>
        </w:rPr>
        <w:t>e</w:t>
      </w:r>
      <w:r w:rsidRPr="001E0FAB">
        <w:rPr>
          <w:lang w:val="fr-FR"/>
        </w:rPr>
        <w:t xml:space="preserve"> session, la Suède et la Norvège ont mis en avant les divergences qui existaient dans l</w:t>
      </w:r>
      <w:r w:rsidR="00B869E0">
        <w:rPr>
          <w:lang w:val="fr-FR"/>
        </w:rPr>
        <w:t>’</w:t>
      </w:r>
      <w:r w:rsidRPr="001E0FAB">
        <w:rPr>
          <w:lang w:val="fr-FR"/>
        </w:rPr>
        <w:t>ADR entre les dispositions respectivement relatives à la sécurité et à la surveillance des explosifs de la classe 1.</w:t>
      </w:r>
    </w:p>
    <w:p w14:paraId="74E8EA31" w14:textId="3D7B7387" w:rsidR="001E0FAB" w:rsidRPr="001E0FAB" w:rsidRDefault="001E0FAB" w:rsidP="00B869E0">
      <w:pPr>
        <w:pStyle w:val="SingleTxtG"/>
      </w:pPr>
      <w:r w:rsidRPr="001E0FAB">
        <w:rPr>
          <w:lang w:val="fr-FR"/>
        </w:rPr>
        <w:t>2.</w:t>
      </w:r>
      <w:r w:rsidRPr="001E0FAB">
        <w:rPr>
          <w:lang w:val="fr-FR"/>
        </w:rPr>
        <w:tab/>
        <w:t>Plusieurs délégations qui ont pris la parole ont convenu qu</w:t>
      </w:r>
      <w:r w:rsidR="00B869E0">
        <w:rPr>
          <w:lang w:val="fr-FR"/>
        </w:rPr>
        <w:t>’</w:t>
      </w:r>
      <w:r w:rsidRPr="001E0FAB">
        <w:rPr>
          <w:lang w:val="fr-FR"/>
        </w:rPr>
        <w:t>il fallait poursuivre les travaux sur cette question afin de parvenir à une harmonisation. Cependant, le Groupe de travail a également noté que le tableau 1.10.3.1.2 (Liste des marchandises dangereuses à haut risque) découlait de l</w:t>
      </w:r>
      <w:r w:rsidR="00B869E0">
        <w:rPr>
          <w:lang w:val="fr-FR"/>
        </w:rPr>
        <w:t>’</w:t>
      </w:r>
      <w:r w:rsidRPr="001E0FAB">
        <w:rPr>
          <w:lang w:val="fr-FR"/>
        </w:rPr>
        <w:t>harmonisation de l</w:t>
      </w:r>
      <w:r w:rsidR="00B869E0">
        <w:rPr>
          <w:lang w:val="fr-FR"/>
        </w:rPr>
        <w:t>’</w:t>
      </w:r>
      <w:r w:rsidRPr="001E0FAB">
        <w:rPr>
          <w:lang w:val="fr-FR"/>
        </w:rPr>
        <w:t>ADR avec le Règlement type. Les délégations souhaitant proposer des modifications à cette liste pouvaient le faire dans le cadre du Sous</w:t>
      </w:r>
      <w:r w:rsidR="00B869E0">
        <w:rPr>
          <w:lang w:val="fr-FR"/>
        </w:rPr>
        <w:noBreakHyphen/>
      </w:r>
      <w:r w:rsidRPr="001E0FAB">
        <w:rPr>
          <w:lang w:val="fr-FR"/>
        </w:rPr>
        <w:t>Comité d</w:t>
      </w:r>
      <w:r w:rsidR="00B869E0">
        <w:rPr>
          <w:lang w:val="fr-FR"/>
        </w:rPr>
        <w:t>’</w:t>
      </w:r>
      <w:r w:rsidRPr="001E0FAB">
        <w:rPr>
          <w:lang w:val="fr-FR"/>
        </w:rPr>
        <w:t>experts du transport des marchandises dangereuses.</w:t>
      </w:r>
    </w:p>
    <w:p w14:paraId="266D46AC" w14:textId="44232F4F" w:rsidR="001E0FAB" w:rsidRPr="001E0FAB" w:rsidRDefault="001E0FAB" w:rsidP="00B869E0">
      <w:pPr>
        <w:pStyle w:val="SingleTxtG"/>
      </w:pPr>
      <w:r w:rsidRPr="001E0FAB">
        <w:rPr>
          <w:lang w:val="fr-FR"/>
        </w:rPr>
        <w:t>3.</w:t>
      </w:r>
      <w:r w:rsidRPr="001E0FAB">
        <w:rPr>
          <w:lang w:val="fr-FR"/>
        </w:rPr>
        <w:tab/>
        <w:t>Cependant, il a aussi été demandé aux représentants d</w:t>
      </w:r>
      <w:r w:rsidR="00B869E0">
        <w:rPr>
          <w:lang w:val="fr-FR"/>
        </w:rPr>
        <w:t>’</w:t>
      </w:r>
      <w:r w:rsidRPr="001E0FAB">
        <w:rPr>
          <w:lang w:val="fr-FR"/>
        </w:rPr>
        <w:t>envisager de remplacer la liste du chapitre 8.5</w:t>
      </w:r>
      <w:r w:rsidR="00B869E0">
        <w:rPr>
          <w:lang w:val="fr-FR"/>
        </w:rPr>
        <w:t xml:space="preserve"> </w:t>
      </w:r>
      <w:r w:rsidRPr="001E0FAB">
        <w:rPr>
          <w:lang w:val="fr-FR"/>
        </w:rPr>
        <w:t>S1</w:t>
      </w:r>
      <w:r w:rsidR="00B869E0">
        <w:rPr>
          <w:lang w:val="fr-FR"/>
        </w:rPr>
        <w:t xml:space="preserve"> </w:t>
      </w:r>
      <w:r w:rsidRPr="001E0FAB">
        <w:rPr>
          <w:lang w:val="fr-FR"/>
        </w:rPr>
        <w:t>(6) par la liste des marchandises à haut risque de la classe 1 dans le tableau 1.10.3.1.2. De cette façon, le Groupe de travail pourrait décider de se débarrasser des divergences internes à l</w:t>
      </w:r>
      <w:r w:rsidR="00B869E0">
        <w:rPr>
          <w:lang w:val="fr-FR"/>
        </w:rPr>
        <w:t>’</w:t>
      </w:r>
      <w:r w:rsidRPr="001E0FAB">
        <w:rPr>
          <w:lang w:val="fr-FR"/>
        </w:rPr>
        <w:t>ADR sans avoir à attendre les modifications futures de la liste indicative des marchandises dangereuses à haut risque du Règlement type.</w:t>
      </w:r>
    </w:p>
    <w:p w14:paraId="493D0B7A" w14:textId="77777777" w:rsidR="001E0FAB" w:rsidRPr="001E0FAB" w:rsidRDefault="001E0FAB" w:rsidP="00B869E0">
      <w:pPr>
        <w:pStyle w:val="HChG"/>
      </w:pPr>
      <w:r w:rsidRPr="001E0FAB">
        <w:rPr>
          <w:lang w:val="fr-FR"/>
        </w:rPr>
        <w:tab/>
      </w:r>
      <w:r w:rsidRPr="001E0FAB">
        <w:rPr>
          <w:lang w:val="fr-FR"/>
        </w:rPr>
        <w:tab/>
        <w:t>Proposition</w:t>
      </w:r>
    </w:p>
    <w:p w14:paraId="45EE1CBD" w14:textId="283E8ECA" w:rsidR="001E0FAB" w:rsidRPr="001E0FAB" w:rsidRDefault="001E0FAB" w:rsidP="00B869E0">
      <w:pPr>
        <w:pStyle w:val="SingleTxtG"/>
      </w:pPr>
      <w:r w:rsidRPr="001E0FAB">
        <w:rPr>
          <w:lang w:val="fr-FR"/>
        </w:rPr>
        <w:t>4.</w:t>
      </w:r>
      <w:r w:rsidRPr="001E0FAB">
        <w:rPr>
          <w:lang w:val="fr-FR"/>
        </w:rPr>
        <w:tab/>
        <w:t>Dans un souci d</w:t>
      </w:r>
      <w:r w:rsidR="00B869E0">
        <w:rPr>
          <w:lang w:val="fr-FR"/>
        </w:rPr>
        <w:t>’</w:t>
      </w:r>
      <w:r w:rsidRPr="001E0FAB">
        <w:rPr>
          <w:lang w:val="fr-FR"/>
        </w:rPr>
        <w:t>harmonisation, la Norvège et la Suède souhaitent proposer les modifications suivantes au chapitre 8.5 S1 (6) de l</w:t>
      </w:r>
      <w:r w:rsidR="00B869E0">
        <w:rPr>
          <w:lang w:val="fr-FR"/>
        </w:rPr>
        <w:t>’</w:t>
      </w:r>
      <w:r w:rsidRPr="001E0FAB">
        <w:rPr>
          <w:lang w:val="fr-FR"/>
        </w:rPr>
        <w:t>ADR (les suppressions figurent en caractères biffés, les ajouts sont soulignés)</w:t>
      </w:r>
      <w:r w:rsidR="00B869E0">
        <w:rPr>
          <w:lang w:val="fr-FR"/>
        </w:rPr>
        <w:t> </w:t>
      </w:r>
      <w:r w:rsidRPr="001E0FAB">
        <w:rPr>
          <w:lang w:val="fr-FR"/>
        </w:rPr>
        <w:t>:</w:t>
      </w:r>
    </w:p>
    <w:p w14:paraId="5AD15B32" w14:textId="77777777" w:rsidR="001E0FAB" w:rsidRPr="00B869E0" w:rsidRDefault="001E0FAB" w:rsidP="00B869E0">
      <w:pPr>
        <w:pStyle w:val="SingleTxtG"/>
        <w:keepNext/>
        <w:rPr>
          <w:b/>
          <w:bCs/>
        </w:rPr>
      </w:pPr>
      <w:r w:rsidRPr="00B869E0">
        <w:rPr>
          <w:b/>
          <w:bCs/>
          <w:lang w:val="fr-FR"/>
        </w:rPr>
        <w:lastRenderedPageBreak/>
        <w:t>« (6) Surveillance des véhicules</w:t>
      </w:r>
    </w:p>
    <w:p w14:paraId="2CA47385" w14:textId="77777777" w:rsidR="001E0FAB" w:rsidRPr="001E0FAB" w:rsidRDefault="001E0FAB" w:rsidP="00B869E0">
      <w:pPr>
        <w:pStyle w:val="SingleTxtG"/>
      </w:pPr>
      <w:r w:rsidRPr="001E0FAB">
        <w:rPr>
          <w:lang w:val="fr-FR"/>
        </w:rPr>
        <w:t xml:space="preserve">Les prescriptions du chapitre 8.4 </w:t>
      </w:r>
      <w:r w:rsidRPr="001E0FAB">
        <w:rPr>
          <w:strike/>
          <w:lang w:val="fr-FR"/>
        </w:rPr>
        <w:t>ne</w:t>
      </w:r>
      <w:r w:rsidRPr="001E0FAB">
        <w:rPr>
          <w:lang w:val="fr-FR"/>
        </w:rPr>
        <w:t xml:space="preserve"> sont applicables </w:t>
      </w:r>
      <w:r w:rsidRPr="001E0FAB">
        <w:rPr>
          <w:strike/>
          <w:lang w:val="fr-FR"/>
        </w:rPr>
        <w:t>que</w:t>
      </w:r>
      <w:r w:rsidRPr="001E0FAB">
        <w:rPr>
          <w:lang w:val="fr-FR"/>
        </w:rPr>
        <w:t xml:space="preserve"> lorsque </w:t>
      </w:r>
      <w:r w:rsidRPr="001E0FAB">
        <w:rPr>
          <w:strike/>
          <w:lang w:val="fr-FR"/>
        </w:rPr>
        <w:t xml:space="preserve">la masse totale nette de matière explosible </w:t>
      </w:r>
      <w:r w:rsidRPr="001E0FAB">
        <w:rPr>
          <w:lang w:val="fr-FR"/>
        </w:rPr>
        <w:t xml:space="preserve">des matières et objets de la classe 1 </w:t>
      </w:r>
      <w:r w:rsidRPr="001E0FAB">
        <w:rPr>
          <w:u w:val="single"/>
          <w:lang w:val="fr-FR"/>
        </w:rPr>
        <w:t xml:space="preserve">énumérées dans le tableau 1.10.3.1.2 sont </w:t>
      </w:r>
      <w:r w:rsidRPr="001E0FAB">
        <w:rPr>
          <w:lang w:val="fr-FR"/>
        </w:rPr>
        <w:t>transporté</w:t>
      </w:r>
      <w:r w:rsidRPr="001E0FAB">
        <w:rPr>
          <w:u w:val="single"/>
          <w:lang w:val="fr-FR"/>
        </w:rPr>
        <w:t>e</w:t>
      </w:r>
      <w:r w:rsidRPr="001E0FAB">
        <w:rPr>
          <w:lang w:val="fr-FR"/>
        </w:rPr>
        <w:t xml:space="preserve">s dans un véhicule </w:t>
      </w:r>
      <w:r w:rsidRPr="001E0FAB">
        <w:rPr>
          <w:strike/>
          <w:lang w:val="fr-FR"/>
        </w:rPr>
        <w:t>est supérieure aux limites indiquées ci-après</w:t>
      </w:r>
      <w:r w:rsidRPr="001E0FAB">
        <w:rPr>
          <w:lang w:val="fr-FR"/>
        </w:rPr>
        <w:t>.</w:t>
      </w:r>
    </w:p>
    <w:p w14:paraId="3BF06D70" w14:textId="77777777" w:rsidR="001E0FAB" w:rsidRPr="001E0FAB" w:rsidRDefault="001E0FAB" w:rsidP="00B869E0">
      <w:pPr>
        <w:pStyle w:val="SingleTxtG"/>
      </w:pPr>
      <w:r w:rsidRPr="001E0FAB">
        <w:rPr>
          <w:lang w:val="fr-FR"/>
        </w:rPr>
        <w:t>(</w:t>
      </w:r>
      <w:r w:rsidRPr="001E0FAB">
        <w:rPr>
          <w:i/>
          <w:iCs/>
          <w:lang w:val="fr-FR"/>
        </w:rPr>
        <w:t xml:space="preserve">Tableau, </w:t>
      </w:r>
      <w:r w:rsidRPr="001E0FAB">
        <w:rPr>
          <w:lang w:val="fr-FR"/>
        </w:rPr>
        <w:t>supprimer.)</w:t>
      </w:r>
    </w:p>
    <w:p w14:paraId="11A33D67" w14:textId="7BC4152D" w:rsidR="001E0FAB" w:rsidRPr="001E0FAB" w:rsidRDefault="001E0FAB" w:rsidP="00B869E0">
      <w:pPr>
        <w:pStyle w:val="SingleTxtG"/>
      </w:pPr>
      <w:r w:rsidRPr="001E0FAB">
        <w:rPr>
          <w:strike/>
          <w:lang w:val="fr-FR"/>
        </w:rPr>
        <w:t>Pour les chargements en commun, la limite la plus basse applicable à l</w:t>
      </w:r>
      <w:r w:rsidR="00B869E0">
        <w:rPr>
          <w:strike/>
          <w:lang w:val="fr-FR"/>
        </w:rPr>
        <w:t>’</w:t>
      </w:r>
      <w:r w:rsidRPr="001E0FAB">
        <w:rPr>
          <w:strike/>
          <w:lang w:val="fr-FR"/>
        </w:rPr>
        <w:t>une quelconque des matières ou à l</w:t>
      </w:r>
      <w:r w:rsidR="00B869E0">
        <w:rPr>
          <w:strike/>
          <w:lang w:val="fr-FR"/>
        </w:rPr>
        <w:t>’</w:t>
      </w:r>
      <w:r w:rsidRPr="001E0FAB">
        <w:rPr>
          <w:strike/>
          <w:lang w:val="fr-FR"/>
        </w:rPr>
        <w:t>un quelconque des objets transportés sera utilisée pour l</w:t>
      </w:r>
      <w:r w:rsidR="00B869E0">
        <w:rPr>
          <w:strike/>
          <w:lang w:val="fr-FR"/>
        </w:rPr>
        <w:t>’</w:t>
      </w:r>
      <w:r w:rsidRPr="001E0FAB">
        <w:rPr>
          <w:strike/>
          <w:lang w:val="fr-FR"/>
        </w:rPr>
        <w:t>ensemble du chargement.</w:t>
      </w:r>
    </w:p>
    <w:p w14:paraId="3E77587B" w14:textId="1AE06DD2" w:rsidR="001E0FAB" w:rsidRPr="001E0FAB" w:rsidRDefault="001E0FAB" w:rsidP="00B869E0">
      <w:pPr>
        <w:pStyle w:val="SingleTxtG"/>
      </w:pPr>
      <w:r w:rsidRPr="001E0FAB">
        <w:rPr>
          <w:lang w:val="fr-FR"/>
        </w:rPr>
        <w:t>En outre, ces matières et objets, lorsqu</w:t>
      </w:r>
      <w:r w:rsidR="00B869E0">
        <w:rPr>
          <w:lang w:val="fr-FR"/>
        </w:rPr>
        <w:t>’</w:t>
      </w:r>
      <w:r w:rsidRPr="001E0FAB">
        <w:rPr>
          <w:lang w:val="fr-FR"/>
        </w:rPr>
        <w:t>ils sont soumis aux dispositions de la section</w:t>
      </w:r>
      <w:r w:rsidR="00B869E0">
        <w:rPr>
          <w:lang w:val="fr-FR"/>
        </w:rPr>
        <w:t> </w:t>
      </w:r>
      <w:r w:rsidRPr="001E0FAB">
        <w:rPr>
          <w:lang w:val="fr-FR"/>
        </w:rPr>
        <w:t>1.10.3, doivent faire l</w:t>
      </w:r>
      <w:r w:rsidR="00B869E0">
        <w:rPr>
          <w:lang w:val="fr-FR"/>
        </w:rPr>
        <w:t>’</w:t>
      </w:r>
      <w:r w:rsidRPr="001E0FAB">
        <w:rPr>
          <w:lang w:val="fr-FR"/>
        </w:rPr>
        <w:t>objet, d</w:t>
      </w:r>
      <w:r w:rsidR="00B869E0">
        <w:rPr>
          <w:lang w:val="fr-FR"/>
        </w:rPr>
        <w:t>’</w:t>
      </w:r>
      <w:r w:rsidRPr="001E0FAB">
        <w:rPr>
          <w:lang w:val="fr-FR"/>
        </w:rPr>
        <w:t>une surveillance constante, conformément au plan de sûreté du paragraphe 1.10.3.2, destinée à prévenir tout acte de malveillance et à alerter le conducteur et les autorités compétentes en cas de perte ou d</w:t>
      </w:r>
      <w:r w:rsidR="00B869E0">
        <w:rPr>
          <w:lang w:val="fr-FR"/>
        </w:rPr>
        <w:t>’</w:t>
      </w:r>
      <w:r w:rsidRPr="001E0FAB">
        <w:rPr>
          <w:lang w:val="fr-FR"/>
        </w:rPr>
        <w:t>incendie.</w:t>
      </w:r>
    </w:p>
    <w:p w14:paraId="038A4C24" w14:textId="77777777" w:rsidR="001E0FAB" w:rsidRPr="001E0FAB" w:rsidRDefault="001E0FAB" w:rsidP="00B869E0">
      <w:pPr>
        <w:pStyle w:val="SingleTxtG"/>
      </w:pPr>
      <w:r w:rsidRPr="001E0FAB">
        <w:rPr>
          <w:lang w:val="fr-FR"/>
        </w:rPr>
        <w:t>Les emballages vides non nettoyés en sont exemptés. ».</w:t>
      </w:r>
    </w:p>
    <w:p w14:paraId="6B97B24E" w14:textId="77777777" w:rsidR="001E0FAB" w:rsidRPr="001E0FAB" w:rsidRDefault="001E0FAB" w:rsidP="00B869E0">
      <w:pPr>
        <w:pStyle w:val="HChG"/>
      </w:pPr>
      <w:r w:rsidRPr="001E0FAB">
        <w:rPr>
          <w:lang w:val="fr-FR"/>
        </w:rPr>
        <w:tab/>
      </w:r>
      <w:r w:rsidRPr="001E0FAB">
        <w:rPr>
          <w:lang w:val="fr-FR"/>
        </w:rPr>
        <w:tab/>
        <w:t>Justification</w:t>
      </w:r>
    </w:p>
    <w:p w14:paraId="35A04123" w14:textId="29515DFA" w:rsidR="001E0FAB" w:rsidRPr="001E0FAB" w:rsidRDefault="001E0FAB" w:rsidP="00B869E0">
      <w:pPr>
        <w:pStyle w:val="SingleTxtG"/>
      </w:pPr>
      <w:r w:rsidRPr="001E0FAB">
        <w:rPr>
          <w:lang w:val="fr-FR"/>
        </w:rPr>
        <w:t>5.</w:t>
      </w:r>
      <w:r w:rsidRPr="001E0FAB">
        <w:rPr>
          <w:lang w:val="fr-FR"/>
        </w:rPr>
        <w:tab/>
        <w:t>Le champ d</w:t>
      </w:r>
      <w:r w:rsidR="00B869E0">
        <w:rPr>
          <w:lang w:val="fr-FR"/>
        </w:rPr>
        <w:t>’</w:t>
      </w:r>
      <w:r w:rsidRPr="001E0FAB">
        <w:rPr>
          <w:lang w:val="fr-FR"/>
        </w:rPr>
        <w:t>application du chapitre 8.5 S (1) sera entièrement harmonisé à tout moment avec les dispositions relatives aux marchandises dangereuses à haut risque.</w:t>
      </w:r>
    </w:p>
    <w:p w14:paraId="5FEFBDA5" w14:textId="299C1E78" w:rsidR="001E0FAB" w:rsidRPr="001E0FAB" w:rsidRDefault="001E0FAB" w:rsidP="00B869E0">
      <w:pPr>
        <w:pStyle w:val="SingleTxtG"/>
      </w:pPr>
      <w:r w:rsidRPr="001E0FAB">
        <w:rPr>
          <w:lang w:val="fr-FR"/>
        </w:rPr>
        <w:t>6.</w:t>
      </w:r>
      <w:r w:rsidRPr="001E0FAB">
        <w:rPr>
          <w:lang w:val="fr-FR"/>
        </w:rPr>
        <w:tab/>
        <w:t>Tous les explosifs visés par les dispositions relatives aux plans de sûreté et à la prévention des vols seront également visés par la disposition relative à la surveillance des</w:t>
      </w:r>
      <w:r w:rsidR="00B869E0">
        <w:rPr>
          <w:lang w:val="fr-FR"/>
        </w:rPr>
        <w:t> </w:t>
      </w:r>
      <w:r w:rsidRPr="001E0FAB">
        <w:rPr>
          <w:lang w:val="fr-FR"/>
        </w:rPr>
        <w:t>véhicules.</w:t>
      </w:r>
    </w:p>
    <w:p w14:paraId="3F53F25E" w14:textId="3BB81DC3" w:rsidR="00F9573C" w:rsidRDefault="001E0FAB" w:rsidP="00B869E0">
      <w:pPr>
        <w:pStyle w:val="SingleTxtG"/>
        <w:rPr>
          <w:lang w:val="fr-FR"/>
        </w:rPr>
      </w:pPr>
      <w:r w:rsidRPr="001E0FAB">
        <w:rPr>
          <w:lang w:val="fr-FR"/>
        </w:rPr>
        <w:t>7.</w:t>
      </w:r>
      <w:r w:rsidRPr="001E0FAB">
        <w:rPr>
          <w:lang w:val="fr-FR"/>
        </w:rPr>
        <w:tab/>
        <w:t>Les participants à la chaîne de transport ne devront plus s</w:t>
      </w:r>
      <w:r w:rsidR="00B869E0">
        <w:rPr>
          <w:lang w:val="fr-FR"/>
        </w:rPr>
        <w:t>’</w:t>
      </w:r>
      <w:r w:rsidRPr="001E0FAB">
        <w:rPr>
          <w:lang w:val="fr-FR"/>
        </w:rPr>
        <w:t>appuyer sur deux tableaux et seuils différents pour la surveillance, et les dispositions relatives au transport seront conformes à d</w:t>
      </w:r>
      <w:r w:rsidR="00B869E0">
        <w:rPr>
          <w:lang w:val="fr-FR"/>
        </w:rPr>
        <w:t>’</w:t>
      </w:r>
      <w:r w:rsidRPr="001E0FAB">
        <w:rPr>
          <w:lang w:val="fr-FR"/>
        </w:rPr>
        <w:t>autres réglementations ne prévoyant pas de seuils de quantité pour le stockage et la manipulation des explosifs.</w:t>
      </w:r>
    </w:p>
    <w:p w14:paraId="4664A085" w14:textId="4373D0B4" w:rsidR="001E0FAB" w:rsidRPr="001E0FAB" w:rsidRDefault="001E0FAB" w:rsidP="001E0FA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0FAB" w:rsidRPr="001E0FAB" w:rsidSect="001E0F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2B8A" w14:textId="77777777" w:rsidR="00DA4244" w:rsidRDefault="00DA4244" w:rsidP="00F95C08">
      <w:pPr>
        <w:spacing w:line="240" w:lineRule="auto"/>
      </w:pPr>
    </w:p>
  </w:endnote>
  <w:endnote w:type="continuationSeparator" w:id="0">
    <w:p w14:paraId="68538353" w14:textId="77777777" w:rsidR="00DA4244" w:rsidRPr="00AC3823" w:rsidRDefault="00DA4244" w:rsidP="00AC3823">
      <w:pPr>
        <w:pStyle w:val="Footer"/>
      </w:pPr>
    </w:p>
  </w:endnote>
  <w:endnote w:type="continuationNotice" w:id="1">
    <w:p w14:paraId="048C6A69" w14:textId="77777777" w:rsidR="00DA4244" w:rsidRDefault="00DA42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6EE4" w14:textId="3A76997D" w:rsidR="001E0FAB" w:rsidRPr="001E0FAB" w:rsidRDefault="001E0FAB" w:rsidP="001E0FAB">
    <w:pPr>
      <w:pStyle w:val="Footer"/>
      <w:tabs>
        <w:tab w:val="right" w:pos="9638"/>
      </w:tabs>
    </w:pPr>
    <w:r w:rsidRPr="001E0FAB">
      <w:rPr>
        <w:b/>
        <w:sz w:val="18"/>
      </w:rPr>
      <w:fldChar w:fldCharType="begin"/>
    </w:r>
    <w:r w:rsidRPr="001E0FAB">
      <w:rPr>
        <w:b/>
        <w:sz w:val="18"/>
      </w:rPr>
      <w:instrText xml:space="preserve"> PAGE  \* MERGEFORMAT </w:instrText>
    </w:r>
    <w:r w:rsidRPr="001E0FAB">
      <w:rPr>
        <w:b/>
        <w:sz w:val="18"/>
      </w:rPr>
      <w:fldChar w:fldCharType="separate"/>
    </w:r>
    <w:r w:rsidRPr="001E0FAB">
      <w:rPr>
        <w:b/>
        <w:noProof/>
        <w:sz w:val="18"/>
      </w:rPr>
      <w:t>2</w:t>
    </w:r>
    <w:r w:rsidRPr="001E0FAB">
      <w:rPr>
        <w:b/>
        <w:sz w:val="18"/>
      </w:rPr>
      <w:fldChar w:fldCharType="end"/>
    </w:r>
    <w:r>
      <w:rPr>
        <w:b/>
        <w:sz w:val="18"/>
      </w:rPr>
      <w:tab/>
    </w:r>
    <w:r>
      <w:t>GE.21-11509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D516" w14:textId="5857604E" w:rsidR="001E0FAB" w:rsidRPr="001E0FAB" w:rsidRDefault="001E0FAB" w:rsidP="001E0FAB">
    <w:pPr>
      <w:pStyle w:val="Footer"/>
      <w:tabs>
        <w:tab w:val="right" w:pos="9638"/>
      </w:tabs>
      <w:rPr>
        <w:b/>
        <w:sz w:val="18"/>
      </w:rPr>
    </w:pPr>
    <w:r>
      <w:t>GE.21-11509</w:t>
    </w:r>
    <w:r>
      <w:tab/>
    </w:r>
    <w:r w:rsidRPr="001E0FAB">
      <w:rPr>
        <w:b/>
        <w:sz w:val="18"/>
      </w:rPr>
      <w:fldChar w:fldCharType="begin"/>
    </w:r>
    <w:r w:rsidRPr="001E0FAB">
      <w:rPr>
        <w:b/>
        <w:sz w:val="18"/>
      </w:rPr>
      <w:instrText xml:space="preserve"> PAGE  \* MERGEFORMAT </w:instrText>
    </w:r>
    <w:r w:rsidRPr="001E0FAB">
      <w:rPr>
        <w:b/>
        <w:sz w:val="18"/>
      </w:rPr>
      <w:fldChar w:fldCharType="separate"/>
    </w:r>
    <w:r w:rsidRPr="001E0FAB">
      <w:rPr>
        <w:b/>
        <w:noProof/>
        <w:sz w:val="18"/>
      </w:rPr>
      <w:t>3</w:t>
    </w:r>
    <w:r w:rsidRPr="001E0F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1578" w14:textId="0D58C4E3" w:rsidR="007F20FA" w:rsidRPr="001E0FAB" w:rsidRDefault="001E0FAB" w:rsidP="001E0FA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B67142B" wp14:editId="3B0D51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11509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59E7BD" wp14:editId="1F010D2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160921    160921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0D8C" w14:textId="77777777" w:rsidR="00DA4244" w:rsidRPr="00AC3823" w:rsidRDefault="00DA424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A62331" w14:textId="77777777" w:rsidR="00DA4244" w:rsidRPr="00AC3823" w:rsidRDefault="00DA424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1911A9" w14:textId="77777777" w:rsidR="00DA4244" w:rsidRPr="00AC3823" w:rsidRDefault="00DA4244">
      <w:pPr>
        <w:spacing w:line="240" w:lineRule="auto"/>
        <w:rPr>
          <w:sz w:val="2"/>
          <w:szCs w:val="2"/>
        </w:rPr>
      </w:pPr>
    </w:p>
  </w:footnote>
  <w:footnote w:id="2">
    <w:p w14:paraId="69799A72" w14:textId="4C891D00" w:rsidR="00B869E0" w:rsidRPr="00B869E0" w:rsidRDefault="00B869E0">
      <w:pPr>
        <w:pStyle w:val="FootnoteText"/>
      </w:pPr>
      <w:r>
        <w:rPr>
          <w:rStyle w:val="FootnoteReference"/>
        </w:rPr>
        <w:tab/>
      </w:r>
      <w:r w:rsidRPr="00B869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ab/>
        <w:t>A/75/6 (sect. 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2A9B" w14:textId="649C0193" w:rsidR="001E0FAB" w:rsidRPr="001E0FAB" w:rsidRDefault="004455A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395C">
      <w:t>ECE/TRANS/WP.15/2021/12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60E1" w14:textId="10C026E9" w:rsidR="001E0FAB" w:rsidRPr="001E0FAB" w:rsidRDefault="004455A9" w:rsidP="001E0F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395C">
      <w:t>ECE/TRANS/WP.15/2021/12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4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0FAB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55A9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395C"/>
    <w:rsid w:val="00AC3823"/>
    <w:rsid w:val="00AE323C"/>
    <w:rsid w:val="00AF0CB5"/>
    <w:rsid w:val="00B00181"/>
    <w:rsid w:val="00B00B0D"/>
    <w:rsid w:val="00B45F2E"/>
    <w:rsid w:val="00B765F7"/>
    <w:rsid w:val="00B77993"/>
    <w:rsid w:val="00B869E0"/>
    <w:rsid w:val="00BA0CA9"/>
    <w:rsid w:val="00C02897"/>
    <w:rsid w:val="00C97039"/>
    <w:rsid w:val="00D12440"/>
    <w:rsid w:val="00D3439C"/>
    <w:rsid w:val="00D7622E"/>
    <w:rsid w:val="00DA4244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18D78"/>
  <w15:docId w15:val="{DA3E015A-2220-46DA-8FDE-F146D47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FC8D-5A28-40BE-A104-AEDB07E5614E}"/>
</file>

<file path=customXml/itemProps2.xml><?xml version="1.0" encoding="utf-8"?>
<ds:datastoreItem xmlns:ds="http://schemas.openxmlformats.org/officeDocument/2006/customXml" ds:itemID="{A92B63C2-7509-46AC-A800-F34328A276C5}"/>
</file>

<file path=customXml/itemProps3.xml><?xml version="1.0" encoding="utf-8"?>
<ds:datastoreItem xmlns:ds="http://schemas.openxmlformats.org/officeDocument/2006/customXml" ds:itemID="{8BF7F29B-9F3F-4962-887C-CF482CC88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ECE/TRANS/WP.15/2021/12</vt:lpstr>
      <vt:lpstr>    Harmonisation des divisions de la classe 1 dans les tableaux du 1.10.3.1.2 et </vt:lpstr>
      <vt:lpstr>        Communication des Gouvernements suédois et norvégien*</vt:lpstr>
      <vt:lpstr>    Introduction</vt:lpstr>
      <vt:lpstr>    Proposition</vt:lpstr>
      <vt:lpstr>    Justification</vt:lpstr>
    </vt:vector>
  </TitlesOfParts>
  <Company>DCM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ECE/TRANS/WP.15/2021/12</dc:title>
  <dc:subject/>
  <dc:creator>Valerie BERTIN</dc:creator>
  <cp:keywords/>
  <cp:lastModifiedBy>Christine Barrio-Champeau</cp:lastModifiedBy>
  <cp:revision>2</cp:revision>
  <cp:lastPrinted>2021-09-16T10:21:00Z</cp:lastPrinted>
  <dcterms:created xsi:type="dcterms:W3CDTF">2021-09-16T12:38:00Z</dcterms:created>
  <dcterms:modified xsi:type="dcterms:W3CDTF">2021-09-16T12:38:00Z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