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459B2A" w14:textId="77777777" w:rsidTr="00B20551">
        <w:trPr>
          <w:cantSplit/>
          <w:trHeight w:hRule="exact" w:val="851"/>
        </w:trPr>
        <w:tc>
          <w:tcPr>
            <w:tcW w:w="1276" w:type="dxa"/>
            <w:tcBorders>
              <w:bottom w:val="single" w:sz="4" w:space="0" w:color="auto"/>
            </w:tcBorders>
            <w:vAlign w:val="bottom"/>
          </w:tcPr>
          <w:p w14:paraId="660006C7" w14:textId="77777777" w:rsidR="009E6CB7" w:rsidRDefault="009E6CB7" w:rsidP="00B20551">
            <w:pPr>
              <w:spacing w:after="80"/>
            </w:pPr>
          </w:p>
        </w:tc>
        <w:tc>
          <w:tcPr>
            <w:tcW w:w="2268" w:type="dxa"/>
            <w:tcBorders>
              <w:bottom w:val="single" w:sz="4" w:space="0" w:color="auto"/>
            </w:tcBorders>
            <w:vAlign w:val="bottom"/>
          </w:tcPr>
          <w:p w14:paraId="2A10FCAD" w14:textId="57857C2F"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68BA4067" w14:textId="36FA067E" w:rsidR="009E6CB7" w:rsidRPr="00D47EEA" w:rsidRDefault="00F966E2" w:rsidP="00BE296F">
            <w:pPr>
              <w:jc w:val="right"/>
            </w:pPr>
            <w:r w:rsidRPr="00F966E2">
              <w:rPr>
                <w:sz w:val="40"/>
              </w:rPr>
              <w:t>ECE</w:t>
            </w:r>
            <w:r>
              <w:t>/TRANS/</w:t>
            </w:r>
            <w:r w:rsidR="003E4CA0">
              <w:t>180/Add.4/Amend.4/Appendix 1</w:t>
            </w:r>
          </w:p>
        </w:tc>
      </w:tr>
      <w:tr w:rsidR="009E6CB7" w14:paraId="342F1239" w14:textId="77777777" w:rsidTr="00B20551">
        <w:trPr>
          <w:cantSplit/>
          <w:trHeight w:hRule="exact" w:val="2835"/>
        </w:trPr>
        <w:tc>
          <w:tcPr>
            <w:tcW w:w="1276" w:type="dxa"/>
            <w:tcBorders>
              <w:top w:val="single" w:sz="4" w:space="0" w:color="auto"/>
              <w:bottom w:val="single" w:sz="12" w:space="0" w:color="auto"/>
            </w:tcBorders>
          </w:tcPr>
          <w:p w14:paraId="255E7BBE" w14:textId="30D7ED6F" w:rsidR="009E6CB7" w:rsidRDefault="009E6CB7" w:rsidP="00B20551">
            <w:pPr>
              <w:spacing w:before="120"/>
            </w:pPr>
          </w:p>
        </w:tc>
        <w:tc>
          <w:tcPr>
            <w:tcW w:w="5528" w:type="dxa"/>
            <w:gridSpan w:val="2"/>
            <w:tcBorders>
              <w:top w:val="single" w:sz="4" w:space="0" w:color="auto"/>
              <w:bottom w:val="single" w:sz="12" w:space="0" w:color="auto"/>
            </w:tcBorders>
          </w:tcPr>
          <w:p w14:paraId="34BDE790" w14:textId="6BC31AC4"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1EF5E9F1" w14:textId="77777777" w:rsidR="005E4228" w:rsidRPr="00AF2205" w:rsidRDefault="005E4228" w:rsidP="005E4228">
            <w:pPr>
              <w:spacing w:before="240" w:line="240" w:lineRule="exact"/>
            </w:pPr>
          </w:p>
          <w:p w14:paraId="5B1C7354" w14:textId="2BADD33E" w:rsidR="005E4228" w:rsidRPr="00AF2205" w:rsidRDefault="00DE1D7D" w:rsidP="005E4228">
            <w:pPr>
              <w:spacing w:line="240" w:lineRule="exact"/>
            </w:pPr>
            <w:r>
              <w:t>1</w:t>
            </w:r>
            <w:r w:rsidR="00436E0E">
              <w:t>6</w:t>
            </w:r>
            <w:r w:rsidR="005E4228">
              <w:t xml:space="preserve"> </w:t>
            </w:r>
            <w:r>
              <w:t>September</w:t>
            </w:r>
            <w:r w:rsidR="005E4228">
              <w:t xml:space="preserve"> 2021</w:t>
            </w:r>
          </w:p>
          <w:p w14:paraId="6D8140DE" w14:textId="77777777" w:rsidR="005E4228" w:rsidRPr="00AF2205" w:rsidRDefault="005E4228" w:rsidP="005E4228">
            <w:pPr>
              <w:spacing w:line="240" w:lineRule="exact"/>
            </w:pPr>
          </w:p>
          <w:p w14:paraId="6DD23458" w14:textId="37BEEB80" w:rsidR="00BE296F" w:rsidRDefault="00BE296F" w:rsidP="00BE296F">
            <w:pPr>
              <w:spacing w:line="240" w:lineRule="exact"/>
            </w:pPr>
          </w:p>
        </w:tc>
      </w:tr>
    </w:tbl>
    <w:p w14:paraId="392C0BF4" w14:textId="77777777" w:rsidR="00DC6DBF" w:rsidRPr="00C23129" w:rsidRDefault="00DC6DBF" w:rsidP="00DC6DBF">
      <w:pPr>
        <w:pStyle w:val="HChG"/>
        <w:rPr>
          <w:lang w:val="en-US"/>
        </w:rPr>
      </w:pPr>
      <w:r>
        <w:tab/>
      </w:r>
      <w:r>
        <w:tab/>
      </w:r>
      <w:r w:rsidRPr="00C23129">
        <w:rPr>
          <w:lang w:val="en-US"/>
        </w:rPr>
        <w:t xml:space="preserve">Global Registry </w:t>
      </w:r>
    </w:p>
    <w:p w14:paraId="69D36D00" w14:textId="77777777" w:rsidR="00DC6DBF" w:rsidRPr="00C23129" w:rsidRDefault="00DC6DBF" w:rsidP="00DC6DBF">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6F097F46" w14:textId="7E8F1CF1" w:rsidR="00DC6DBF" w:rsidRPr="00C23129" w:rsidRDefault="00DC6DBF" w:rsidP="00DC6DBF">
      <w:pPr>
        <w:pStyle w:val="HChG"/>
        <w:rPr>
          <w:lang w:val="en-US"/>
        </w:rPr>
      </w:pPr>
      <w:r w:rsidRPr="00C23129">
        <w:rPr>
          <w:lang w:val="en-US"/>
        </w:rPr>
        <w:tab/>
      </w:r>
      <w:r w:rsidRPr="00C23129">
        <w:rPr>
          <w:lang w:val="en-US"/>
        </w:rPr>
        <w:tab/>
        <w:t xml:space="preserve">Addendum </w:t>
      </w:r>
      <w:r>
        <w:rPr>
          <w:lang w:val="en-US"/>
        </w:rPr>
        <w:t>4</w:t>
      </w:r>
      <w:r w:rsidRPr="00C23129">
        <w:rPr>
          <w:lang w:val="en-US"/>
        </w:rPr>
        <w:t xml:space="preserve">: </w:t>
      </w:r>
      <w:r>
        <w:rPr>
          <w:lang w:val="en-US"/>
        </w:rPr>
        <w:t xml:space="preserve">United Nations </w:t>
      </w:r>
      <w:r w:rsidRPr="00C23129">
        <w:rPr>
          <w:lang w:val="en-US"/>
        </w:rPr>
        <w:t xml:space="preserve">Global </w:t>
      </w:r>
      <w:r>
        <w:rPr>
          <w:lang w:val="en-US"/>
        </w:rPr>
        <w:t>T</w:t>
      </w:r>
      <w:r w:rsidRPr="00C23129">
        <w:rPr>
          <w:lang w:val="en-US"/>
        </w:rPr>
        <w:t xml:space="preserve">echnical </w:t>
      </w:r>
      <w:r>
        <w:rPr>
          <w:lang w:val="en-US"/>
        </w:rPr>
        <w:t>R</w:t>
      </w:r>
      <w:r w:rsidRPr="00C23129">
        <w:rPr>
          <w:lang w:val="en-US"/>
        </w:rPr>
        <w:t xml:space="preserve">egulation No. </w:t>
      </w:r>
      <w:r>
        <w:rPr>
          <w:lang w:val="en-US"/>
        </w:rPr>
        <w:t>4</w:t>
      </w:r>
    </w:p>
    <w:p w14:paraId="5A649E4F" w14:textId="325D538F" w:rsidR="00DC6DBF" w:rsidRDefault="00DC6DBF" w:rsidP="00DC6DBF">
      <w:pPr>
        <w:pStyle w:val="H1G"/>
        <w:rPr>
          <w:lang w:val="en-US"/>
        </w:rPr>
      </w:pPr>
      <w:r w:rsidRPr="00C23129">
        <w:rPr>
          <w:lang w:val="en-US"/>
        </w:rPr>
        <w:tab/>
      </w:r>
      <w:r w:rsidRPr="00C23129">
        <w:rPr>
          <w:lang w:val="en-US"/>
        </w:rPr>
        <w:tab/>
      </w:r>
      <w:r>
        <w:rPr>
          <w:lang w:val="en-US"/>
        </w:rPr>
        <w:t>United Nations 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Pr>
          <w:lang w:val="en-US"/>
        </w:rPr>
        <w:t xml:space="preserve"> on</w:t>
      </w:r>
      <w:r w:rsidRPr="00B25C78">
        <w:rPr>
          <w:lang w:val="en-US"/>
        </w:rPr>
        <w:t xml:space="preserve"> </w:t>
      </w:r>
      <w:r w:rsidR="0051333A" w:rsidRPr="0051333A">
        <w:rPr>
          <w:spacing w:val="-2"/>
          <w:lang w:val="en-US"/>
        </w:rPr>
        <w:t xml:space="preserve">Test procedure for compression-ignition (C.I.) engines and positive-ignition (P.I.) engines </w:t>
      </w:r>
      <w:proofErr w:type="spellStart"/>
      <w:r w:rsidR="0051333A" w:rsidRPr="0051333A">
        <w:rPr>
          <w:spacing w:val="-2"/>
          <w:lang w:val="en-US"/>
        </w:rPr>
        <w:t>fuelled</w:t>
      </w:r>
      <w:proofErr w:type="spellEnd"/>
      <w:r w:rsidR="0051333A" w:rsidRPr="0051333A">
        <w:rPr>
          <w:spacing w:val="-2"/>
          <w:lang w:val="en-US"/>
        </w:rPr>
        <w:t xml:space="preserve"> with natural gas (NG) or liquefied petroleum gas (LPG) </w:t>
      </w:r>
      <w:proofErr w:type="gramStart"/>
      <w:r w:rsidR="0051333A" w:rsidRPr="0051333A">
        <w:rPr>
          <w:spacing w:val="-2"/>
          <w:lang w:val="en-US"/>
        </w:rPr>
        <w:t>with regard to</w:t>
      </w:r>
      <w:proofErr w:type="gramEnd"/>
      <w:r w:rsidR="0051333A" w:rsidRPr="0051333A">
        <w:rPr>
          <w:spacing w:val="-2"/>
          <w:lang w:val="en-US"/>
        </w:rPr>
        <w:t xml:space="preserve"> the emission of pollutants</w:t>
      </w:r>
      <w:r w:rsidR="0051333A">
        <w:rPr>
          <w:spacing w:val="-2"/>
          <w:lang w:val="en-US"/>
        </w:rPr>
        <w:t xml:space="preserve"> </w:t>
      </w:r>
      <w:r w:rsidR="00C010BF" w:rsidRPr="00C010BF">
        <w:rPr>
          <w:spacing w:val="-2"/>
          <w:lang w:val="en-US"/>
        </w:rPr>
        <w:t>(WHDC)</w:t>
      </w:r>
    </w:p>
    <w:p w14:paraId="611A1C88" w14:textId="22E17E4A" w:rsidR="00DC6DBF" w:rsidRDefault="00DC6DBF" w:rsidP="00DC6DBF">
      <w:pPr>
        <w:ind w:left="567" w:firstLine="567"/>
        <w:rPr>
          <w:lang w:val="en-US"/>
        </w:rPr>
      </w:pPr>
      <w:r>
        <w:rPr>
          <w:lang w:val="en-US"/>
        </w:rPr>
        <w:t>(</w:t>
      </w:r>
      <w:r w:rsidRPr="00C23129">
        <w:rPr>
          <w:lang w:val="en-US"/>
        </w:rPr>
        <w:t>Establi</w:t>
      </w:r>
      <w:r>
        <w:rPr>
          <w:lang w:val="en-US"/>
        </w:rPr>
        <w:t xml:space="preserve">shed in the Global Registry on </w:t>
      </w:r>
      <w:r w:rsidRPr="00F0631F">
        <w:rPr>
          <w:lang w:val="en-US"/>
        </w:rPr>
        <w:t>2</w:t>
      </w:r>
      <w:r w:rsidR="0035688A">
        <w:rPr>
          <w:lang w:val="en-US"/>
        </w:rPr>
        <w:t>2</w:t>
      </w:r>
      <w:r w:rsidRPr="00F0631F">
        <w:rPr>
          <w:lang w:val="en-US"/>
        </w:rPr>
        <w:t xml:space="preserve"> June 20</w:t>
      </w:r>
      <w:r>
        <w:rPr>
          <w:lang w:val="en-US"/>
        </w:rPr>
        <w:t>2</w:t>
      </w:r>
      <w:r w:rsidR="0035688A">
        <w:rPr>
          <w:lang w:val="en-US"/>
        </w:rPr>
        <w:t>1</w:t>
      </w:r>
      <w:r>
        <w:rPr>
          <w:lang w:val="en-US"/>
        </w:rPr>
        <w:t>)</w:t>
      </w:r>
    </w:p>
    <w:p w14:paraId="4EEB387A" w14:textId="5AE96D69" w:rsidR="00DC6DBF" w:rsidRPr="00424960" w:rsidRDefault="00DE296E" w:rsidP="00DE296E">
      <w:pPr>
        <w:pStyle w:val="H1G"/>
        <w:rPr>
          <w:lang w:val="en-US"/>
        </w:rPr>
      </w:pPr>
      <w:r>
        <w:rPr>
          <w:lang w:val="en-US"/>
        </w:rPr>
        <w:tab/>
      </w:r>
      <w:r>
        <w:rPr>
          <w:lang w:val="en-US"/>
        </w:rPr>
        <w:tab/>
      </w:r>
      <w:r w:rsidR="00DC6DBF" w:rsidRPr="00424960">
        <w:rPr>
          <w:lang w:val="en-US"/>
        </w:rPr>
        <w:t xml:space="preserve">Amendment </w:t>
      </w:r>
      <w:r w:rsidR="00824411">
        <w:rPr>
          <w:lang w:val="en-US"/>
        </w:rPr>
        <w:t>4</w:t>
      </w:r>
      <w:r w:rsidR="00DC6DBF">
        <w:rPr>
          <w:lang w:val="en-US"/>
        </w:rPr>
        <w:t xml:space="preserve"> </w:t>
      </w:r>
      <w:r>
        <w:rPr>
          <w:lang w:val="en-US"/>
        </w:rPr>
        <w:t>-</w:t>
      </w:r>
      <w:r w:rsidR="00DC6DBF" w:rsidRPr="00424960">
        <w:rPr>
          <w:lang w:val="en-US"/>
        </w:rPr>
        <w:t xml:space="preserve"> </w:t>
      </w:r>
      <w:r w:rsidR="00DC6DBF" w:rsidRPr="00277D0A">
        <w:rPr>
          <w:lang w:val="en-US"/>
        </w:rPr>
        <w:t>Appendix</w:t>
      </w:r>
      <w:r w:rsidR="00824411">
        <w:rPr>
          <w:lang w:val="en-US"/>
        </w:rPr>
        <w:t xml:space="preserve"> 1</w:t>
      </w:r>
    </w:p>
    <w:p w14:paraId="30E28C85" w14:textId="77777777" w:rsidR="00DC6DBF" w:rsidRPr="0078088E" w:rsidRDefault="00DC6DBF" w:rsidP="00DE296E">
      <w:pPr>
        <w:pStyle w:val="H1G"/>
        <w:rPr>
          <w:lang w:val="en-US"/>
        </w:rPr>
      </w:pPr>
      <w:r w:rsidRPr="00C23129">
        <w:rPr>
          <w:color w:val="000000"/>
          <w:lang w:val="en-US"/>
        </w:rPr>
        <w:tab/>
      </w:r>
      <w:r w:rsidRPr="00C23129">
        <w:rPr>
          <w:color w:val="000000"/>
          <w:lang w:val="en-US"/>
        </w:rPr>
        <w:tab/>
      </w:r>
      <w:r w:rsidRPr="0078088E">
        <w:rPr>
          <w:color w:val="000000"/>
          <w:lang w:val="en-US"/>
        </w:rPr>
        <w:t xml:space="preserve">Proposal </w:t>
      </w:r>
      <w:r w:rsidRPr="0078088E">
        <w:rPr>
          <w:lang w:val="en-US"/>
        </w:rPr>
        <w:t xml:space="preserve">and report pursuant to </w:t>
      </w:r>
      <w:r w:rsidRPr="0078088E">
        <w:rPr>
          <w:color w:val="000000"/>
          <w:lang w:val="en-US"/>
        </w:rPr>
        <w:t>Article 6,</w:t>
      </w:r>
      <w:r w:rsidRPr="0078088E">
        <w:rPr>
          <w:lang w:val="en-US"/>
        </w:rPr>
        <w:t xml:space="preserve"> paragraph 6.2</w:t>
      </w:r>
      <w:r w:rsidRPr="0078088E">
        <w:rPr>
          <w:color w:val="000000"/>
          <w:lang w:val="en-US"/>
        </w:rPr>
        <w:t>.7.</w:t>
      </w:r>
      <w:r w:rsidRPr="0078088E">
        <w:rPr>
          <w:lang w:val="en-US"/>
        </w:rPr>
        <w:t xml:space="preserve"> of the Agreement</w:t>
      </w:r>
    </w:p>
    <w:p w14:paraId="7E3588E1" w14:textId="63E928DE" w:rsidR="00DC6DBF" w:rsidRPr="0078088E" w:rsidRDefault="001A1396" w:rsidP="00DE296E">
      <w:pPr>
        <w:pStyle w:val="Bullet1G"/>
      </w:pPr>
      <w:r>
        <w:t xml:space="preserve">Proposal to amend </w:t>
      </w:r>
      <w:r w:rsidR="00507E9C">
        <w:t xml:space="preserve">UN </w:t>
      </w:r>
      <w:r>
        <w:t>Global Technical Regulation No. 4</w:t>
      </w:r>
      <w:r w:rsidR="00DC6DBF" w:rsidRPr="0078088E">
        <w:t xml:space="preserve"> (</w:t>
      </w:r>
      <w:r w:rsidR="00BF60C3">
        <w:t>W</w:t>
      </w:r>
      <w:r w:rsidR="004954AF">
        <w:t>HDC</w:t>
      </w:r>
      <w:r w:rsidR="00DC6DBF" w:rsidRPr="0078088E">
        <w:t>) (ECE/TRANS/WP.29/AC.3/</w:t>
      </w:r>
      <w:r w:rsidR="00BF60C3">
        <w:t>20</w:t>
      </w:r>
      <w:r w:rsidR="00DC6DBF" w:rsidRPr="0078088E">
        <w:t>)</w:t>
      </w:r>
    </w:p>
    <w:p w14:paraId="66D11347" w14:textId="04C664C6" w:rsidR="00DC6DBF" w:rsidRPr="004909A6" w:rsidRDefault="004954AF" w:rsidP="00DE296E">
      <w:pPr>
        <w:pStyle w:val="Bullet1G"/>
        <w:rPr>
          <w:spacing w:val="-2"/>
          <w:lang w:val="en-US"/>
        </w:rPr>
      </w:pPr>
      <w:r>
        <w:rPr>
          <w:spacing w:val="-2"/>
          <w:lang w:val="en-US"/>
        </w:rPr>
        <w:t xml:space="preserve">Technical </w:t>
      </w:r>
      <w:r w:rsidR="00DC6DBF" w:rsidRPr="0078088E">
        <w:rPr>
          <w:spacing w:val="-2"/>
          <w:lang w:val="en-US"/>
        </w:rPr>
        <w:t xml:space="preserve">report on the development of Amendment </w:t>
      </w:r>
      <w:r>
        <w:rPr>
          <w:spacing w:val="-2"/>
          <w:lang w:val="en-US"/>
        </w:rPr>
        <w:t>4</w:t>
      </w:r>
      <w:r w:rsidR="00DC6DBF" w:rsidRPr="0078088E">
        <w:rPr>
          <w:spacing w:val="-2"/>
          <w:lang w:val="en-US"/>
        </w:rPr>
        <w:t xml:space="preserve"> to </w:t>
      </w:r>
      <w:r w:rsidR="005E3F3A">
        <w:t xml:space="preserve">UN Global Technical Regulation </w:t>
      </w:r>
      <w:r w:rsidR="00DC6DBF" w:rsidRPr="0078088E">
        <w:rPr>
          <w:spacing w:val="-2"/>
          <w:lang w:val="en-US"/>
        </w:rPr>
        <w:t>No.</w:t>
      </w:r>
      <w:r w:rsidR="00622849">
        <w:rPr>
          <w:spacing w:val="-2"/>
          <w:lang w:val="en-US"/>
        </w:rPr>
        <w:t xml:space="preserve"> 4</w:t>
      </w:r>
      <w:r w:rsidR="00DC6DBF" w:rsidRPr="0078088E">
        <w:rPr>
          <w:spacing w:val="-2"/>
          <w:lang w:val="en-US"/>
        </w:rPr>
        <w:t xml:space="preserve"> (</w:t>
      </w:r>
      <w:r>
        <w:rPr>
          <w:spacing w:val="-2"/>
          <w:lang w:val="en-US"/>
        </w:rPr>
        <w:t>WHDC</w:t>
      </w:r>
      <w:r w:rsidR="00DC6DBF" w:rsidRPr="0078088E">
        <w:rPr>
          <w:spacing w:val="-2"/>
          <w:lang w:val="en-US"/>
        </w:rPr>
        <w:t>)</w:t>
      </w:r>
      <w:r w:rsidR="00DC6DBF" w:rsidRPr="0078088E">
        <w:t xml:space="preserve"> (</w:t>
      </w:r>
      <w:r w:rsidR="00DC6DBF" w:rsidRPr="0078088E">
        <w:rPr>
          <w:spacing w:val="-2"/>
          <w:lang w:val="en-US"/>
        </w:rPr>
        <w:t>ECE/TRANS/WP.29/20</w:t>
      </w:r>
      <w:r w:rsidR="00DC6DBF">
        <w:rPr>
          <w:spacing w:val="-2"/>
          <w:lang w:val="en-US"/>
        </w:rPr>
        <w:t>2</w:t>
      </w:r>
      <w:r>
        <w:rPr>
          <w:spacing w:val="-2"/>
          <w:lang w:val="en-US"/>
        </w:rPr>
        <w:t>1</w:t>
      </w:r>
      <w:r w:rsidR="00DC6DBF" w:rsidRPr="0078088E">
        <w:rPr>
          <w:spacing w:val="-2"/>
          <w:lang w:val="en-US"/>
        </w:rPr>
        <w:t>/</w:t>
      </w:r>
      <w:r w:rsidR="00DC6DBF">
        <w:rPr>
          <w:spacing w:val="-2"/>
          <w:lang w:val="en-US"/>
        </w:rPr>
        <w:t>8</w:t>
      </w:r>
      <w:r>
        <w:rPr>
          <w:spacing w:val="-2"/>
          <w:lang w:val="en-US"/>
        </w:rPr>
        <w:t>0</w:t>
      </w:r>
      <w:r w:rsidR="00DC6DBF" w:rsidRPr="006F4066">
        <w:t>).</w:t>
      </w:r>
    </w:p>
    <w:p w14:paraId="7DDD683A" w14:textId="77777777" w:rsidR="00DC6DBF" w:rsidRPr="008C5041" w:rsidRDefault="00DC6DBF" w:rsidP="00DC6DBF">
      <w:pPr>
        <w:suppressAutoHyphens w:val="0"/>
        <w:spacing w:line="240" w:lineRule="auto"/>
        <w:ind w:left="1134" w:right="856"/>
        <w:jc w:val="center"/>
        <w:rPr>
          <w:spacing w:val="-2"/>
          <w:lang w:val="en-US"/>
        </w:rPr>
      </w:pPr>
    </w:p>
    <w:p w14:paraId="31F46651" w14:textId="2D6F8431" w:rsidR="00DC6DBF" w:rsidRPr="00313B6D" w:rsidRDefault="00DC6DBF" w:rsidP="00DC6DBF">
      <w:pPr>
        <w:pStyle w:val="ListParagraph"/>
        <w:spacing w:before="120"/>
        <w:ind w:left="0"/>
        <w:jc w:val="center"/>
        <w:rPr>
          <w:u w:val="single"/>
          <w:lang w:val="en-US"/>
        </w:rPr>
      </w:pPr>
      <w:r w:rsidRPr="00313B6D">
        <w:rPr>
          <w:u w:val="single"/>
          <w:lang w:val="en-US"/>
        </w:rPr>
        <w:tab/>
      </w:r>
      <w:r w:rsidRPr="00313B6D">
        <w:rPr>
          <w:u w:val="single"/>
          <w:lang w:val="en-US"/>
        </w:rPr>
        <w:tab/>
      </w:r>
      <w:r w:rsidR="00886A17">
        <w:rPr>
          <w:u w:val="single"/>
          <w:lang w:val="en-US"/>
        </w:rPr>
        <w:tab/>
      </w:r>
    </w:p>
    <w:p w14:paraId="15220615" w14:textId="55502274" w:rsidR="000679AE" w:rsidRDefault="00DC6DBF" w:rsidP="000679AE">
      <w:pPr>
        <w:jc w:val="center"/>
        <w:rPr>
          <w:b/>
          <w:sz w:val="28"/>
          <w:szCs w:val="28"/>
        </w:rPr>
      </w:pPr>
      <w:r w:rsidRPr="00424960">
        <w:rPr>
          <w:b/>
          <w:bCs/>
          <w:noProof/>
          <w:highlight w:val="yellow"/>
          <w:lang w:eastAsia="en-GB"/>
        </w:rPr>
        <w:drawing>
          <wp:anchor distT="0" distB="137160" distL="114300" distR="114300" simplePos="0" relativeHeight="251659264" behindDoc="0" locked="0" layoutInCell="1" allowOverlap="1" wp14:anchorId="69F98C3C" wp14:editId="2585DA73">
            <wp:simplePos x="0" y="0"/>
            <wp:positionH relativeFrom="column">
              <wp:posOffset>2476500</wp:posOffset>
            </wp:positionH>
            <wp:positionV relativeFrom="paragraph">
              <wp:posOffset>113030</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49A">
        <w:rPr>
          <w:b/>
          <w:bCs/>
          <w:lang w:val="en-US"/>
        </w:rPr>
        <w:t>UNITED NATIONS</w:t>
      </w:r>
    </w:p>
    <w:p w14:paraId="586BD112" w14:textId="61B919DC" w:rsidR="00BE296F" w:rsidRDefault="00BE296F" w:rsidP="00595520">
      <w:r>
        <w:br w:type="page"/>
      </w:r>
    </w:p>
    <w:p w14:paraId="7EF31305" w14:textId="4DBDF74B" w:rsidR="00817F4D" w:rsidRDefault="005377AD" w:rsidP="004323FD">
      <w:pPr>
        <w:keepNext/>
        <w:keepLines/>
        <w:tabs>
          <w:tab w:val="right" w:pos="851"/>
        </w:tabs>
        <w:spacing w:before="320" w:after="240" w:line="300" w:lineRule="exact"/>
        <w:ind w:left="1134" w:right="1134" w:hanging="1134"/>
        <w:rPr>
          <w:rFonts w:eastAsia="MS Mincho"/>
          <w:b/>
          <w:sz w:val="28"/>
          <w:lang w:val="en-US" w:eastAsia="en-US"/>
        </w:rPr>
      </w:pPr>
      <w:r w:rsidRPr="004323FD">
        <w:rPr>
          <w:rFonts w:eastAsia="MS Mincho"/>
          <w:b/>
          <w:sz w:val="28"/>
          <w:lang w:val="en-US" w:eastAsia="en-US"/>
        </w:rPr>
        <w:lastRenderedPageBreak/>
        <w:tab/>
      </w:r>
      <w:r w:rsidRPr="004323FD">
        <w:rPr>
          <w:rFonts w:eastAsia="MS Mincho"/>
          <w:b/>
          <w:sz w:val="28"/>
          <w:lang w:val="en-US" w:eastAsia="en-US"/>
        </w:rPr>
        <w:tab/>
      </w:r>
      <w:r w:rsidRPr="00817F4D">
        <w:rPr>
          <w:rFonts w:eastAsia="MS Mincho"/>
          <w:b/>
          <w:sz w:val="28"/>
          <w:lang w:val="en-US" w:eastAsia="en-US"/>
        </w:rPr>
        <w:t xml:space="preserve">Proposal to amend </w:t>
      </w:r>
      <w:r w:rsidR="000B25E1">
        <w:rPr>
          <w:rFonts w:eastAsia="MS Mincho"/>
          <w:b/>
          <w:sz w:val="28"/>
          <w:lang w:val="en-US" w:eastAsia="en-US"/>
        </w:rPr>
        <w:t xml:space="preserve">UN </w:t>
      </w:r>
      <w:r>
        <w:rPr>
          <w:rFonts w:eastAsia="MS Mincho"/>
          <w:b/>
          <w:sz w:val="28"/>
          <w:lang w:val="en-US" w:eastAsia="en-US"/>
        </w:rPr>
        <w:t>G</w:t>
      </w:r>
      <w:r w:rsidRPr="00817F4D">
        <w:rPr>
          <w:rFonts w:eastAsia="MS Mincho"/>
          <w:b/>
          <w:sz w:val="28"/>
          <w:lang w:val="en-US" w:eastAsia="en-US"/>
        </w:rPr>
        <w:t xml:space="preserve">lobal </w:t>
      </w:r>
      <w:r>
        <w:rPr>
          <w:rFonts w:eastAsia="MS Mincho"/>
          <w:b/>
          <w:sz w:val="28"/>
          <w:lang w:val="en-US" w:eastAsia="en-US"/>
        </w:rPr>
        <w:t>T</w:t>
      </w:r>
      <w:r w:rsidRPr="00817F4D">
        <w:rPr>
          <w:rFonts w:eastAsia="MS Mincho"/>
          <w:b/>
          <w:sz w:val="28"/>
          <w:lang w:val="en-US" w:eastAsia="en-US"/>
        </w:rPr>
        <w:t xml:space="preserve">echnical </w:t>
      </w:r>
      <w:r>
        <w:rPr>
          <w:rFonts w:eastAsia="MS Mincho"/>
          <w:b/>
          <w:sz w:val="28"/>
          <w:lang w:val="en-US" w:eastAsia="en-US"/>
        </w:rPr>
        <w:t>R</w:t>
      </w:r>
      <w:r w:rsidRPr="00817F4D">
        <w:rPr>
          <w:rFonts w:eastAsia="MS Mincho"/>
          <w:b/>
          <w:sz w:val="28"/>
          <w:lang w:val="en-US" w:eastAsia="en-US"/>
        </w:rPr>
        <w:t>egulation No. 4</w:t>
      </w:r>
    </w:p>
    <w:p w14:paraId="69942499" w14:textId="701F6317" w:rsidR="00817F4D" w:rsidRPr="009B482B" w:rsidRDefault="00817F4D" w:rsidP="009B482B">
      <w:pPr>
        <w:pStyle w:val="HChG"/>
        <w:rPr>
          <w:rFonts w:eastAsia="MS Mincho"/>
          <w:lang w:eastAsia="en-US"/>
        </w:rPr>
      </w:pPr>
      <w:r w:rsidRPr="009B482B">
        <w:rPr>
          <w:rFonts w:eastAsia="MS Mincho"/>
          <w:lang w:eastAsia="en-US"/>
        </w:rPr>
        <w:tab/>
      </w:r>
      <w:r w:rsidR="009B482B" w:rsidRPr="009B482B">
        <w:rPr>
          <w:rFonts w:eastAsia="MS Mincho"/>
          <w:lang w:eastAsia="en-US"/>
        </w:rPr>
        <w:t>I.</w:t>
      </w:r>
      <w:r w:rsidR="009B482B" w:rsidRPr="009B482B">
        <w:rPr>
          <w:rFonts w:eastAsia="MS Mincho"/>
          <w:lang w:eastAsia="en-US"/>
        </w:rPr>
        <w:tab/>
      </w:r>
      <w:r w:rsidR="00624BEE">
        <w:rPr>
          <w:rFonts w:eastAsia="MS Mincho"/>
          <w:lang w:eastAsia="en-US"/>
        </w:rPr>
        <w:t>Objective of the proposal</w:t>
      </w:r>
    </w:p>
    <w:p w14:paraId="60AEA70A" w14:textId="44C394DF" w:rsidR="00CC0962" w:rsidRDefault="00CC0962" w:rsidP="00CC0962">
      <w:pPr>
        <w:autoSpaceDE w:val="0"/>
        <w:autoSpaceDN w:val="0"/>
        <w:adjustRightInd w:val="0"/>
        <w:spacing w:after="120" w:line="240" w:lineRule="auto"/>
        <w:ind w:left="1134" w:right="1134"/>
        <w:jc w:val="both"/>
        <w:rPr>
          <w:lang w:eastAsia="en-US"/>
        </w:rPr>
      </w:pPr>
      <w:r>
        <w:rPr>
          <w:lang w:eastAsia="en-US"/>
        </w:rPr>
        <w:t>1.</w:t>
      </w:r>
      <w:r>
        <w:rPr>
          <w:lang w:eastAsia="en-US"/>
        </w:rPr>
        <w:tab/>
        <w:t xml:space="preserve">The objective of this proposal is to introduce an amendment to the </w:t>
      </w:r>
      <w:r w:rsidR="00AB2CF6" w:rsidRPr="003E4554">
        <w:rPr>
          <w:lang w:eastAsia="en-US"/>
        </w:rPr>
        <w:t>UN</w:t>
      </w:r>
      <w:r w:rsidR="00AB2CF6">
        <w:rPr>
          <w:lang w:eastAsia="en-US"/>
        </w:rPr>
        <w:t xml:space="preserve"> </w:t>
      </w:r>
      <w:r w:rsidR="00624BEE">
        <w:rPr>
          <w:lang w:eastAsia="en-US"/>
        </w:rPr>
        <w:t>Global Technical Regulation</w:t>
      </w:r>
      <w:r>
        <w:rPr>
          <w:lang w:eastAsia="en-US"/>
        </w:rPr>
        <w:t xml:space="preserve"> for heavy-duty vehicle emissions (</w:t>
      </w:r>
      <w:r w:rsidR="00624BEE">
        <w:rPr>
          <w:lang w:eastAsia="en-US"/>
        </w:rPr>
        <w:t xml:space="preserve">UN GTR </w:t>
      </w:r>
      <w:r>
        <w:rPr>
          <w:lang w:eastAsia="en-US"/>
        </w:rPr>
        <w:t>No. 4). This amendment is introduced with the aim of removing the options contained in document ECE/TRANS/180/Add.4 established in the Global Registry on 15 November 2006. The options refer to:</w:t>
      </w:r>
    </w:p>
    <w:p w14:paraId="274B0C91" w14:textId="4859ABEC" w:rsidR="00CC0962" w:rsidRDefault="00CC0962" w:rsidP="009175CC">
      <w:pPr>
        <w:spacing w:after="120"/>
        <w:ind w:left="1134" w:right="1134" w:firstLine="567"/>
        <w:jc w:val="both"/>
        <w:rPr>
          <w:lang w:eastAsia="en-US"/>
        </w:rPr>
      </w:pPr>
      <w:r>
        <w:rPr>
          <w:lang w:eastAsia="en-US"/>
        </w:rPr>
        <w:tab/>
        <w:t>(a)</w:t>
      </w:r>
      <w:r>
        <w:rPr>
          <w:lang w:eastAsia="en-US"/>
        </w:rPr>
        <w:tab/>
        <w:t xml:space="preserve">Hot soak </w:t>
      </w:r>
      <w:proofErr w:type="gramStart"/>
      <w:r>
        <w:rPr>
          <w:lang w:eastAsia="en-US"/>
        </w:rPr>
        <w:t>period</w:t>
      </w:r>
      <w:r w:rsidR="00D05777">
        <w:rPr>
          <w:lang w:eastAsia="en-US"/>
        </w:rPr>
        <w:t>;</w:t>
      </w:r>
      <w:proofErr w:type="gramEnd"/>
    </w:p>
    <w:p w14:paraId="052DD9AA" w14:textId="33256389" w:rsidR="00CC0962" w:rsidRDefault="00CC0962" w:rsidP="009175CC">
      <w:pPr>
        <w:spacing w:after="120"/>
        <w:ind w:left="1134" w:right="1134" w:firstLine="567"/>
        <w:jc w:val="both"/>
        <w:rPr>
          <w:lang w:eastAsia="en-US"/>
        </w:rPr>
      </w:pPr>
      <w:r>
        <w:rPr>
          <w:lang w:eastAsia="en-US"/>
        </w:rPr>
        <w:tab/>
        <w:t>(b)</w:t>
      </w:r>
      <w:r>
        <w:rPr>
          <w:lang w:eastAsia="en-US"/>
        </w:rPr>
        <w:tab/>
        <w:t xml:space="preserve">Weighting factors for hot and cold </w:t>
      </w:r>
      <w:proofErr w:type="gramStart"/>
      <w:r>
        <w:rPr>
          <w:lang w:eastAsia="en-US"/>
        </w:rPr>
        <w:t>phases</w:t>
      </w:r>
      <w:r w:rsidR="00D05777">
        <w:rPr>
          <w:lang w:eastAsia="en-US"/>
        </w:rPr>
        <w:t>;</w:t>
      </w:r>
      <w:proofErr w:type="gramEnd"/>
    </w:p>
    <w:p w14:paraId="4B041112" w14:textId="3C6860B4" w:rsidR="00CC0962" w:rsidRDefault="00CC0962" w:rsidP="009175CC">
      <w:pPr>
        <w:spacing w:after="120"/>
        <w:ind w:left="1134" w:right="1134" w:firstLine="567"/>
        <w:jc w:val="both"/>
        <w:rPr>
          <w:lang w:eastAsia="en-US"/>
        </w:rPr>
      </w:pPr>
      <w:r>
        <w:rPr>
          <w:lang w:eastAsia="en-US"/>
        </w:rPr>
        <w:tab/>
        <w:t>(c)</w:t>
      </w:r>
      <w:r>
        <w:rPr>
          <w:lang w:eastAsia="en-US"/>
        </w:rPr>
        <w:tab/>
        <w:t xml:space="preserve">Particulate sampling filter size and </w:t>
      </w:r>
      <w:proofErr w:type="gramStart"/>
      <w:r>
        <w:rPr>
          <w:lang w:eastAsia="en-US"/>
        </w:rPr>
        <w:t>material</w:t>
      </w:r>
      <w:r w:rsidR="00D05777">
        <w:rPr>
          <w:lang w:eastAsia="en-US"/>
        </w:rPr>
        <w:t>;</w:t>
      </w:r>
      <w:proofErr w:type="gramEnd"/>
    </w:p>
    <w:p w14:paraId="760FAFDC" w14:textId="0B529C61" w:rsidR="00CC0962" w:rsidRDefault="00CC0962" w:rsidP="009175CC">
      <w:pPr>
        <w:spacing w:after="120"/>
        <w:ind w:left="1134" w:right="1134" w:firstLine="567"/>
        <w:jc w:val="both"/>
        <w:rPr>
          <w:lang w:eastAsia="en-US"/>
        </w:rPr>
      </w:pPr>
      <w:r>
        <w:rPr>
          <w:lang w:eastAsia="en-US"/>
        </w:rPr>
        <w:tab/>
        <w:t>(d)</w:t>
      </w:r>
      <w:r>
        <w:rPr>
          <w:lang w:eastAsia="en-US"/>
        </w:rPr>
        <w:tab/>
        <w:t>Engine power definition</w:t>
      </w:r>
      <w:r w:rsidR="00D05777">
        <w:rPr>
          <w:lang w:eastAsia="en-US"/>
        </w:rPr>
        <w:t>.</w:t>
      </w:r>
    </w:p>
    <w:p w14:paraId="237A2EFF" w14:textId="39F5F875" w:rsidR="00CC0962" w:rsidRDefault="00CC0962" w:rsidP="00CC0962">
      <w:pPr>
        <w:autoSpaceDE w:val="0"/>
        <w:autoSpaceDN w:val="0"/>
        <w:adjustRightInd w:val="0"/>
        <w:spacing w:after="120" w:line="240" w:lineRule="auto"/>
        <w:ind w:left="1134" w:right="1134"/>
        <w:jc w:val="both"/>
        <w:rPr>
          <w:lang w:eastAsia="en-US"/>
        </w:rPr>
      </w:pPr>
      <w:r>
        <w:rPr>
          <w:lang w:eastAsia="en-US"/>
        </w:rPr>
        <w:t>2.</w:t>
      </w:r>
      <w:r>
        <w:rPr>
          <w:lang w:eastAsia="en-US"/>
        </w:rPr>
        <w:tab/>
        <w:t xml:space="preserve">Regulations governing exhaust-emissions from all vehicles have been in use for many </w:t>
      </w:r>
      <w:proofErr w:type="gramStart"/>
      <w:r>
        <w:rPr>
          <w:lang w:eastAsia="en-US"/>
        </w:rPr>
        <w:t>years</w:t>
      </w:r>
      <w:proofErr w:type="gramEnd"/>
      <w:r>
        <w:rPr>
          <w:lang w:eastAsia="en-US"/>
        </w:rPr>
        <w:t xml:space="preserve"> but the methods of measurement vary. To ensure the maximum benefit to the environment as well as the efficient use of energy, it is desirable that as many countries as possible use the same high standards of emission control.  In that context, this </w:t>
      </w:r>
      <w:r w:rsidR="00E61CF7" w:rsidRPr="005E3F3A">
        <w:rPr>
          <w:lang w:eastAsia="en-US"/>
        </w:rPr>
        <w:t>UN</w:t>
      </w:r>
      <w:r w:rsidR="00E61CF7">
        <w:rPr>
          <w:lang w:eastAsia="en-US"/>
        </w:rPr>
        <w:t xml:space="preserve"> GTR </w:t>
      </w:r>
      <w:r>
        <w:rPr>
          <w:lang w:eastAsia="en-US"/>
        </w:rPr>
        <w:t>is an important step forward.</w:t>
      </w:r>
    </w:p>
    <w:p w14:paraId="6FDC3FEA" w14:textId="2C49843C" w:rsidR="00CC0962" w:rsidRDefault="00CC0962" w:rsidP="00CC0962">
      <w:pPr>
        <w:autoSpaceDE w:val="0"/>
        <w:autoSpaceDN w:val="0"/>
        <w:adjustRightInd w:val="0"/>
        <w:spacing w:after="120" w:line="240" w:lineRule="auto"/>
        <w:ind w:left="1134" w:right="1134"/>
        <w:jc w:val="both"/>
        <w:rPr>
          <w:lang w:eastAsia="en-US"/>
        </w:rPr>
      </w:pPr>
      <w:r>
        <w:rPr>
          <w:lang w:eastAsia="en-US"/>
        </w:rPr>
        <w:t>3.</w:t>
      </w:r>
      <w:r>
        <w:rPr>
          <w:lang w:eastAsia="en-US"/>
        </w:rPr>
        <w:tab/>
        <w:t>Manufacturers of heavy-duty vehicles are already operating in a world market and it is economically inefficient for manufacturers to have to prepare different models in order to meet different emission regulations and methods of measuring CO</w:t>
      </w:r>
      <w:r w:rsidRPr="00453A7A">
        <w:rPr>
          <w:vertAlign w:val="subscript"/>
          <w:lang w:eastAsia="en-US"/>
        </w:rPr>
        <w:t>2</w:t>
      </w:r>
      <w:r>
        <w:rPr>
          <w:lang w:eastAsia="en-US"/>
        </w:rPr>
        <w:t xml:space="preserve">/fuel consumption, which are, in principle, aimed at achieving the same objective. This </w:t>
      </w:r>
      <w:r w:rsidR="00E61CF7" w:rsidRPr="005E3F3A">
        <w:rPr>
          <w:lang w:eastAsia="en-US"/>
        </w:rPr>
        <w:t>UN</w:t>
      </w:r>
      <w:r w:rsidR="00E61CF7">
        <w:rPr>
          <w:lang w:eastAsia="en-US"/>
        </w:rPr>
        <w:t xml:space="preserve"> GTR </w:t>
      </w:r>
      <w:r>
        <w:rPr>
          <w:lang w:eastAsia="en-US"/>
        </w:rPr>
        <w:t>will enable vehicle manufacturers to develop new models in the most effective way.</w:t>
      </w:r>
    </w:p>
    <w:p w14:paraId="4863403F" w14:textId="1B62C292" w:rsidR="007262E7" w:rsidRPr="007262E7" w:rsidRDefault="00624BEE" w:rsidP="007262E7">
      <w:pPr>
        <w:pStyle w:val="HChG"/>
        <w:rPr>
          <w:rFonts w:eastAsia="MS Mincho"/>
          <w:lang w:eastAsia="en-US"/>
        </w:rPr>
      </w:pPr>
      <w:r>
        <w:rPr>
          <w:rFonts w:eastAsia="MS Mincho"/>
          <w:lang w:eastAsia="en-US"/>
        </w:rPr>
        <w:tab/>
      </w:r>
      <w:r w:rsidR="007262E7" w:rsidRPr="007262E7">
        <w:rPr>
          <w:rFonts w:eastAsia="MS Mincho"/>
          <w:lang w:eastAsia="en-US"/>
        </w:rPr>
        <w:t>II.</w:t>
      </w:r>
      <w:r w:rsidR="007262E7" w:rsidRPr="007262E7">
        <w:rPr>
          <w:rFonts w:eastAsia="MS Mincho"/>
          <w:lang w:eastAsia="en-US"/>
        </w:rPr>
        <w:tab/>
      </w:r>
      <w:r>
        <w:rPr>
          <w:rFonts w:eastAsia="MS Mincho"/>
          <w:lang w:eastAsia="en-US"/>
        </w:rPr>
        <w:t xml:space="preserve">Description of the </w:t>
      </w:r>
      <w:r w:rsidR="00162AF8">
        <w:rPr>
          <w:rFonts w:eastAsia="MS Mincho"/>
          <w:lang w:eastAsia="en-US"/>
        </w:rPr>
        <w:t xml:space="preserve">UN </w:t>
      </w:r>
      <w:r>
        <w:rPr>
          <w:rFonts w:eastAsia="MS Mincho"/>
          <w:lang w:eastAsia="en-US"/>
        </w:rPr>
        <w:t>Global Technical Regulation</w:t>
      </w:r>
    </w:p>
    <w:p w14:paraId="1E734759" w14:textId="05DB31C3" w:rsidR="007262E7" w:rsidRDefault="007262E7" w:rsidP="007262E7">
      <w:pPr>
        <w:autoSpaceDE w:val="0"/>
        <w:autoSpaceDN w:val="0"/>
        <w:adjustRightInd w:val="0"/>
        <w:spacing w:after="120" w:line="240" w:lineRule="auto"/>
        <w:ind w:left="1134" w:right="1134"/>
        <w:jc w:val="both"/>
        <w:rPr>
          <w:lang w:eastAsia="en-US"/>
        </w:rPr>
      </w:pPr>
      <w:r>
        <w:rPr>
          <w:lang w:eastAsia="en-US"/>
        </w:rPr>
        <w:t>4.</w:t>
      </w:r>
      <w:r>
        <w:rPr>
          <w:lang w:eastAsia="en-US"/>
        </w:rPr>
        <w:tab/>
        <w:t xml:space="preserve">The regulation is based on research into the world-wide pattern of real heavy commercial vehicle use. From the collected data, two representative test cycles, one transient test cycle (WHTC) and one steady state test cycle (WHSC), have been created covering typical driving conditions in the European Union, the United States of America and Japan.  Based on real life data a model was developed for translating the vehicle cycle into an engine cycle. The general laboratory conditions for the emission test and the engine family concept have been brought up to date by expert committees in the International Organization for Standardization (ISO) and reflect the latest technologies. </w:t>
      </w:r>
    </w:p>
    <w:p w14:paraId="4E8013E3" w14:textId="77777777" w:rsidR="007262E7" w:rsidRPr="007262E7" w:rsidRDefault="007262E7" w:rsidP="007262E7">
      <w:pPr>
        <w:autoSpaceDE w:val="0"/>
        <w:autoSpaceDN w:val="0"/>
        <w:adjustRightInd w:val="0"/>
        <w:spacing w:after="120" w:line="240" w:lineRule="auto"/>
        <w:ind w:left="1134" w:right="1134"/>
        <w:jc w:val="both"/>
        <w:rPr>
          <w:lang w:eastAsia="en-US"/>
        </w:rPr>
      </w:pPr>
      <w:r>
        <w:rPr>
          <w:lang w:eastAsia="en-US"/>
        </w:rPr>
        <w:t>5.</w:t>
      </w:r>
      <w:r>
        <w:rPr>
          <w:lang w:eastAsia="en-US"/>
        </w:rPr>
        <w:tab/>
        <w:t>The WHTC and WHSC test procedures reflect world-wide on-road heavy-duty engine</w:t>
      </w:r>
      <w:r w:rsidRPr="007262E7">
        <w:rPr>
          <w:lang w:eastAsia="en-US"/>
        </w:rPr>
        <w:t xml:space="preserve"> operation as closely as possible and provide a marked improvement in the test procedure for measuring the emission performance of existing and future heavy-duty engines.</w:t>
      </w:r>
    </w:p>
    <w:p w14:paraId="4EBD0698" w14:textId="1695659D" w:rsidR="007262E7" w:rsidRDefault="007262E7" w:rsidP="007262E7">
      <w:pPr>
        <w:autoSpaceDE w:val="0"/>
        <w:autoSpaceDN w:val="0"/>
        <w:adjustRightInd w:val="0"/>
        <w:spacing w:after="120" w:line="240" w:lineRule="auto"/>
        <w:ind w:left="1134" w:right="1134"/>
        <w:jc w:val="both"/>
        <w:rPr>
          <w:lang w:eastAsia="en-US"/>
        </w:rPr>
      </w:pPr>
      <w:r>
        <w:rPr>
          <w:lang w:eastAsia="en-US"/>
        </w:rPr>
        <w:t>6.</w:t>
      </w:r>
      <w:r>
        <w:rPr>
          <w:lang w:eastAsia="en-US"/>
        </w:rPr>
        <w:tab/>
        <w:t xml:space="preserve">The </w:t>
      </w:r>
      <w:r w:rsidRPr="007262E7">
        <w:rPr>
          <w:lang w:eastAsia="en-US"/>
        </w:rPr>
        <w:t>next</w:t>
      </w:r>
      <w:r>
        <w:rPr>
          <w:lang w:eastAsia="en-US"/>
        </w:rPr>
        <w:t xml:space="preserve"> phase of work on this global technical regulation aims at eliminating the above-mentioned options </w:t>
      </w:r>
      <w:proofErr w:type="gramStart"/>
      <w:r>
        <w:rPr>
          <w:lang w:eastAsia="en-US"/>
        </w:rPr>
        <w:t>in order to</w:t>
      </w:r>
      <w:proofErr w:type="gramEnd"/>
      <w:r>
        <w:rPr>
          <w:lang w:eastAsia="en-US"/>
        </w:rPr>
        <w:t xml:space="preserve"> achieve a fully harmonised test procedure. AC.3 is therefore requested to agree that </w:t>
      </w:r>
      <w:r w:rsidR="00E61CF7" w:rsidRPr="005E3F3A">
        <w:rPr>
          <w:lang w:eastAsia="en-US"/>
        </w:rPr>
        <w:t>UN</w:t>
      </w:r>
      <w:r w:rsidR="00E61CF7">
        <w:rPr>
          <w:lang w:eastAsia="en-US"/>
        </w:rPr>
        <w:t xml:space="preserve"> GTR</w:t>
      </w:r>
      <w:r w:rsidR="00C44A6E">
        <w:rPr>
          <w:lang w:eastAsia="en-US"/>
        </w:rPr>
        <w:t xml:space="preserve"> </w:t>
      </w:r>
      <w:r>
        <w:rPr>
          <w:lang w:eastAsia="en-US"/>
        </w:rPr>
        <w:t xml:space="preserve">No. 4 be amended and that the informal group established for the development of the </w:t>
      </w:r>
      <w:r w:rsidR="00AB2CF6" w:rsidRPr="005E3F3A">
        <w:rPr>
          <w:lang w:eastAsia="en-US"/>
        </w:rPr>
        <w:t>UN</w:t>
      </w:r>
      <w:r w:rsidR="00AB2CF6">
        <w:rPr>
          <w:lang w:eastAsia="en-US"/>
        </w:rPr>
        <w:t xml:space="preserve"> GTR </w:t>
      </w:r>
      <w:r>
        <w:rPr>
          <w:lang w:eastAsia="en-US"/>
        </w:rPr>
        <w:t xml:space="preserve">under the Working Party on Pollution and Energy (GRPE) continues its work on the amendment of the </w:t>
      </w:r>
      <w:r w:rsidR="00AB2CF6" w:rsidRPr="005E3F3A">
        <w:rPr>
          <w:lang w:eastAsia="en-US"/>
        </w:rPr>
        <w:t>UN G</w:t>
      </w:r>
      <w:r w:rsidR="00AB2CF6">
        <w:rPr>
          <w:lang w:eastAsia="en-US"/>
        </w:rPr>
        <w:t>TR</w:t>
      </w:r>
      <w:r>
        <w:rPr>
          <w:lang w:eastAsia="en-US"/>
        </w:rPr>
        <w:t>.</w:t>
      </w:r>
    </w:p>
    <w:p w14:paraId="18E11998" w14:textId="58459233" w:rsidR="007262E7" w:rsidRDefault="007262E7" w:rsidP="007262E7">
      <w:pPr>
        <w:autoSpaceDE w:val="0"/>
        <w:autoSpaceDN w:val="0"/>
        <w:adjustRightInd w:val="0"/>
        <w:spacing w:after="120" w:line="240" w:lineRule="auto"/>
        <w:ind w:left="1134" w:right="1134"/>
        <w:jc w:val="both"/>
        <w:rPr>
          <w:lang w:eastAsia="en-US"/>
        </w:rPr>
      </w:pPr>
      <w:r>
        <w:rPr>
          <w:lang w:eastAsia="en-US"/>
        </w:rPr>
        <w:t>7.</w:t>
      </w:r>
      <w:r>
        <w:rPr>
          <w:lang w:eastAsia="en-US"/>
        </w:rPr>
        <w:tab/>
        <w:t>While it is difficult to foresee a deadline, it is expected that phase 2 will be completed in two years.</w:t>
      </w:r>
    </w:p>
    <w:p w14:paraId="113044C2" w14:textId="27AACC21" w:rsidR="004323FD" w:rsidRPr="004323FD" w:rsidRDefault="00817F4D" w:rsidP="004323FD">
      <w:pPr>
        <w:keepNext/>
        <w:keepLines/>
        <w:tabs>
          <w:tab w:val="right" w:pos="851"/>
        </w:tabs>
        <w:spacing w:before="320" w:after="240" w:line="300" w:lineRule="exact"/>
        <w:ind w:left="1134" w:right="1134" w:hanging="1134"/>
        <w:rPr>
          <w:rFonts w:eastAsia="MS Mincho"/>
          <w:b/>
          <w:sz w:val="28"/>
          <w:lang w:val="en-US" w:eastAsia="en-US"/>
        </w:rPr>
      </w:pPr>
      <w:r>
        <w:rPr>
          <w:rFonts w:eastAsia="MS Mincho"/>
          <w:b/>
          <w:sz w:val="28"/>
          <w:lang w:val="en-US" w:eastAsia="en-US"/>
        </w:rPr>
        <w:lastRenderedPageBreak/>
        <w:tab/>
      </w:r>
      <w:r>
        <w:rPr>
          <w:rFonts w:eastAsia="MS Mincho"/>
          <w:b/>
          <w:sz w:val="28"/>
          <w:lang w:val="en-US" w:eastAsia="en-US"/>
        </w:rPr>
        <w:tab/>
      </w:r>
      <w:r w:rsidR="004323FD" w:rsidRPr="004323FD">
        <w:rPr>
          <w:rFonts w:eastAsia="MS Mincho"/>
          <w:b/>
          <w:sz w:val="28"/>
          <w:szCs w:val="28"/>
          <w:lang w:val="en-US" w:eastAsia="en-US"/>
        </w:rPr>
        <w:t xml:space="preserve">Technical report on the development of Amendment 4 to </w:t>
      </w:r>
      <w:r w:rsidR="004323FD" w:rsidRPr="005E3F3A">
        <w:rPr>
          <w:rFonts w:eastAsia="MS Mincho"/>
          <w:b/>
          <w:sz w:val="28"/>
          <w:szCs w:val="28"/>
          <w:lang w:val="en-US" w:eastAsia="en-US"/>
        </w:rPr>
        <w:t>UN GTR</w:t>
      </w:r>
      <w:r w:rsidR="004323FD" w:rsidRPr="004323FD">
        <w:rPr>
          <w:rFonts w:eastAsia="MS Mincho"/>
          <w:b/>
          <w:sz w:val="28"/>
          <w:szCs w:val="28"/>
          <w:lang w:val="en-US" w:eastAsia="en-US"/>
        </w:rPr>
        <w:t xml:space="preserve"> No. 4 on World-wide harmonized </w:t>
      </w:r>
      <w:proofErr w:type="gramStart"/>
      <w:r w:rsidR="004323FD" w:rsidRPr="004323FD">
        <w:rPr>
          <w:rFonts w:eastAsia="MS Mincho"/>
          <w:b/>
          <w:sz w:val="28"/>
          <w:szCs w:val="28"/>
          <w:lang w:val="en-US" w:eastAsia="en-US"/>
        </w:rPr>
        <w:t>Heavy Duty</w:t>
      </w:r>
      <w:proofErr w:type="gramEnd"/>
      <w:r w:rsidR="004323FD" w:rsidRPr="004323FD">
        <w:rPr>
          <w:rFonts w:eastAsia="MS Mincho"/>
          <w:b/>
          <w:sz w:val="28"/>
          <w:szCs w:val="28"/>
          <w:lang w:val="en-US" w:eastAsia="en-US"/>
        </w:rPr>
        <w:t xml:space="preserve"> Certification procedure (WHDC)</w:t>
      </w:r>
    </w:p>
    <w:p w14:paraId="03CA7ED4" w14:textId="77777777" w:rsidR="004323FD" w:rsidRPr="004323FD" w:rsidRDefault="004323FD" w:rsidP="00121B56">
      <w:pPr>
        <w:pStyle w:val="HChG"/>
        <w:rPr>
          <w:lang w:eastAsia="en-US"/>
        </w:rPr>
      </w:pPr>
      <w:r w:rsidRPr="004323FD">
        <w:rPr>
          <w:rFonts w:eastAsia="MS Mincho"/>
          <w:lang w:eastAsia="en-US"/>
        </w:rPr>
        <w:tab/>
      </w:r>
      <w:r w:rsidRPr="004323FD">
        <w:rPr>
          <w:lang w:eastAsia="en-US"/>
        </w:rPr>
        <w:t>I.</w:t>
      </w:r>
      <w:r w:rsidRPr="004323FD">
        <w:rPr>
          <w:lang w:eastAsia="en-US"/>
        </w:rPr>
        <w:tab/>
        <w:t>Mandate</w:t>
      </w:r>
    </w:p>
    <w:p w14:paraId="0A702EE9" w14:textId="67868B5A" w:rsidR="004323FD" w:rsidRPr="004323FD" w:rsidRDefault="004323FD" w:rsidP="004323FD">
      <w:pPr>
        <w:autoSpaceDE w:val="0"/>
        <w:autoSpaceDN w:val="0"/>
        <w:adjustRightInd w:val="0"/>
        <w:spacing w:after="120" w:line="240" w:lineRule="auto"/>
        <w:ind w:left="1134" w:right="1134"/>
        <w:jc w:val="both"/>
        <w:rPr>
          <w:lang w:eastAsia="en-US"/>
        </w:rPr>
      </w:pPr>
      <w:r w:rsidRPr="004323FD">
        <w:rPr>
          <w:lang w:eastAsia="en-US"/>
        </w:rPr>
        <w:t>1.</w:t>
      </w:r>
      <w:r w:rsidRPr="004323FD">
        <w:rPr>
          <w:lang w:eastAsia="en-US"/>
        </w:rPr>
        <w:tab/>
        <w:t xml:space="preserve">Amendment 4 to </w:t>
      </w:r>
      <w:r w:rsidR="000253C6" w:rsidRPr="005E3F3A">
        <w:rPr>
          <w:lang w:eastAsia="en-US"/>
        </w:rPr>
        <w:t>UN</w:t>
      </w:r>
      <w:r w:rsidR="000253C6">
        <w:rPr>
          <w:lang w:eastAsia="en-US"/>
        </w:rPr>
        <w:t xml:space="preserve"> </w:t>
      </w:r>
      <w:r w:rsidRPr="004323FD">
        <w:rPr>
          <w:lang w:eastAsia="en-US"/>
        </w:rPr>
        <w:t>GTR No. 4 was developed by the representative from Japan to correct errors found in several formulas. The Executive Committee (AC.3) of the 1998 Agreement adopted the authorisation to develop GTR No. 4 at its November 2007 session (ECE/TRANS/WP.29/AC.3/20).</w:t>
      </w:r>
    </w:p>
    <w:p w14:paraId="0CC45459" w14:textId="77777777" w:rsidR="004323FD" w:rsidRPr="004323FD" w:rsidRDefault="004323FD" w:rsidP="00121B56">
      <w:pPr>
        <w:pStyle w:val="HChG"/>
        <w:rPr>
          <w:lang w:eastAsia="en-US"/>
        </w:rPr>
      </w:pPr>
      <w:r w:rsidRPr="004323FD">
        <w:rPr>
          <w:lang w:eastAsia="en-US"/>
        </w:rPr>
        <w:tab/>
        <w:t>II.</w:t>
      </w:r>
      <w:r w:rsidRPr="004323FD">
        <w:rPr>
          <w:lang w:eastAsia="en-US"/>
        </w:rPr>
        <w:tab/>
        <w:t>Objectives</w:t>
      </w:r>
    </w:p>
    <w:p w14:paraId="62E49A8B" w14:textId="77777777" w:rsidR="004323FD" w:rsidRPr="004323FD" w:rsidRDefault="004323FD" w:rsidP="004323FD">
      <w:pPr>
        <w:widowControl w:val="0"/>
        <w:suppressAutoHyphens w:val="0"/>
        <w:spacing w:after="120"/>
        <w:ind w:left="1701" w:right="1134" w:hanging="567"/>
        <w:jc w:val="both"/>
        <w:rPr>
          <w:rFonts w:cs="Arial"/>
          <w:kern w:val="2"/>
          <w:szCs w:val="22"/>
          <w:lang w:val="en-US" w:eastAsia="ja-JP"/>
        </w:rPr>
      </w:pPr>
      <w:r w:rsidRPr="009D71F1">
        <w:rPr>
          <w:rFonts w:cs="Arial"/>
          <w:kern w:val="2"/>
          <w:szCs w:val="22"/>
          <w:lang w:eastAsia="ja-JP"/>
        </w:rPr>
        <w:t>2.</w:t>
      </w:r>
      <w:r w:rsidRPr="009D71F1">
        <w:rPr>
          <w:rFonts w:cs="Arial"/>
          <w:kern w:val="2"/>
          <w:szCs w:val="22"/>
          <w:lang w:eastAsia="ja-JP"/>
        </w:rPr>
        <w:tab/>
        <w:t xml:space="preserve">Paragraph 7.8.8. </w:t>
      </w:r>
      <w:r w:rsidRPr="004323FD">
        <w:rPr>
          <w:rFonts w:cs="Arial" w:hint="eastAsia"/>
          <w:kern w:val="2"/>
          <w:szCs w:val="22"/>
          <w:lang w:val="en-US" w:eastAsia="ja-JP"/>
        </w:rPr>
        <w:t>Table 4</w:t>
      </w:r>
    </w:p>
    <w:p w14:paraId="7709B9E2" w14:textId="5BAB812D" w:rsidR="004323FD" w:rsidRPr="004323FD" w:rsidRDefault="004323FD" w:rsidP="004323FD">
      <w:pPr>
        <w:widowControl w:val="0"/>
        <w:spacing w:after="120" w:line="240" w:lineRule="auto"/>
        <w:ind w:left="1134" w:right="1134"/>
        <w:jc w:val="both"/>
        <w:rPr>
          <w:lang w:eastAsia="en-US"/>
        </w:rPr>
      </w:pPr>
      <w:r w:rsidRPr="004323FD">
        <w:rPr>
          <w:lang w:eastAsia="en-US"/>
        </w:rPr>
        <w:t xml:space="preserve">Each condition in Table 4 is not determined based on all the </w:t>
      </w:r>
      <w:proofErr w:type="gramStart"/>
      <w:r w:rsidRPr="004323FD">
        <w:rPr>
          <w:lang w:eastAsia="en-US"/>
        </w:rPr>
        <w:t>conditions, but</w:t>
      </w:r>
      <w:proofErr w:type="gramEnd"/>
      <w:r w:rsidRPr="004323FD">
        <w:rPr>
          <w:lang w:eastAsia="en-US"/>
        </w:rPr>
        <w:t xml:space="preserve"> needs to be determined based on individual conditions. In other words, it is necessary to modify it to </w:t>
      </w:r>
      <w:r w:rsidR="004E0CB7">
        <w:rPr>
          <w:lang w:eastAsia="en-US"/>
        </w:rPr>
        <w:t>"</w:t>
      </w:r>
      <w:r w:rsidRPr="004323FD">
        <w:rPr>
          <w:lang w:eastAsia="en-US"/>
        </w:rPr>
        <w:t>or</w:t>
      </w:r>
      <w:r w:rsidR="004E0CB7">
        <w:rPr>
          <w:lang w:eastAsia="en-US"/>
        </w:rPr>
        <w:t>"</w:t>
      </w:r>
      <w:r w:rsidRPr="004323FD">
        <w:rPr>
          <w:lang w:eastAsia="en-US"/>
        </w:rPr>
        <w:t xml:space="preserve"> instead of </w:t>
      </w:r>
      <w:r w:rsidR="004E0CB7">
        <w:rPr>
          <w:lang w:eastAsia="en-US"/>
        </w:rPr>
        <w:t>"</w:t>
      </w:r>
      <w:r w:rsidRPr="004323FD">
        <w:rPr>
          <w:lang w:eastAsia="en-US"/>
        </w:rPr>
        <w:t>and</w:t>
      </w:r>
      <w:r w:rsidR="004E0CB7">
        <w:rPr>
          <w:lang w:eastAsia="en-US"/>
        </w:rPr>
        <w:t>"</w:t>
      </w:r>
      <w:r w:rsidRPr="004323FD">
        <w:rPr>
          <w:lang w:eastAsia="en-US"/>
        </w:rPr>
        <w:t xml:space="preserve"> that connects the conditions.</w:t>
      </w:r>
    </w:p>
    <w:p w14:paraId="4B2D08D0"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3.</w:t>
      </w:r>
      <w:r w:rsidRPr="009D71F1">
        <w:rPr>
          <w:rFonts w:cs="Arial"/>
          <w:kern w:val="2"/>
          <w:szCs w:val="22"/>
          <w:lang w:eastAsia="ja-JP"/>
        </w:rPr>
        <w:tab/>
        <w:t xml:space="preserve">Paragraph 8.1.1. </w:t>
      </w:r>
    </w:p>
    <w:p w14:paraId="19B7FB31" w14:textId="77777777" w:rsidR="004323FD" w:rsidRPr="004323FD" w:rsidRDefault="004323FD" w:rsidP="004323FD">
      <w:pPr>
        <w:widowControl w:val="0"/>
        <w:suppressAutoHyphens w:val="0"/>
        <w:spacing w:after="120"/>
        <w:ind w:left="1134" w:right="1134"/>
        <w:jc w:val="both"/>
        <w:rPr>
          <w:rFonts w:cs="Arial"/>
          <w:kern w:val="2"/>
          <w:szCs w:val="22"/>
          <w:lang w:val="en-US" w:eastAsia="ja-JP"/>
        </w:rPr>
      </w:pPr>
      <w:r w:rsidRPr="004323FD">
        <w:rPr>
          <w:rFonts w:cs="Arial"/>
          <w:kern w:val="2"/>
          <w:szCs w:val="22"/>
          <w:lang w:val="en-US" w:eastAsia="ja-JP"/>
        </w:rPr>
        <w:t xml:space="preserve">In equations (15) and (16), the coefficient to be referenced is incorrect. That is, the volume of exhaust gas added by combustion in a wet state needs to be expressed not by </w:t>
      </w:r>
      <w:proofErr w:type="spellStart"/>
      <w:r w:rsidRPr="004323FD">
        <w:rPr>
          <w:rFonts w:cs="Arial" w:hint="eastAsia"/>
          <w:i/>
          <w:kern w:val="2"/>
          <w:szCs w:val="22"/>
          <w:lang w:val="en-US" w:eastAsia="ja-JP"/>
        </w:rPr>
        <w:t>k</w:t>
      </w:r>
      <w:r w:rsidRPr="004323FD">
        <w:rPr>
          <w:rFonts w:cs="Arial"/>
          <w:i/>
          <w:kern w:val="2"/>
          <w:szCs w:val="22"/>
          <w:vertAlign w:val="subscript"/>
          <w:lang w:val="en-US" w:eastAsia="ja-JP"/>
        </w:rPr>
        <w:t>f</w:t>
      </w:r>
      <w:proofErr w:type="spellEnd"/>
      <w:r w:rsidRPr="004323FD">
        <w:rPr>
          <w:rFonts w:cs="Arial"/>
          <w:kern w:val="2"/>
          <w:szCs w:val="22"/>
          <w:lang w:val="en-US" w:eastAsia="ja-JP"/>
        </w:rPr>
        <w:t xml:space="preserve"> but by </w:t>
      </w:r>
      <w:proofErr w:type="spellStart"/>
      <w:proofErr w:type="gramStart"/>
      <w:r w:rsidRPr="004323FD">
        <w:rPr>
          <w:rFonts w:cs="Arial" w:hint="eastAsia"/>
          <w:i/>
          <w:kern w:val="2"/>
          <w:szCs w:val="22"/>
          <w:lang w:val="en-US" w:eastAsia="ja-JP"/>
        </w:rPr>
        <w:t>k</w:t>
      </w:r>
      <w:r w:rsidRPr="004323FD">
        <w:rPr>
          <w:rFonts w:cs="Arial"/>
          <w:i/>
          <w:kern w:val="2"/>
          <w:szCs w:val="22"/>
          <w:vertAlign w:val="subscript"/>
          <w:lang w:val="en-US" w:eastAsia="ja-JP"/>
        </w:rPr>
        <w:t>f,w</w:t>
      </w:r>
      <w:proofErr w:type="spellEnd"/>
      <w:r w:rsidRPr="004323FD">
        <w:rPr>
          <w:rFonts w:cs="Arial"/>
          <w:kern w:val="2"/>
          <w:szCs w:val="22"/>
          <w:lang w:val="en-US" w:eastAsia="ja-JP"/>
        </w:rPr>
        <w:t>.</w:t>
      </w:r>
      <w:proofErr w:type="gramEnd"/>
    </w:p>
    <w:p w14:paraId="422C424B"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4.</w:t>
      </w:r>
      <w:r w:rsidRPr="009D71F1">
        <w:rPr>
          <w:rFonts w:cs="Arial"/>
          <w:kern w:val="2"/>
          <w:szCs w:val="22"/>
          <w:lang w:eastAsia="ja-JP"/>
        </w:rPr>
        <w:tab/>
        <w:t xml:space="preserve">Paragraph 8.4.2.3. and 8.4.2.4. </w:t>
      </w:r>
    </w:p>
    <w:p w14:paraId="36F819A1" w14:textId="077BE4BB" w:rsidR="004323FD" w:rsidRPr="004323FD" w:rsidRDefault="004323FD" w:rsidP="004323FD">
      <w:pPr>
        <w:widowControl w:val="0"/>
        <w:suppressAutoHyphens w:val="0"/>
        <w:spacing w:after="120"/>
        <w:ind w:left="1134" w:right="1134"/>
        <w:jc w:val="both"/>
        <w:rPr>
          <w:rFonts w:cs="Arial"/>
          <w:kern w:val="2"/>
          <w:szCs w:val="22"/>
          <w:lang w:val="en-US" w:eastAsia="ja-JP"/>
        </w:rPr>
      </w:pPr>
      <w:r w:rsidRPr="004323FD">
        <w:rPr>
          <w:rFonts w:cs="Arial"/>
          <w:kern w:val="2"/>
          <w:szCs w:val="22"/>
          <w:lang w:val="en-US" w:eastAsia="ja-JP"/>
        </w:rPr>
        <w:t>In equations (3</w:t>
      </w:r>
      <w:r w:rsidR="00F177B1">
        <w:rPr>
          <w:rFonts w:cs="Arial"/>
          <w:kern w:val="2"/>
          <w:szCs w:val="22"/>
          <w:lang w:val="en-US" w:eastAsia="ja-JP"/>
        </w:rPr>
        <w:t>8</w:t>
      </w:r>
      <w:r w:rsidRPr="004323FD">
        <w:rPr>
          <w:rFonts w:cs="Arial"/>
          <w:kern w:val="2"/>
          <w:szCs w:val="22"/>
          <w:lang w:val="en-US" w:eastAsia="ja-JP"/>
        </w:rPr>
        <w:t>) and (3</w:t>
      </w:r>
      <w:r w:rsidR="00F177B1">
        <w:rPr>
          <w:rFonts w:cs="Arial"/>
          <w:kern w:val="2"/>
          <w:szCs w:val="22"/>
          <w:lang w:eastAsia="ja-JP"/>
        </w:rPr>
        <w:t>9</w:t>
      </w:r>
      <w:r w:rsidRPr="004323FD">
        <w:rPr>
          <w:rFonts w:cs="Arial"/>
          <w:kern w:val="2"/>
          <w:szCs w:val="22"/>
          <w:lang w:val="en-US" w:eastAsia="ja-JP"/>
        </w:rPr>
        <w:t>), all the calculation equations after Sigma need to be performed in Sigma.</w:t>
      </w:r>
      <w:r w:rsidRPr="004323FD">
        <w:rPr>
          <w:rFonts w:cs="Arial" w:hint="eastAsia"/>
          <w:kern w:val="2"/>
          <w:szCs w:val="22"/>
          <w:lang w:val="en-US" w:eastAsia="ja-JP"/>
        </w:rPr>
        <w:t xml:space="preserve"> </w:t>
      </w:r>
      <w:r w:rsidRPr="004323FD">
        <w:rPr>
          <w:rFonts w:cs="Arial"/>
          <w:kern w:val="2"/>
          <w:szCs w:val="22"/>
          <w:lang w:val="en-US" w:eastAsia="ja-JP"/>
        </w:rPr>
        <w:t>Therefore, parentheses are added to calculations after sigma.</w:t>
      </w:r>
    </w:p>
    <w:p w14:paraId="66FBFBEB"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5.</w:t>
      </w:r>
      <w:r w:rsidRPr="009D71F1">
        <w:rPr>
          <w:rFonts w:cs="Arial"/>
          <w:kern w:val="2"/>
          <w:szCs w:val="22"/>
          <w:lang w:eastAsia="ja-JP"/>
        </w:rPr>
        <w:tab/>
        <w:t xml:space="preserve">Paragraph 8.5.1.4. </w:t>
      </w:r>
    </w:p>
    <w:p w14:paraId="6BFC5CAE" w14:textId="77777777" w:rsidR="004323FD" w:rsidRPr="004323FD" w:rsidRDefault="004323FD" w:rsidP="004323FD">
      <w:pPr>
        <w:widowControl w:val="0"/>
        <w:suppressAutoHyphens w:val="0"/>
        <w:spacing w:after="120"/>
        <w:ind w:left="1134" w:right="1134"/>
        <w:jc w:val="both"/>
        <w:rPr>
          <w:kern w:val="2"/>
          <w:szCs w:val="22"/>
          <w:lang w:val="en-US" w:eastAsia="ja-JP"/>
        </w:rPr>
      </w:pPr>
      <w:r w:rsidRPr="004323FD">
        <w:rPr>
          <w:rFonts w:hint="eastAsia"/>
          <w:kern w:val="2"/>
          <w:szCs w:val="22"/>
          <w:lang w:val="en-US" w:eastAsia="ja-JP"/>
        </w:rPr>
        <w:t xml:space="preserve">In the dimension of the volume flow equation, the coefficient </w:t>
      </w:r>
      <w:r w:rsidRPr="004323FD">
        <w:rPr>
          <w:rFonts w:hint="eastAsia"/>
          <w:i/>
          <w:kern w:val="2"/>
          <w:szCs w:val="22"/>
          <w:lang w:val="en-US" w:eastAsia="ja-JP"/>
        </w:rPr>
        <w:t>A</w:t>
      </w:r>
      <w:r w:rsidRPr="004323FD">
        <w:rPr>
          <w:rFonts w:hint="eastAsia"/>
          <w:i/>
          <w:kern w:val="2"/>
          <w:szCs w:val="22"/>
          <w:vertAlign w:val="subscript"/>
          <w:lang w:val="en-US" w:eastAsia="ja-JP"/>
        </w:rPr>
        <w:t>0</w:t>
      </w:r>
      <w:r w:rsidRPr="004323FD">
        <w:rPr>
          <w:rFonts w:hint="eastAsia"/>
          <w:kern w:val="2"/>
          <w:szCs w:val="22"/>
          <w:lang w:val="en-US" w:eastAsia="ja-JP"/>
        </w:rPr>
        <w:t xml:space="preserve"> must be divided by 60.</w:t>
      </w:r>
      <w:r w:rsidRPr="004323FD">
        <w:rPr>
          <w:kern w:val="2"/>
          <w:szCs w:val="22"/>
          <w:lang w:val="en-US" w:eastAsia="ja-JP"/>
        </w:rPr>
        <w:t xml:space="preserve"> </w:t>
      </w:r>
      <w:r w:rsidRPr="004323FD">
        <w:rPr>
          <w:rFonts w:hint="eastAsia"/>
          <w:kern w:val="2"/>
          <w:szCs w:val="22"/>
          <w:lang w:val="en-US" w:eastAsia="ja-JP"/>
        </w:rPr>
        <w:t xml:space="preserve">Similarly, the coefficient </w:t>
      </w:r>
      <w:r w:rsidRPr="004323FD">
        <w:rPr>
          <w:rFonts w:hint="eastAsia"/>
          <w:i/>
          <w:kern w:val="2"/>
          <w:szCs w:val="22"/>
          <w:lang w:val="en-US" w:eastAsia="ja-JP"/>
        </w:rPr>
        <w:t>A</w:t>
      </w:r>
      <w:r w:rsidRPr="004323FD">
        <w:rPr>
          <w:rFonts w:hint="eastAsia"/>
          <w:i/>
          <w:kern w:val="2"/>
          <w:szCs w:val="22"/>
          <w:vertAlign w:val="subscript"/>
          <w:lang w:val="en-US" w:eastAsia="ja-JP"/>
        </w:rPr>
        <w:t>0</w:t>
      </w:r>
      <w:r w:rsidRPr="004323FD">
        <w:rPr>
          <w:rFonts w:hint="eastAsia"/>
          <w:kern w:val="2"/>
          <w:szCs w:val="22"/>
          <w:lang w:val="en-US" w:eastAsia="ja-JP"/>
        </w:rPr>
        <w:t xml:space="preserve"> must be 0.005692 in the </w:t>
      </w:r>
      <w:r w:rsidRPr="004323FD">
        <w:rPr>
          <w:kern w:val="2"/>
          <w:szCs w:val="22"/>
          <w:lang w:val="en-US" w:eastAsia="ja-JP"/>
        </w:rPr>
        <w:t xml:space="preserve">standard </w:t>
      </w:r>
      <w:r w:rsidRPr="004323FD">
        <w:rPr>
          <w:rFonts w:hint="eastAsia"/>
          <w:kern w:val="2"/>
          <w:szCs w:val="22"/>
          <w:lang w:val="en-US" w:eastAsia="ja-JP"/>
        </w:rPr>
        <w:t>conditions</w:t>
      </w:r>
      <w:r w:rsidRPr="004323FD">
        <w:rPr>
          <w:kern w:val="2"/>
          <w:szCs w:val="22"/>
          <w:lang w:val="en-US" w:eastAsia="ja-JP"/>
        </w:rPr>
        <w:t xml:space="preserve"> (273K, 101.3kPa).</w:t>
      </w:r>
      <w:r w:rsidRPr="004323FD">
        <w:rPr>
          <w:rFonts w:hint="eastAsia"/>
          <w:kern w:val="2"/>
          <w:szCs w:val="22"/>
          <w:lang w:val="en-US" w:eastAsia="ja-JP"/>
        </w:rPr>
        <w:t xml:space="preserve"> In addition, the unit of the SSV throat diameter </w:t>
      </w:r>
      <w:proofErr w:type="spellStart"/>
      <w:r w:rsidRPr="004323FD">
        <w:rPr>
          <w:rFonts w:hint="eastAsia"/>
          <w:i/>
          <w:kern w:val="2"/>
          <w:szCs w:val="22"/>
          <w:lang w:val="en-US" w:eastAsia="ja-JP"/>
        </w:rPr>
        <w:t>d</w:t>
      </w:r>
      <w:r w:rsidRPr="004323FD">
        <w:rPr>
          <w:rFonts w:hint="eastAsia"/>
          <w:i/>
          <w:kern w:val="2"/>
          <w:szCs w:val="22"/>
          <w:vertAlign w:val="subscript"/>
          <w:lang w:val="en-US" w:eastAsia="ja-JP"/>
        </w:rPr>
        <w:t>V</w:t>
      </w:r>
      <w:proofErr w:type="spellEnd"/>
      <w:r w:rsidRPr="004323FD">
        <w:rPr>
          <w:rFonts w:hint="eastAsia"/>
          <w:kern w:val="2"/>
          <w:szCs w:val="22"/>
          <w:lang w:val="en-US" w:eastAsia="ja-JP"/>
        </w:rPr>
        <w:t xml:space="preserve"> must be (mm).</w:t>
      </w:r>
    </w:p>
    <w:p w14:paraId="4B7C7825"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6.</w:t>
      </w:r>
      <w:r w:rsidRPr="009D71F1">
        <w:rPr>
          <w:rFonts w:cs="Arial"/>
          <w:kern w:val="2"/>
          <w:szCs w:val="22"/>
          <w:lang w:eastAsia="ja-JP"/>
        </w:rPr>
        <w:tab/>
        <w:t xml:space="preserve">Paragraph 8.5.2.3.1. </w:t>
      </w:r>
    </w:p>
    <w:p w14:paraId="011A03E1" w14:textId="77777777" w:rsidR="004323FD" w:rsidRPr="004323FD" w:rsidRDefault="004323FD" w:rsidP="004323FD">
      <w:pPr>
        <w:widowControl w:val="0"/>
        <w:suppressAutoHyphens w:val="0"/>
        <w:spacing w:after="120"/>
        <w:ind w:left="1134" w:right="1134"/>
        <w:jc w:val="both"/>
        <w:rPr>
          <w:rFonts w:cs="Arial"/>
          <w:kern w:val="2"/>
          <w:szCs w:val="22"/>
          <w:lang w:val="en-US" w:eastAsia="ja-JP"/>
        </w:rPr>
      </w:pPr>
      <w:r w:rsidRPr="004323FD">
        <w:rPr>
          <w:rFonts w:cs="Arial"/>
          <w:kern w:val="2"/>
          <w:szCs w:val="22"/>
          <w:lang w:val="en-US" w:eastAsia="ja-JP"/>
        </w:rPr>
        <w:t>Equation (59) needs to be multiplied by 1/1000 to adjust the number of digits. The number of digits is correctly adjusted in the equations (40) and (41), and the number of digits is similarly adjusted in the equation (59).</w:t>
      </w:r>
    </w:p>
    <w:p w14:paraId="5E137972"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7.</w:t>
      </w:r>
      <w:r w:rsidRPr="009D71F1">
        <w:rPr>
          <w:rFonts w:cs="Arial"/>
          <w:kern w:val="2"/>
          <w:szCs w:val="22"/>
          <w:lang w:eastAsia="ja-JP"/>
        </w:rPr>
        <w:tab/>
        <w:t xml:space="preserve">Paragraph 8.6.1. </w:t>
      </w:r>
    </w:p>
    <w:p w14:paraId="2C26F8C9" w14:textId="77777777" w:rsidR="004323FD" w:rsidRPr="004323FD" w:rsidRDefault="004323FD" w:rsidP="004323FD">
      <w:pPr>
        <w:widowControl w:val="0"/>
        <w:suppressAutoHyphens w:val="0"/>
        <w:spacing w:after="120"/>
        <w:ind w:left="1134" w:right="1134"/>
        <w:jc w:val="both"/>
        <w:rPr>
          <w:rFonts w:cs="Arial"/>
          <w:kern w:val="2"/>
          <w:szCs w:val="22"/>
          <w:lang w:val="en-US" w:eastAsia="ja-JP"/>
        </w:rPr>
      </w:pPr>
      <w:r w:rsidRPr="004323FD">
        <w:rPr>
          <w:rFonts w:cs="Arial"/>
          <w:kern w:val="2"/>
          <w:szCs w:val="22"/>
          <w:lang w:val="en-US" w:eastAsia="ja-JP"/>
        </w:rPr>
        <w:t>In the text, the</w:t>
      </w:r>
      <w:r w:rsidRPr="004323FD">
        <w:rPr>
          <w:rFonts w:cs="Arial" w:hint="eastAsia"/>
          <w:kern w:val="2"/>
          <w:szCs w:val="22"/>
          <w:lang w:val="en-US" w:eastAsia="ja-JP"/>
        </w:rPr>
        <w:t xml:space="preserve"> equation</w:t>
      </w:r>
      <w:r w:rsidRPr="004323FD">
        <w:rPr>
          <w:rFonts w:cs="Arial"/>
          <w:kern w:val="2"/>
          <w:szCs w:val="22"/>
          <w:lang w:val="en-US" w:eastAsia="ja-JP"/>
        </w:rPr>
        <w:t xml:space="preserve"> to be referenced is incorrect.</w:t>
      </w:r>
      <w:r w:rsidRPr="004323FD">
        <w:rPr>
          <w:rFonts w:cs="Arial" w:hint="eastAsia"/>
          <w:kern w:val="2"/>
          <w:szCs w:val="22"/>
          <w:lang w:val="en-US" w:eastAsia="ja-JP"/>
        </w:rPr>
        <w:t xml:space="preserve"> </w:t>
      </w:r>
      <w:r w:rsidRPr="004323FD">
        <w:rPr>
          <w:rFonts w:cs="Arial"/>
          <w:kern w:val="2"/>
          <w:szCs w:val="22"/>
          <w:lang w:val="en-US" w:eastAsia="ja-JP"/>
        </w:rPr>
        <w:t>It is equation (60) that needs to be referenced.</w:t>
      </w:r>
    </w:p>
    <w:p w14:paraId="6E230B50"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8.</w:t>
      </w:r>
      <w:r w:rsidRPr="009D71F1">
        <w:rPr>
          <w:rFonts w:cs="Arial"/>
          <w:kern w:val="2"/>
          <w:szCs w:val="22"/>
          <w:lang w:eastAsia="ja-JP"/>
        </w:rPr>
        <w:tab/>
        <w:t>Paragraph 9.5.4.1.</w:t>
      </w:r>
    </w:p>
    <w:p w14:paraId="5175E32A" w14:textId="77777777" w:rsidR="004323FD" w:rsidRPr="004323FD" w:rsidRDefault="004323FD" w:rsidP="004323FD">
      <w:pPr>
        <w:widowControl w:val="0"/>
        <w:suppressAutoHyphens w:val="0"/>
        <w:spacing w:after="120"/>
        <w:ind w:left="1134" w:right="1134"/>
        <w:jc w:val="both"/>
        <w:rPr>
          <w:kern w:val="2"/>
          <w:szCs w:val="22"/>
          <w:lang w:val="en-US" w:eastAsia="ja-JP"/>
        </w:rPr>
      </w:pPr>
      <w:r w:rsidRPr="004323FD">
        <w:rPr>
          <w:kern w:val="2"/>
          <w:szCs w:val="22"/>
          <w:lang w:val="en-US" w:eastAsia="ja-JP"/>
        </w:rPr>
        <w:t xml:space="preserve">The </w:t>
      </w:r>
      <w:r w:rsidRPr="004323FD">
        <w:rPr>
          <w:rFonts w:hint="eastAsia"/>
          <w:kern w:val="2"/>
          <w:szCs w:val="22"/>
          <w:lang w:val="en-US" w:eastAsia="ja-JP"/>
        </w:rPr>
        <w:t xml:space="preserve">discharge </w:t>
      </w:r>
      <w:r w:rsidRPr="004323FD">
        <w:rPr>
          <w:kern w:val="2"/>
          <w:szCs w:val="22"/>
          <w:lang w:val="en-US" w:eastAsia="ja-JP"/>
        </w:rPr>
        <w:t>coefficient</w:t>
      </w:r>
      <w:r w:rsidRPr="004323FD">
        <w:rPr>
          <w:rFonts w:hint="eastAsia"/>
          <w:kern w:val="2"/>
          <w:szCs w:val="22"/>
          <w:lang w:val="en-US" w:eastAsia="ja-JP"/>
        </w:rPr>
        <w:t xml:space="preserve"> of the </w:t>
      </w:r>
      <w:r w:rsidRPr="004323FD">
        <w:rPr>
          <w:kern w:val="2"/>
          <w:szCs w:val="22"/>
          <w:lang w:val="en-US" w:eastAsia="ja-JP"/>
        </w:rPr>
        <w:t xml:space="preserve">SSV needs to be correlated with the SSV mass flow rate calculation formula. Therefore, the </w:t>
      </w:r>
      <w:r w:rsidRPr="004323FD">
        <w:rPr>
          <w:rFonts w:hint="eastAsia"/>
          <w:kern w:val="2"/>
          <w:szCs w:val="22"/>
          <w:lang w:val="en-US" w:eastAsia="ja-JP"/>
        </w:rPr>
        <w:t xml:space="preserve">coefficient </w:t>
      </w:r>
      <w:r w:rsidRPr="004323FD">
        <w:rPr>
          <w:rFonts w:hint="eastAsia"/>
          <w:i/>
          <w:kern w:val="2"/>
          <w:szCs w:val="22"/>
          <w:lang w:val="en-US" w:eastAsia="ja-JP"/>
        </w:rPr>
        <w:t>A</w:t>
      </w:r>
      <w:r w:rsidRPr="004323FD">
        <w:rPr>
          <w:rFonts w:hint="eastAsia"/>
          <w:i/>
          <w:kern w:val="2"/>
          <w:szCs w:val="22"/>
          <w:vertAlign w:val="subscript"/>
          <w:lang w:val="en-US" w:eastAsia="ja-JP"/>
        </w:rPr>
        <w:t>0</w:t>
      </w:r>
      <w:r w:rsidRPr="004323FD">
        <w:rPr>
          <w:rFonts w:hint="eastAsia"/>
          <w:kern w:val="2"/>
          <w:szCs w:val="22"/>
          <w:lang w:val="en-US" w:eastAsia="ja-JP"/>
        </w:rPr>
        <w:t xml:space="preserve"> </w:t>
      </w:r>
      <w:r w:rsidRPr="004323FD">
        <w:rPr>
          <w:kern w:val="2"/>
          <w:szCs w:val="22"/>
          <w:lang w:val="en-US" w:eastAsia="ja-JP"/>
        </w:rPr>
        <w:t>divided by 60 is added.</w:t>
      </w:r>
      <w:r w:rsidRPr="004323FD">
        <w:rPr>
          <w:rFonts w:hint="eastAsia"/>
          <w:kern w:val="2"/>
          <w:szCs w:val="22"/>
          <w:lang w:val="en-US" w:eastAsia="ja-JP"/>
        </w:rPr>
        <w:t xml:space="preserve"> In addition, t</w:t>
      </w:r>
      <w:r w:rsidRPr="004323FD">
        <w:rPr>
          <w:kern w:val="2"/>
          <w:szCs w:val="22"/>
          <w:lang w:val="en-US" w:eastAsia="ja-JP"/>
        </w:rPr>
        <w:t xml:space="preserve">he unit of the </w:t>
      </w:r>
      <w:r w:rsidRPr="004323FD">
        <w:rPr>
          <w:rFonts w:hint="eastAsia"/>
          <w:kern w:val="2"/>
          <w:szCs w:val="22"/>
          <w:lang w:val="en-US" w:eastAsia="ja-JP"/>
        </w:rPr>
        <w:t xml:space="preserve">SSV </w:t>
      </w:r>
      <w:r w:rsidRPr="004323FD">
        <w:rPr>
          <w:kern w:val="2"/>
          <w:szCs w:val="22"/>
          <w:lang w:val="en-US" w:eastAsia="ja-JP"/>
        </w:rPr>
        <w:t>throat</w:t>
      </w:r>
      <w:r w:rsidRPr="004323FD">
        <w:rPr>
          <w:rFonts w:hint="eastAsia"/>
          <w:kern w:val="2"/>
          <w:szCs w:val="22"/>
          <w:lang w:val="en-US" w:eastAsia="ja-JP"/>
        </w:rPr>
        <w:t xml:space="preserve"> </w:t>
      </w:r>
      <w:r w:rsidRPr="004323FD">
        <w:rPr>
          <w:kern w:val="2"/>
          <w:szCs w:val="22"/>
          <w:lang w:val="en-US" w:eastAsia="ja-JP"/>
        </w:rPr>
        <w:t xml:space="preserve">diameter </w:t>
      </w:r>
      <w:proofErr w:type="spellStart"/>
      <w:r w:rsidRPr="004323FD">
        <w:rPr>
          <w:rFonts w:hint="eastAsia"/>
          <w:i/>
          <w:kern w:val="2"/>
          <w:szCs w:val="22"/>
          <w:lang w:val="en-US" w:eastAsia="ja-JP"/>
        </w:rPr>
        <w:t>d</w:t>
      </w:r>
      <w:r w:rsidRPr="004323FD">
        <w:rPr>
          <w:rFonts w:hint="eastAsia"/>
          <w:i/>
          <w:kern w:val="2"/>
          <w:szCs w:val="22"/>
          <w:vertAlign w:val="subscript"/>
          <w:lang w:val="en-US" w:eastAsia="ja-JP"/>
        </w:rPr>
        <w:t>V</w:t>
      </w:r>
      <w:proofErr w:type="spellEnd"/>
      <w:r w:rsidRPr="004323FD">
        <w:rPr>
          <w:rFonts w:hint="eastAsia"/>
          <w:kern w:val="2"/>
          <w:szCs w:val="22"/>
          <w:lang w:val="en-US" w:eastAsia="ja-JP"/>
        </w:rPr>
        <w:t xml:space="preserve"> </w:t>
      </w:r>
      <w:r w:rsidRPr="004323FD">
        <w:rPr>
          <w:kern w:val="2"/>
          <w:szCs w:val="22"/>
          <w:lang w:val="en-US" w:eastAsia="ja-JP"/>
        </w:rPr>
        <w:t>must be (mm).</w:t>
      </w:r>
    </w:p>
    <w:p w14:paraId="329899B3" w14:textId="77777777" w:rsidR="004323FD" w:rsidRPr="004323FD" w:rsidRDefault="004323FD" w:rsidP="004323FD">
      <w:pPr>
        <w:widowControl w:val="0"/>
        <w:suppressAutoHyphens w:val="0"/>
        <w:spacing w:after="120"/>
        <w:ind w:left="1134" w:right="1134"/>
        <w:jc w:val="both"/>
        <w:rPr>
          <w:rFonts w:cs="Arial"/>
          <w:kern w:val="2"/>
          <w:szCs w:val="22"/>
          <w:lang w:val="en-US" w:eastAsia="ja-JP"/>
        </w:rPr>
      </w:pPr>
      <w:r w:rsidRPr="004323FD">
        <w:rPr>
          <w:kern w:val="2"/>
          <w:szCs w:val="22"/>
          <w:lang w:val="en-US" w:eastAsia="ja-JP"/>
        </w:rPr>
        <w:t xml:space="preserve">Reynolds number must be multiplied by 60. The coefficient </w:t>
      </w:r>
      <w:r w:rsidRPr="004323FD">
        <w:rPr>
          <w:rFonts w:hint="eastAsia"/>
          <w:i/>
          <w:kern w:val="2"/>
          <w:szCs w:val="22"/>
          <w:lang w:val="en-US" w:eastAsia="ja-JP"/>
        </w:rPr>
        <w:t>A</w:t>
      </w:r>
      <w:r w:rsidRPr="004323FD">
        <w:rPr>
          <w:rFonts w:hint="eastAsia"/>
          <w:i/>
          <w:kern w:val="2"/>
          <w:szCs w:val="22"/>
          <w:vertAlign w:val="subscript"/>
          <w:lang w:val="en-US" w:eastAsia="ja-JP"/>
        </w:rPr>
        <w:t>1</w:t>
      </w:r>
      <w:r w:rsidRPr="004323FD">
        <w:rPr>
          <w:rFonts w:hint="eastAsia"/>
          <w:kern w:val="2"/>
          <w:szCs w:val="22"/>
          <w:lang w:val="en-US" w:eastAsia="ja-JP"/>
        </w:rPr>
        <w:t xml:space="preserve"> </w:t>
      </w:r>
      <w:r w:rsidRPr="004323FD">
        <w:rPr>
          <w:kern w:val="2"/>
          <w:szCs w:val="22"/>
          <w:lang w:val="en-US" w:eastAsia="ja-JP"/>
        </w:rPr>
        <w:t xml:space="preserve">must be 27.43831 in the standard state (273K, 101.3kPa). In addition, </w:t>
      </w:r>
      <w:r w:rsidRPr="004323FD">
        <w:rPr>
          <w:rFonts w:hint="eastAsia"/>
          <w:kern w:val="2"/>
          <w:szCs w:val="22"/>
          <w:lang w:val="en-US" w:eastAsia="ja-JP"/>
        </w:rPr>
        <w:t>t</w:t>
      </w:r>
      <w:r w:rsidRPr="004323FD">
        <w:rPr>
          <w:kern w:val="2"/>
          <w:szCs w:val="22"/>
          <w:lang w:val="en-US" w:eastAsia="ja-JP"/>
        </w:rPr>
        <w:t xml:space="preserve">he coefficient </w:t>
      </w:r>
      <w:r w:rsidRPr="004323FD">
        <w:rPr>
          <w:rFonts w:hint="eastAsia"/>
          <w:i/>
          <w:kern w:val="2"/>
          <w:szCs w:val="22"/>
          <w:lang w:val="en-US" w:eastAsia="ja-JP"/>
        </w:rPr>
        <w:t>A</w:t>
      </w:r>
      <w:r w:rsidRPr="004323FD">
        <w:rPr>
          <w:rFonts w:hint="eastAsia"/>
          <w:i/>
          <w:kern w:val="2"/>
          <w:szCs w:val="22"/>
          <w:vertAlign w:val="subscript"/>
          <w:lang w:val="en-US" w:eastAsia="ja-JP"/>
        </w:rPr>
        <w:t>1</w:t>
      </w:r>
      <w:r w:rsidRPr="004323FD">
        <w:rPr>
          <w:rFonts w:hint="eastAsia"/>
          <w:kern w:val="2"/>
          <w:szCs w:val="22"/>
          <w:lang w:val="en-US" w:eastAsia="ja-JP"/>
        </w:rPr>
        <w:t xml:space="preserve"> </w:t>
      </w:r>
      <w:r w:rsidRPr="004323FD">
        <w:rPr>
          <w:kern w:val="2"/>
          <w:szCs w:val="22"/>
          <w:lang w:val="en-US" w:eastAsia="ja-JP"/>
        </w:rPr>
        <w:t>needs (kg) when converted to SI units.</w:t>
      </w:r>
    </w:p>
    <w:p w14:paraId="234D40E5"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9.</w:t>
      </w:r>
      <w:r w:rsidRPr="009D71F1">
        <w:rPr>
          <w:rFonts w:cs="Arial"/>
          <w:kern w:val="2"/>
          <w:szCs w:val="22"/>
          <w:lang w:eastAsia="ja-JP"/>
        </w:rPr>
        <w:tab/>
        <w:t>Annex 3, paragraph 1.3.</w:t>
      </w:r>
    </w:p>
    <w:p w14:paraId="65BF5500" w14:textId="5D2635A0" w:rsidR="004323FD" w:rsidRPr="004323FD" w:rsidRDefault="004323FD" w:rsidP="004323FD">
      <w:pPr>
        <w:widowControl w:val="0"/>
        <w:suppressAutoHyphens w:val="0"/>
        <w:spacing w:after="120"/>
        <w:ind w:left="1134" w:right="1134"/>
        <w:jc w:val="both"/>
        <w:rPr>
          <w:kern w:val="2"/>
          <w:szCs w:val="22"/>
          <w:lang w:val="en-US" w:eastAsia="ja-JP"/>
        </w:rPr>
      </w:pPr>
      <w:r w:rsidRPr="004323FD">
        <w:rPr>
          <w:kern w:val="2"/>
          <w:szCs w:val="22"/>
          <w:lang w:val="en-US" w:eastAsia="ja-JP"/>
        </w:rPr>
        <w:t xml:space="preserve">In Figure 9, raw exhaust gas sampling probe is represented by </w:t>
      </w:r>
      <w:r w:rsidR="004E0CB7">
        <w:rPr>
          <w:kern w:val="2"/>
          <w:szCs w:val="22"/>
          <w:lang w:val="en-US" w:eastAsia="ja-JP"/>
        </w:rPr>
        <w:t>"</w:t>
      </w:r>
      <w:r w:rsidRPr="004323FD">
        <w:rPr>
          <w:kern w:val="2"/>
          <w:szCs w:val="22"/>
          <w:lang w:val="en-US" w:eastAsia="ja-JP"/>
        </w:rPr>
        <w:t>SP1</w:t>
      </w:r>
      <w:r w:rsidR="004E0CB7">
        <w:rPr>
          <w:kern w:val="2"/>
          <w:szCs w:val="22"/>
          <w:lang w:val="en-US" w:eastAsia="ja-JP"/>
        </w:rPr>
        <w:t>"</w:t>
      </w:r>
      <w:r w:rsidRPr="004323FD">
        <w:rPr>
          <w:kern w:val="2"/>
          <w:szCs w:val="22"/>
          <w:lang w:val="en-US" w:eastAsia="ja-JP"/>
        </w:rPr>
        <w:t xml:space="preserve">, whereas </w:t>
      </w:r>
      <w:r w:rsidR="004E0CB7">
        <w:rPr>
          <w:kern w:val="2"/>
          <w:szCs w:val="22"/>
          <w:lang w:val="en-US" w:eastAsia="ja-JP"/>
        </w:rPr>
        <w:t>"</w:t>
      </w:r>
      <w:r w:rsidRPr="004323FD">
        <w:rPr>
          <w:kern w:val="2"/>
          <w:szCs w:val="22"/>
          <w:lang w:val="en-US" w:eastAsia="ja-JP"/>
        </w:rPr>
        <w:t>SP</w:t>
      </w:r>
      <w:r w:rsidR="004E0CB7">
        <w:rPr>
          <w:kern w:val="2"/>
          <w:szCs w:val="22"/>
          <w:lang w:val="en-US" w:eastAsia="ja-JP"/>
        </w:rPr>
        <w:t>"</w:t>
      </w:r>
      <w:r w:rsidRPr="004323FD">
        <w:rPr>
          <w:kern w:val="2"/>
          <w:szCs w:val="22"/>
          <w:lang w:val="en-US" w:eastAsia="ja-JP"/>
        </w:rPr>
        <w:t xml:space="preserve"> is indicated in the text. Therefore, it is necessary correctly set </w:t>
      </w:r>
      <w:r w:rsidR="004E0CB7">
        <w:rPr>
          <w:kern w:val="2"/>
          <w:szCs w:val="22"/>
          <w:lang w:val="en-US" w:eastAsia="ja-JP"/>
        </w:rPr>
        <w:t>"</w:t>
      </w:r>
      <w:r w:rsidRPr="004323FD">
        <w:rPr>
          <w:kern w:val="2"/>
          <w:szCs w:val="22"/>
          <w:lang w:val="en-US" w:eastAsia="ja-JP"/>
        </w:rPr>
        <w:t>SP1</w:t>
      </w:r>
      <w:r w:rsidR="004E0CB7">
        <w:rPr>
          <w:kern w:val="2"/>
          <w:szCs w:val="22"/>
          <w:lang w:val="en-US" w:eastAsia="ja-JP"/>
        </w:rPr>
        <w:t>"</w:t>
      </w:r>
      <w:r w:rsidRPr="004323FD">
        <w:rPr>
          <w:kern w:val="2"/>
          <w:szCs w:val="22"/>
          <w:lang w:val="en-US" w:eastAsia="ja-JP"/>
        </w:rPr>
        <w:t xml:space="preserve"> in the text.</w:t>
      </w:r>
    </w:p>
    <w:p w14:paraId="782CC999"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10.</w:t>
      </w:r>
      <w:r w:rsidRPr="009D71F1">
        <w:rPr>
          <w:rFonts w:cs="Arial"/>
          <w:kern w:val="2"/>
          <w:szCs w:val="22"/>
          <w:lang w:eastAsia="ja-JP"/>
        </w:rPr>
        <w:tab/>
        <w:t>Annex 3, paragraph 2.1.</w:t>
      </w:r>
    </w:p>
    <w:p w14:paraId="693EE24C" w14:textId="6A308AB3" w:rsidR="004323FD" w:rsidRPr="004323FD" w:rsidRDefault="004323FD" w:rsidP="004323FD">
      <w:pPr>
        <w:widowControl w:val="0"/>
        <w:suppressAutoHyphens w:val="0"/>
        <w:spacing w:after="120"/>
        <w:ind w:left="1134" w:right="1134"/>
        <w:jc w:val="both"/>
        <w:rPr>
          <w:kern w:val="2"/>
          <w:szCs w:val="22"/>
          <w:lang w:val="en-US" w:eastAsia="ja-JP"/>
        </w:rPr>
      </w:pPr>
      <w:r w:rsidRPr="004323FD">
        <w:rPr>
          <w:kern w:val="2"/>
          <w:szCs w:val="22"/>
          <w:lang w:val="en-US" w:eastAsia="ja-JP"/>
        </w:rPr>
        <w:t xml:space="preserve">In the text, the flow controller is represented by </w:t>
      </w:r>
      <w:r w:rsidR="004E0CB7">
        <w:rPr>
          <w:kern w:val="2"/>
          <w:szCs w:val="22"/>
          <w:lang w:val="en-US" w:eastAsia="ja-JP"/>
        </w:rPr>
        <w:t>"</w:t>
      </w:r>
      <w:r w:rsidRPr="004323FD">
        <w:rPr>
          <w:kern w:val="2"/>
          <w:szCs w:val="22"/>
          <w:lang w:val="en-US" w:eastAsia="ja-JP"/>
        </w:rPr>
        <w:t>FC1</w:t>
      </w:r>
      <w:r w:rsidR="004E0CB7">
        <w:rPr>
          <w:kern w:val="2"/>
          <w:szCs w:val="22"/>
          <w:lang w:val="en-US" w:eastAsia="ja-JP"/>
        </w:rPr>
        <w:t>"</w:t>
      </w:r>
      <w:r w:rsidRPr="004323FD">
        <w:rPr>
          <w:kern w:val="2"/>
          <w:szCs w:val="22"/>
          <w:lang w:val="en-US" w:eastAsia="ja-JP"/>
        </w:rPr>
        <w:t>, whereas in F</w:t>
      </w:r>
      <w:r w:rsidRPr="004323FD">
        <w:rPr>
          <w:rFonts w:hint="eastAsia"/>
          <w:kern w:val="2"/>
          <w:szCs w:val="22"/>
          <w:lang w:val="en-US" w:eastAsia="ja-JP"/>
        </w:rPr>
        <w:t>igure</w:t>
      </w:r>
      <w:r w:rsidRPr="004323FD">
        <w:rPr>
          <w:kern w:val="2"/>
          <w:szCs w:val="22"/>
          <w:lang w:val="en-US" w:eastAsia="ja-JP"/>
        </w:rPr>
        <w:t xml:space="preserve"> 12, it is </w:t>
      </w:r>
      <w:r w:rsidR="004E0CB7">
        <w:rPr>
          <w:kern w:val="2"/>
          <w:szCs w:val="22"/>
          <w:lang w:val="en-US" w:eastAsia="ja-JP"/>
        </w:rPr>
        <w:t>"</w:t>
      </w:r>
      <w:r w:rsidRPr="004323FD">
        <w:rPr>
          <w:kern w:val="2"/>
          <w:szCs w:val="22"/>
          <w:lang w:val="en-US" w:eastAsia="ja-JP"/>
        </w:rPr>
        <w:t>FC2</w:t>
      </w:r>
      <w:r w:rsidR="004E0CB7">
        <w:rPr>
          <w:kern w:val="2"/>
          <w:szCs w:val="22"/>
          <w:lang w:val="en-US" w:eastAsia="ja-JP"/>
        </w:rPr>
        <w:t>"</w:t>
      </w:r>
      <w:r w:rsidRPr="004323FD">
        <w:rPr>
          <w:kern w:val="2"/>
          <w:szCs w:val="22"/>
          <w:lang w:val="en-US" w:eastAsia="ja-JP"/>
        </w:rPr>
        <w:t xml:space="preserve">. Therefore, it is necessary to correctly set </w:t>
      </w:r>
      <w:r w:rsidR="004E0CB7">
        <w:rPr>
          <w:kern w:val="2"/>
          <w:szCs w:val="22"/>
          <w:lang w:val="en-US" w:eastAsia="ja-JP"/>
        </w:rPr>
        <w:t>"</w:t>
      </w:r>
      <w:r w:rsidRPr="004323FD">
        <w:rPr>
          <w:kern w:val="2"/>
          <w:szCs w:val="22"/>
          <w:lang w:val="en-US" w:eastAsia="ja-JP"/>
        </w:rPr>
        <w:t>FC1</w:t>
      </w:r>
      <w:r w:rsidR="004E0CB7">
        <w:rPr>
          <w:kern w:val="2"/>
          <w:szCs w:val="22"/>
          <w:lang w:val="en-US" w:eastAsia="ja-JP"/>
        </w:rPr>
        <w:t>"</w:t>
      </w:r>
      <w:r w:rsidRPr="004323FD">
        <w:rPr>
          <w:kern w:val="2"/>
          <w:szCs w:val="22"/>
          <w:lang w:val="en-US" w:eastAsia="ja-JP"/>
        </w:rPr>
        <w:t xml:space="preserve"> in F</w:t>
      </w:r>
      <w:r w:rsidRPr="004323FD">
        <w:rPr>
          <w:rFonts w:hint="eastAsia"/>
          <w:kern w:val="2"/>
          <w:szCs w:val="22"/>
          <w:lang w:val="en-US" w:eastAsia="ja-JP"/>
        </w:rPr>
        <w:t>igure 12</w:t>
      </w:r>
      <w:r w:rsidRPr="004323FD">
        <w:rPr>
          <w:kern w:val="2"/>
          <w:szCs w:val="22"/>
          <w:lang w:val="en-US" w:eastAsia="ja-JP"/>
        </w:rPr>
        <w:t>.</w:t>
      </w:r>
    </w:p>
    <w:p w14:paraId="2C7C7738" w14:textId="77777777" w:rsidR="004323FD" w:rsidRPr="009D71F1" w:rsidRDefault="004323FD" w:rsidP="004E0CB7">
      <w:pPr>
        <w:keepNext/>
        <w:keepLines/>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lastRenderedPageBreak/>
        <w:t>11.</w:t>
      </w:r>
      <w:r w:rsidRPr="009D71F1">
        <w:rPr>
          <w:rFonts w:cs="Arial"/>
          <w:kern w:val="2"/>
          <w:szCs w:val="22"/>
          <w:lang w:eastAsia="ja-JP"/>
        </w:rPr>
        <w:tab/>
        <w:t>Annex 3, paragraph 2.5.</w:t>
      </w:r>
    </w:p>
    <w:p w14:paraId="3DF6719E" w14:textId="2A75C265" w:rsidR="004323FD" w:rsidRPr="004323FD" w:rsidRDefault="004323FD" w:rsidP="004E0CB7">
      <w:pPr>
        <w:keepNext/>
        <w:keepLines/>
        <w:widowControl w:val="0"/>
        <w:suppressAutoHyphens w:val="0"/>
        <w:spacing w:after="120"/>
        <w:ind w:left="1134" w:right="1134"/>
        <w:jc w:val="both"/>
        <w:rPr>
          <w:rFonts w:cs="Arial"/>
          <w:kern w:val="2"/>
          <w:szCs w:val="22"/>
          <w:lang w:val="en-US" w:eastAsia="ja-JP"/>
        </w:rPr>
      </w:pPr>
      <w:r w:rsidRPr="004323FD">
        <w:rPr>
          <w:kern w:val="2"/>
          <w:szCs w:val="22"/>
          <w:lang w:val="en-US" w:eastAsia="ja-JP"/>
        </w:rPr>
        <w:t>In F</w:t>
      </w:r>
      <w:r w:rsidRPr="004323FD">
        <w:rPr>
          <w:rFonts w:hint="eastAsia"/>
          <w:kern w:val="2"/>
          <w:szCs w:val="22"/>
          <w:lang w:val="en-US" w:eastAsia="ja-JP"/>
        </w:rPr>
        <w:t>igure</w:t>
      </w:r>
      <w:r w:rsidRPr="004323FD">
        <w:rPr>
          <w:kern w:val="2"/>
          <w:szCs w:val="22"/>
          <w:lang w:val="en-US" w:eastAsia="ja-JP"/>
        </w:rPr>
        <w:t xml:space="preserve"> 16 and F</w:t>
      </w:r>
      <w:r w:rsidRPr="004323FD">
        <w:rPr>
          <w:rFonts w:hint="eastAsia"/>
          <w:kern w:val="2"/>
          <w:szCs w:val="22"/>
          <w:lang w:val="en-US" w:eastAsia="ja-JP"/>
        </w:rPr>
        <w:t>igure</w:t>
      </w:r>
      <w:r w:rsidRPr="004323FD">
        <w:rPr>
          <w:kern w:val="2"/>
          <w:szCs w:val="22"/>
          <w:lang w:val="en-US" w:eastAsia="ja-JP"/>
        </w:rPr>
        <w:t xml:space="preserve"> 17, the sample flow controller is represented as </w:t>
      </w:r>
      <w:r w:rsidR="004E0CB7">
        <w:rPr>
          <w:kern w:val="2"/>
          <w:szCs w:val="22"/>
          <w:lang w:val="en-US" w:eastAsia="ja-JP"/>
        </w:rPr>
        <w:t>"</w:t>
      </w:r>
      <w:r w:rsidRPr="004323FD">
        <w:rPr>
          <w:kern w:val="2"/>
          <w:szCs w:val="22"/>
          <w:lang w:val="en-US" w:eastAsia="ja-JP"/>
        </w:rPr>
        <w:t>FC2</w:t>
      </w:r>
      <w:r w:rsidR="004E0CB7">
        <w:rPr>
          <w:kern w:val="2"/>
          <w:szCs w:val="22"/>
          <w:lang w:val="en-US" w:eastAsia="ja-JP"/>
        </w:rPr>
        <w:t>"</w:t>
      </w:r>
      <w:r w:rsidRPr="004323FD">
        <w:rPr>
          <w:kern w:val="2"/>
          <w:szCs w:val="22"/>
          <w:lang w:val="en-US" w:eastAsia="ja-JP"/>
        </w:rPr>
        <w:t xml:space="preserve">, whereas in the text, it is </w:t>
      </w:r>
      <w:r w:rsidR="004E0CB7">
        <w:rPr>
          <w:kern w:val="2"/>
          <w:szCs w:val="22"/>
          <w:lang w:val="en-US" w:eastAsia="ja-JP"/>
        </w:rPr>
        <w:t>"</w:t>
      </w:r>
      <w:r w:rsidRPr="004323FD">
        <w:rPr>
          <w:kern w:val="2"/>
          <w:szCs w:val="22"/>
          <w:lang w:val="en-US" w:eastAsia="ja-JP"/>
        </w:rPr>
        <w:t>FC3</w:t>
      </w:r>
      <w:r w:rsidR="004E0CB7">
        <w:rPr>
          <w:kern w:val="2"/>
          <w:szCs w:val="22"/>
          <w:lang w:val="en-US" w:eastAsia="ja-JP"/>
        </w:rPr>
        <w:t>"</w:t>
      </w:r>
      <w:r w:rsidRPr="004323FD">
        <w:rPr>
          <w:kern w:val="2"/>
          <w:szCs w:val="22"/>
          <w:lang w:val="en-US" w:eastAsia="ja-JP"/>
        </w:rPr>
        <w:t xml:space="preserve">. Therefore, </w:t>
      </w:r>
      <w:r w:rsidRPr="004323FD">
        <w:rPr>
          <w:rFonts w:hint="eastAsia"/>
          <w:kern w:val="2"/>
          <w:szCs w:val="22"/>
          <w:lang w:val="en-US" w:eastAsia="ja-JP"/>
        </w:rPr>
        <w:t xml:space="preserve">it is necessary </w:t>
      </w:r>
      <w:r w:rsidRPr="004323FD">
        <w:rPr>
          <w:kern w:val="2"/>
          <w:szCs w:val="22"/>
          <w:lang w:val="en-US" w:eastAsia="ja-JP"/>
        </w:rPr>
        <w:t xml:space="preserve">correctly </w:t>
      </w:r>
      <w:r w:rsidRPr="004323FD">
        <w:rPr>
          <w:rFonts w:hint="eastAsia"/>
          <w:kern w:val="2"/>
          <w:szCs w:val="22"/>
          <w:lang w:val="en-US" w:eastAsia="ja-JP"/>
        </w:rPr>
        <w:t xml:space="preserve">set </w:t>
      </w:r>
      <w:r w:rsidR="004E0CB7">
        <w:rPr>
          <w:kern w:val="2"/>
          <w:szCs w:val="22"/>
          <w:lang w:val="en-US" w:eastAsia="ja-JP"/>
        </w:rPr>
        <w:t>"</w:t>
      </w:r>
      <w:r w:rsidRPr="004323FD">
        <w:rPr>
          <w:kern w:val="2"/>
          <w:szCs w:val="22"/>
          <w:lang w:val="en-US" w:eastAsia="ja-JP"/>
        </w:rPr>
        <w:t>FC2</w:t>
      </w:r>
      <w:r w:rsidR="004E0CB7">
        <w:rPr>
          <w:kern w:val="2"/>
          <w:szCs w:val="22"/>
          <w:lang w:val="en-US" w:eastAsia="ja-JP"/>
        </w:rPr>
        <w:t>"</w:t>
      </w:r>
      <w:r w:rsidRPr="004323FD">
        <w:rPr>
          <w:rFonts w:hint="eastAsia"/>
          <w:kern w:val="2"/>
          <w:szCs w:val="22"/>
          <w:lang w:val="en-US" w:eastAsia="ja-JP"/>
        </w:rPr>
        <w:t xml:space="preserve"> in the text</w:t>
      </w:r>
      <w:r w:rsidRPr="004323FD">
        <w:rPr>
          <w:kern w:val="2"/>
          <w:szCs w:val="22"/>
          <w:lang w:val="en-US" w:eastAsia="ja-JP"/>
        </w:rPr>
        <w:t>.</w:t>
      </w:r>
    </w:p>
    <w:p w14:paraId="32717ECF" w14:textId="77777777" w:rsidR="004323FD" w:rsidRPr="009D71F1" w:rsidRDefault="004323FD" w:rsidP="004323FD">
      <w:pPr>
        <w:widowControl w:val="0"/>
        <w:suppressAutoHyphens w:val="0"/>
        <w:spacing w:after="120"/>
        <w:ind w:left="1701" w:right="1134" w:hanging="567"/>
        <w:jc w:val="both"/>
        <w:rPr>
          <w:rFonts w:cs="Arial"/>
          <w:kern w:val="2"/>
          <w:szCs w:val="22"/>
          <w:lang w:eastAsia="ja-JP"/>
        </w:rPr>
      </w:pPr>
      <w:r w:rsidRPr="009D71F1">
        <w:rPr>
          <w:rFonts w:cs="Arial"/>
          <w:kern w:val="2"/>
          <w:szCs w:val="22"/>
          <w:lang w:eastAsia="ja-JP"/>
        </w:rPr>
        <w:t>12.</w:t>
      </w:r>
      <w:r w:rsidRPr="009D71F1">
        <w:rPr>
          <w:rFonts w:cs="Arial"/>
          <w:kern w:val="2"/>
          <w:szCs w:val="22"/>
          <w:lang w:eastAsia="ja-JP"/>
        </w:rPr>
        <w:tab/>
        <w:t>Annex 4.2.</w:t>
      </w:r>
    </w:p>
    <w:p w14:paraId="471A9ED2" w14:textId="77777777" w:rsidR="004323FD" w:rsidRPr="004323FD" w:rsidRDefault="004323FD" w:rsidP="004323FD">
      <w:pPr>
        <w:widowControl w:val="0"/>
        <w:suppressAutoHyphens w:val="0"/>
        <w:spacing w:after="120"/>
        <w:ind w:left="1134" w:right="1134"/>
        <w:jc w:val="both"/>
        <w:rPr>
          <w:rFonts w:cs="Arial"/>
          <w:kern w:val="2"/>
          <w:szCs w:val="22"/>
          <w:lang w:val="en-US" w:eastAsia="ja-JP"/>
        </w:rPr>
      </w:pPr>
      <w:r w:rsidRPr="004323FD">
        <w:rPr>
          <w:rFonts w:cs="Arial"/>
          <w:kern w:val="2"/>
          <w:szCs w:val="22"/>
          <w:lang w:val="en-US" w:eastAsia="ja-JP"/>
        </w:rPr>
        <w:t>In equation (100), it is correct that the square root of the standard error is included up to the denominator.</w:t>
      </w:r>
      <w:r w:rsidRPr="004323FD">
        <w:rPr>
          <w:rFonts w:cs="Arial" w:hint="eastAsia"/>
          <w:kern w:val="2"/>
          <w:szCs w:val="22"/>
          <w:lang w:val="en-US" w:eastAsia="ja-JP"/>
        </w:rPr>
        <w:t xml:space="preserve"> </w:t>
      </w:r>
      <w:r w:rsidRPr="004323FD">
        <w:rPr>
          <w:rFonts w:cs="Arial"/>
          <w:kern w:val="2"/>
          <w:szCs w:val="22"/>
          <w:lang w:val="en-US" w:eastAsia="ja-JP"/>
        </w:rPr>
        <w:t xml:space="preserve">It was corrected in </w:t>
      </w:r>
      <w:r w:rsidRPr="00157870">
        <w:rPr>
          <w:rFonts w:cs="Arial"/>
          <w:kern w:val="2"/>
          <w:szCs w:val="22"/>
          <w:lang w:val="en-US" w:eastAsia="ja-JP"/>
        </w:rPr>
        <w:t>UN</w:t>
      </w:r>
      <w:r w:rsidRPr="004323FD">
        <w:rPr>
          <w:rFonts w:cs="Arial"/>
          <w:kern w:val="2"/>
          <w:szCs w:val="22"/>
          <w:lang w:val="en-US" w:eastAsia="ja-JP"/>
        </w:rPr>
        <w:t xml:space="preserve"> GTR No.4 </w:t>
      </w:r>
      <w:r w:rsidRPr="004323FD">
        <w:rPr>
          <w:rFonts w:cs="Arial" w:hint="eastAsia"/>
          <w:kern w:val="2"/>
          <w:szCs w:val="22"/>
          <w:lang w:val="en-US" w:eastAsia="ja-JP"/>
        </w:rPr>
        <w:t xml:space="preserve">Amendment 1 </w:t>
      </w:r>
      <w:r w:rsidRPr="004323FD">
        <w:rPr>
          <w:rFonts w:cs="Arial"/>
          <w:kern w:val="2"/>
          <w:szCs w:val="22"/>
          <w:lang w:val="en-US" w:eastAsia="ja-JP"/>
        </w:rPr>
        <w:t>–</w:t>
      </w:r>
      <w:r w:rsidRPr="004323FD">
        <w:rPr>
          <w:rFonts w:cs="Arial" w:hint="eastAsia"/>
          <w:kern w:val="2"/>
          <w:szCs w:val="22"/>
          <w:lang w:val="en-US" w:eastAsia="ja-JP"/>
        </w:rPr>
        <w:t xml:space="preserve"> Corrigendum </w:t>
      </w:r>
      <w:proofErr w:type="gramStart"/>
      <w:r w:rsidRPr="004323FD">
        <w:rPr>
          <w:rFonts w:cs="Arial" w:hint="eastAsia"/>
          <w:kern w:val="2"/>
          <w:szCs w:val="22"/>
          <w:lang w:val="en-US" w:eastAsia="ja-JP"/>
        </w:rPr>
        <w:t>1</w:t>
      </w:r>
      <w:r w:rsidRPr="004323FD">
        <w:rPr>
          <w:rFonts w:cs="Arial"/>
          <w:kern w:val="2"/>
          <w:szCs w:val="22"/>
          <w:lang w:val="en-US" w:eastAsia="ja-JP"/>
        </w:rPr>
        <w:t>, but</w:t>
      </w:r>
      <w:proofErr w:type="gramEnd"/>
      <w:r w:rsidRPr="004323FD">
        <w:rPr>
          <w:rFonts w:cs="Arial"/>
          <w:kern w:val="2"/>
          <w:szCs w:val="22"/>
          <w:lang w:val="en-US" w:eastAsia="ja-JP"/>
        </w:rPr>
        <w:t xml:space="preserve"> was not reflected when</w:t>
      </w:r>
      <w:r w:rsidRPr="004323FD">
        <w:rPr>
          <w:rFonts w:cs="Arial" w:hint="eastAsia"/>
          <w:kern w:val="2"/>
          <w:szCs w:val="22"/>
          <w:lang w:val="en-US" w:eastAsia="ja-JP"/>
        </w:rPr>
        <w:t xml:space="preserve"> </w:t>
      </w:r>
      <w:r w:rsidRPr="00157870">
        <w:rPr>
          <w:rFonts w:cs="Arial"/>
          <w:kern w:val="2"/>
          <w:szCs w:val="22"/>
          <w:lang w:val="en-US" w:eastAsia="ja-JP"/>
        </w:rPr>
        <w:t>UN</w:t>
      </w:r>
      <w:r w:rsidRPr="004323FD">
        <w:rPr>
          <w:rFonts w:cs="Arial"/>
          <w:kern w:val="2"/>
          <w:szCs w:val="22"/>
          <w:lang w:val="en-US" w:eastAsia="ja-JP"/>
        </w:rPr>
        <w:t xml:space="preserve"> GTR </w:t>
      </w:r>
      <w:r w:rsidRPr="004323FD">
        <w:rPr>
          <w:rFonts w:cs="Arial" w:hint="eastAsia"/>
          <w:kern w:val="2"/>
          <w:szCs w:val="22"/>
          <w:lang w:val="en-US" w:eastAsia="ja-JP"/>
        </w:rPr>
        <w:t>No.</w:t>
      </w:r>
      <w:r w:rsidRPr="004323FD">
        <w:rPr>
          <w:rFonts w:cs="Arial"/>
          <w:kern w:val="2"/>
          <w:szCs w:val="22"/>
          <w:lang w:val="en-US" w:eastAsia="ja-JP"/>
        </w:rPr>
        <w:t xml:space="preserve"> </w:t>
      </w:r>
      <w:r w:rsidRPr="004323FD">
        <w:rPr>
          <w:rFonts w:cs="Arial" w:hint="eastAsia"/>
          <w:kern w:val="2"/>
          <w:szCs w:val="22"/>
          <w:lang w:val="en-US" w:eastAsia="ja-JP"/>
        </w:rPr>
        <w:t>4 Amendment 3</w:t>
      </w:r>
      <w:r w:rsidRPr="004323FD">
        <w:rPr>
          <w:rFonts w:cs="Arial"/>
          <w:kern w:val="2"/>
          <w:szCs w:val="22"/>
          <w:lang w:val="en-US" w:eastAsia="ja-JP"/>
        </w:rPr>
        <w:t xml:space="preserve"> was issued. Therefore, it is necessary to reflect correctly.</w:t>
      </w:r>
    </w:p>
    <w:p w14:paraId="24B86C4E" w14:textId="77777777" w:rsidR="00BE296F" w:rsidRPr="00BE296F" w:rsidRDefault="00BE296F" w:rsidP="00BE296F">
      <w:pPr>
        <w:spacing w:before="240"/>
        <w:jc w:val="center"/>
        <w:rPr>
          <w:u w:val="single"/>
        </w:rPr>
      </w:pPr>
      <w:r>
        <w:rPr>
          <w:u w:val="single"/>
        </w:rPr>
        <w:tab/>
      </w:r>
      <w:r>
        <w:rPr>
          <w:u w:val="single"/>
        </w:rPr>
        <w:tab/>
      </w:r>
      <w:r>
        <w:rPr>
          <w:u w:val="single"/>
        </w:rPr>
        <w:tab/>
      </w:r>
    </w:p>
    <w:sectPr w:rsidR="00BE296F" w:rsidRPr="00BE296F" w:rsidSect="00BE296F">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EF24" w14:textId="77777777" w:rsidR="00240CE4" w:rsidRDefault="00240CE4"/>
  </w:endnote>
  <w:endnote w:type="continuationSeparator" w:id="0">
    <w:p w14:paraId="6426DB20" w14:textId="77777777" w:rsidR="00240CE4" w:rsidRDefault="00240CE4"/>
  </w:endnote>
  <w:endnote w:type="continuationNotice" w:id="1">
    <w:p w14:paraId="47DD17E4" w14:textId="77777777" w:rsidR="00240CE4" w:rsidRDefault="00240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9C86" w14:textId="77777777" w:rsidR="00BE296F" w:rsidRPr="00BE296F" w:rsidRDefault="00BE296F" w:rsidP="00BE296F">
    <w:pPr>
      <w:pStyle w:val="Footer"/>
      <w:tabs>
        <w:tab w:val="right" w:pos="9638"/>
      </w:tabs>
      <w:rPr>
        <w:sz w:val="18"/>
      </w:rPr>
    </w:pP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2</w:t>
    </w:r>
    <w:r w:rsidRPr="00BE29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FD91" w14:textId="77777777" w:rsidR="00BE296F" w:rsidRPr="00BE296F" w:rsidRDefault="00BE296F" w:rsidP="00BE296F">
    <w:pPr>
      <w:pStyle w:val="Footer"/>
      <w:tabs>
        <w:tab w:val="right" w:pos="9638"/>
      </w:tabs>
      <w:rPr>
        <w:b/>
        <w:sz w:val="18"/>
      </w:rPr>
    </w:pPr>
    <w:r>
      <w:tab/>
    </w: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3</w:t>
    </w:r>
    <w:r w:rsidRPr="00BE29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8F804" w14:textId="77777777" w:rsidR="00240CE4" w:rsidRPr="000B175B" w:rsidRDefault="00240CE4" w:rsidP="000B175B">
      <w:pPr>
        <w:tabs>
          <w:tab w:val="right" w:pos="2155"/>
        </w:tabs>
        <w:spacing w:after="80"/>
        <w:ind w:left="680"/>
        <w:rPr>
          <w:u w:val="single"/>
        </w:rPr>
      </w:pPr>
      <w:r>
        <w:rPr>
          <w:u w:val="single"/>
        </w:rPr>
        <w:tab/>
      </w:r>
    </w:p>
  </w:footnote>
  <w:footnote w:type="continuationSeparator" w:id="0">
    <w:p w14:paraId="00911E04" w14:textId="77777777" w:rsidR="00240CE4" w:rsidRPr="00FC68B7" w:rsidRDefault="00240CE4" w:rsidP="00FC68B7">
      <w:pPr>
        <w:tabs>
          <w:tab w:val="left" w:pos="2155"/>
        </w:tabs>
        <w:spacing w:after="80"/>
        <w:ind w:left="680"/>
        <w:rPr>
          <w:u w:val="single"/>
        </w:rPr>
      </w:pPr>
      <w:r>
        <w:rPr>
          <w:u w:val="single"/>
        </w:rPr>
        <w:tab/>
      </w:r>
    </w:p>
  </w:footnote>
  <w:footnote w:type="continuationNotice" w:id="1">
    <w:p w14:paraId="5E191501" w14:textId="77777777" w:rsidR="00240CE4" w:rsidRDefault="00240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AC48" w14:textId="0C5C071C" w:rsidR="00BE296F" w:rsidRPr="00BE296F" w:rsidRDefault="00F966E2">
    <w:pPr>
      <w:pStyle w:val="Header"/>
    </w:pPr>
    <w:r>
      <w:t>ECE/TRANS/</w:t>
    </w:r>
    <w:r w:rsidR="0035036C">
      <w:t>180/Add.4/Amend.4/Appendix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DB67" w14:textId="52850D06" w:rsidR="00BE296F" w:rsidRPr="00BE296F" w:rsidRDefault="00F966E2" w:rsidP="00BE296F">
    <w:pPr>
      <w:pStyle w:val="Header"/>
      <w:jc w:val="right"/>
    </w:pPr>
    <w:r>
      <w:t>ECE/TRANS/</w:t>
    </w:r>
    <w:r w:rsidR="0035036C">
      <w:t>180/Add.4/Amend.4/Appendix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1"/>
  </w:num>
  <w:num w:numId="20">
    <w:abstractNumId w:val="19"/>
  </w:num>
  <w:num w:numId="21">
    <w:abstractNumId w:val="12"/>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F"/>
    <w:rsid w:val="00002A7D"/>
    <w:rsid w:val="000038A8"/>
    <w:rsid w:val="00005DF3"/>
    <w:rsid w:val="00006790"/>
    <w:rsid w:val="0001484E"/>
    <w:rsid w:val="000253C6"/>
    <w:rsid w:val="00027624"/>
    <w:rsid w:val="00033304"/>
    <w:rsid w:val="00041D6A"/>
    <w:rsid w:val="00050F6B"/>
    <w:rsid w:val="000678CD"/>
    <w:rsid w:val="000679AE"/>
    <w:rsid w:val="00072C8C"/>
    <w:rsid w:val="00081CE0"/>
    <w:rsid w:val="00084D30"/>
    <w:rsid w:val="00090320"/>
    <w:rsid w:val="000931C0"/>
    <w:rsid w:val="00097003"/>
    <w:rsid w:val="000A2E09"/>
    <w:rsid w:val="000B175B"/>
    <w:rsid w:val="000B25E1"/>
    <w:rsid w:val="000B3A0F"/>
    <w:rsid w:val="000E0415"/>
    <w:rsid w:val="000F7715"/>
    <w:rsid w:val="00121B56"/>
    <w:rsid w:val="00154729"/>
    <w:rsid w:val="00156B99"/>
    <w:rsid w:val="00157870"/>
    <w:rsid w:val="00162AF8"/>
    <w:rsid w:val="00166124"/>
    <w:rsid w:val="00184DDA"/>
    <w:rsid w:val="001900CD"/>
    <w:rsid w:val="001944B7"/>
    <w:rsid w:val="0019692A"/>
    <w:rsid w:val="001A0452"/>
    <w:rsid w:val="001A1396"/>
    <w:rsid w:val="001B4B04"/>
    <w:rsid w:val="001B5875"/>
    <w:rsid w:val="001C4B9C"/>
    <w:rsid w:val="001C6663"/>
    <w:rsid w:val="001C7895"/>
    <w:rsid w:val="001D26DF"/>
    <w:rsid w:val="001F1599"/>
    <w:rsid w:val="001F19C4"/>
    <w:rsid w:val="002043F0"/>
    <w:rsid w:val="00211E0B"/>
    <w:rsid w:val="00217C98"/>
    <w:rsid w:val="00232575"/>
    <w:rsid w:val="00240CE4"/>
    <w:rsid w:val="00245F11"/>
    <w:rsid w:val="00247258"/>
    <w:rsid w:val="00253A08"/>
    <w:rsid w:val="00257CAC"/>
    <w:rsid w:val="0027237A"/>
    <w:rsid w:val="002974E9"/>
    <w:rsid w:val="002A306B"/>
    <w:rsid w:val="002A668C"/>
    <w:rsid w:val="002A7F94"/>
    <w:rsid w:val="002B109A"/>
    <w:rsid w:val="002C3EAF"/>
    <w:rsid w:val="002C6D45"/>
    <w:rsid w:val="002D6E53"/>
    <w:rsid w:val="002F046D"/>
    <w:rsid w:val="002F3023"/>
    <w:rsid w:val="00301764"/>
    <w:rsid w:val="00313DD5"/>
    <w:rsid w:val="003229D8"/>
    <w:rsid w:val="00336C97"/>
    <w:rsid w:val="00337F88"/>
    <w:rsid w:val="00342432"/>
    <w:rsid w:val="00344C9D"/>
    <w:rsid w:val="0035036C"/>
    <w:rsid w:val="0035223F"/>
    <w:rsid w:val="00352D4B"/>
    <w:rsid w:val="00354B1D"/>
    <w:rsid w:val="0035638C"/>
    <w:rsid w:val="0035688A"/>
    <w:rsid w:val="003A46BB"/>
    <w:rsid w:val="003A4EC7"/>
    <w:rsid w:val="003A7295"/>
    <w:rsid w:val="003B1F60"/>
    <w:rsid w:val="003C2CC4"/>
    <w:rsid w:val="003D4B23"/>
    <w:rsid w:val="003E278A"/>
    <w:rsid w:val="003E4554"/>
    <w:rsid w:val="003E4CA0"/>
    <w:rsid w:val="00413520"/>
    <w:rsid w:val="004323FD"/>
    <w:rsid w:val="004325CB"/>
    <w:rsid w:val="00436E0E"/>
    <w:rsid w:val="00440A07"/>
    <w:rsid w:val="0045123B"/>
    <w:rsid w:val="00453A7A"/>
    <w:rsid w:val="00462880"/>
    <w:rsid w:val="00476F24"/>
    <w:rsid w:val="00480040"/>
    <w:rsid w:val="004954AF"/>
    <w:rsid w:val="004A5D33"/>
    <w:rsid w:val="004B6A74"/>
    <w:rsid w:val="004C1211"/>
    <w:rsid w:val="004C29FB"/>
    <w:rsid w:val="004C55B0"/>
    <w:rsid w:val="004E0CB7"/>
    <w:rsid w:val="004F6BA0"/>
    <w:rsid w:val="00503BEA"/>
    <w:rsid w:val="0050604A"/>
    <w:rsid w:val="00507E9C"/>
    <w:rsid w:val="0051333A"/>
    <w:rsid w:val="00533616"/>
    <w:rsid w:val="00533DCE"/>
    <w:rsid w:val="00535ABA"/>
    <w:rsid w:val="0053768B"/>
    <w:rsid w:val="005377AD"/>
    <w:rsid w:val="005420F2"/>
    <w:rsid w:val="0054285C"/>
    <w:rsid w:val="00584173"/>
    <w:rsid w:val="005909BC"/>
    <w:rsid w:val="00595520"/>
    <w:rsid w:val="005A44B9"/>
    <w:rsid w:val="005B1BA0"/>
    <w:rsid w:val="005B3DB3"/>
    <w:rsid w:val="005C0268"/>
    <w:rsid w:val="005D15CA"/>
    <w:rsid w:val="005E2F65"/>
    <w:rsid w:val="005E3F3A"/>
    <w:rsid w:val="005E4228"/>
    <w:rsid w:val="005F08DF"/>
    <w:rsid w:val="005F3066"/>
    <w:rsid w:val="005F3E61"/>
    <w:rsid w:val="00604DDD"/>
    <w:rsid w:val="00605629"/>
    <w:rsid w:val="006115CC"/>
    <w:rsid w:val="00611FC4"/>
    <w:rsid w:val="006176FB"/>
    <w:rsid w:val="00622849"/>
    <w:rsid w:val="00624BEE"/>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5C9F"/>
    <w:rsid w:val="006E7154"/>
    <w:rsid w:val="007003CD"/>
    <w:rsid w:val="0070701E"/>
    <w:rsid w:val="0071768A"/>
    <w:rsid w:val="007262E7"/>
    <w:rsid w:val="0072632A"/>
    <w:rsid w:val="007358E8"/>
    <w:rsid w:val="00736ECE"/>
    <w:rsid w:val="0074044F"/>
    <w:rsid w:val="0074533B"/>
    <w:rsid w:val="0075072D"/>
    <w:rsid w:val="007643BC"/>
    <w:rsid w:val="0076684B"/>
    <w:rsid w:val="00767A3B"/>
    <w:rsid w:val="00780C68"/>
    <w:rsid w:val="007959FE"/>
    <w:rsid w:val="007A0CF1"/>
    <w:rsid w:val="007B6BA5"/>
    <w:rsid w:val="007C3390"/>
    <w:rsid w:val="007C42D8"/>
    <w:rsid w:val="007C4F4B"/>
    <w:rsid w:val="007D6B00"/>
    <w:rsid w:val="007D6F65"/>
    <w:rsid w:val="007D7362"/>
    <w:rsid w:val="007E0AF0"/>
    <w:rsid w:val="007F5CE2"/>
    <w:rsid w:val="007F6611"/>
    <w:rsid w:val="0080786D"/>
    <w:rsid w:val="00810BAC"/>
    <w:rsid w:val="008152C6"/>
    <w:rsid w:val="008175E9"/>
    <w:rsid w:val="00817F4D"/>
    <w:rsid w:val="008242D7"/>
    <w:rsid w:val="00824411"/>
    <w:rsid w:val="0082577B"/>
    <w:rsid w:val="00825CB5"/>
    <w:rsid w:val="00842949"/>
    <w:rsid w:val="00852455"/>
    <w:rsid w:val="00866893"/>
    <w:rsid w:val="00866F02"/>
    <w:rsid w:val="00867D18"/>
    <w:rsid w:val="00871F9A"/>
    <w:rsid w:val="00871FD5"/>
    <w:rsid w:val="00876214"/>
    <w:rsid w:val="0088172E"/>
    <w:rsid w:val="00881EFA"/>
    <w:rsid w:val="00885BD3"/>
    <w:rsid w:val="00886A17"/>
    <w:rsid w:val="008879CB"/>
    <w:rsid w:val="008979B1"/>
    <w:rsid w:val="008A6B25"/>
    <w:rsid w:val="008A6C4F"/>
    <w:rsid w:val="008B389E"/>
    <w:rsid w:val="008D045E"/>
    <w:rsid w:val="008D3F25"/>
    <w:rsid w:val="008D4D82"/>
    <w:rsid w:val="008E0E46"/>
    <w:rsid w:val="008E48F7"/>
    <w:rsid w:val="008E7116"/>
    <w:rsid w:val="008F143B"/>
    <w:rsid w:val="008F3882"/>
    <w:rsid w:val="008F4B7C"/>
    <w:rsid w:val="00906B79"/>
    <w:rsid w:val="009175CC"/>
    <w:rsid w:val="00926E47"/>
    <w:rsid w:val="0094327E"/>
    <w:rsid w:val="00947162"/>
    <w:rsid w:val="009610D0"/>
    <w:rsid w:val="0096375C"/>
    <w:rsid w:val="009662E6"/>
    <w:rsid w:val="0097095E"/>
    <w:rsid w:val="0098592B"/>
    <w:rsid w:val="00985FC4"/>
    <w:rsid w:val="00990766"/>
    <w:rsid w:val="00991261"/>
    <w:rsid w:val="009964C4"/>
    <w:rsid w:val="009A7B81"/>
    <w:rsid w:val="009B29D6"/>
    <w:rsid w:val="009B482B"/>
    <w:rsid w:val="009B7EB7"/>
    <w:rsid w:val="009D01C0"/>
    <w:rsid w:val="009D6A08"/>
    <w:rsid w:val="009D71F1"/>
    <w:rsid w:val="009E0A16"/>
    <w:rsid w:val="009E6CB7"/>
    <w:rsid w:val="009E7970"/>
    <w:rsid w:val="009F2EAC"/>
    <w:rsid w:val="009F57E3"/>
    <w:rsid w:val="00A10F4F"/>
    <w:rsid w:val="00A11067"/>
    <w:rsid w:val="00A1704A"/>
    <w:rsid w:val="00A36AC2"/>
    <w:rsid w:val="00A425EB"/>
    <w:rsid w:val="00A6731E"/>
    <w:rsid w:val="00A72F22"/>
    <w:rsid w:val="00A733BC"/>
    <w:rsid w:val="00A748A6"/>
    <w:rsid w:val="00A768A9"/>
    <w:rsid w:val="00A76A69"/>
    <w:rsid w:val="00A870B9"/>
    <w:rsid w:val="00A879A4"/>
    <w:rsid w:val="00AA0FF8"/>
    <w:rsid w:val="00AB2CF6"/>
    <w:rsid w:val="00AC0F2C"/>
    <w:rsid w:val="00AC502A"/>
    <w:rsid w:val="00AE1E26"/>
    <w:rsid w:val="00AE6605"/>
    <w:rsid w:val="00AE7C04"/>
    <w:rsid w:val="00AF58C1"/>
    <w:rsid w:val="00B04A3F"/>
    <w:rsid w:val="00B050C8"/>
    <w:rsid w:val="00B06643"/>
    <w:rsid w:val="00B15055"/>
    <w:rsid w:val="00B20551"/>
    <w:rsid w:val="00B30179"/>
    <w:rsid w:val="00B31E0B"/>
    <w:rsid w:val="00B33FC7"/>
    <w:rsid w:val="00B37B15"/>
    <w:rsid w:val="00B4162A"/>
    <w:rsid w:val="00B44331"/>
    <w:rsid w:val="00B45C02"/>
    <w:rsid w:val="00B52FD6"/>
    <w:rsid w:val="00B70B63"/>
    <w:rsid w:val="00B72A1E"/>
    <w:rsid w:val="00B81E12"/>
    <w:rsid w:val="00BA339B"/>
    <w:rsid w:val="00BA3769"/>
    <w:rsid w:val="00BB23CC"/>
    <w:rsid w:val="00BC1E7E"/>
    <w:rsid w:val="00BC74E9"/>
    <w:rsid w:val="00BE296F"/>
    <w:rsid w:val="00BE36A9"/>
    <w:rsid w:val="00BE618E"/>
    <w:rsid w:val="00BE7BEC"/>
    <w:rsid w:val="00BF0A5A"/>
    <w:rsid w:val="00BF0E63"/>
    <w:rsid w:val="00BF12A3"/>
    <w:rsid w:val="00BF16D7"/>
    <w:rsid w:val="00BF2373"/>
    <w:rsid w:val="00BF279B"/>
    <w:rsid w:val="00BF487D"/>
    <w:rsid w:val="00BF60C3"/>
    <w:rsid w:val="00C010BF"/>
    <w:rsid w:val="00C044E2"/>
    <w:rsid w:val="00C048CB"/>
    <w:rsid w:val="00C066F3"/>
    <w:rsid w:val="00C143BA"/>
    <w:rsid w:val="00C44A6E"/>
    <w:rsid w:val="00C463DD"/>
    <w:rsid w:val="00C745C3"/>
    <w:rsid w:val="00C8108C"/>
    <w:rsid w:val="00C978F5"/>
    <w:rsid w:val="00CA24A4"/>
    <w:rsid w:val="00CB348D"/>
    <w:rsid w:val="00CC0962"/>
    <w:rsid w:val="00CC4430"/>
    <w:rsid w:val="00CD46F5"/>
    <w:rsid w:val="00CE2D20"/>
    <w:rsid w:val="00CE4A8F"/>
    <w:rsid w:val="00CF071D"/>
    <w:rsid w:val="00CF7673"/>
    <w:rsid w:val="00D0123D"/>
    <w:rsid w:val="00D02AF8"/>
    <w:rsid w:val="00D05777"/>
    <w:rsid w:val="00D15B04"/>
    <w:rsid w:val="00D2031B"/>
    <w:rsid w:val="00D25FE2"/>
    <w:rsid w:val="00D37DA9"/>
    <w:rsid w:val="00D406A7"/>
    <w:rsid w:val="00D43252"/>
    <w:rsid w:val="00D44D86"/>
    <w:rsid w:val="00D50B7D"/>
    <w:rsid w:val="00D52012"/>
    <w:rsid w:val="00D704E5"/>
    <w:rsid w:val="00D72727"/>
    <w:rsid w:val="00D92266"/>
    <w:rsid w:val="00D955A4"/>
    <w:rsid w:val="00D978C6"/>
    <w:rsid w:val="00DA0956"/>
    <w:rsid w:val="00DA357F"/>
    <w:rsid w:val="00DA3E12"/>
    <w:rsid w:val="00DC0C5C"/>
    <w:rsid w:val="00DC18AD"/>
    <w:rsid w:val="00DC6DBF"/>
    <w:rsid w:val="00DE1D7D"/>
    <w:rsid w:val="00DE296E"/>
    <w:rsid w:val="00DF7CAE"/>
    <w:rsid w:val="00E05B72"/>
    <w:rsid w:val="00E326F7"/>
    <w:rsid w:val="00E423C0"/>
    <w:rsid w:val="00E61CF7"/>
    <w:rsid w:val="00E6414C"/>
    <w:rsid w:val="00E7260F"/>
    <w:rsid w:val="00E8112A"/>
    <w:rsid w:val="00E845CD"/>
    <w:rsid w:val="00E865E0"/>
    <w:rsid w:val="00E8702D"/>
    <w:rsid w:val="00E905F4"/>
    <w:rsid w:val="00E916A9"/>
    <w:rsid w:val="00E916DE"/>
    <w:rsid w:val="00E925AD"/>
    <w:rsid w:val="00E96630"/>
    <w:rsid w:val="00EB7DDE"/>
    <w:rsid w:val="00ED18DC"/>
    <w:rsid w:val="00ED6201"/>
    <w:rsid w:val="00ED7A2A"/>
    <w:rsid w:val="00EE7A7C"/>
    <w:rsid w:val="00EF1D7F"/>
    <w:rsid w:val="00F0137E"/>
    <w:rsid w:val="00F02364"/>
    <w:rsid w:val="00F04E44"/>
    <w:rsid w:val="00F177B1"/>
    <w:rsid w:val="00F21786"/>
    <w:rsid w:val="00F25D06"/>
    <w:rsid w:val="00F31CFF"/>
    <w:rsid w:val="00F3742B"/>
    <w:rsid w:val="00F41FDB"/>
    <w:rsid w:val="00F50597"/>
    <w:rsid w:val="00F56D63"/>
    <w:rsid w:val="00F609A9"/>
    <w:rsid w:val="00F80C99"/>
    <w:rsid w:val="00F84519"/>
    <w:rsid w:val="00F8516D"/>
    <w:rsid w:val="00F867EC"/>
    <w:rsid w:val="00F91B2B"/>
    <w:rsid w:val="00F966E2"/>
    <w:rsid w:val="00F97571"/>
    <w:rsid w:val="00FC03CD"/>
    <w:rsid w:val="00FC0646"/>
    <w:rsid w:val="00FC68B7"/>
    <w:rsid w:val="00FE6985"/>
    <w:rsid w:val="00FF5F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B2C2"/>
  <w15:docId w15:val="{42EB23A5-18EF-40DF-8AA8-0C1CDE9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A870B9"/>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F84519"/>
    <w:rPr>
      <w:sz w:val="16"/>
      <w:szCs w:val="16"/>
    </w:rPr>
  </w:style>
  <w:style w:type="paragraph" w:styleId="CommentText">
    <w:name w:val="annotation text"/>
    <w:basedOn w:val="Normal"/>
    <w:link w:val="CommentTextChar"/>
    <w:semiHidden/>
    <w:unhideWhenUsed/>
    <w:rsid w:val="00F84519"/>
    <w:pPr>
      <w:spacing w:line="240" w:lineRule="auto"/>
    </w:pPr>
  </w:style>
  <w:style w:type="character" w:customStyle="1" w:styleId="CommentTextChar">
    <w:name w:val="Comment Text Char"/>
    <w:basedOn w:val="DefaultParagraphFont"/>
    <w:link w:val="CommentText"/>
    <w:semiHidden/>
    <w:rsid w:val="00F84519"/>
    <w:rPr>
      <w:lang w:val="en-GB"/>
    </w:rPr>
  </w:style>
  <w:style w:type="paragraph" w:styleId="CommentSubject">
    <w:name w:val="annotation subject"/>
    <w:basedOn w:val="CommentText"/>
    <w:next w:val="CommentText"/>
    <w:link w:val="CommentSubjectChar"/>
    <w:semiHidden/>
    <w:unhideWhenUsed/>
    <w:rsid w:val="00F84519"/>
    <w:rPr>
      <w:b/>
      <w:bCs/>
    </w:rPr>
  </w:style>
  <w:style w:type="character" w:customStyle="1" w:styleId="CommentSubjectChar">
    <w:name w:val="Comment Subject Char"/>
    <w:basedOn w:val="CommentTextChar"/>
    <w:link w:val="CommentSubject"/>
    <w:semiHidden/>
    <w:rsid w:val="00F84519"/>
    <w:rPr>
      <w:b/>
      <w:bCs/>
      <w:lang w:val="en-GB"/>
    </w:rPr>
  </w:style>
  <w:style w:type="character" w:customStyle="1" w:styleId="HChGChar">
    <w:name w:val="_ H _Ch_G Char"/>
    <w:link w:val="HChG"/>
    <w:rsid w:val="00DC6DBF"/>
    <w:rPr>
      <w:b/>
      <w:sz w:val="28"/>
      <w:lang w:val="en-GB"/>
    </w:rPr>
  </w:style>
  <w:style w:type="character" w:customStyle="1" w:styleId="H1GChar">
    <w:name w:val="_ H_1_G Char"/>
    <w:link w:val="H1G"/>
    <w:rsid w:val="00DC6DBF"/>
    <w:rPr>
      <w:b/>
      <w:sz w:val="24"/>
      <w:lang w:val="en-GB"/>
    </w:rPr>
  </w:style>
  <w:style w:type="paragraph" w:styleId="ListParagraph">
    <w:name w:val="List Paragraph"/>
    <w:basedOn w:val="Normal"/>
    <w:uiPriority w:val="34"/>
    <w:qFormat/>
    <w:rsid w:val="00DC6DBF"/>
    <w:pPr>
      <w:ind w:left="720"/>
      <w:contextualSpacing/>
    </w:pPr>
    <w:rPr>
      <w:lang w:val="fr-CH" w:eastAsia="en-US"/>
    </w:rPr>
  </w:style>
  <w:style w:type="character" w:customStyle="1" w:styleId="H23GChar">
    <w:name w:val="_ H_2/3_G Char"/>
    <w:link w:val="H23G"/>
    <w:locked/>
    <w:rsid w:val="00DC6DBF"/>
    <w:rPr>
      <w:b/>
      <w:lang w:val="en-GB"/>
    </w:rPr>
  </w:style>
  <w:style w:type="paragraph" w:customStyle="1" w:styleId="Rom2">
    <w:name w:val="Rom2"/>
    <w:basedOn w:val="Normal"/>
    <w:rsid w:val="00CC0962"/>
    <w:pPr>
      <w:numPr>
        <w:numId w:val="22"/>
      </w:numPr>
      <w:suppressAutoHyphens w:val="0"/>
      <w:spacing w:after="240" w:line="240" w:lineRule="auto"/>
    </w:pPr>
    <w:rPr>
      <w:sz w:val="24"/>
      <w:lang w:eastAsia="en-US"/>
    </w:rPr>
  </w:style>
  <w:style w:type="paragraph" w:styleId="BodyText3">
    <w:name w:val="Body Text 3"/>
    <w:basedOn w:val="Normal"/>
    <w:link w:val="BodyText3Char"/>
    <w:semiHidden/>
    <w:rsid w:val="00CC0962"/>
    <w:pPr>
      <w:suppressAutoHyphens w:val="0"/>
      <w:spacing w:line="240" w:lineRule="auto"/>
      <w:jc w:val="both"/>
    </w:pPr>
    <w:rPr>
      <w:sz w:val="24"/>
      <w:lang w:eastAsia="en-US"/>
    </w:rPr>
  </w:style>
  <w:style w:type="character" w:customStyle="1" w:styleId="BodyText3Char">
    <w:name w:val="Body Text 3 Char"/>
    <w:basedOn w:val="DefaultParagraphFont"/>
    <w:link w:val="BodyText3"/>
    <w:semiHidden/>
    <w:rsid w:val="00CC096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9F2D-AAC9-426E-8921-AA05AE640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3C375-452A-44F4-9B60-E858B8858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FB6A5-1D8C-466F-B2D8-9D15E6CD7698}">
  <ds:schemaRefs>
    <ds:schemaRef ds:uri="http://schemas.microsoft.com/sharepoint/v3/contenttype/forms"/>
  </ds:schemaRefs>
</ds:datastoreItem>
</file>

<file path=customXml/itemProps4.xml><?xml version="1.0" encoding="utf-8"?>
<ds:datastoreItem xmlns:ds="http://schemas.openxmlformats.org/officeDocument/2006/customXml" ds:itemID="{D87AA993-72CB-496F-BEDA-C6A057DB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1052</Words>
  <Characters>6002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ECE/TRANS/WP.29/2021/80</dc:title>
  <dc:subject>2104754</dc:subject>
  <dc:creator>Secretariat</dc:creator>
  <cp:keywords/>
  <dc:description/>
  <cp:lastModifiedBy>Nadiya Dzyubynska</cp:lastModifiedBy>
  <cp:revision>3</cp:revision>
  <cp:lastPrinted>2009-02-18T09:36:00Z</cp:lastPrinted>
  <dcterms:created xsi:type="dcterms:W3CDTF">2021-09-16T13:42:00Z</dcterms:created>
  <dcterms:modified xsi:type="dcterms:W3CDTF">2021-09-16T13:43:00Z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