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115"/>
        <w:gridCol w:w="2551"/>
        <w:gridCol w:w="2693"/>
      </w:tblGrid>
      <w:tr w:rsidR="002D5AAC" w:rsidRPr="000519F9" w14:paraId="583615AF" w14:textId="77777777" w:rsidTr="00D320B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ED1F61" w14:textId="77777777" w:rsidR="002D5AAC" w:rsidRDefault="002D5AAC" w:rsidP="00D320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30D9B597" w14:textId="77777777" w:rsidR="002D5AAC" w:rsidRPr="00D320B5" w:rsidRDefault="00DF71B9" w:rsidP="00387CD4">
            <w:pPr>
              <w:spacing w:after="80" w:line="300" w:lineRule="exact"/>
              <w:rPr>
                <w:sz w:val="26"/>
                <w:szCs w:val="26"/>
              </w:rPr>
            </w:pPr>
            <w:r w:rsidRPr="00D320B5">
              <w:rPr>
                <w:sz w:val="26"/>
                <w:szCs w:val="26"/>
              </w:rPr>
              <w:t>Организация Объединенных Наций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bottom"/>
          </w:tcPr>
          <w:p w14:paraId="2B182452" w14:textId="343EE4C9" w:rsidR="00D320B5" w:rsidRPr="00D320B5" w:rsidRDefault="00D320B5" w:rsidP="00D320B5">
            <w:pPr>
              <w:jc w:val="right"/>
              <w:rPr>
                <w:lang w:val="en-US"/>
              </w:rPr>
            </w:pPr>
            <w:r w:rsidRPr="00D320B5">
              <w:rPr>
                <w:sz w:val="40"/>
                <w:lang w:val="en-US"/>
              </w:rPr>
              <w:t>ECE</w:t>
            </w:r>
            <w:r w:rsidRPr="00D320B5">
              <w:rPr>
                <w:lang w:val="en-US"/>
              </w:rPr>
              <w:t>/MP.EIA/30/Add.1</w:t>
            </w:r>
            <w:r w:rsidRPr="00D320B5">
              <w:rPr>
                <w:rFonts w:cs="Times New Roman"/>
                <w:lang w:val="en-US"/>
              </w:rPr>
              <w:t>−</w:t>
            </w:r>
            <w:r w:rsidRPr="00D320B5">
              <w:rPr>
                <w:sz w:val="40"/>
                <w:lang w:val="en-US"/>
              </w:rPr>
              <w:t>ECE</w:t>
            </w:r>
            <w:r w:rsidRPr="00D320B5">
              <w:rPr>
                <w:lang w:val="en-US"/>
              </w:rPr>
              <w:t>/MP.EIA/SEA/13/Add.1</w:t>
            </w:r>
          </w:p>
        </w:tc>
      </w:tr>
      <w:tr w:rsidR="002D5AAC" w:rsidRPr="000519F9" w14:paraId="16FC65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EAC7B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DD4260" wp14:editId="674856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FDB6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2143D3" w14:textId="77777777" w:rsidR="002D5AAC" w:rsidRDefault="00D320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B1C2AB" w14:textId="77777777" w:rsidR="00D320B5" w:rsidRDefault="00D320B5" w:rsidP="00D320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February 2021</w:t>
            </w:r>
          </w:p>
          <w:p w14:paraId="7B734F5D" w14:textId="77777777" w:rsidR="00D320B5" w:rsidRDefault="00D320B5" w:rsidP="00D320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5B2DE3" w14:textId="6FF8FC32" w:rsidR="00D320B5" w:rsidRPr="008D53B6" w:rsidRDefault="00D320B5" w:rsidP="00D320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E14C9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07C051" w14:textId="03E4CD5A" w:rsidR="00D320B5" w:rsidRPr="00A770A4" w:rsidRDefault="00D320B5" w:rsidP="00D320B5">
      <w:pPr>
        <w:spacing w:before="120"/>
        <w:rPr>
          <w:bCs/>
          <w:sz w:val="28"/>
          <w:szCs w:val="28"/>
        </w:rPr>
      </w:pPr>
      <w:r w:rsidRPr="00A770A4">
        <w:rPr>
          <w:sz w:val="28"/>
          <w:szCs w:val="28"/>
        </w:rPr>
        <w:t xml:space="preserve">Совещание Сторон Конвенции об оценке </w:t>
      </w:r>
      <w:r w:rsidR="00A770A4">
        <w:rPr>
          <w:sz w:val="28"/>
          <w:szCs w:val="28"/>
        </w:rPr>
        <w:br/>
      </w:r>
      <w:r w:rsidRPr="00A770A4">
        <w:rPr>
          <w:sz w:val="28"/>
          <w:szCs w:val="28"/>
        </w:rPr>
        <w:t xml:space="preserve">воздействия на окружающую среду </w:t>
      </w:r>
      <w:r w:rsidR="00A770A4">
        <w:rPr>
          <w:sz w:val="28"/>
          <w:szCs w:val="28"/>
        </w:rPr>
        <w:br/>
      </w:r>
      <w:r w:rsidRPr="00A770A4">
        <w:rPr>
          <w:sz w:val="28"/>
          <w:szCs w:val="28"/>
        </w:rPr>
        <w:t>в трансграничном контексте</w:t>
      </w:r>
    </w:p>
    <w:p w14:paraId="2C699781" w14:textId="77777777" w:rsidR="00D320B5" w:rsidRPr="0092432D" w:rsidRDefault="00D320B5" w:rsidP="00D320B5">
      <w:pPr>
        <w:spacing w:before="120"/>
      </w:pPr>
      <w:r>
        <w:rPr>
          <w:b/>
          <w:bCs/>
        </w:rPr>
        <w:t>Восьмая сессия</w:t>
      </w:r>
    </w:p>
    <w:p w14:paraId="69E5EC8E" w14:textId="0D051E7D" w:rsidR="00D320B5" w:rsidRPr="00AB6E36" w:rsidRDefault="00D320B5" w:rsidP="00D320B5">
      <w:pPr>
        <w:spacing w:before="120"/>
        <w:rPr>
          <w:bCs/>
          <w:sz w:val="28"/>
          <w:szCs w:val="28"/>
        </w:rPr>
      </w:pPr>
      <w:r w:rsidRPr="00AB6E36">
        <w:rPr>
          <w:sz w:val="28"/>
          <w:szCs w:val="28"/>
        </w:rPr>
        <w:t xml:space="preserve">Совещание Сторон Конвенции об оценке </w:t>
      </w:r>
      <w:r w:rsidR="00AB6E36">
        <w:rPr>
          <w:sz w:val="28"/>
          <w:szCs w:val="28"/>
        </w:rPr>
        <w:br/>
      </w:r>
      <w:r w:rsidRPr="00AB6E36">
        <w:rPr>
          <w:sz w:val="28"/>
          <w:szCs w:val="28"/>
        </w:rPr>
        <w:t>воздействия на окружающую среду</w:t>
      </w:r>
      <w:r w:rsidR="00AB6E36">
        <w:rPr>
          <w:sz w:val="28"/>
          <w:szCs w:val="28"/>
        </w:rPr>
        <w:t xml:space="preserve"> </w:t>
      </w:r>
      <w:r w:rsidR="00AB6E36">
        <w:rPr>
          <w:sz w:val="28"/>
          <w:szCs w:val="28"/>
        </w:rPr>
        <w:br/>
      </w:r>
      <w:r w:rsidRPr="00AB6E36">
        <w:rPr>
          <w:sz w:val="28"/>
          <w:szCs w:val="28"/>
        </w:rPr>
        <w:t>в трансграничном контексте, действующее</w:t>
      </w:r>
      <w:r w:rsidR="00AB6E36">
        <w:rPr>
          <w:sz w:val="28"/>
          <w:szCs w:val="28"/>
        </w:rPr>
        <w:t xml:space="preserve"> </w:t>
      </w:r>
      <w:r w:rsidR="00AB6E36">
        <w:rPr>
          <w:sz w:val="28"/>
          <w:szCs w:val="28"/>
        </w:rPr>
        <w:br/>
      </w:r>
      <w:r w:rsidRPr="00AB6E36">
        <w:rPr>
          <w:sz w:val="28"/>
          <w:szCs w:val="28"/>
        </w:rPr>
        <w:t>в качестве совещания Сторон Протокола</w:t>
      </w:r>
      <w:r w:rsidR="00AB6E36">
        <w:rPr>
          <w:sz w:val="28"/>
          <w:szCs w:val="28"/>
        </w:rPr>
        <w:t xml:space="preserve"> </w:t>
      </w:r>
      <w:r w:rsidR="00AB6E36">
        <w:rPr>
          <w:sz w:val="28"/>
          <w:szCs w:val="28"/>
        </w:rPr>
        <w:br/>
      </w:r>
      <w:r w:rsidRPr="00AB6E36">
        <w:rPr>
          <w:sz w:val="28"/>
          <w:szCs w:val="28"/>
        </w:rPr>
        <w:t>по стратегической экологической оценке</w:t>
      </w:r>
    </w:p>
    <w:p w14:paraId="34B0E25F" w14:textId="77777777" w:rsidR="00D320B5" w:rsidRPr="0092432D" w:rsidRDefault="00D320B5" w:rsidP="00D320B5">
      <w:pPr>
        <w:spacing w:before="120"/>
        <w:rPr>
          <w:b/>
        </w:rPr>
      </w:pPr>
      <w:r>
        <w:rPr>
          <w:b/>
          <w:bCs/>
        </w:rPr>
        <w:t>Четвертая сессия</w:t>
      </w:r>
    </w:p>
    <w:p w14:paraId="00E927BD" w14:textId="77777777" w:rsidR="00D320B5" w:rsidRPr="0092432D" w:rsidRDefault="00D320B5" w:rsidP="00D320B5">
      <w:pPr>
        <w:spacing w:before="120"/>
      </w:pPr>
      <w:r>
        <w:t>Вильнюс</w:t>
      </w:r>
      <w:r w:rsidRPr="002C2EF8">
        <w:t xml:space="preserve"> </w:t>
      </w:r>
      <w:r>
        <w:t xml:space="preserve">(в онлайновом режиме), 8–11 декабря 2020 года </w:t>
      </w:r>
    </w:p>
    <w:p w14:paraId="0BA62D3E" w14:textId="040A1BA8" w:rsidR="00D320B5" w:rsidRPr="0092432D" w:rsidRDefault="00D320B5" w:rsidP="00D320B5">
      <w:pPr>
        <w:pStyle w:val="HChG"/>
      </w:pPr>
      <w:r>
        <w:tab/>
      </w:r>
      <w:r>
        <w:tab/>
      </w:r>
      <w:r>
        <w:rPr>
          <w:bCs/>
        </w:rPr>
        <w:t xml:space="preserve">Доклад Совещания Сторон Конвенции о работе </w:t>
      </w:r>
      <w:r w:rsidR="00E35974">
        <w:rPr>
          <w:bCs/>
        </w:rPr>
        <w:br/>
      </w:r>
      <w:r>
        <w:rPr>
          <w:bCs/>
        </w:rPr>
        <w:t xml:space="preserve">его восьмой сессии и Совещания Сторон Конвенции, действующего в качестве </w:t>
      </w:r>
      <w:r w:rsidR="00532A8F">
        <w:rPr>
          <w:bCs/>
        </w:rPr>
        <w:t>с</w:t>
      </w:r>
      <w:r>
        <w:rPr>
          <w:bCs/>
        </w:rPr>
        <w:t>овещания Сторон Протокола, о работе его четвертой сессии</w:t>
      </w:r>
    </w:p>
    <w:p w14:paraId="0122641E" w14:textId="77777777" w:rsidR="00D320B5" w:rsidRPr="0092432D" w:rsidRDefault="00D320B5" w:rsidP="00D320B5">
      <w:pPr>
        <w:pStyle w:val="H1G"/>
      </w:pPr>
      <w:r>
        <w:tab/>
      </w:r>
      <w:r>
        <w:tab/>
      </w:r>
      <w:r>
        <w:rPr>
          <w:bCs/>
        </w:rPr>
        <w:t>Добавление</w:t>
      </w:r>
    </w:p>
    <w:p w14:paraId="1F67818B" w14:textId="77777777" w:rsidR="00D320B5" w:rsidRPr="0092432D" w:rsidRDefault="00D320B5" w:rsidP="00D320B5">
      <w:pPr>
        <w:pStyle w:val="HChG"/>
      </w:pPr>
      <w:r>
        <w:tab/>
      </w:r>
      <w:r>
        <w:tab/>
      </w:r>
      <w:r>
        <w:rPr>
          <w:bCs/>
        </w:rPr>
        <w:t>Решения и декларация, совместно принятые Совещанием Сторон Конвенции и Совещанием Сторон Конвенции, действующим в качестве совещания Сторон Протокола</w:t>
      </w:r>
    </w:p>
    <w:p w14:paraId="4C0E2AC2" w14:textId="77777777" w:rsidR="00B46B84" w:rsidRDefault="00B46B84" w:rsidP="00B4592D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568B4026" w14:textId="5D96CA46" w:rsidR="00B46B84" w:rsidRDefault="00B46B84" w:rsidP="00B4592D">
      <w:pPr>
        <w:tabs>
          <w:tab w:val="right" w:pos="9638"/>
        </w:tabs>
        <w:spacing w:after="120"/>
        <w:ind w:left="283"/>
        <w:rPr>
          <w:sz w:val="18"/>
        </w:rPr>
      </w:pPr>
      <w:r w:rsidRPr="00B46B84">
        <w:rPr>
          <w:i/>
          <w:iCs/>
        </w:rPr>
        <w:t>Решения</w:t>
      </w:r>
      <w:r>
        <w:rPr>
          <w:i/>
          <w:sz w:val="18"/>
        </w:rPr>
        <w:tab/>
        <w:t>Стр.</w:t>
      </w:r>
    </w:p>
    <w:p w14:paraId="024CE28D" w14:textId="3DC5836D" w:rsidR="00D320B5" w:rsidRPr="0092432D" w:rsidRDefault="00D320B5" w:rsidP="00B46B84">
      <w:pPr>
        <w:tabs>
          <w:tab w:val="right" w:pos="1232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VIII/1–IV/1</w:t>
      </w:r>
      <w:r>
        <w:tab/>
        <w:t>Механизмы финансирования на 2021–2023 годы</w:t>
      </w:r>
      <w:r>
        <w:tab/>
      </w:r>
      <w:r>
        <w:tab/>
        <w:t>3</w:t>
      </w:r>
    </w:p>
    <w:p w14:paraId="5A9BDDFD" w14:textId="79948116" w:rsidR="00D320B5" w:rsidRPr="0092432D" w:rsidRDefault="00D320B5" w:rsidP="00B46B84">
      <w:pPr>
        <w:tabs>
          <w:tab w:val="right" w:pos="1232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VIII/2–IV/2</w:t>
      </w:r>
      <w:r>
        <w:tab/>
        <w:t>Утверждение плана работы</w:t>
      </w:r>
      <w:r>
        <w:tab/>
      </w:r>
      <w:r>
        <w:tab/>
      </w:r>
      <w:r w:rsidR="00895987">
        <w:t>7</w:t>
      </w:r>
    </w:p>
    <w:p w14:paraId="28A0178B" w14:textId="5A0D3B7E" w:rsidR="00D320B5" w:rsidRPr="0092432D" w:rsidRDefault="00D320B5" w:rsidP="00B46B84">
      <w:pPr>
        <w:tabs>
          <w:tab w:val="left" w:pos="426"/>
          <w:tab w:val="righ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>Приложение I</w:t>
      </w:r>
    </w:p>
    <w:p w14:paraId="20B3F7CE" w14:textId="20501D44" w:rsidR="00D320B5" w:rsidRPr="0092432D" w:rsidRDefault="00B46B84" w:rsidP="00B46B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D320B5">
        <w:tab/>
      </w:r>
      <w:r w:rsidR="00532A8F">
        <w:t>П</w:t>
      </w:r>
      <w:r w:rsidR="00D320B5">
        <w:t>лан работы на 2021–2023 годы</w:t>
      </w:r>
      <w:r w:rsidR="00D320B5">
        <w:tab/>
      </w:r>
      <w:r w:rsidR="00D320B5">
        <w:tab/>
      </w:r>
      <w:r w:rsidR="00895987">
        <w:t>11</w:t>
      </w:r>
    </w:p>
    <w:p w14:paraId="3336582D" w14:textId="77777777" w:rsidR="00D320B5" w:rsidRPr="0092432D" w:rsidRDefault="00D320B5" w:rsidP="00B46B84">
      <w:pPr>
        <w:tabs>
          <w:tab w:val="righ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Приложение II</w:t>
      </w:r>
    </w:p>
    <w:p w14:paraId="46E194FB" w14:textId="11250135" w:rsidR="00D320B5" w:rsidRPr="0092432D" w:rsidRDefault="00D320B5" w:rsidP="00B46B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Потребности в ресурсах для осуществления плана работы на 2021–2023 годы</w:t>
      </w:r>
      <w:r>
        <w:tab/>
      </w:r>
      <w:r>
        <w:tab/>
        <w:t>2</w:t>
      </w:r>
      <w:r w:rsidR="00B46B84">
        <w:t>4</w:t>
      </w:r>
    </w:p>
    <w:p w14:paraId="623C40C7" w14:textId="77777777" w:rsidR="00B46B84" w:rsidRDefault="00D320B5" w:rsidP="00B46B84">
      <w:pPr>
        <w:tabs>
          <w:tab w:val="righ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</w:p>
    <w:p w14:paraId="571D4AD5" w14:textId="6275C7C1" w:rsidR="00D320B5" w:rsidRPr="0092432D" w:rsidRDefault="00B46B84" w:rsidP="00B46B84">
      <w:pPr>
        <w:suppressAutoHyphens w:val="0"/>
        <w:spacing w:line="240" w:lineRule="auto"/>
      </w:pPr>
      <w:r>
        <w:br w:type="page"/>
      </w:r>
      <w:r w:rsidR="00D320B5">
        <w:lastRenderedPageBreak/>
        <w:t>Приложение III</w:t>
      </w:r>
    </w:p>
    <w:p w14:paraId="19CCAB91" w14:textId="787E83C8" w:rsidR="00D320B5" w:rsidRPr="0092432D" w:rsidRDefault="00D320B5" w:rsidP="00B46B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>
        <w:tab/>
      </w:r>
      <w:r>
        <w:tab/>
      </w:r>
      <w:r w:rsidRPr="00E35974">
        <w:t xml:space="preserve">Виды деятельности, требующие дополнительных ресурсов, включая кадровое </w:t>
      </w:r>
      <w:r w:rsidR="00B46B84">
        <w:br/>
      </w:r>
      <w:r w:rsidRPr="00E35974">
        <w:t xml:space="preserve">обеспечение секретариата, для осуществления в период 2021–2023 годов, </w:t>
      </w:r>
      <w:r w:rsidR="00B46B84">
        <w:br/>
      </w:r>
      <w:r w:rsidRPr="00E35974">
        <w:t>при условии выделения ресурсов</w:t>
      </w:r>
      <w:r w:rsidRPr="00E35974">
        <w:tab/>
      </w:r>
      <w:r w:rsidRPr="00E35974">
        <w:tab/>
        <w:t>2</w:t>
      </w:r>
      <w:r w:rsidR="00B46B84">
        <w:t>9</w:t>
      </w:r>
    </w:p>
    <w:p w14:paraId="5BDE9983" w14:textId="5412A5AC" w:rsidR="00D320B5" w:rsidRPr="0092432D" w:rsidRDefault="00D320B5" w:rsidP="00B46B84">
      <w:pPr>
        <w:tabs>
          <w:tab w:val="right" w:pos="1232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  <w:t>VIII/3–IV/3</w:t>
      </w:r>
      <w:r>
        <w:tab/>
        <w:t xml:space="preserve">Долгосрочная стратегия и план действий по осуществлению Конвенции </w:t>
      </w:r>
      <w:r w:rsidR="00B46B84">
        <w:br/>
      </w:r>
      <w:r w:rsidR="00B46B84">
        <w:tab/>
      </w:r>
      <w:r w:rsidR="00B46B84">
        <w:tab/>
      </w:r>
      <w:r>
        <w:t>и Протокола</w:t>
      </w:r>
      <w:r>
        <w:tab/>
      </w:r>
      <w:r>
        <w:tab/>
      </w:r>
      <w:r w:rsidR="00B46B84">
        <w:t>3</w:t>
      </w:r>
      <w:r w:rsidR="00697356">
        <w:t>2</w:t>
      </w:r>
    </w:p>
    <w:p w14:paraId="05B42D81" w14:textId="0E501D9F" w:rsidR="00D320B5" w:rsidRPr="0092432D" w:rsidRDefault="00D320B5" w:rsidP="00B46B84">
      <w:pPr>
        <w:tabs>
          <w:tab w:val="righ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>Приложение</w:t>
      </w:r>
    </w:p>
    <w:p w14:paraId="6C426B74" w14:textId="16CB9E04" w:rsidR="00D320B5" w:rsidRPr="0092432D" w:rsidRDefault="00D320B5" w:rsidP="00B46B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  <w:t>Долгосрочная стратегия и план действий по осуществлению Конвенции и Протокола</w:t>
      </w:r>
      <w:r>
        <w:tab/>
      </w:r>
      <w:r>
        <w:tab/>
      </w:r>
      <w:r w:rsidR="00B46B84">
        <w:t>3</w:t>
      </w:r>
      <w:r w:rsidR="00697356">
        <w:t>3</w:t>
      </w:r>
    </w:p>
    <w:p w14:paraId="4B2126D1" w14:textId="03F4A496" w:rsidR="00D320B5" w:rsidRPr="0092432D" w:rsidRDefault="00D320B5" w:rsidP="00B46B8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B46B84">
        <w:tab/>
      </w:r>
      <w:r>
        <w:t>Вильнюсская декларация</w:t>
      </w:r>
      <w:r>
        <w:tab/>
      </w:r>
      <w:r>
        <w:tab/>
      </w:r>
      <w:r w:rsidR="00B46B84">
        <w:t>4</w:t>
      </w:r>
      <w:r w:rsidR="00697356">
        <w:t>0</w:t>
      </w:r>
    </w:p>
    <w:p w14:paraId="38A45572" w14:textId="42B2D221" w:rsidR="00D320B5" w:rsidRDefault="00D320B5">
      <w:pPr>
        <w:suppressAutoHyphens w:val="0"/>
        <w:spacing w:line="240" w:lineRule="auto"/>
      </w:pPr>
      <w:r>
        <w:br w:type="page"/>
      </w:r>
    </w:p>
    <w:p w14:paraId="5CAEFFF3" w14:textId="37F02ACB" w:rsidR="00D320B5" w:rsidRPr="00D320B5" w:rsidRDefault="00AB6E36" w:rsidP="00AB6E36">
      <w:pPr>
        <w:pStyle w:val="HChG"/>
      </w:pPr>
      <w:r>
        <w:lastRenderedPageBreak/>
        <w:tab/>
      </w:r>
      <w:r>
        <w:tab/>
      </w:r>
      <w:r w:rsidR="00D320B5" w:rsidRPr="00D320B5">
        <w:t>Решение VIII/1–IV/1</w:t>
      </w:r>
    </w:p>
    <w:p w14:paraId="409DE9AB" w14:textId="77777777" w:rsidR="00D320B5" w:rsidRPr="00D320B5" w:rsidRDefault="00D320B5" w:rsidP="00AB6E36">
      <w:pPr>
        <w:pStyle w:val="H1G"/>
      </w:pPr>
      <w:r w:rsidRPr="00D320B5">
        <w:tab/>
      </w:r>
      <w:r w:rsidRPr="00D320B5">
        <w:tab/>
        <w:t>Механизмы финансирования на 2021–2023 годы</w:t>
      </w:r>
    </w:p>
    <w:p w14:paraId="051A0E2E" w14:textId="13A66EDD" w:rsidR="00D320B5" w:rsidRPr="00D320B5" w:rsidRDefault="00D320B5" w:rsidP="00D320B5">
      <w:pPr>
        <w:pStyle w:val="SingleTxtG"/>
        <w:rPr>
          <w:i/>
          <w:iCs/>
        </w:rPr>
      </w:pPr>
      <w:r w:rsidRPr="00D320B5">
        <w:tab/>
      </w:r>
      <w:r w:rsidRPr="00D320B5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</w:t>
      </w:r>
      <w:r w:rsidRPr="00D54568">
        <w:t>,</w:t>
      </w:r>
    </w:p>
    <w:p w14:paraId="539EB202" w14:textId="72F7C1D7" w:rsidR="00D320B5" w:rsidRPr="00D320B5" w:rsidRDefault="00D320B5" w:rsidP="00D320B5">
      <w:pPr>
        <w:pStyle w:val="SingleTxtG"/>
      </w:pPr>
      <w:r w:rsidRPr="00D320B5">
        <w:tab/>
      </w:r>
      <w:r w:rsidRPr="00AB6E36">
        <w:rPr>
          <w:i/>
          <w:iCs/>
        </w:rPr>
        <w:t>ссылаясь</w:t>
      </w:r>
      <w:r w:rsidRPr="00D320B5">
        <w:t xml:space="preserve"> на решение VII/4–III/4 о бюджете, механизмах финансирования и финансовой помощи на период 2017–2020 годов,</w:t>
      </w:r>
    </w:p>
    <w:p w14:paraId="0A1FD284" w14:textId="25D43FBB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 xml:space="preserve">ссылаясь также </w:t>
      </w:r>
      <w:r w:rsidRPr="00D320B5">
        <w:t>на решение VI/4–II/4, включая финансовую стратегию, содержащуюся в приложение II к этому решению, и выражая сожаление по поводу ограниченной применимости этой стратегии для совершенствования механизмов финансирования Конвенции и Протокола к ней и обеспечения предсказуемости и справедливого распределения взносов,</w:t>
      </w:r>
    </w:p>
    <w:p w14:paraId="01DBD8FD" w14:textId="5A9DAEB1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признавая</w:t>
      </w:r>
      <w:r w:rsidRPr="00D320B5">
        <w:t xml:space="preserve"> желание Сторон обеспечить высокую степень транспарентности и подотчетности в отношении положения дел с финансированием деятельности в соответствии с Конвенцией и Протоколом и изменений в нем,</w:t>
      </w:r>
    </w:p>
    <w:p w14:paraId="6A201CE0" w14:textId="6E439A42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приветствуя</w:t>
      </w:r>
      <w:r w:rsidRPr="00D320B5">
        <w:t xml:space="preserve"> годовые финансовые отчеты, подготовленные секретариатом в течение межсессионного периода 2017–2020 годов,</w:t>
      </w:r>
    </w:p>
    <w:p w14:paraId="6D00BBB4" w14:textId="3281CDA3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отмечая</w:t>
      </w:r>
      <w:r w:rsidRPr="00D320B5">
        <w:t xml:space="preserve"> с признательностью</w:t>
      </w:r>
      <w:r w:rsidRPr="00D320B5">
        <w:rPr>
          <w:i/>
          <w:iCs/>
        </w:rPr>
        <w:t xml:space="preserve"> </w:t>
      </w:r>
      <w:r w:rsidRPr="00D320B5">
        <w:t>взносы, внесенные в этот период как наличными, так и в натуральной форме,</w:t>
      </w:r>
      <w:r w:rsidR="00AB6E36">
        <w:t xml:space="preserve"> </w:t>
      </w:r>
      <w:bookmarkStart w:id="0" w:name="_Hlk32402231"/>
      <w:bookmarkEnd w:id="0"/>
    </w:p>
    <w:p w14:paraId="502DE2AC" w14:textId="38BAC334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выражая</w:t>
      </w:r>
      <w:r w:rsidRPr="00D320B5">
        <w:t xml:space="preserve"> вместе с тем </w:t>
      </w:r>
      <w:r w:rsidRPr="00D320B5">
        <w:rPr>
          <w:i/>
          <w:iCs/>
        </w:rPr>
        <w:t>сожаление</w:t>
      </w:r>
      <w:r w:rsidRPr="00D320B5">
        <w:t xml:space="preserve"> в связи с недостаточностью и непредсказуемостью взносов, усугубившимися в результате не обеспеченного финансированием продления этого периода на шесть месяцев,</w:t>
      </w:r>
    </w:p>
    <w:p w14:paraId="0B5DCB1C" w14:textId="6FDF6553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сожалея также</w:t>
      </w:r>
      <w:r w:rsidRPr="00D320B5">
        <w:t xml:space="preserve"> о по-прежнему неравномерном распределении финансового бремени, при котором бóльшую часть финансирования предоставляют лишь несколько Сторон, в то время как некоторые Стороны вообще не вносят никаких взносов,</w:t>
      </w:r>
    </w:p>
    <w:p w14:paraId="2845B6DB" w14:textId="55ED1477" w:rsidR="00D320B5" w:rsidRPr="00D320B5" w:rsidRDefault="00D320B5" w:rsidP="00D320B5">
      <w:pPr>
        <w:pStyle w:val="SingleTxtG"/>
      </w:pPr>
      <w:bookmarkStart w:id="1" w:name="_Hlk32417526"/>
      <w:r w:rsidRPr="00D320B5">
        <w:tab/>
      </w:r>
      <w:r w:rsidRPr="00D320B5">
        <w:rPr>
          <w:i/>
          <w:iCs/>
        </w:rPr>
        <w:t xml:space="preserve">подтверждая </w:t>
      </w:r>
      <w:r w:rsidRPr="00D320B5">
        <w:t>необходимость предоставления всеми Сторонами стабильного и достаточного финансирования и людских ресурсов для осуществления плана работы по Конвенции и Протоколу к ней в следующий межсессионный период</w:t>
      </w:r>
      <w:r w:rsidR="00AB6E36">
        <w:t xml:space="preserve"> </w:t>
      </w:r>
      <w:r w:rsidR="00AB6E36">
        <w:br/>
      </w:r>
      <w:r w:rsidRPr="00D320B5">
        <w:t xml:space="preserve">(2021–2023 годы), принятого в решении VIII/2–IV/2, </w:t>
      </w:r>
    </w:p>
    <w:p w14:paraId="1584C68E" w14:textId="0336F180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подтверждая также</w:t>
      </w:r>
      <w:r w:rsidRPr="00D320B5">
        <w:t xml:space="preserve"> необходимость для каждой Стороны принимать участие в справедливом распределении расходов по плану работы и вносить взнос, по мере возможности, в зависимости от ее экономических возможностей, </w:t>
      </w:r>
      <w:bookmarkEnd w:id="1"/>
    </w:p>
    <w:p w14:paraId="21C1E4A5" w14:textId="6DDB6DED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сознавая</w:t>
      </w:r>
      <w:r w:rsidRPr="00D320B5">
        <w:t xml:space="preserve"> важность широкого участия Сторон в деятельности в рамках Конвенции и Протокола в целях повышения ее эффективности,</w:t>
      </w:r>
    </w:p>
    <w:p w14:paraId="266D441E" w14:textId="1615004F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сознавая также</w:t>
      </w:r>
      <w:r w:rsidRPr="00D320B5">
        <w:t xml:space="preserve"> необходимость оказания содействия участию некоторых стран с переходной экономикой, которые в противном случае не смогут принимать участия, в совещаниях и других видах деятельности в рамках Конвенции и Протокола,</w:t>
      </w:r>
    </w:p>
    <w:p w14:paraId="48DAF2E3" w14:textId="3EB98DC6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ссылаясь</w:t>
      </w:r>
      <w:r w:rsidRPr="00D320B5">
        <w:t xml:space="preserve"> на пункт 3 статьи 23 Протокола, который позволяет государствам — членам Организации Объединенных Наций, не являющимся членами Европейской экономической комиссии Организации Объединенных Наций (ЕЭК), присоединиться к Протоколу, а также на пункт 3 статьи 17 Конвенции, который в ближайшем будущем также позволит присоединиться к Конвенции государствам, не являющимся членами ЕЭК,</w:t>
      </w:r>
    </w:p>
    <w:p w14:paraId="12A4CCF4" w14:textId="6F80ABCF" w:rsidR="00D320B5" w:rsidRPr="00D320B5" w:rsidRDefault="00AB6E36" w:rsidP="00D320B5">
      <w:pPr>
        <w:pStyle w:val="SingleTxtG"/>
      </w:pPr>
      <w:r>
        <w:tab/>
      </w:r>
      <w:r w:rsidR="00D320B5" w:rsidRPr="00D320B5">
        <w:t>1.</w:t>
      </w:r>
      <w:r w:rsidR="00D320B5" w:rsidRPr="00D320B5">
        <w:tab/>
      </w:r>
      <w:r w:rsidR="00D320B5" w:rsidRPr="00D320B5">
        <w:rPr>
          <w:i/>
          <w:iCs/>
        </w:rPr>
        <w:t>устанавливают</w:t>
      </w:r>
      <w:r w:rsidR="00D320B5" w:rsidRPr="00D320B5">
        <w:t xml:space="preserve"> схему финансирования утвержденных планов работы, в соответствии с которой все Стороны обязаны способствовать справедливому распределению расходов, не покрываемых из регулярного бюджета Организации Объединенных Наций;</w:t>
      </w:r>
      <w:r>
        <w:t xml:space="preserve"> </w:t>
      </w:r>
    </w:p>
    <w:p w14:paraId="575761FD" w14:textId="364C1DF5" w:rsidR="00D320B5" w:rsidRPr="00D320B5" w:rsidRDefault="00AB6E36" w:rsidP="00D320B5">
      <w:pPr>
        <w:pStyle w:val="SingleTxtG"/>
      </w:pPr>
      <w:r>
        <w:lastRenderedPageBreak/>
        <w:tab/>
      </w:r>
      <w:r w:rsidR="00D320B5" w:rsidRPr="00D320B5">
        <w:t>2.</w:t>
      </w:r>
      <w:r w:rsidR="00D320B5" w:rsidRPr="00D320B5">
        <w:tab/>
      </w:r>
      <w:r w:rsidR="00D320B5" w:rsidRPr="00D320B5">
        <w:rPr>
          <w:i/>
          <w:iCs/>
        </w:rPr>
        <w:t>принимают решение</w:t>
      </w:r>
      <w:r w:rsidR="00D320B5" w:rsidRPr="00D320B5">
        <w:t>, что схема финансирования должна основываться на следующих принципах:</w:t>
      </w:r>
    </w:p>
    <w:p w14:paraId="4E570D56" w14:textId="77777777" w:rsidR="00D320B5" w:rsidRPr="00D320B5" w:rsidRDefault="00D320B5" w:rsidP="00D320B5">
      <w:pPr>
        <w:pStyle w:val="SingleTxtG"/>
      </w:pPr>
      <w:r w:rsidRPr="00D320B5">
        <w:tab/>
        <w:t>a)</w:t>
      </w:r>
      <w:r w:rsidRPr="00D320B5">
        <w:tab/>
        <w:t xml:space="preserve">каждая Сторона вносит годовые или многолетние взносы для финансирования осуществления планов работы; </w:t>
      </w:r>
    </w:p>
    <w:p w14:paraId="7CA781B1" w14:textId="06D0A7EE" w:rsidR="00D320B5" w:rsidRPr="00D320B5" w:rsidRDefault="00AB6E36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 xml:space="preserve">Стороны сообщают о своих планируемых годовых или многолетних финансовых взносах и взносах в натуральной форме заблаговременно до принятия </w:t>
      </w:r>
      <w:r w:rsidR="00B4592D">
        <w:t>с</w:t>
      </w:r>
      <w:r w:rsidR="00D320B5" w:rsidRPr="00D320B5">
        <w:t>овещаниями Сторон плана работы и бюджета для обеспечения того, чтобы планы работы соответствовали объему финансирования, и достижения большей определенности в управлении финансированием и проектами;</w:t>
      </w:r>
    </w:p>
    <w:p w14:paraId="41276141" w14:textId="4EB17A05" w:rsidR="00D320B5" w:rsidRPr="00D320B5" w:rsidRDefault="00AB6E36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регулярные годовые или многолетние взносы вносятся наличными и предпочтительно не резервируются для того или иного вида деятельности, а направляются на осуществление плана работы в целом, с тем чтобы не ограничивать их выделение покрытием приоритетных расходов, в то время как дополнительные взносы могут вноситься наличными или в натуральной форме и могут быть зарезервированы для конкретного вида деятельности;</w:t>
      </w:r>
    </w:p>
    <w:p w14:paraId="1ECAE17E" w14:textId="09A2E211" w:rsidR="00D320B5" w:rsidRPr="00D320B5" w:rsidRDefault="00AB6E36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>взносы наличными вносятся через целевой фонд ЕЭК для Конвенции и Протокола к ней в соответствии с требованиями об уплате, выдаваемыми секретариатом;</w:t>
      </w:r>
    </w:p>
    <w:p w14:paraId="6839614F" w14:textId="48C76E42" w:rsidR="00D320B5" w:rsidRPr="00D320B5" w:rsidRDefault="00AB6E36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>с учетом административных операционных издержек, связанных с каждым платежом, размер единого взноса не должен быть менее 500 долл. США;</w:t>
      </w:r>
    </w:p>
    <w:p w14:paraId="7C56F8ED" w14:textId="25DDA9C7" w:rsidR="00D320B5" w:rsidRPr="00D320B5" w:rsidRDefault="00AB6E36" w:rsidP="00D320B5">
      <w:pPr>
        <w:pStyle w:val="SingleTxtG"/>
      </w:pPr>
      <w:r>
        <w:tab/>
      </w:r>
      <w:r w:rsidR="00D320B5" w:rsidRPr="00D320B5">
        <w:t>f)</w:t>
      </w:r>
      <w:r w:rsidR="00D320B5" w:rsidRPr="00D320B5">
        <w:tab/>
        <w:t>по мере возможности взносы за конкретный календарный год вносятся до 1 октября предыдущего года или, если это не представляется возможным, в течение первых шести месяцев календарного года, с тем чтобы обеспечить в приоритетном порядке продление контрактов сотрудников секретариата, финансируемых за счет внебюджетных средств, в целях бесперебойного функционирования секретариата и своевременного и эффективного осуществления плана работы;</w:t>
      </w:r>
    </w:p>
    <w:p w14:paraId="2F988526" w14:textId="43C6FBED" w:rsidR="00D320B5" w:rsidRPr="00D320B5" w:rsidRDefault="00AB6E36" w:rsidP="00D320B5">
      <w:pPr>
        <w:pStyle w:val="SingleTxtG"/>
      </w:pPr>
      <w:r>
        <w:tab/>
      </w:r>
      <w:r w:rsidR="00D320B5" w:rsidRPr="00D320B5">
        <w:t>3.</w:t>
      </w:r>
      <w:r w:rsidR="00D320B5" w:rsidRPr="00D320B5">
        <w:tab/>
      </w:r>
      <w:r w:rsidR="00D320B5" w:rsidRPr="00D320B5">
        <w:rPr>
          <w:i/>
          <w:iCs/>
        </w:rPr>
        <w:t xml:space="preserve">просят </w:t>
      </w:r>
      <w:r w:rsidR="00D320B5" w:rsidRPr="00D320B5">
        <w:t xml:space="preserve">каждую Сторону вносить годовые или многолетние взносы для финансирования осуществления плана работы; </w:t>
      </w:r>
      <w:r w:rsidR="00D320B5" w:rsidRPr="00D320B5">
        <w:tab/>
      </w:r>
      <w:bookmarkStart w:id="2" w:name="_Hlk58163728"/>
      <w:bookmarkEnd w:id="2"/>
    </w:p>
    <w:p w14:paraId="0938CFC2" w14:textId="1209B925" w:rsidR="00D320B5" w:rsidRPr="00D54568" w:rsidRDefault="00AB6E36" w:rsidP="00D320B5">
      <w:pPr>
        <w:pStyle w:val="SingleTxtG"/>
      </w:pPr>
      <w:r>
        <w:tab/>
      </w:r>
      <w:r w:rsidR="00D320B5" w:rsidRPr="00D320B5">
        <w:t>4.</w:t>
      </w:r>
      <w:r w:rsidR="00D320B5" w:rsidRPr="00D320B5">
        <w:tab/>
      </w:r>
      <w:r w:rsidR="00D320B5" w:rsidRPr="00E97C22">
        <w:rPr>
          <w:i/>
          <w:iCs/>
        </w:rPr>
        <w:t>призывают</w:t>
      </w:r>
      <w:r w:rsidR="00D320B5" w:rsidRPr="00D320B5">
        <w:t xml:space="preserve"> Стороны использовать различные финансовые источники в рамках национальных бюджетов для своих финансовых взносов</w:t>
      </w:r>
      <w:r w:rsidR="00D320B5" w:rsidRPr="00651826">
        <w:rPr>
          <w:rStyle w:val="FootnoteReference"/>
        </w:rPr>
        <w:footnoteReference w:id="1"/>
      </w:r>
      <w:r w:rsidR="00D54568">
        <w:t>;</w:t>
      </w:r>
    </w:p>
    <w:p w14:paraId="63870DDB" w14:textId="0F4E0B84" w:rsidR="00D320B5" w:rsidRPr="00D320B5" w:rsidRDefault="00AB6E36" w:rsidP="00D320B5">
      <w:pPr>
        <w:pStyle w:val="SingleTxtG"/>
      </w:pPr>
      <w:r>
        <w:tab/>
      </w:r>
      <w:r w:rsidR="00D320B5" w:rsidRPr="00D320B5">
        <w:t>5.</w:t>
      </w:r>
      <w:r w:rsidR="00D320B5" w:rsidRPr="00D320B5">
        <w:tab/>
      </w:r>
      <w:r w:rsidR="00D320B5" w:rsidRPr="00D320B5">
        <w:rPr>
          <w:i/>
          <w:iCs/>
        </w:rPr>
        <w:t>предлагают</w:t>
      </w:r>
      <w:r w:rsidR="00D320B5" w:rsidRPr="00D320B5">
        <w:t xml:space="preserve"> сигнатариям, другим заинтересованным государствам, организациям и международным финансовым учреждениям также вносить финансовые взносы или взносы в натуральной форме; </w:t>
      </w:r>
      <w:r w:rsidR="00D320B5" w:rsidRPr="00D320B5">
        <w:tab/>
      </w:r>
    </w:p>
    <w:p w14:paraId="4F2B763B" w14:textId="401C77E2" w:rsidR="00D320B5" w:rsidRPr="00D320B5" w:rsidRDefault="00AB6E36" w:rsidP="00D320B5">
      <w:pPr>
        <w:pStyle w:val="SingleTxtG"/>
      </w:pPr>
      <w:r>
        <w:tab/>
      </w:r>
      <w:r w:rsidR="00D320B5" w:rsidRPr="00D320B5">
        <w:t>6.</w:t>
      </w:r>
      <w:r w:rsidR="00D320B5" w:rsidRPr="00D320B5">
        <w:tab/>
      </w:r>
      <w:r w:rsidR="00D320B5" w:rsidRPr="00D320B5">
        <w:rPr>
          <w:i/>
          <w:iCs/>
        </w:rPr>
        <w:t>постановляют</w:t>
      </w:r>
      <w:r w:rsidR="00D320B5" w:rsidRPr="00D320B5">
        <w:t xml:space="preserve"> прекратить использование системы долевых взносов, принятую в соответствии с решением III/10 Совещания Сторон Конвенции (где одна доля равняется 1000 долл. США), и вместо этого более четко указать потребности в ресурсах и взносы стран в долларовом выражении;</w:t>
      </w:r>
    </w:p>
    <w:p w14:paraId="51638FF2" w14:textId="438A7498" w:rsidR="00D320B5" w:rsidRPr="00D320B5" w:rsidRDefault="00AB6E36" w:rsidP="00D320B5">
      <w:pPr>
        <w:pStyle w:val="SingleTxtG"/>
      </w:pPr>
      <w:r>
        <w:tab/>
      </w:r>
      <w:r w:rsidR="00D320B5" w:rsidRPr="00D320B5">
        <w:t>7.</w:t>
      </w:r>
      <w:r w:rsidR="00D320B5" w:rsidRPr="00D320B5">
        <w:tab/>
      </w:r>
      <w:r w:rsidR="00D320B5" w:rsidRPr="00D320B5">
        <w:rPr>
          <w:i/>
          <w:iCs/>
        </w:rPr>
        <w:t>утверждают</w:t>
      </w:r>
      <w:r w:rsidR="00D320B5" w:rsidRPr="00D320B5">
        <w:t xml:space="preserve"> подготовленный секретариатом доклад о бюджете и механизмах финансирования в период 2017–2020 годов, который содержится в документе ECE/MP.EIA/2020/2</w:t>
      </w:r>
      <w:r w:rsidR="006D40F2">
        <w:t>-</w:t>
      </w:r>
      <w:r w:rsidR="00D320B5" w:rsidRPr="00D320B5">
        <w:t>ECE/MP.EIA/SEA/2020/2;</w:t>
      </w:r>
    </w:p>
    <w:p w14:paraId="739620EF" w14:textId="0B4BD2F6" w:rsidR="00D320B5" w:rsidRPr="00D320B5" w:rsidRDefault="00AB6E36" w:rsidP="00D320B5">
      <w:pPr>
        <w:pStyle w:val="SingleTxtG"/>
      </w:pPr>
      <w:r>
        <w:tab/>
      </w:r>
      <w:r w:rsidR="00D320B5" w:rsidRPr="00D320B5">
        <w:t>8.</w:t>
      </w:r>
      <w:r w:rsidR="00D320B5" w:rsidRPr="00D320B5">
        <w:tab/>
      </w:r>
      <w:r w:rsidR="00D320B5" w:rsidRPr="00D320B5">
        <w:rPr>
          <w:i/>
          <w:iCs/>
        </w:rPr>
        <w:t>постановляют</w:t>
      </w:r>
      <w:r w:rsidR="00D320B5" w:rsidRPr="00D320B5">
        <w:t>, что предусмотренные планом работы на 2021–2023 годы виды деятельности и соответствующие сметные потребности в ресурсах, изложенные соответственно в приложениях I и II к решению VIII/2–IV/2 и не покрываемые из регулярного бюджета Организации Объединенных Наций, следует покрывать за счет взносов Сторон в целевой фонд на общую сумму 1 589 910 долл. США;</w:t>
      </w:r>
    </w:p>
    <w:p w14:paraId="617A71D9" w14:textId="509F4EC9" w:rsidR="00D320B5" w:rsidRPr="00D320B5" w:rsidRDefault="00E97C22" w:rsidP="00D320B5">
      <w:pPr>
        <w:pStyle w:val="SingleTxtG"/>
      </w:pPr>
      <w:r>
        <w:lastRenderedPageBreak/>
        <w:tab/>
      </w:r>
      <w:r w:rsidR="00D320B5" w:rsidRPr="00D320B5">
        <w:t>9.</w:t>
      </w:r>
      <w:r w:rsidR="00D320B5" w:rsidRPr="00D320B5">
        <w:tab/>
      </w:r>
      <w:r w:rsidR="00D320B5" w:rsidRPr="00D320B5">
        <w:rPr>
          <w:i/>
          <w:iCs/>
        </w:rPr>
        <w:t>подчеркивают</w:t>
      </w:r>
      <w:r w:rsidR="00D320B5" w:rsidRPr="00D320B5">
        <w:t xml:space="preserve"> необходимость надлежащего и стабильного кадрового укомплектования секретариата для планирования и осуществления деятельности с первоочередным вниманием к финансированию достаточного числа внебюджетных должностей сотрудников секретариата для оказания поддержки Комитету по осуществлению Конвенции и Протокола;</w:t>
      </w:r>
    </w:p>
    <w:p w14:paraId="316E89F1" w14:textId="0A9E4845" w:rsidR="00D320B5" w:rsidRPr="00D320B5" w:rsidRDefault="00E97C22" w:rsidP="00D320B5">
      <w:pPr>
        <w:pStyle w:val="SingleTxtG"/>
      </w:pPr>
      <w:r>
        <w:tab/>
      </w:r>
      <w:r w:rsidR="00D320B5" w:rsidRPr="00D320B5">
        <w:t>10.</w:t>
      </w:r>
      <w:r w:rsidR="00D320B5" w:rsidRPr="00D320B5">
        <w:tab/>
      </w:r>
      <w:r w:rsidR="00D320B5" w:rsidRPr="00D320B5">
        <w:rPr>
          <w:i/>
          <w:iCs/>
        </w:rPr>
        <w:t>постановляют</w:t>
      </w:r>
      <w:r w:rsidR="00D320B5" w:rsidRPr="00D320B5">
        <w:t>, что в соответствии с финансовыми правилами Организации Объединенных Наций секретариату в первоочередном порядке следует выделять требуемую сумму взносов в целевой фонд до 1 октября каждого года для обеспечения продления контрактов сотрудников секретариата, финансируемых из внебюджетных средств;</w:t>
      </w:r>
      <w:bookmarkStart w:id="3" w:name="_Hlk32424366"/>
    </w:p>
    <w:p w14:paraId="78AEC2E8" w14:textId="75472AF9" w:rsidR="00D320B5" w:rsidRPr="00D320B5" w:rsidRDefault="00E97C22" w:rsidP="00D320B5">
      <w:pPr>
        <w:pStyle w:val="SingleTxtG"/>
      </w:pPr>
      <w:r>
        <w:tab/>
      </w:r>
      <w:r w:rsidR="00D320B5" w:rsidRPr="00D320B5">
        <w:t>11.</w:t>
      </w:r>
      <w:r w:rsidR="00D320B5" w:rsidRPr="00D320B5">
        <w:tab/>
      </w:r>
      <w:r w:rsidR="00D320B5" w:rsidRPr="00D320B5">
        <w:rPr>
          <w:i/>
          <w:iCs/>
        </w:rPr>
        <w:t>просят</w:t>
      </w:r>
      <w:r w:rsidR="00D320B5" w:rsidRPr="00D320B5">
        <w:t xml:space="preserve"> секретариат своевременно направлять Сторонам в начале каждого года напоминания о невыполненных обязательствах по взносам и возможной задолженности;</w:t>
      </w:r>
    </w:p>
    <w:bookmarkEnd w:id="3"/>
    <w:p w14:paraId="63782EBF" w14:textId="46487D3B" w:rsidR="00D320B5" w:rsidRPr="00D320B5" w:rsidRDefault="00E97C22" w:rsidP="00D320B5">
      <w:pPr>
        <w:pStyle w:val="SingleTxtG"/>
      </w:pPr>
      <w:r>
        <w:tab/>
      </w:r>
      <w:r w:rsidR="00D320B5" w:rsidRPr="00D320B5">
        <w:t>12.</w:t>
      </w:r>
      <w:r w:rsidR="00D320B5" w:rsidRPr="00D320B5">
        <w:tab/>
      </w:r>
      <w:r w:rsidR="00D320B5" w:rsidRPr="00D320B5">
        <w:rPr>
          <w:i/>
          <w:iCs/>
        </w:rPr>
        <w:t>также просят</w:t>
      </w:r>
      <w:r w:rsidR="00D320B5" w:rsidRPr="00D320B5">
        <w:t xml:space="preserve"> секретариат в соответствии с финансовыми правилами Организации Объединенных Наций:</w:t>
      </w:r>
    </w:p>
    <w:p w14:paraId="14A647F4" w14:textId="77777777" w:rsidR="00D320B5" w:rsidRPr="00D320B5" w:rsidRDefault="00D320B5" w:rsidP="00D320B5">
      <w:pPr>
        <w:pStyle w:val="SingleTxtG"/>
      </w:pPr>
      <w:r w:rsidRPr="00D320B5">
        <w:tab/>
        <w:t>a)</w:t>
      </w:r>
      <w:r w:rsidRPr="00D320B5">
        <w:tab/>
        <w:t>отслеживать использование средств и продолжать готовить и представлять Президиуму ежегодные финансовые отчеты и далее просит Президиум рассматривать эти отчеты и давать согласие на их публикацию;</w:t>
      </w:r>
    </w:p>
    <w:p w14:paraId="4A232B10" w14:textId="77777777" w:rsidR="00D320B5" w:rsidRPr="00D320B5" w:rsidRDefault="00D320B5" w:rsidP="00D320B5">
      <w:pPr>
        <w:pStyle w:val="SingleTxtG"/>
      </w:pPr>
      <w:r w:rsidRPr="00D320B5">
        <w:tab/>
        <w:t>b)</w:t>
      </w:r>
      <w:r w:rsidRPr="00D320B5">
        <w:tab/>
        <w:t>включать в доклады информацию об имеющихся ресурсах (в том числе о взносах в натуральной форме) и указывать любые задолженности по выплате регулярных взносов Сторон в межсессионный период;</w:t>
      </w:r>
    </w:p>
    <w:p w14:paraId="4237F355" w14:textId="26196319" w:rsidR="00D320B5" w:rsidRPr="00D320B5" w:rsidRDefault="00D320B5" w:rsidP="00D320B5">
      <w:pPr>
        <w:pStyle w:val="SingleTxtG"/>
      </w:pPr>
      <w:r w:rsidRPr="00D320B5">
        <w:tab/>
        <w:t>с)</w:t>
      </w:r>
      <w:r w:rsidRPr="00D320B5">
        <w:tab/>
        <w:t xml:space="preserve">подготовить доклад к следующим сессиям </w:t>
      </w:r>
      <w:r w:rsidR="00B4592D" w:rsidRPr="00B4592D">
        <w:t>с</w:t>
      </w:r>
      <w:r w:rsidRPr="00B4592D">
        <w:t>овещаний Сторон</w:t>
      </w:r>
      <w:r w:rsidRPr="00D320B5">
        <w:t xml:space="preserve"> на основе информации, содержащейся в годовых отчетах, и четко указать существенные изменения, произошедшие в этот период, с тем чтобы Стороны могли наилучшим образом удовлетворить будущие потребности в ресурсах в рамках Конвенции и Протокола к ней;</w:t>
      </w:r>
    </w:p>
    <w:p w14:paraId="777EDAA5" w14:textId="203E1411" w:rsidR="00D320B5" w:rsidRPr="00D320B5" w:rsidRDefault="00E97C22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>если взносы каких-либо Сторон не были получены до 31 декабря соответствующего года, секретариату следует направить этим Сторонам письмо, с тем чтобы убедить их в важности внесения взносов</w:t>
      </w:r>
      <w:r w:rsidR="006D40F2">
        <w:t>;</w:t>
      </w:r>
    </w:p>
    <w:p w14:paraId="5896D2D1" w14:textId="02DFFFB2" w:rsidR="00D320B5" w:rsidRPr="00D320B5" w:rsidRDefault="00E97C22" w:rsidP="00D320B5">
      <w:pPr>
        <w:pStyle w:val="SingleTxtG"/>
      </w:pPr>
      <w:r>
        <w:tab/>
      </w:r>
      <w:r w:rsidR="00D320B5" w:rsidRPr="00D320B5">
        <w:t>13.</w:t>
      </w:r>
      <w:r w:rsidR="00D320B5" w:rsidRPr="00D320B5">
        <w:tab/>
      </w:r>
      <w:r w:rsidR="00D320B5" w:rsidRPr="00D320B5">
        <w:rPr>
          <w:i/>
          <w:iCs/>
        </w:rPr>
        <w:t>просят</w:t>
      </w:r>
      <w:r w:rsidR="00D320B5" w:rsidRPr="00D320B5">
        <w:t xml:space="preserve"> Президиум продолжить анализ ранее представленных возможных решений проблемы недостаточности, неравномерности распределения и непредсказуемости взносов для осуществления плана работы по Конвенции и Протокола к ней в межсессионный период 2021</w:t>
      </w:r>
      <w:r w:rsidR="00D54568">
        <w:t>–</w:t>
      </w:r>
      <w:r w:rsidR="00D320B5" w:rsidRPr="00D320B5">
        <w:t xml:space="preserve">2023 годов, учитывая также опыт других многосторонних природоохранных соглашений ЕЭК, и представить результаты этого анализа Рабочей группе по оценке воздействия на окружающую среду и стратегической экологической оценке в 2022 году и далее представить их </w:t>
      </w:r>
      <w:r w:rsidR="00D320B5" w:rsidRPr="00B4592D">
        <w:t>совещаниям Сторон</w:t>
      </w:r>
      <w:r w:rsidR="00D320B5" w:rsidRPr="00D320B5">
        <w:t xml:space="preserve"> в 2023 году;</w:t>
      </w:r>
    </w:p>
    <w:p w14:paraId="2D2284E7" w14:textId="747BF0CC" w:rsidR="00D320B5" w:rsidRPr="00D320B5" w:rsidRDefault="00E97C22" w:rsidP="00D320B5">
      <w:pPr>
        <w:pStyle w:val="SingleTxtG"/>
      </w:pPr>
      <w:r>
        <w:tab/>
      </w:r>
      <w:r w:rsidR="00D320B5" w:rsidRPr="00D320B5">
        <w:t>14.</w:t>
      </w:r>
      <w:r w:rsidR="00D320B5" w:rsidRPr="00D320B5">
        <w:tab/>
      </w:r>
      <w:r w:rsidR="00D320B5" w:rsidRPr="00D320B5">
        <w:rPr>
          <w:i/>
          <w:iCs/>
        </w:rPr>
        <w:t>просят</w:t>
      </w:r>
      <w:r w:rsidR="00D320B5" w:rsidRPr="00D320B5">
        <w:t xml:space="preserve"> Рабочую группу рассматривать в свете ежегодных докладов вопрос о необходимости внесения изменений в содержание и сроки осуществления плана работы в том случае, если уровень взносов не соответствует уровню необходимого финансирования;</w:t>
      </w:r>
      <w:r w:rsidR="00AB6E36">
        <w:t xml:space="preserve"> </w:t>
      </w:r>
    </w:p>
    <w:p w14:paraId="205157C1" w14:textId="6BFCA162" w:rsidR="00D320B5" w:rsidRPr="00D320B5" w:rsidRDefault="00E97C22" w:rsidP="00D320B5">
      <w:pPr>
        <w:pStyle w:val="SingleTxtG"/>
      </w:pPr>
      <w:r>
        <w:tab/>
      </w:r>
      <w:r w:rsidR="00D320B5" w:rsidRPr="00D320B5">
        <w:t>15.</w:t>
      </w:r>
      <w:r w:rsidR="00D320B5" w:rsidRPr="00D320B5">
        <w:tab/>
      </w:r>
      <w:r w:rsidR="00D320B5" w:rsidRPr="00D320B5">
        <w:rPr>
          <w:i/>
          <w:iCs/>
        </w:rPr>
        <w:t>постановляют</w:t>
      </w:r>
      <w:r w:rsidR="00D320B5" w:rsidRPr="00D320B5">
        <w:t>, что Исполнительный секретарь ЕЭК уполномочен после консультаций с Президиумом и в случае необходимости производить перераспределение ассигнований между основными статьями бюджета в максимальном размере 10</w:t>
      </w:r>
      <w:r w:rsidR="00D54568">
        <w:t> </w:t>
      </w:r>
      <w:r w:rsidR="00D320B5" w:rsidRPr="00D320B5">
        <w:t xml:space="preserve">% от основной бюджетной статьи, из которой будет производиться такое перераспределение, до начала следующих сессий </w:t>
      </w:r>
      <w:r w:rsidR="00B4592D">
        <w:t>с</w:t>
      </w:r>
      <w:r w:rsidR="00D320B5" w:rsidRPr="00D320B5">
        <w:t>овещаний Сторон, и оперативно информировать Стороны о таких корректировках;</w:t>
      </w:r>
    </w:p>
    <w:p w14:paraId="6BA045AD" w14:textId="767FEFBC" w:rsidR="00D320B5" w:rsidRPr="00D320B5" w:rsidRDefault="00E97C22" w:rsidP="00D320B5">
      <w:pPr>
        <w:pStyle w:val="SingleTxtG"/>
      </w:pPr>
      <w:r>
        <w:tab/>
      </w:r>
      <w:r w:rsidR="00D320B5" w:rsidRPr="00D320B5">
        <w:t>16.</w:t>
      </w:r>
      <w:r w:rsidR="00D320B5" w:rsidRPr="00D320B5">
        <w:tab/>
      </w:r>
      <w:r w:rsidR="00D320B5" w:rsidRPr="00D320B5">
        <w:rPr>
          <w:i/>
          <w:iCs/>
        </w:rPr>
        <w:t>просят</w:t>
      </w:r>
      <w:r w:rsidR="00D320B5" w:rsidRPr="00D320B5">
        <w:t xml:space="preserve"> Секретаря ЕЭК выделить более значительный объем ресурсов для поддержки работы в рамках Конвенции и Протокола с учетом сбалансированного использования ресурсов регулярного бюджета в различных подпрограммах;</w:t>
      </w:r>
    </w:p>
    <w:p w14:paraId="7E9DF162" w14:textId="7763BAEF" w:rsidR="00D320B5" w:rsidRPr="00D320B5" w:rsidRDefault="00E97C22" w:rsidP="00D320B5">
      <w:pPr>
        <w:pStyle w:val="SingleTxtG"/>
      </w:pPr>
      <w:r>
        <w:tab/>
      </w:r>
      <w:r w:rsidR="00D320B5" w:rsidRPr="00D320B5">
        <w:t>17.</w:t>
      </w:r>
      <w:r w:rsidR="00D320B5" w:rsidRPr="00D320B5">
        <w:tab/>
      </w:r>
      <w:r w:rsidR="00D320B5" w:rsidRPr="00D320B5">
        <w:rPr>
          <w:i/>
          <w:iCs/>
        </w:rPr>
        <w:t>постановляют</w:t>
      </w:r>
      <w:r w:rsidR="00D320B5" w:rsidRPr="00D320B5">
        <w:t xml:space="preserve">, что Рабочая группа по оценке воздействия на окружающую среду и стратегической экологической оценке подготовит дополнительный проект решения по вопросу о механизмах финансирования для </w:t>
      </w:r>
      <w:r w:rsidR="00D320B5" w:rsidRPr="00D320B5">
        <w:lastRenderedPageBreak/>
        <w:t xml:space="preserve">утверждения </w:t>
      </w:r>
      <w:r w:rsidR="00B4592D">
        <w:t>с</w:t>
      </w:r>
      <w:r w:rsidR="00D320B5" w:rsidRPr="00D320B5">
        <w:t>овещаниями Сторон Конвенции и Протокола на их девятой и пятой сессиях соответственно на основе накопленного в промежуточный период опыта работы по использованию механизмов финансирования, принятых на нынешней совместной сессии;</w:t>
      </w:r>
    </w:p>
    <w:p w14:paraId="0C424067" w14:textId="64C4C058" w:rsidR="00D320B5" w:rsidRPr="00D320B5" w:rsidRDefault="00E97C22" w:rsidP="00D320B5">
      <w:pPr>
        <w:pStyle w:val="SingleTxtG"/>
      </w:pPr>
      <w:r>
        <w:tab/>
      </w:r>
      <w:r w:rsidR="00D320B5" w:rsidRPr="00D320B5">
        <w:t>18.</w:t>
      </w:r>
      <w:r w:rsidR="00D320B5" w:rsidRPr="00D320B5">
        <w:tab/>
      </w:r>
      <w:r w:rsidR="00D320B5" w:rsidRPr="00D320B5">
        <w:rPr>
          <w:i/>
          <w:iCs/>
        </w:rPr>
        <w:t>призывают</w:t>
      </w:r>
      <w:r w:rsidR="00D320B5" w:rsidRPr="00D320B5">
        <w:t xml:space="preserve"> страны с переходной экономикой по мере возможности финансировать свое участие в деятельности в рамках Конвенции и Протокола к ней в целях обеспечения эффективного использования имеющихся ограниченных средств;</w:t>
      </w:r>
    </w:p>
    <w:p w14:paraId="64AD7660" w14:textId="6B13EB99" w:rsidR="00D320B5" w:rsidRPr="00D320B5" w:rsidRDefault="00E97C22" w:rsidP="00D320B5">
      <w:pPr>
        <w:pStyle w:val="SingleTxtG"/>
      </w:pPr>
      <w:r>
        <w:tab/>
      </w:r>
      <w:r w:rsidR="00D320B5" w:rsidRPr="00D320B5">
        <w:t>19.</w:t>
      </w:r>
      <w:r w:rsidR="00D320B5" w:rsidRPr="00D320B5">
        <w:tab/>
      </w:r>
      <w:r w:rsidR="00D320B5" w:rsidRPr="00D320B5">
        <w:rPr>
          <w:i/>
          <w:iCs/>
        </w:rPr>
        <w:t>настоятельно призывают</w:t>
      </w:r>
      <w:r w:rsidR="00D320B5" w:rsidRPr="00D320B5">
        <w:t xml:space="preserve"> Стороны и рекомендуют субъектам, не являющимся Сторонами, а также соответствующим международным организациям предоставлять финансовые ресурсы, с тем чтобы дать странам с переходной экономикой и неправительственным организациям возможность участвовать в совещаниях, проводимых в рамках Конвенции и Протокола к ней;</w:t>
      </w:r>
    </w:p>
    <w:p w14:paraId="6DA31B3C" w14:textId="7642418B" w:rsidR="00D320B5" w:rsidRPr="00D320B5" w:rsidRDefault="00E97C22" w:rsidP="00D320B5">
      <w:pPr>
        <w:pStyle w:val="SingleTxtG"/>
      </w:pPr>
      <w:r>
        <w:tab/>
      </w:r>
      <w:r w:rsidR="00D320B5" w:rsidRPr="00D320B5">
        <w:t>20.</w:t>
      </w:r>
      <w:r w:rsidR="00D320B5" w:rsidRPr="00D320B5">
        <w:tab/>
      </w:r>
      <w:r w:rsidR="00D320B5" w:rsidRPr="00D320B5">
        <w:rPr>
          <w:i/>
          <w:iCs/>
        </w:rPr>
        <w:t>рекомендуют</w:t>
      </w:r>
      <w:r w:rsidR="00D320B5" w:rsidRPr="00D320B5">
        <w:t xml:space="preserve"> применять при осуществлении деятельности в рамках Конвенции и Протокола к ней установленные и периодически обновляемые Комитетом по экологической политике руководящие критерии оказания финансовой помощи для поддержки участия экспертов и представителей стран с переходной экономикой в совещаниях и рабочих совещаниях, организуемых в рамках Конвенции и Протокола к ней, а также в других соответствующих мероприятиях с учетом наличия средств для этой цели;</w:t>
      </w:r>
    </w:p>
    <w:p w14:paraId="2558CF40" w14:textId="66D9602A" w:rsidR="00D320B5" w:rsidRPr="00D320B5" w:rsidRDefault="00E97C22" w:rsidP="00D320B5">
      <w:pPr>
        <w:pStyle w:val="SingleTxtG"/>
      </w:pPr>
      <w:r>
        <w:tab/>
      </w:r>
      <w:r w:rsidR="00D320B5" w:rsidRPr="00D320B5">
        <w:t>21.</w:t>
      </w:r>
      <w:r w:rsidR="00D320B5" w:rsidRPr="00D320B5">
        <w:tab/>
      </w:r>
      <w:r w:rsidR="00D320B5" w:rsidRPr="00D320B5">
        <w:rPr>
          <w:i/>
          <w:iCs/>
        </w:rPr>
        <w:t>постановляют</w:t>
      </w:r>
      <w:r w:rsidR="00D320B5" w:rsidRPr="00D320B5">
        <w:t xml:space="preserve">, что, в зависимости от наличия средств на эти цели, финансовая поддержка будет предоставляться для участия в официальных совещаниях представителей неправительственных организаций и развивающихся и наименее развитых стран, находящихся за пределами региона ЕЭК, в соответствии с согласованным бюджетом и критериями, которые будут установлены Президиумом, а в случае стран, не являющихся членами ЕЭК, при условии рассмотрения каждого конкретного случая Президиумом; </w:t>
      </w:r>
    </w:p>
    <w:p w14:paraId="613404D1" w14:textId="5BDC92FB" w:rsidR="00D320B5" w:rsidRDefault="00E97C22" w:rsidP="00D320B5">
      <w:pPr>
        <w:pStyle w:val="SingleTxtG"/>
      </w:pPr>
      <w:r>
        <w:tab/>
      </w:r>
      <w:r w:rsidR="00D320B5" w:rsidRPr="00D320B5">
        <w:t>22.</w:t>
      </w:r>
      <w:r w:rsidR="00D320B5" w:rsidRPr="00D320B5">
        <w:tab/>
      </w:r>
      <w:r w:rsidR="00D320B5" w:rsidRPr="00D320B5">
        <w:rPr>
          <w:i/>
          <w:iCs/>
        </w:rPr>
        <w:t>принимают решение</w:t>
      </w:r>
      <w:r w:rsidR="00D320B5" w:rsidRPr="00D320B5">
        <w:t xml:space="preserve"> провести обзор функционирования финансовой схемы на девятой и четвертой сессиях </w:t>
      </w:r>
      <w:r w:rsidR="00B4592D">
        <w:t>с</w:t>
      </w:r>
      <w:r w:rsidR="00D320B5" w:rsidRPr="00D320B5">
        <w:t>овещаний Сторон Конвенции и Протокола соответственно.</w:t>
      </w:r>
    </w:p>
    <w:p w14:paraId="2C3E7F41" w14:textId="77777777" w:rsidR="00B93E34" w:rsidRDefault="00B93E34">
      <w:pPr>
        <w:suppressAutoHyphens w:val="0"/>
        <w:spacing w:line="240" w:lineRule="auto"/>
        <w:sectPr w:rsidR="00B93E34" w:rsidSect="00D320B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p w14:paraId="0C802B25" w14:textId="5A84EA4B" w:rsidR="00D320B5" w:rsidRPr="00D320B5" w:rsidRDefault="00E97C22" w:rsidP="00E97C22">
      <w:pPr>
        <w:pStyle w:val="HChG"/>
      </w:pPr>
      <w:r>
        <w:lastRenderedPageBreak/>
        <w:tab/>
      </w:r>
      <w:r>
        <w:tab/>
      </w:r>
      <w:r w:rsidR="00D320B5" w:rsidRPr="00D320B5">
        <w:t>Решение VIII/2–IV/2</w:t>
      </w:r>
    </w:p>
    <w:p w14:paraId="2C03E7BC" w14:textId="77777777" w:rsidR="00D320B5" w:rsidRPr="00D320B5" w:rsidRDefault="00D320B5" w:rsidP="00E97C22">
      <w:pPr>
        <w:pStyle w:val="H1G"/>
      </w:pPr>
      <w:r w:rsidRPr="00D320B5">
        <w:tab/>
      </w:r>
      <w:r w:rsidRPr="00D320B5">
        <w:tab/>
        <w:t>Утверждение плана работы</w:t>
      </w:r>
      <w:r w:rsidRPr="00D320B5">
        <w:tab/>
      </w:r>
    </w:p>
    <w:p w14:paraId="2CDDE11A" w14:textId="0F20BB4A" w:rsidR="00D320B5" w:rsidRPr="00E97C22" w:rsidRDefault="00D320B5" w:rsidP="00D320B5">
      <w:pPr>
        <w:pStyle w:val="SingleTxtG"/>
        <w:rPr>
          <w:i/>
          <w:iCs/>
        </w:rPr>
      </w:pPr>
      <w:r w:rsidRPr="00D320B5">
        <w:tab/>
      </w:r>
      <w:r w:rsidRPr="00E97C22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</w:t>
      </w:r>
      <w:r w:rsidRPr="00E97C22">
        <w:t>,</w:t>
      </w:r>
    </w:p>
    <w:p w14:paraId="57117910" w14:textId="75BDB935" w:rsidR="00D320B5" w:rsidRPr="00D320B5" w:rsidRDefault="00D320B5" w:rsidP="00D320B5">
      <w:pPr>
        <w:pStyle w:val="SingleTxtG"/>
      </w:pPr>
      <w:r w:rsidRPr="00E97C22">
        <w:rPr>
          <w:i/>
          <w:iCs/>
        </w:rPr>
        <w:tab/>
        <w:t>ссылаясь</w:t>
      </w:r>
      <w:r w:rsidRPr="00D320B5">
        <w:t xml:space="preserve"> на пункт 2 f) статьи 11 Конвенции об оценке экологического воздействия в трансграничном контексте, в котором указывается, что Совещание Сторон рассматривает и принимает любые дополнительные меры, которые могут потребоваться для достижения целей Конвенции,</w:t>
      </w:r>
    </w:p>
    <w:p w14:paraId="545E33C0" w14:textId="0A77105B" w:rsidR="00D320B5" w:rsidRPr="00D320B5" w:rsidRDefault="00D320B5" w:rsidP="00D320B5">
      <w:pPr>
        <w:pStyle w:val="SingleTxtG"/>
      </w:pPr>
      <w:r w:rsidRPr="00D320B5">
        <w:tab/>
      </w:r>
      <w:r w:rsidRPr="00E97C22">
        <w:rPr>
          <w:i/>
          <w:iCs/>
        </w:rPr>
        <w:t>ссылаясь также</w:t>
      </w:r>
      <w:r w:rsidRPr="00D320B5">
        <w:t xml:space="preserve"> на пункт 4 f) статьи 14 Протокола по стратегической экологической оценке, в котором указывается, что Совещание Сторон Протокола рассматривает и принимает любые дополнительные меры, включая меры, подлежащие совместному осуществлению по Протоколу и Конвенции, которые могут потребоваться для достижения целей Протокола,</w:t>
      </w:r>
    </w:p>
    <w:p w14:paraId="3CF43DE4" w14:textId="14BB2E54" w:rsidR="00D320B5" w:rsidRPr="00D320B5" w:rsidRDefault="00D320B5" w:rsidP="00D320B5">
      <w:pPr>
        <w:pStyle w:val="SingleTxtG"/>
      </w:pPr>
      <w:r w:rsidRPr="00D320B5">
        <w:tab/>
      </w:r>
      <w:r w:rsidRPr="00E97C22">
        <w:rPr>
          <w:i/>
          <w:iCs/>
        </w:rPr>
        <w:t>признавая</w:t>
      </w:r>
      <w:r w:rsidRPr="00D320B5">
        <w:t xml:space="preserve"> крайнюю необходимость полноценного выполнения Сторонами Конвенции и Протокола своих правовых обязательств, возникающих в связи с этими договорами,</w:t>
      </w:r>
    </w:p>
    <w:p w14:paraId="00F73850" w14:textId="6BED19FD" w:rsidR="00D320B5" w:rsidRPr="00D320B5" w:rsidRDefault="00D320B5" w:rsidP="00D320B5">
      <w:pPr>
        <w:pStyle w:val="SingleTxtG"/>
      </w:pPr>
      <w:r w:rsidRPr="00D320B5">
        <w:tab/>
      </w:r>
      <w:r w:rsidRPr="00E97C22">
        <w:rPr>
          <w:i/>
          <w:iCs/>
        </w:rPr>
        <w:t>признавая также</w:t>
      </w:r>
      <w:r w:rsidRPr="00D320B5">
        <w:t>, что Сторонам Конвенции и Протокола следует принимать меры по обеспечению максимальной эффективности применения ими соответственно Конвенции и Протокола с целью достижения наилучших практических результатов,</w:t>
      </w:r>
    </w:p>
    <w:p w14:paraId="2737F86E" w14:textId="020AF813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признавая</w:t>
      </w:r>
      <w:r w:rsidRPr="00D320B5">
        <w:t>, что Конвенция и, в частности, Протокол к ней создают основу для интеграции экологических, в том числе медико-санитарных, проблем в деятельность по поощрению развития и секторальные планы и программы, а также в случае необходимости в политику и законодательство и что, соответственно, их эффективное применение содействует оказанию странам поддержки в достижении Целей в области устойчивого развития, изложенных в Повестке дня в области устойчивого развития на период до 2030 года,</w:t>
      </w:r>
    </w:p>
    <w:p w14:paraId="2942639D" w14:textId="5FBDB815" w:rsidR="00D320B5" w:rsidRPr="00D320B5" w:rsidRDefault="00D320B5" w:rsidP="00D320B5">
      <w:pPr>
        <w:pStyle w:val="SingleTxtG"/>
      </w:pPr>
      <w:r w:rsidRPr="00D320B5">
        <w:tab/>
      </w:r>
      <w:r w:rsidRPr="00E97C22">
        <w:rPr>
          <w:i/>
          <w:iCs/>
        </w:rPr>
        <w:t>с удовлетворением отмечая</w:t>
      </w:r>
      <w:r w:rsidRPr="00D320B5">
        <w:t xml:space="preserve"> ценную работу, проделанную в соответствии с планом работы, принятым на седьмой сессии Совещания Сторон Конвенции и третьей сессии Совещания Сторон Протокола (решение VII/3–III/3), несмотря на нехватку людских и финансовых ресурсов и обусловленные этим серьезные проблемы для беспрепятственного осуществления Конвенции и функционирования секретариата, которые еще более усугубляются продлением межсессионного периода</w:t>
      </w:r>
      <w:r w:rsidR="00AB6E36">
        <w:t xml:space="preserve"> </w:t>
      </w:r>
      <w:r w:rsidR="00D54568">
        <w:br/>
      </w:r>
      <w:r w:rsidRPr="00D320B5">
        <w:t xml:space="preserve">2017–2020 годов без соответствующего финансового обеспечения, необходимостью организации дополнительных промежуточных сессий </w:t>
      </w:r>
      <w:r w:rsidR="00B4592D">
        <w:t>с</w:t>
      </w:r>
      <w:r w:rsidRPr="00D320B5">
        <w:t>овещаний Сторон (Женева,</w:t>
      </w:r>
      <w:r w:rsidR="00AB6E36">
        <w:t xml:space="preserve"> </w:t>
      </w:r>
      <w:r w:rsidR="00D54568">
        <w:br/>
      </w:r>
      <w:r w:rsidRPr="00D320B5">
        <w:t>5–7 февраля 2019 года) и пандемией коронавирусного заболевания (COVID-19) с</w:t>
      </w:r>
      <w:r w:rsidR="00251073">
        <w:t> </w:t>
      </w:r>
      <w:r w:rsidRPr="00D320B5">
        <w:t>марта 2020 года,</w:t>
      </w:r>
    </w:p>
    <w:p w14:paraId="72F4403B" w14:textId="22EC8956" w:rsidR="00D320B5" w:rsidRPr="00D320B5" w:rsidRDefault="00D320B5" w:rsidP="00D320B5">
      <w:pPr>
        <w:pStyle w:val="SingleTxtG"/>
      </w:pPr>
      <w:r w:rsidRPr="00D320B5">
        <w:tab/>
      </w:r>
      <w:r w:rsidRPr="00D320B5">
        <w:rPr>
          <w:i/>
          <w:iCs/>
        </w:rPr>
        <w:t>приветствуя</w:t>
      </w:r>
      <w:r w:rsidRPr="00D320B5">
        <w:t xml:space="preserve">, </w:t>
      </w:r>
      <w:r w:rsidR="00251073">
        <w:t xml:space="preserve">в </w:t>
      </w:r>
      <w:r w:rsidRPr="00D320B5">
        <w:t>частности, осуществление следующих не финансируемых из бюджета видов деятельности для целей осуществления Конвенции и Протокола к ней в период 2017–2020 годов</w:t>
      </w:r>
      <w:r w:rsidRPr="00651826">
        <w:rPr>
          <w:rStyle w:val="FootnoteReference"/>
        </w:rPr>
        <w:footnoteReference w:id="2"/>
      </w:r>
      <w:r w:rsidR="00D54568">
        <w:t>:</w:t>
      </w:r>
      <w:r w:rsidRPr="00D320B5">
        <w:t xml:space="preserve"> </w:t>
      </w:r>
    </w:p>
    <w:p w14:paraId="1F5116DA" w14:textId="50DAED13" w:rsidR="00D320B5" w:rsidRPr="00D320B5" w:rsidRDefault="00E97C22" w:rsidP="00D320B5">
      <w:pPr>
        <w:pStyle w:val="SingleTxtG"/>
      </w:pPr>
      <w:r>
        <w:tab/>
      </w:r>
      <w:r w:rsidR="00D320B5" w:rsidRPr="00D320B5">
        <w:t>a)</w:t>
      </w:r>
      <w:r w:rsidR="00D320B5" w:rsidRPr="00D320B5">
        <w:tab/>
        <w:t xml:space="preserve">техническую помощь, предоставленную секретариатом, и шаги, предпринятые Сторонами и такими странами, не являющимися Сторонами, как Азербайджан, Беларусь, Казахстан, Республика Молдова, Таджикистан и Узбекистан, по приведению своего законодательства об оценке воздействия на окружающую среду в соответствие с Конвенцией и Протоколом; </w:t>
      </w:r>
    </w:p>
    <w:p w14:paraId="04E66B5C" w14:textId="79C5D421" w:rsidR="00D320B5" w:rsidRPr="00D320B5" w:rsidRDefault="00E97C22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 xml:space="preserve">рабочие совещания по субрегиональному сотрудничеству и/или укреплению потенциала в поддержку осуществления Протокола и/или Конвенции, которые были проведены/организованы Хорватией, Данией, Германией, </w:t>
      </w:r>
      <w:r w:rsidR="00D320B5" w:rsidRPr="00D320B5">
        <w:lastRenderedPageBreak/>
        <w:t>Кыргызстаном, Республикой Молдова, Украиной и Узбекистаном при содействии секретариата;</w:t>
      </w:r>
      <w:bookmarkStart w:id="4" w:name="_Hlk31727028"/>
      <w:bookmarkEnd w:id="4"/>
    </w:p>
    <w:p w14:paraId="16B16AD0" w14:textId="3567FB36" w:rsidR="00D320B5" w:rsidRPr="00D320B5" w:rsidRDefault="00E97C22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экспериментальное осуществление Протокола Беларусью и Казахстаном;</w:t>
      </w:r>
    </w:p>
    <w:p w14:paraId="2F5B5E7E" w14:textId="711D1EF4" w:rsidR="00D320B5" w:rsidRPr="00D320B5" w:rsidRDefault="00E97C22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 xml:space="preserve">семинар по обмену информацией о надлежащей практике, которые были организованы секретариатом в сотрудничестве с Всемирной организацией здравоохранения (ВОЗ) и Европейским инвестиционным банком; </w:t>
      </w:r>
    </w:p>
    <w:p w14:paraId="5F44D2B3" w14:textId="05397CC4" w:rsidR="00D320B5" w:rsidRPr="00D320B5" w:rsidRDefault="00E97C22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>подготовку информационных материалов и рекомендаций для более эффективного осуществления Конвенции и Протокола, прежде всего в отношении:</w:t>
      </w:r>
    </w:p>
    <w:p w14:paraId="6E540F71" w14:textId="09742414" w:rsidR="00D320B5" w:rsidRPr="00D320B5" w:rsidRDefault="00E97C22" w:rsidP="00E97C22">
      <w:pPr>
        <w:pStyle w:val="SingleTxtG"/>
        <w:ind w:left="1701" w:hanging="567"/>
      </w:pPr>
      <w:r>
        <w:tab/>
      </w:r>
      <w:r w:rsidR="00D320B5" w:rsidRPr="00D320B5">
        <w:t>i)</w:t>
      </w:r>
      <w:r w:rsidR="00D320B5" w:rsidRPr="00D320B5">
        <w:tab/>
        <w:t>руководства по применимости Конвенции к продлению срока службы атомных электростанций, подготовленного Специальной рабочей группой в составе 29 Сторон под сопредседательством Германии и Соединенного Королевства Великобритании и Северной Ирландии;</w:t>
      </w:r>
    </w:p>
    <w:p w14:paraId="29E149E7" w14:textId="65D421DD" w:rsidR="00D320B5" w:rsidRPr="00D320B5" w:rsidRDefault="00E97C22" w:rsidP="00E97C22">
      <w:pPr>
        <w:pStyle w:val="SingleTxtG"/>
        <w:ind w:left="1701" w:hanging="567"/>
      </w:pPr>
      <w:r>
        <w:tab/>
      </w:r>
      <w:r w:rsidR="00D320B5" w:rsidRPr="00D320B5">
        <w:t>ii)</w:t>
      </w:r>
      <w:r w:rsidR="00D320B5" w:rsidRPr="00D320B5">
        <w:tab/>
        <w:t>оценки воздействия на окружающую среду в трансграничном контексте для стран Центральной Азии, разработанной при поддержке консультантов и финансировании со стороны Швейцарии;</w:t>
      </w:r>
    </w:p>
    <w:p w14:paraId="42DCF377" w14:textId="6F6F2B54" w:rsidR="00D320B5" w:rsidRPr="00D320B5" w:rsidRDefault="00E97C22" w:rsidP="00D320B5">
      <w:pPr>
        <w:pStyle w:val="SingleTxtG"/>
      </w:pPr>
      <w:r>
        <w:tab/>
      </w:r>
      <w:r w:rsidR="00D320B5" w:rsidRPr="00D320B5">
        <w:t>f)</w:t>
      </w:r>
      <w:r w:rsidR="00D320B5" w:rsidRPr="00D320B5">
        <w:tab/>
        <w:t xml:space="preserve">подготовку секретариатом информационных брошюр «FasTips» по Конвенции и Протоколу и опубликование информационных брошюр «FasTips» по Конвенции Международной ассоциацией по оценке воздействия, </w:t>
      </w:r>
    </w:p>
    <w:p w14:paraId="31750030" w14:textId="783F842B" w:rsidR="00D320B5" w:rsidRPr="00D320B5" w:rsidRDefault="00E97C22" w:rsidP="00D320B5">
      <w:pPr>
        <w:pStyle w:val="SingleTxtG"/>
      </w:pPr>
      <w:r>
        <w:rPr>
          <w:i/>
          <w:iCs/>
        </w:rPr>
        <w:tab/>
      </w:r>
      <w:r w:rsidR="00D320B5" w:rsidRPr="00D320B5">
        <w:rPr>
          <w:i/>
          <w:iCs/>
        </w:rPr>
        <w:t>высоко оценивая</w:t>
      </w:r>
      <w:r w:rsidR="00D320B5" w:rsidRPr="00D320B5">
        <w:t xml:space="preserve"> проделанную работу по подготовке проекта руководства по оценке состояния здоровья в рамках проведения стратегической экологической оценки при поддержке консультантов, финансируемых Европейским инвестиционным банком, в консультации с ВОЗ и целевой группой в составе представителей Австрии, Ирландии, Словении и Финляндии, и настоятельно призывая Стороны и заинтересованные круги завершить эту работу в течение следующего межсессионного периода, при условии наличия ресурсов,</w:t>
      </w:r>
      <w:bookmarkStart w:id="5" w:name="_Hlk51763281"/>
      <w:bookmarkEnd w:id="5"/>
    </w:p>
    <w:p w14:paraId="7094F0C0" w14:textId="7DBE46E5" w:rsidR="00D320B5" w:rsidRPr="00D320B5" w:rsidRDefault="00D320B5" w:rsidP="00D320B5">
      <w:pPr>
        <w:pStyle w:val="SingleTxtG"/>
      </w:pPr>
      <w:r w:rsidRPr="00D320B5">
        <w:tab/>
      </w:r>
      <w:r w:rsidRPr="00E97C22">
        <w:rPr>
          <w:i/>
          <w:iCs/>
        </w:rPr>
        <w:t>с удовлетворением отмечая</w:t>
      </w:r>
      <w:r w:rsidRPr="00D320B5">
        <w:t xml:space="preserve">, что из видов деятельности, предусмотренных в плане работы, принятом </w:t>
      </w:r>
      <w:r w:rsidR="00B4592D">
        <w:t>с</w:t>
      </w:r>
      <w:r w:rsidRPr="00D320B5">
        <w:t xml:space="preserve">овещаниями Сторон Конвенции и Протокола, на их седьмой и третьей сессиях соответственно 100 % видов деятельности с приоритетом 1 и 100 % видов деятельности с приоритетом 2 были завершены и, кроме того, были дополнены промежуточными сессиями </w:t>
      </w:r>
      <w:r w:rsidR="00B4592D">
        <w:t>с</w:t>
      </w:r>
      <w:r w:rsidRPr="00D320B5">
        <w:t>овещаний Сторон и что из не предусмотренных в бюджете видов деятельности с приоритетом 3, за исключением тех, которые были отменены ведущими странами/организациями-бенефициарами, приблизительно 75 % были завершены за счет финансирования из целевых взносов или за счет финансирования по проектам, определенного секретариатом</w:t>
      </w:r>
      <w:r w:rsidRPr="00651826">
        <w:rPr>
          <w:rStyle w:val="FootnoteReference"/>
        </w:rPr>
        <w:footnoteReference w:id="3"/>
      </w:r>
      <w:r w:rsidR="00251073">
        <w:t>,</w:t>
      </w:r>
    </w:p>
    <w:p w14:paraId="1CE4E240" w14:textId="6F2EB9D1" w:rsidR="00D320B5" w:rsidRPr="00D320B5" w:rsidRDefault="00E97C22" w:rsidP="00D320B5">
      <w:pPr>
        <w:pStyle w:val="SingleTxtG"/>
      </w:pPr>
      <w:r>
        <w:tab/>
      </w:r>
      <w:r w:rsidR="00D320B5" w:rsidRPr="00E97C22">
        <w:rPr>
          <w:i/>
          <w:iCs/>
        </w:rPr>
        <w:t>с удовлетворением отмечая также</w:t>
      </w:r>
      <w:r w:rsidR="00D320B5" w:rsidRPr="00D320B5">
        <w:t xml:space="preserve">, что секретариат выделил дополнительные ресурсы и завершил осуществление 18 видов деятельности, включенных в лист ожидания </w:t>
      </w:r>
      <w:r w:rsidR="00B4592D">
        <w:t>с</w:t>
      </w:r>
      <w:r w:rsidR="00D320B5" w:rsidRPr="00D320B5">
        <w:t xml:space="preserve">овещаниями Сторон, и 18 дополнительных видов деятельности, </w:t>
      </w:r>
    </w:p>
    <w:p w14:paraId="13C86554" w14:textId="2A393146" w:rsidR="00D320B5" w:rsidRPr="00D320B5" w:rsidRDefault="00E97C22" w:rsidP="00D320B5">
      <w:pPr>
        <w:pStyle w:val="SingleTxtG"/>
      </w:pPr>
      <w:r>
        <w:tab/>
      </w:r>
      <w:r w:rsidR="00D320B5" w:rsidRPr="00E97C22">
        <w:rPr>
          <w:i/>
          <w:iCs/>
        </w:rPr>
        <w:t>с удовлетворением отмечая далее</w:t>
      </w:r>
      <w:r w:rsidR="00D320B5" w:rsidRPr="00D320B5">
        <w:t>, что выполнение оставшихся видов деятельности, предусмотренных планом работы, продолжается или планируется и, как ожидается, будет завершено в течение следующего межсессионного периода,</w:t>
      </w:r>
    </w:p>
    <w:p w14:paraId="09E40436" w14:textId="0AB6EA47" w:rsidR="00D320B5" w:rsidRPr="00D320B5" w:rsidRDefault="00E97C22" w:rsidP="00D320B5">
      <w:pPr>
        <w:pStyle w:val="SingleTxtG"/>
      </w:pPr>
      <w:r>
        <w:rPr>
          <w:i/>
          <w:iCs/>
        </w:rPr>
        <w:tab/>
      </w:r>
      <w:r w:rsidR="00B4592D" w:rsidRPr="00B4592D">
        <w:rPr>
          <w:i/>
          <w:iCs/>
        </w:rPr>
        <w:t xml:space="preserve">желая </w:t>
      </w:r>
      <w:r w:rsidR="00B4592D" w:rsidRPr="00B4592D">
        <w:t xml:space="preserve">разработать план работы, который поддерживает </w:t>
      </w:r>
      <w:r w:rsidR="00D320B5" w:rsidRPr="00B4592D">
        <w:t>о</w:t>
      </w:r>
      <w:r w:rsidR="00D320B5" w:rsidRPr="00D320B5">
        <w:t>существление стратегических целей и приоритетных задач, изложенных в долгосрочной</w:t>
      </w:r>
      <w:r w:rsidR="00AB6E36">
        <w:t xml:space="preserve"> </w:t>
      </w:r>
      <w:r w:rsidR="00D320B5" w:rsidRPr="00D320B5">
        <w:t xml:space="preserve">стратегии и </w:t>
      </w:r>
      <w:r w:rsidR="00D320B5" w:rsidRPr="00D320B5">
        <w:lastRenderedPageBreak/>
        <w:t>плане действий, принятых в соответствии с решением VIII/3–IV/3 (ECE/MP.EIA/2020/3</w:t>
      </w:r>
      <w:r w:rsidR="000151E5">
        <w:t>-</w:t>
      </w:r>
      <w:r w:rsidR="00D320B5" w:rsidRPr="00D320B5">
        <w:t xml:space="preserve">ECE/MP.EIA/SEA/2020/3), а именно на полное и эффективное осуществление Конвенции и Протокола; повышение результативности путем решения новых национальных, региональных и глобальных проблем; и более широкое применение Конвенции и Протокола в регионе ЕЭК и за его пределами, </w:t>
      </w:r>
    </w:p>
    <w:p w14:paraId="0B82440B" w14:textId="7C937F7A" w:rsidR="00D320B5" w:rsidRPr="00D320B5" w:rsidRDefault="00D320B5" w:rsidP="00D320B5">
      <w:pPr>
        <w:pStyle w:val="SingleTxtG"/>
      </w:pPr>
      <w:r w:rsidRPr="00D320B5">
        <w:tab/>
      </w:r>
      <w:r w:rsidRPr="00E97C22">
        <w:rPr>
          <w:i/>
          <w:iCs/>
        </w:rPr>
        <w:t>желая также</w:t>
      </w:r>
      <w:r w:rsidRPr="00D320B5">
        <w:t xml:space="preserve"> разработать реалистичный и выполнимый план работы, обеспечив заблаговременное финансирование сметных потребностей в ресурсах для осуществления деятельности, предусмотренной планом работы,</w:t>
      </w:r>
    </w:p>
    <w:p w14:paraId="1F7904DB" w14:textId="418E592A" w:rsidR="00D320B5" w:rsidRPr="00D320B5" w:rsidRDefault="00E97C22" w:rsidP="00D320B5">
      <w:pPr>
        <w:pStyle w:val="SingleTxtG"/>
      </w:pPr>
      <w:r>
        <w:tab/>
      </w:r>
      <w:r w:rsidR="00D320B5" w:rsidRPr="00D320B5">
        <w:t>1.</w:t>
      </w:r>
      <w:r w:rsidR="00D320B5" w:rsidRPr="00D320B5">
        <w:tab/>
      </w:r>
      <w:r w:rsidR="00D320B5" w:rsidRPr="00E97C22">
        <w:rPr>
          <w:i/>
          <w:iCs/>
        </w:rPr>
        <w:t>утверждают</w:t>
      </w:r>
      <w:r w:rsidR="00D320B5" w:rsidRPr="00D320B5">
        <w:t xml:space="preserve"> план работы на период 2021–2023 годов и сметные потребности в ресурсах для его осуществления, изложенные соответственно в приложениях I и II к настоящему решению;</w:t>
      </w:r>
    </w:p>
    <w:p w14:paraId="00BC1B81" w14:textId="0CFF8531" w:rsidR="00D320B5" w:rsidRPr="00D320B5" w:rsidRDefault="00E97C22" w:rsidP="00D320B5">
      <w:pPr>
        <w:pStyle w:val="SingleTxtG"/>
      </w:pPr>
      <w:r>
        <w:tab/>
      </w:r>
      <w:r w:rsidR="00D320B5" w:rsidRPr="00D320B5">
        <w:t>2.</w:t>
      </w:r>
      <w:r w:rsidR="00D320B5" w:rsidRPr="00D320B5">
        <w:tab/>
      </w:r>
      <w:r w:rsidR="00D320B5" w:rsidRPr="00E97C22">
        <w:rPr>
          <w:i/>
          <w:iCs/>
        </w:rPr>
        <w:t>принимают к сведению</w:t>
      </w:r>
      <w:r w:rsidR="00D320B5" w:rsidRPr="00D320B5">
        <w:t xml:space="preserve"> изложенный в приложении III к настоящему решению перечень видов деятельности, осуществление которых отложено до получения необходимых финансовых и людских ресурсов, и предлагают Сторонам Конвенции и Протокола, а также другим заинтересованным субъектам активно изыскивать возможности для обеспечения их финансирования и осуществления;</w:t>
      </w:r>
    </w:p>
    <w:p w14:paraId="4B77E473" w14:textId="41A54F9D" w:rsidR="00D320B5" w:rsidRPr="00D320B5" w:rsidRDefault="00E97C22" w:rsidP="00D320B5">
      <w:pPr>
        <w:pStyle w:val="SingleTxtG"/>
      </w:pPr>
      <w:r>
        <w:tab/>
      </w:r>
      <w:r w:rsidR="00D320B5" w:rsidRPr="00D320B5">
        <w:t>3.</w:t>
      </w:r>
      <w:r w:rsidR="00D320B5" w:rsidRPr="00D320B5">
        <w:tab/>
      </w:r>
      <w:r w:rsidR="00D320B5" w:rsidRPr="00E97C22">
        <w:rPr>
          <w:i/>
          <w:iCs/>
        </w:rPr>
        <w:t>принимают решение</w:t>
      </w:r>
      <w:r w:rsidR="00D320B5" w:rsidRPr="00D320B5">
        <w:t>, что все Стороны должны предоставлять финансирование на покрытие сметных потребностей в ресурсах для осуществления плана работы в соответствии с решением VIII/1–IV/1 о механизмах финансирования на 2021–2023 годы;</w:t>
      </w:r>
    </w:p>
    <w:p w14:paraId="5183FFA5" w14:textId="7DEC1751" w:rsidR="00D320B5" w:rsidRPr="00D320B5" w:rsidRDefault="00E97C22" w:rsidP="00D320B5">
      <w:pPr>
        <w:pStyle w:val="SingleTxtG"/>
      </w:pPr>
      <w:r>
        <w:tab/>
      </w:r>
      <w:r w:rsidR="00D320B5" w:rsidRPr="00D320B5">
        <w:t>4.</w:t>
      </w:r>
      <w:r w:rsidR="00D320B5" w:rsidRPr="00D320B5">
        <w:tab/>
      </w:r>
      <w:r w:rsidR="00D320B5" w:rsidRPr="00E97C22">
        <w:rPr>
          <w:i/>
          <w:iCs/>
        </w:rPr>
        <w:t>предлагают</w:t>
      </w:r>
      <w:r w:rsidR="00D320B5" w:rsidRPr="00D320B5">
        <w:t xml:space="preserve"> Сторонам повысить уровень устойчивой доступности финансирования для предусмотренных планом работы видов деятельности и функционирования секретариата, включая виды деятельности, включенные в лист ожидания (приложение III к настоящему решению), с тем чтобы избежать возможных критических ситуаций, влияющих на функционирование договоров и их секретариата, и предлагают также заинтересованным Сторонам, организациям и другим заинтересованным субъектам поддержать мобилизацию средств и ресурсов для этой деятельности;</w:t>
      </w:r>
    </w:p>
    <w:p w14:paraId="4FF34983" w14:textId="65478419" w:rsidR="00D320B5" w:rsidRPr="00D320B5" w:rsidRDefault="00E97C22" w:rsidP="00D320B5">
      <w:pPr>
        <w:pStyle w:val="SingleTxtG"/>
      </w:pPr>
      <w:r>
        <w:tab/>
      </w:r>
      <w:r w:rsidR="00D320B5" w:rsidRPr="00D320B5">
        <w:t>5.</w:t>
      </w:r>
      <w:r w:rsidR="00D320B5" w:rsidRPr="00D320B5">
        <w:tab/>
      </w:r>
      <w:r w:rsidR="00D320B5" w:rsidRPr="00E97C22">
        <w:rPr>
          <w:i/>
          <w:iCs/>
        </w:rPr>
        <w:t>призывают</w:t>
      </w:r>
      <w:r w:rsidR="00D320B5" w:rsidRPr="00D320B5">
        <w:t xml:space="preserve"> Стороны, а также предлагают государствам, не являющимся Сторонами, организовывать и проводить семинары, рабочие совещания и встречи и активно участвовать в их работе с целью содействия осуществлению и соблюдению Конвенции и Протокола;</w:t>
      </w:r>
    </w:p>
    <w:p w14:paraId="435807FF" w14:textId="03A38EB9" w:rsidR="00D320B5" w:rsidRPr="00D320B5" w:rsidRDefault="00E97C22" w:rsidP="00D320B5">
      <w:pPr>
        <w:pStyle w:val="SingleTxtG"/>
      </w:pPr>
      <w:r>
        <w:tab/>
      </w:r>
      <w:r w:rsidR="00D320B5" w:rsidRPr="00D320B5">
        <w:t>6.</w:t>
      </w:r>
      <w:r w:rsidR="00D320B5" w:rsidRPr="00D320B5">
        <w:tab/>
      </w:r>
      <w:r w:rsidR="00D320B5" w:rsidRPr="005D6E9D">
        <w:rPr>
          <w:i/>
          <w:iCs/>
        </w:rPr>
        <w:t>предлагают</w:t>
      </w:r>
      <w:r w:rsidR="00D320B5" w:rsidRPr="00D320B5">
        <w:t xml:space="preserve"> соответствующим органам или учреждениям, будь то национальным или международным, правительственным или неправительственным, а также, возможно, исследователям и консультантам по согласованным видам деятельности активно участвовать в предусмотренных планом работы мероприятиях в соответствующих случаях;</w:t>
      </w:r>
    </w:p>
    <w:p w14:paraId="2337A093" w14:textId="34A7084E" w:rsidR="00D320B5" w:rsidRPr="00D320B5" w:rsidRDefault="00E97C22" w:rsidP="00D320B5">
      <w:pPr>
        <w:pStyle w:val="SingleTxtG"/>
      </w:pPr>
      <w:r>
        <w:tab/>
      </w:r>
      <w:r w:rsidR="00D320B5" w:rsidRPr="00D320B5">
        <w:t>7.</w:t>
      </w:r>
      <w:r w:rsidR="00D320B5" w:rsidRPr="00D320B5">
        <w:tab/>
      </w:r>
      <w:r w:rsidR="00D320B5" w:rsidRPr="00D320B5">
        <w:rPr>
          <w:i/>
          <w:iCs/>
        </w:rPr>
        <w:t>предлагают</w:t>
      </w:r>
      <w:r w:rsidR="00D320B5" w:rsidRPr="00D320B5">
        <w:t xml:space="preserve"> Исполнительному секретарю Европейской экономической комиссии (ЕЭК) продолжать предоставлять поддержку работе в рамках Конвенции и Протокола путем содействия осуществлению мероприятий, предусмотренных планом работы, подготовки официальной документации для них, а также публикации результатов этих мероприятий на трех официальных языках ЕЭК в соответствующих случаях и в пределах имеющихся ресурсов. Публикации, предполагающие глобальный информационный охват, должны обрабатываться и переводиться конференционными службами Организации Объединенных Наций и распространяться на шести официальных языках Организации Объединенных Наций;</w:t>
      </w:r>
      <w:bookmarkStart w:id="6" w:name="_Hlk51065225"/>
    </w:p>
    <w:p w14:paraId="2817E033" w14:textId="5FC6ECDE" w:rsidR="00D320B5" w:rsidRPr="00D320B5" w:rsidRDefault="005D6E9D" w:rsidP="00D320B5">
      <w:pPr>
        <w:pStyle w:val="SingleTxtG"/>
      </w:pPr>
      <w:r>
        <w:tab/>
      </w:r>
      <w:r w:rsidR="00D320B5" w:rsidRPr="00D320B5">
        <w:t>8.</w:t>
      </w:r>
      <w:r w:rsidR="00D320B5" w:rsidRPr="00D320B5">
        <w:tab/>
      </w:r>
      <w:r w:rsidR="00D320B5" w:rsidRPr="005D6E9D">
        <w:rPr>
          <w:i/>
          <w:iCs/>
        </w:rPr>
        <w:t>постановляют</w:t>
      </w:r>
      <w:r w:rsidR="00D320B5" w:rsidRPr="00D320B5">
        <w:t xml:space="preserve">, что в межсессионный период до следующих сессий </w:t>
      </w:r>
      <w:r w:rsidR="00B4592D">
        <w:t>с</w:t>
      </w:r>
      <w:r w:rsidR="00D320B5" w:rsidRPr="00D320B5">
        <w:t xml:space="preserve">овещаний Сторон Конвенции и Протокола (предварительно намеченных на конец 2023 года) Рабочая группа по оценке воздействия на окружающую среду и стратегической экологической оценке проведет три совещания (предварительно в 2021, 2022 и 2023 годах) и что Комитет по осуществлению проведет в общей сложности девять сессий, т. е. по три сессии в год — весной, осенью и зимой; </w:t>
      </w:r>
      <w:bookmarkStart w:id="7" w:name="_Hlk51065205"/>
    </w:p>
    <w:bookmarkEnd w:id="6"/>
    <w:p w14:paraId="3700D23B" w14:textId="6F8E7F4C" w:rsidR="00D320B5" w:rsidRPr="00D320B5" w:rsidRDefault="005D6E9D" w:rsidP="00D320B5">
      <w:pPr>
        <w:pStyle w:val="SingleTxtG"/>
      </w:pPr>
      <w:r>
        <w:lastRenderedPageBreak/>
        <w:tab/>
      </w:r>
      <w:r w:rsidR="00D320B5" w:rsidRPr="00D320B5">
        <w:t>9.</w:t>
      </w:r>
      <w:r w:rsidR="00D320B5" w:rsidRPr="00D320B5">
        <w:tab/>
      </w:r>
      <w:r w:rsidR="00D320B5" w:rsidRPr="00D320B5">
        <w:rPr>
          <w:i/>
          <w:iCs/>
        </w:rPr>
        <w:t>просят</w:t>
      </w:r>
      <w:r w:rsidR="00D320B5" w:rsidRPr="00D320B5">
        <w:t xml:space="preserve"> секретариат подготовить предварительные повестки дня и другую официальную документацию для совещаний, упомянутых в пункте 7 выше, а также доклады об их работе и издать эти документы на трех официальных языках ЕЭК; </w:t>
      </w:r>
    </w:p>
    <w:p w14:paraId="358DE2C6" w14:textId="48B66F82" w:rsidR="00D320B5" w:rsidRPr="00D320B5" w:rsidRDefault="005D6E9D" w:rsidP="00D320B5">
      <w:pPr>
        <w:pStyle w:val="SingleTxtG"/>
      </w:pPr>
      <w:r>
        <w:tab/>
      </w:r>
      <w:r w:rsidR="00D320B5" w:rsidRPr="00D320B5">
        <w:t>10.</w:t>
      </w:r>
      <w:r w:rsidR="00D320B5" w:rsidRPr="00D320B5">
        <w:tab/>
      </w:r>
      <w:r w:rsidR="00D320B5" w:rsidRPr="005D6E9D">
        <w:rPr>
          <w:i/>
          <w:iCs/>
        </w:rPr>
        <w:t xml:space="preserve">также </w:t>
      </w:r>
      <w:r w:rsidR="00D320B5" w:rsidRPr="000151E5">
        <w:rPr>
          <w:i/>
          <w:iCs/>
        </w:rPr>
        <w:t>просят</w:t>
      </w:r>
      <w:r w:rsidR="00D320B5" w:rsidRPr="00D320B5">
        <w:t xml:space="preserve"> секретариат сначала представлять соответствующую документацию Президиуму в неофициальном порядке для предварительного утверждения, предусматривающего созыв трех (или более, если этого позволяют финансовые возможности) совещаний Президиума и представление докладов о них, в межсессионный период; </w:t>
      </w:r>
    </w:p>
    <w:p w14:paraId="1F418865" w14:textId="19E0B375" w:rsidR="00D320B5" w:rsidRPr="00D320B5" w:rsidRDefault="005D6E9D" w:rsidP="00D320B5">
      <w:pPr>
        <w:pStyle w:val="SingleTxtG"/>
      </w:pPr>
      <w:bookmarkStart w:id="8" w:name="_Hlk51261551"/>
      <w:r>
        <w:tab/>
      </w:r>
      <w:r w:rsidR="00D320B5" w:rsidRPr="00D320B5">
        <w:t>11.</w:t>
      </w:r>
      <w:r w:rsidR="00D320B5" w:rsidRPr="00D320B5">
        <w:tab/>
      </w:r>
      <w:r w:rsidR="00D320B5" w:rsidRPr="00D320B5">
        <w:rPr>
          <w:i/>
          <w:iCs/>
        </w:rPr>
        <w:t>рекомендуют</w:t>
      </w:r>
      <w:r w:rsidR="00D320B5" w:rsidRPr="00D320B5">
        <w:t xml:space="preserve"> Сторонам прилагать все усилия к тому, чтобы как можно раньше сообщать о предлагаемых поправках к официальным документам, с тем чтобы содействовать подготовке и координации другими Сторонами их соответствующих мнений и достижению консенсуса всеми Сторонами;</w:t>
      </w:r>
    </w:p>
    <w:p w14:paraId="301A4297" w14:textId="5C515230" w:rsidR="00D320B5" w:rsidRPr="00D320B5" w:rsidRDefault="005D6E9D" w:rsidP="00D320B5">
      <w:pPr>
        <w:pStyle w:val="SingleTxtG"/>
      </w:pPr>
      <w:r>
        <w:tab/>
      </w:r>
      <w:r w:rsidR="00D320B5" w:rsidRPr="00D320B5">
        <w:t>12.</w:t>
      </w:r>
      <w:r w:rsidR="00D320B5" w:rsidRPr="00D320B5">
        <w:tab/>
      </w:r>
      <w:r w:rsidR="00D320B5" w:rsidRPr="00D320B5">
        <w:rPr>
          <w:i/>
          <w:iCs/>
        </w:rPr>
        <w:t>принимают</w:t>
      </w:r>
      <w:r w:rsidR="00D320B5" w:rsidRPr="00D320B5">
        <w:t xml:space="preserve"> решение о том, что Президиуму при содействии секретариата надлежит разработать систему надлежащего учета взносов в натуральной форме в рамках финансовой схемы;</w:t>
      </w:r>
    </w:p>
    <w:bookmarkEnd w:id="8"/>
    <w:p w14:paraId="7A7961A9" w14:textId="7B040DEF" w:rsidR="00D320B5" w:rsidRPr="00D320B5" w:rsidRDefault="005D6E9D" w:rsidP="00D320B5">
      <w:pPr>
        <w:pStyle w:val="SingleTxtG"/>
      </w:pPr>
      <w:r>
        <w:tab/>
      </w:r>
      <w:r w:rsidR="00D320B5" w:rsidRPr="00D320B5">
        <w:t>13.</w:t>
      </w:r>
      <w:r w:rsidR="00D320B5" w:rsidRPr="00D320B5">
        <w:tab/>
      </w:r>
      <w:r w:rsidR="00D320B5" w:rsidRPr="005D6E9D">
        <w:rPr>
          <w:i/>
          <w:iCs/>
        </w:rPr>
        <w:t>также постановляют</w:t>
      </w:r>
      <w:r w:rsidR="00D320B5" w:rsidRPr="00D320B5">
        <w:t xml:space="preserve">, что Президиум и Рабочая группа должны согласовать новый проект решения о принятии плана работы на следующий межсессионный период для принятия </w:t>
      </w:r>
      <w:r w:rsidR="00B4592D">
        <w:t>с</w:t>
      </w:r>
      <w:r w:rsidR="00D320B5" w:rsidRPr="00D320B5">
        <w:t>овещаниями Сторон Конвенции и Протокола на их следующих сессиях;</w:t>
      </w:r>
      <w:r w:rsidR="00AB6E36">
        <w:t xml:space="preserve"> </w:t>
      </w:r>
      <w:bookmarkStart w:id="9" w:name="_Hlk51067291"/>
      <w:bookmarkStart w:id="10" w:name="_Hlk51064003"/>
      <w:bookmarkEnd w:id="9"/>
      <w:bookmarkEnd w:id="10"/>
    </w:p>
    <w:bookmarkEnd w:id="7"/>
    <w:p w14:paraId="6FD8877F" w14:textId="0293F4EA" w:rsidR="00E12C5F" w:rsidRDefault="005D6E9D" w:rsidP="00D320B5">
      <w:pPr>
        <w:pStyle w:val="SingleTxtG"/>
      </w:pPr>
      <w:r>
        <w:tab/>
      </w:r>
      <w:r w:rsidR="00D320B5" w:rsidRPr="00D320B5">
        <w:t>14.</w:t>
      </w:r>
      <w:r w:rsidR="00D320B5" w:rsidRPr="00D320B5">
        <w:tab/>
      </w:r>
      <w:r w:rsidR="00D320B5" w:rsidRPr="005D6E9D">
        <w:rPr>
          <w:i/>
          <w:iCs/>
        </w:rPr>
        <w:t>принимают решение</w:t>
      </w:r>
      <w:r w:rsidR="00D320B5" w:rsidRPr="00D320B5">
        <w:t xml:space="preserve">, что, в качестве общего правила, в соответствии с правилами процедуры Конвенции и Протокола к ней сессии </w:t>
      </w:r>
      <w:r w:rsidR="00B4592D">
        <w:t>с</w:t>
      </w:r>
      <w:r w:rsidR="00D320B5" w:rsidRPr="00D320B5">
        <w:t>овещаний Сторон проводятся в Женеве, если только Стороны не принимают иного решения на основе предложения договаривающейся Стороны о проведении сессий у нее в стране</w:t>
      </w:r>
      <w:r w:rsidR="00D320B5">
        <w:t>.</w:t>
      </w:r>
    </w:p>
    <w:p w14:paraId="4E0FBC46" w14:textId="4CB6B34E" w:rsidR="00D320B5" w:rsidRDefault="00D320B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6828F34" w14:textId="77777777" w:rsidR="00D320B5" w:rsidRPr="00D320B5" w:rsidRDefault="00D320B5" w:rsidP="005D6E9D">
      <w:pPr>
        <w:pStyle w:val="HChG"/>
      </w:pPr>
      <w:r w:rsidRPr="00D320B5">
        <w:lastRenderedPageBreak/>
        <w:t>Приложение I</w:t>
      </w:r>
    </w:p>
    <w:p w14:paraId="29BC7590" w14:textId="77777777" w:rsidR="00D320B5" w:rsidRPr="00D320B5" w:rsidRDefault="00D320B5" w:rsidP="005D6E9D">
      <w:pPr>
        <w:pStyle w:val="HChG"/>
      </w:pPr>
      <w:r w:rsidRPr="00D320B5">
        <w:tab/>
      </w:r>
      <w:r w:rsidRPr="00D320B5">
        <w:tab/>
        <w:t xml:space="preserve">План работы на 2021–2023 годы </w:t>
      </w:r>
      <w:bookmarkStart w:id="11" w:name="_Hlk63884266"/>
      <w:bookmarkEnd w:id="11"/>
    </w:p>
    <w:p w14:paraId="3DF6ED94" w14:textId="77777777" w:rsidR="00D320B5" w:rsidRPr="00D320B5" w:rsidRDefault="00D320B5" w:rsidP="005D6E9D">
      <w:pPr>
        <w:pStyle w:val="HChG"/>
      </w:pPr>
      <w:bookmarkStart w:id="12" w:name="_Hlk9264045"/>
      <w:r w:rsidRPr="00D320B5">
        <w:tab/>
        <w:t>I.</w:t>
      </w:r>
      <w:r w:rsidRPr="00D320B5">
        <w:tab/>
        <w:t>Управление, координация и информационное освещение деятельности в межсессионный период</w:t>
      </w:r>
    </w:p>
    <w:p w14:paraId="45051F8E" w14:textId="77777777" w:rsidR="00D320B5" w:rsidRPr="00D320B5" w:rsidRDefault="00D320B5" w:rsidP="00D320B5">
      <w:pPr>
        <w:pStyle w:val="SingleTxtG"/>
      </w:pPr>
      <w:r w:rsidRPr="00D320B5">
        <w:tab/>
        <w:t>Эта область работы необходима для обеспечения функционирования Конвенции и Протокола, а также для координации и информационного освещения деятельности в рамках этих договоров по следующим направлениям:</w:t>
      </w:r>
    </w:p>
    <w:p w14:paraId="70986DCA" w14:textId="77777777" w:rsidR="00D320B5" w:rsidRPr="00D320B5" w:rsidRDefault="00D320B5" w:rsidP="00D320B5">
      <w:pPr>
        <w:pStyle w:val="SingleTxtG"/>
      </w:pPr>
      <w:r w:rsidRPr="00D320B5">
        <w:tab/>
        <w:t>a)</w:t>
      </w:r>
      <w:r w:rsidRPr="00D320B5">
        <w:tab/>
        <w:t xml:space="preserve">организация совещаний; </w:t>
      </w:r>
    </w:p>
    <w:p w14:paraId="22B8CB1B" w14:textId="77777777" w:rsidR="00D320B5" w:rsidRPr="00D320B5" w:rsidRDefault="00D320B5" w:rsidP="00D320B5">
      <w:pPr>
        <w:pStyle w:val="SingleTxtG"/>
      </w:pPr>
      <w:r w:rsidRPr="00D320B5">
        <w:tab/>
        <w:t>b)</w:t>
      </w:r>
      <w:r w:rsidRPr="00D320B5">
        <w:tab/>
        <w:t>коммуникация, информационное освещение, координация;</w:t>
      </w:r>
    </w:p>
    <w:p w14:paraId="265493DE" w14:textId="77777777" w:rsidR="00D320B5" w:rsidRPr="00D320B5" w:rsidRDefault="00D320B5" w:rsidP="00D320B5">
      <w:pPr>
        <w:pStyle w:val="SingleTxtG"/>
      </w:pPr>
      <w:r w:rsidRPr="00D320B5">
        <w:tab/>
        <w:t>с)</w:t>
      </w:r>
      <w:r w:rsidRPr="00D320B5">
        <w:tab/>
        <w:t>общее управление программами.</w:t>
      </w:r>
    </w:p>
    <w:p w14:paraId="15B962F3" w14:textId="77777777" w:rsidR="00D320B5" w:rsidRPr="00D320B5" w:rsidRDefault="00D320B5" w:rsidP="005D6E9D">
      <w:pPr>
        <w:pStyle w:val="H1G"/>
      </w:pPr>
      <w:r w:rsidRPr="00D320B5">
        <w:tab/>
        <w:t>A.</w:t>
      </w:r>
      <w:r w:rsidRPr="00D320B5">
        <w:tab/>
        <w:t>Организация совещаний</w:t>
      </w:r>
    </w:p>
    <w:p w14:paraId="0415B9B5" w14:textId="38FFF773" w:rsidR="00D320B5" w:rsidRPr="00D320B5" w:rsidRDefault="00782009" w:rsidP="00D320B5">
      <w:pPr>
        <w:pStyle w:val="SingleTxtG"/>
      </w:pPr>
      <w:r>
        <w:tab/>
      </w:r>
      <w:r w:rsidR="00D320B5" w:rsidRPr="00D320B5">
        <w:t xml:space="preserve">Директивными органами Конвенции и Протокола к ней являются </w:t>
      </w:r>
      <w:r w:rsidR="00B4592D">
        <w:t>с</w:t>
      </w:r>
      <w:r w:rsidR="00D320B5" w:rsidRPr="00D320B5">
        <w:t xml:space="preserve">овещания Сторон. Подготовка и проведение их сессий в межсессионный период (предварительно запланированных на декабрь 2023 года) являются ключевыми функциями секретариата, как это предусмотрено в статье 13 Конвенции и статье 17 Протокола. Секретариат отвечает также за организацию совещаний Президиума и Рабочей группы по оценке воздействия на окружающую среду и стратегической экологической оценке, которые помогают </w:t>
      </w:r>
      <w:r w:rsidR="00B4592D">
        <w:t>с</w:t>
      </w:r>
      <w:r w:rsidR="00D320B5" w:rsidRPr="00D320B5">
        <w:t>овещаниям Сторон в рассмотрении хода осуществления Конвенции и Протокола, а также за управление их совместным планом работы и бюджетом, вынося рекомендации в отношении дальнейшей работы, необходимой для обеспечения эффективного осуществления договоров. Планируется провести в общей сложности шесть совещаний, причем совещания обоих вспомогательных органов первоначально запланированы на 2021, 2022 и 2023 годы.</w:t>
      </w:r>
    </w:p>
    <w:p w14:paraId="5081F56C" w14:textId="7831CFEA" w:rsidR="00D320B5" w:rsidRPr="00D320B5" w:rsidRDefault="00782009" w:rsidP="00D320B5">
      <w:pPr>
        <w:pStyle w:val="SingleTxtG"/>
      </w:pPr>
      <w:r>
        <w:tab/>
      </w:r>
      <w:r w:rsidR="00D320B5" w:rsidRPr="00D320B5">
        <w:t>Участие в совещаниях договорных органов будет способствовать обмену знаниями и укреплению потенциала для осуществления договоров, а также позволит участникам создавать сети и изучать возможности для активизации их осуществления. Покрытие путевых расходов участников из стран, имеющих право на финансовую поддержку, позволяет им принимать полноценное и эффективное участие в совещаниях и способствует инклюзивности и представительности процесса принятия решений, повышению легитимности принимаемых решений и укреплению приверженности осуществлению принятых решений.</w:t>
      </w:r>
    </w:p>
    <w:p w14:paraId="24B11191" w14:textId="77777777" w:rsidR="00D320B5" w:rsidRPr="00D320B5" w:rsidRDefault="00D320B5" w:rsidP="00782009">
      <w:pPr>
        <w:pStyle w:val="H4G"/>
      </w:pPr>
      <w:bookmarkStart w:id="13" w:name="_Hlk31980276"/>
      <w:r w:rsidRPr="00D320B5">
        <w:tab/>
      </w:r>
      <w:r w:rsidRPr="00D320B5">
        <w:tab/>
        <w:t>Деятельность</w:t>
      </w:r>
      <w:r w:rsidRPr="00520DCD">
        <w:rPr>
          <w:i w:val="0"/>
          <w:iCs/>
        </w:rPr>
        <w:t>:</w:t>
      </w:r>
    </w:p>
    <w:bookmarkEnd w:id="13"/>
    <w:p w14:paraId="37FBBFA4" w14:textId="2A024B7B" w:rsidR="00D320B5" w:rsidRPr="00D320B5" w:rsidRDefault="00782009" w:rsidP="00D320B5">
      <w:pPr>
        <w:pStyle w:val="SingleTxtG"/>
      </w:pPr>
      <w:r>
        <w:tab/>
      </w:r>
      <w:r w:rsidR="00D320B5" w:rsidRPr="00D320B5">
        <w:t>a)</w:t>
      </w:r>
      <w:r w:rsidR="00D320B5" w:rsidRPr="00D320B5">
        <w:tab/>
        <w:t>подготовка, редактирование, перевод и публикация на веб-сайте повесток дня и официальных документов совещаний, а также подготовка и публикация неофициальных документов совещаний;</w:t>
      </w:r>
    </w:p>
    <w:p w14:paraId="4FF3D9DC" w14:textId="351670BF" w:rsidR="00D320B5" w:rsidRPr="00D320B5" w:rsidRDefault="00782009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 xml:space="preserve">рассылка приглашений и информации; </w:t>
      </w:r>
    </w:p>
    <w:p w14:paraId="58F99A3F" w14:textId="38F018AB" w:rsidR="00D320B5" w:rsidRPr="00D320B5" w:rsidRDefault="00782009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организация/поддержка организации одновременных/параллельных мероприятий по мере необходимости;</w:t>
      </w:r>
    </w:p>
    <w:p w14:paraId="7A9F4E1B" w14:textId="6DEF2452" w:rsidR="00D320B5" w:rsidRPr="00D320B5" w:rsidRDefault="00782009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>регистрация участников и организация поездок для участников, получающих финансирование, а также, в случае необходимости, содействие в получении виз;</w:t>
      </w:r>
    </w:p>
    <w:p w14:paraId="4C845F3D" w14:textId="0A515394" w:rsidR="00D320B5" w:rsidRPr="00D320B5" w:rsidRDefault="00782009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>оказание поддержки должностным лицам совещаний, в том числе путем подготовки подробных информационных записок;</w:t>
      </w:r>
    </w:p>
    <w:p w14:paraId="0D4683B3" w14:textId="6D001CEB" w:rsidR="00D320B5" w:rsidRPr="00D320B5" w:rsidRDefault="00782009" w:rsidP="00D320B5">
      <w:pPr>
        <w:pStyle w:val="SingleTxtG"/>
      </w:pPr>
      <w:r>
        <w:tab/>
      </w:r>
      <w:r w:rsidR="00D320B5" w:rsidRPr="00D320B5">
        <w:t>f)</w:t>
      </w:r>
      <w:r w:rsidR="00D320B5" w:rsidRPr="00D320B5">
        <w:tab/>
        <w:t>материально-техническая подготовка совещаний (в соответствии с местом их проведения и правилами безопасности Организации Объединенных Наций);</w:t>
      </w:r>
    </w:p>
    <w:p w14:paraId="65372A04" w14:textId="38626081" w:rsidR="00D320B5" w:rsidRPr="00D320B5" w:rsidRDefault="00782009" w:rsidP="00D320B5">
      <w:pPr>
        <w:pStyle w:val="SingleTxtG"/>
      </w:pPr>
      <w:r>
        <w:lastRenderedPageBreak/>
        <w:tab/>
      </w:r>
      <w:r w:rsidR="00D320B5" w:rsidRPr="00D320B5">
        <w:t>g)</w:t>
      </w:r>
      <w:r w:rsidR="00D320B5" w:rsidRPr="00D320B5">
        <w:tab/>
        <w:t xml:space="preserve">сбор и регистрация информации о проверке полномочий в соответствующих случаях; </w:t>
      </w:r>
    </w:p>
    <w:p w14:paraId="1053B9F1" w14:textId="311CF587" w:rsidR="00D320B5" w:rsidRPr="00D320B5" w:rsidRDefault="00782009" w:rsidP="00D320B5">
      <w:pPr>
        <w:pStyle w:val="SingleTxtG"/>
      </w:pPr>
      <w:r>
        <w:tab/>
      </w:r>
      <w:r w:rsidR="00D320B5" w:rsidRPr="00D320B5">
        <w:t>h)</w:t>
      </w:r>
      <w:r w:rsidR="00D320B5" w:rsidRPr="00D320B5">
        <w:tab/>
        <w:t>конференционное обслуживание совещаний;</w:t>
      </w:r>
    </w:p>
    <w:p w14:paraId="771107E6" w14:textId="3F040C84" w:rsidR="00D320B5" w:rsidRPr="00D320B5" w:rsidRDefault="00782009" w:rsidP="00D320B5">
      <w:pPr>
        <w:pStyle w:val="SingleTxtG"/>
      </w:pPr>
      <w:r>
        <w:tab/>
      </w:r>
      <w:r w:rsidR="00D320B5" w:rsidRPr="00D320B5">
        <w:t>i)</w:t>
      </w:r>
      <w:r w:rsidR="00D320B5" w:rsidRPr="00D320B5">
        <w:tab/>
        <w:t>обеспечение устного перевода на совещаниях на трех языках ЕЭК;</w:t>
      </w:r>
    </w:p>
    <w:p w14:paraId="6368E8FB" w14:textId="196100F1" w:rsidR="00D320B5" w:rsidRPr="00D320B5" w:rsidRDefault="00782009" w:rsidP="00D320B5">
      <w:pPr>
        <w:pStyle w:val="SingleTxtG"/>
      </w:pPr>
      <w:r>
        <w:tab/>
      </w:r>
      <w:r w:rsidR="00D320B5" w:rsidRPr="00D320B5">
        <w:t>j)</w:t>
      </w:r>
      <w:r w:rsidR="00D320B5" w:rsidRPr="00D320B5">
        <w:tab/>
        <w:t>подготовка, редактирование, перевод и публикация докладов о работе совещаний;</w:t>
      </w:r>
    </w:p>
    <w:p w14:paraId="4ABECAB6" w14:textId="396DE0FD" w:rsidR="00D320B5" w:rsidRPr="00D320B5" w:rsidRDefault="00782009" w:rsidP="00D320B5">
      <w:pPr>
        <w:pStyle w:val="SingleTxtG"/>
      </w:pPr>
      <w:r>
        <w:tab/>
      </w:r>
      <w:r w:rsidR="00D320B5" w:rsidRPr="00D320B5">
        <w:t>k)</w:t>
      </w:r>
      <w:r w:rsidR="00D320B5" w:rsidRPr="00D320B5">
        <w:tab/>
        <w:t>подготовка пресс-релизов/материалов для СМИ по мере необходимости;</w:t>
      </w:r>
    </w:p>
    <w:p w14:paraId="147386AE" w14:textId="475D0FAB" w:rsidR="00D320B5" w:rsidRPr="00D320B5" w:rsidRDefault="00782009" w:rsidP="00D320B5">
      <w:pPr>
        <w:pStyle w:val="SingleTxtG"/>
      </w:pPr>
      <w:r>
        <w:tab/>
      </w:r>
      <w:r w:rsidR="00D320B5" w:rsidRPr="00D320B5">
        <w:t>l)</w:t>
      </w:r>
      <w:r w:rsidR="00D320B5" w:rsidRPr="00D320B5">
        <w:tab/>
        <w:t>осуществление последующих мер в связи с принятыми решениями;</w:t>
      </w:r>
      <w:bookmarkStart w:id="14" w:name="_Hlk31980543"/>
      <w:bookmarkStart w:id="15" w:name="_Hlk31979642"/>
      <w:bookmarkStart w:id="16" w:name="_Hlk31984396"/>
    </w:p>
    <w:p w14:paraId="2F027D88" w14:textId="582EF114" w:rsidR="00D320B5" w:rsidRPr="00D320B5" w:rsidRDefault="00782009" w:rsidP="00D320B5">
      <w:pPr>
        <w:pStyle w:val="SingleTxtG"/>
      </w:pPr>
      <w:r>
        <w:tab/>
      </w:r>
      <w:r w:rsidR="00D320B5" w:rsidRPr="00D320B5">
        <w:t>m)</w:t>
      </w:r>
      <w:r w:rsidR="00D320B5" w:rsidRPr="00D320B5">
        <w:tab/>
        <w:t xml:space="preserve">в консультации с Президиумом оказание содействия совещаниям Сторон и их вспомогательным органам в возможном дальнейшем уточнении процедурных вопросов, касающихся проведения совещаний с дистанционным участием, для их рассмотрения на совещаниях Сторон в 2023 году. </w:t>
      </w:r>
    </w:p>
    <w:p w14:paraId="0D96865A" w14:textId="77777777" w:rsidR="00D320B5" w:rsidRPr="00D320B5" w:rsidRDefault="00D320B5" w:rsidP="00D320B5">
      <w:pPr>
        <w:pStyle w:val="SingleTxtG"/>
      </w:pPr>
      <w:r w:rsidRPr="00782009">
        <w:rPr>
          <w:i/>
          <w:iCs/>
        </w:rPr>
        <w:t>Ответственный(ые) орган(ы)</w:t>
      </w:r>
      <w:r w:rsidRPr="00D320B5">
        <w:t xml:space="preserve">: секретариат, при необходимости, в консультации с Президиумом. Если совещание организуется Стороной, то за его организацию (и соответствующие расходы) отвечает принимающая страна в соответствии с подробным соглашением, которое заключается между ней и секретариатом. </w:t>
      </w:r>
      <w:bookmarkEnd w:id="14"/>
      <w:bookmarkEnd w:id="15"/>
    </w:p>
    <w:p w14:paraId="62ACEA28" w14:textId="02284E98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>: сотрудники категории специалистов и вспомогательный персонал секретариата. Покрытие путевых расходов имеющих на это право участников и экспертов (докладчиков). При условии внесения Сторонами в достаточном объеме дополнительных необъявленных взносов по решению Президиума, принятому заблаговременно до начала совещаний, в целях приор</w:t>
      </w:r>
      <w:r w:rsidR="00C406A5">
        <w:t>и</w:t>
      </w:r>
      <w:r w:rsidRPr="00D320B5">
        <w:t>тизаци</w:t>
      </w:r>
      <w:r w:rsidR="00520DCD">
        <w:t>и</w:t>
      </w:r>
      <w:r w:rsidRPr="00D320B5">
        <w:t xml:space="preserve"> права на получение помощи для тех, кто может воспользоваться поддержкой в покрытии путевых расходов.</w:t>
      </w:r>
      <w:bookmarkEnd w:id="16"/>
    </w:p>
    <w:p w14:paraId="1E9FFAF7" w14:textId="77777777" w:rsidR="00D320B5" w:rsidRPr="00D320B5" w:rsidRDefault="00D320B5" w:rsidP="00782009">
      <w:pPr>
        <w:pStyle w:val="H1G"/>
      </w:pPr>
      <w:r w:rsidRPr="00D320B5">
        <w:tab/>
        <w:t>B.</w:t>
      </w:r>
      <w:r w:rsidRPr="00D320B5">
        <w:tab/>
        <w:t>Коммуникация, информационное освещение, координация</w:t>
      </w:r>
      <w:bookmarkStart w:id="17" w:name="_Hlk36021677"/>
      <w:bookmarkEnd w:id="17"/>
    </w:p>
    <w:p w14:paraId="7A6BA7EC" w14:textId="77777777" w:rsidR="00D320B5" w:rsidRPr="00D320B5" w:rsidRDefault="00D320B5" w:rsidP="00782009">
      <w:pPr>
        <w:pStyle w:val="H4G"/>
      </w:pPr>
      <w:r w:rsidRPr="00D320B5">
        <w:tab/>
      </w:r>
      <w:r w:rsidRPr="00D320B5">
        <w:tab/>
        <w:t>Деятельность</w:t>
      </w:r>
      <w:r w:rsidRPr="00520DCD">
        <w:rPr>
          <w:i w:val="0"/>
          <w:iCs/>
        </w:rPr>
        <w:t>:</w:t>
      </w:r>
    </w:p>
    <w:p w14:paraId="0F1612E8" w14:textId="09FE739C" w:rsidR="00D320B5" w:rsidRPr="00D320B5" w:rsidRDefault="00782009" w:rsidP="00D320B5">
      <w:pPr>
        <w:pStyle w:val="SingleTxtG"/>
      </w:pPr>
      <w:r>
        <w:tab/>
      </w:r>
      <w:r w:rsidR="00D320B5" w:rsidRPr="00D320B5">
        <w:t>Ключевые функции секретариата включают общие задачи по коммуникации и координации в рамках Конвенции и Протокола к ней, а также по информационному освещению договоров и деятельности в их рамках и по обеспечению доступа к этой информации. В этой связи секретариат:</w:t>
      </w:r>
    </w:p>
    <w:p w14:paraId="5CDFFFA8" w14:textId="01A5CD11" w:rsidR="00D320B5" w:rsidRPr="00D320B5" w:rsidRDefault="00782009" w:rsidP="00D320B5">
      <w:pPr>
        <w:pStyle w:val="SingleTxtG"/>
      </w:pPr>
      <w:r>
        <w:tab/>
      </w:r>
      <w:r w:rsidR="00D320B5" w:rsidRPr="00D320B5">
        <w:t>a)</w:t>
      </w:r>
      <w:r w:rsidR="00D320B5" w:rsidRPr="00D320B5">
        <w:tab/>
        <w:t>поддерживает связь с координаторами, заинтересованными субъектами и соответствующими организациями-партнерами в рамках Организации Объединенных Наций и за ее пределами, отвечая на любые запросы и принимая меры для повышения осведомленности о договорах и сопутствующей деятельности;</w:t>
      </w:r>
    </w:p>
    <w:p w14:paraId="185FC4C6" w14:textId="50B8AACA" w:rsidR="00D320B5" w:rsidRPr="00D320B5" w:rsidRDefault="00782009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>координирует осуществление деятельности, предусмотренной планом работы, включая сотрудничество с другими секретариатами и подпрограммами многосторонних природоохранных соглашений ЕЭК, а также, в зависимости от имеющихся ресурсов, с другими органами Организации Объединенных Наций и международными организациями;</w:t>
      </w:r>
    </w:p>
    <w:p w14:paraId="2D0C9342" w14:textId="577CE844" w:rsidR="00D320B5" w:rsidRPr="00D320B5" w:rsidRDefault="00782009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представляет в случае необходимости Конвенцию и Протокол на соответствующих совещаниях и мероприятиях в целях поощрения и/или координации деятельности;</w:t>
      </w:r>
    </w:p>
    <w:p w14:paraId="567A0EB6" w14:textId="6DE758AF" w:rsidR="00D320B5" w:rsidRPr="00D320B5" w:rsidRDefault="00782009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>обеспечивает информационное освещение и беспрепятственный доступ к актуальной информации и документам на веб-сайте, посвященном договорам, включая онлайновые базы данных координаторов по административным вопросам и контактных пунктов для уведомления в соответствии с Конвенцией и Протоколом, а также онлайновые календари совещаний;</w:t>
      </w:r>
    </w:p>
    <w:p w14:paraId="23933DC0" w14:textId="5F422590" w:rsidR="00D320B5" w:rsidRPr="00D320B5" w:rsidRDefault="00782009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>занимается корреспонденцией и организацией брифингов для старшего руководства ЕЭК при подготовке к двусторонним и многосторонним совещаниям высокого уровня в регионе ЕЭК и за его пределами;</w:t>
      </w:r>
    </w:p>
    <w:p w14:paraId="62B4BC39" w14:textId="07A7E60C" w:rsidR="00D320B5" w:rsidRPr="00D320B5" w:rsidRDefault="00782009" w:rsidP="00D320B5">
      <w:pPr>
        <w:pStyle w:val="SingleTxtG"/>
      </w:pPr>
      <w:r>
        <w:lastRenderedPageBreak/>
        <w:tab/>
      </w:r>
      <w:r w:rsidR="00D320B5" w:rsidRPr="00D320B5">
        <w:t>f)</w:t>
      </w:r>
      <w:r w:rsidR="00D320B5" w:rsidRPr="00D320B5">
        <w:tab/>
        <w:t>в случае необходимости занимается подготовкой пресс-релизов и других пропагандистских материалов.</w:t>
      </w:r>
    </w:p>
    <w:p w14:paraId="4AA5CFDE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320B5">
        <w:t>: секретариат, при необходимости, в консультации с договорными органами. Стороны информируют секретариат о любых изменениях, касающихся их координаторов/контактных пунктов.</w:t>
      </w:r>
    </w:p>
    <w:p w14:paraId="56244679" w14:textId="6B23A57D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>: сотрудники категории специалистов и вспомогательный персонал секретариата; средства на оплату путевых расходов сотрудников секретариата для участия в совещаниях, связанных с осуществлением плана работы, и, в случае необходимости, в совещаниях соответствующих внешних органов; и</w:t>
      </w:r>
      <w:r w:rsidR="00E0199F">
        <w:t> </w:t>
      </w:r>
      <w:r w:rsidRPr="00D320B5">
        <w:t>средства на подготовку рекламных материалов в случае необходимости.</w:t>
      </w:r>
    </w:p>
    <w:p w14:paraId="48B06D18" w14:textId="77777777" w:rsidR="00D320B5" w:rsidRPr="00D320B5" w:rsidRDefault="00D320B5" w:rsidP="00782009">
      <w:pPr>
        <w:pStyle w:val="H1G"/>
      </w:pPr>
      <w:r w:rsidRPr="00D320B5">
        <w:tab/>
        <w:t>C.</w:t>
      </w:r>
      <w:r w:rsidRPr="00D320B5">
        <w:tab/>
        <w:t>Общее управление программами</w:t>
      </w:r>
      <w:bookmarkStart w:id="18" w:name="_Hlk36021714"/>
      <w:bookmarkEnd w:id="18"/>
    </w:p>
    <w:p w14:paraId="33560318" w14:textId="60BD22D8" w:rsidR="00D320B5" w:rsidRPr="00D320B5" w:rsidRDefault="00782009" w:rsidP="00D320B5">
      <w:pPr>
        <w:pStyle w:val="SingleTxtG"/>
      </w:pPr>
      <w:r>
        <w:tab/>
      </w:r>
      <w:r w:rsidR="00D320B5" w:rsidRPr="00D320B5">
        <w:t>В рамках своих ключевых функций секретариат обеспечивает выполнение финансовых, кадровых и других общих задач, связанных с планированием программ и управлением, принятие административных мер и представл</w:t>
      </w:r>
      <w:r w:rsidR="00E0199F">
        <w:t>ение</w:t>
      </w:r>
      <w:r w:rsidR="00D320B5" w:rsidRPr="00D320B5">
        <w:t xml:space="preserve"> отчетности, необходимой для функционирования договоров и их секретариата.</w:t>
      </w:r>
    </w:p>
    <w:p w14:paraId="05C16D3D" w14:textId="77777777" w:rsidR="00D320B5" w:rsidRPr="00D320B5" w:rsidRDefault="00D320B5" w:rsidP="00782009">
      <w:pPr>
        <w:pStyle w:val="H4G"/>
      </w:pPr>
      <w:r w:rsidRPr="00D320B5">
        <w:tab/>
      </w:r>
      <w:r w:rsidRPr="00D320B5">
        <w:tab/>
        <w:t>Деятельность</w:t>
      </w:r>
      <w:r w:rsidRPr="00E0199F">
        <w:rPr>
          <w:i w:val="0"/>
          <w:iCs/>
        </w:rPr>
        <w:t>:</w:t>
      </w:r>
    </w:p>
    <w:p w14:paraId="68887581" w14:textId="53E83B80" w:rsidR="00D320B5" w:rsidRPr="00D320B5" w:rsidRDefault="00782009" w:rsidP="00D320B5">
      <w:pPr>
        <w:pStyle w:val="SingleTxtG"/>
      </w:pPr>
      <w:r>
        <w:tab/>
      </w:r>
      <w:r w:rsidR="00D320B5" w:rsidRPr="00D320B5">
        <w:t>a)</w:t>
      </w:r>
      <w:r w:rsidR="00D320B5" w:rsidRPr="00D320B5">
        <w:tab/>
        <w:t>подготовка платежных требований в отношении взносов доноров в целевой фонд;</w:t>
      </w:r>
    </w:p>
    <w:p w14:paraId="5610C67B" w14:textId="0F3F916B" w:rsidR="00D320B5" w:rsidRPr="00D320B5" w:rsidRDefault="00782009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 xml:space="preserve">подготовка и представление на утверждение Президиума ежегодных финансовых отчетов до их опубликования на веб-сайте; </w:t>
      </w:r>
    </w:p>
    <w:p w14:paraId="5C9B36BF" w14:textId="14BA6946" w:rsidR="00D320B5" w:rsidRPr="00D320B5" w:rsidRDefault="00782009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подготовка, по запросу и в порядке исключения, отдельных финансовых отчетов для индивидуальных доноров;</w:t>
      </w:r>
    </w:p>
    <w:p w14:paraId="499023F7" w14:textId="0EBE379A" w:rsidR="00D320B5" w:rsidRPr="00D320B5" w:rsidRDefault="00782009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>поддержка со стороны Президиума процесса подготовки предложения о путях оптимального отражения взносов натурой и их денежного эквивалента в финансовых механизмах/как элемента потребностей в ресурсах для осуществления плана работы по Конвенции и Протоколу, для рассмотрения на совещаниях Сторон в 2023 году;</w:t>
      </w:r>
    </w:p>
    <w:p w14:paraId="39C087C2" w14:textId="3267D0A9" w:rsidR="00D320B5" w:rsidRPr="00D320B5" w:rsidRDefault="00782009" w:rsidP="00D320B5">
      <w:pPr>
        <w:pStyle w:val="SingleTxtG"/>
      </w:pPr>
      <w:bookmarkStart w:id="19" w:name="_Hlk36044123"/>
      <w:r>
        <w:tab/>
      </w:r>
      <w:r w:rsidR="00D320B5" w:rsidRPr="00D320B5">
        <w:t>e)</w:t>
      </w:r>
      <w:r w:rsidR="00D320B5" w:rsidRPr="00D320B5">
        <w:tab/>
        <w:t>подготовка годовых и более долгосрочных смет расходов и бюджетных прогнозов в отношении совещаний, документов и публикаций для обработки администрацией Организации Объединенных Наций и соответствующими службами;</w:t>
      </w:r>
    </w:p>
    <w:bookmarkEnd w:id="19"/>
    <w:p w14:paraId="2A24ECD4" w14:textId="53BCA255" w:rsidR="00D320B5" w:rsidRPr="00D320B5" w:rsidRDefault="00782009" w:rsidP="00D320B5">
      <w:pPr>
        <w:pStyle w:val="SingleTxtG"/>
      </w:pPr>
      <w:r>
        <w:tab/>
      </w:r>
      <w:r w:rsidR="00D320B5" w:rsidRPr="00D320B5">
        <w:t>f)</w:t>
      </w:r>
      <w:r w:rsidR="00D320B5" w:rsidRPr="00D320B5">
        <w:tab/>
        <w:t>подготовка докладов по основным и административным вопросам;</w:t>
      </w:r>
    </w:p>
    <w:p w14:paraId="659E4234" w14:textId="06AC86E7" w:rsidR="00D320B5" w:rsidRPr="00D320B5" w:rsidRDefault="00782009" w:rsidP="00D320B5">
      <w:pPr>
        <w:pStyle w:val="SingleTxtG"/>
      </w:pPr>
      <w:r>
        <w:tab/>
      </w:r>
      <w:r w:rsidR="00D320B5" w:rsidRPr="00D320B5">
        <w:t>g)</w:t>
      </w:r>
      <w:r w:rsidR="00D320B5" w:rsidRPr="00D320B5">
        <w:tab/>
        <w:t>прием на работу/наем персонала секретариата и консультантов.</w:t>
      </w:r>
    </w:p>
    <w:p w14:paraId="035E9FC8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320B5">
        <w:t>: секретариат.</w:t>
      </w:r>
    </w:p>
    <w:p w14:paraId="60247BCB" w14:textId="23BFEE3D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>: сотрудники категории специалистов и вспомогательный персонал секретариата.</w:t>
      </w:r>
    </w:p>
    <w:p w14:paraId="72AE072A" w14:textId="77777777" w:rsidR="00D320B5" w:rsidRPr="00D320B5" w:rsidRDefault="00D320B5" w:rsidP="00782009">
      <w:pPr>
        <w:pStyle w:val="HChG"/>
      </w:pPr>
      <w:r w:rsidRPr="00D320B5">
        <w:tab/>
        <w:t>II.</w:t>
      </w:r>
      <w:r w:rsidRPr="00D320B5">
        <w:tab/>
        <w:t>Соблюдение и осуществление Конвенции и Протокола</w:t>
      </w:r>
    </w:p>
    <w:p w14:paraId="1955D018" w14:textId="152354FB" w:rsidR="00D320B5" w:rsidRPr="00D320B5" w:rsidRDefault="00782009" w:rsidP="00D320B5">
      <w:pPr>
        <w:pStyle w:val="SingleTxtG"/>
      </w:pPr>
      <w:bookmarkStart w:id="20" w:name="_Hlk22918633"/>
      <w:r>
        <w:tab/>
      </w:r>
      <w:r w:rsidR="00D320B5" w:rsidRPr="00D320B5">
        <w:t>Эта область работы направлена на содействие полному и эффективному осуществлению и соблюдению Конвенции и Протокола по следующим направлениям деятельности, из которых а) и b) являются обязательными в рамках обоих договоров:</w:t>
      </w:r>
      <w:bookmarkStart w:id="21" w:name="_Hlk36021583"/>
      <w:bookmarkStart w:id="22" w:name="_Hlk36024451"/>
      <w:bookmarkEnd w:id="21"/>
      <w:bookmarkEnd w:id="22"/>
    </w:p>
    <w:p w14:paraId="0C1CE9AF" w14:textId="077FEB37" w:rsidR="00D320B5" w:rsidRPr="00D320B5" w:rsidRDefault="00782009" w:rsidP="00D320B5">
      <w:pPr>
        <w:pStyle w:val="SingleTxtG"/>
      </w:pPr>
      <w:bookmarkStart w:id="23" w:name="_Hlk60410195"/>
      <w:r>
        <w:tab/>
      </w:r>
      <w:r w:rsidR="00D320B5" w:rsidRPr="00D320B5">
        <w:t>a)</w:t>
      </w:r>
      <w:r w:rsidR="00D320B5" w:rsidRPr="00D320B5">
        <w:tab/>
        <w:t>рассмотрение соблюдения;</w:t>
      </w:r>
      <w:bookmarkStart w:id="24" w:name="_Hlk31733221"/>
      <w:bookmarkEnd w:id="24"/>
    </w:p>
    <w:p w14:paraId="4C3DA48F" w14:textId="516F6223" w:rsidR="00D320B5" w:rsidRPr="00D320B5" w:rsidRDefault="00782009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>представление отчетности и обзор осуществления;</w:t>
      </w:r>
    </w:p>
    <w:p w14:paraId="73DECE73" w14:textId="3914CBA8" w:rsidR="00D320B5" w:rsidRPr="00D320B5" w:rsidRDefault="00782009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предоставление правовой помощи по приведению законодательства Сторон в соответствие с Конвенцией и Протоколом.</w:t>
      </w:r>
      <w:bookmarkStart w:id="25" w:name="_Hlk36023108"/>
    </w:p>
    <w:bookmarkEnd w:id="12"/>
    <w:bookmarkEnd w:id="20"/>
    <w:bookmarkEnd w:id="23"/>
    <w:bookmarkEnd w:id="25"/>
    <w:p w14:paraId="45A2FD13" w14:textId="77777777" w:rsidR="00D320B5" w:rsidRPr="00D320B5" w:rsidRDefault="00D320B5" w:rsidP="00782009">
      <w:pPr>
        <w:pStyle w:val="H1G"/>
        <w:rPr>
          <w:bCs/>
        </w:rPr>
      </w:pPr>
      <w:r w:rsidRPr="00D320B5">
        <w:lastRenderedPageBreak/>
        <w:tab/>
        <w:t>A.</w:t>
      </w:r>
      <w:r w:rsidRPr="00D320B5">
        <w:tab/>
      </w:r>
      <w:r w:rsidRPr="00D320B5">
        <w:tab/>
        <w:t>Рассмотрение</w:t>
      </w:r>
      <w:r w:rsidRPr="00D320B5">
        <w:rPr>
          <w:bCs/>
        </w:rPr>
        <w:t xml:space="preserve"> соблюдения</w:t>
      </w:r>
      <w:r w:rsidRPr="00D320B5">
        <w:t xml:space="preserve"> </w:t>
      </w:r>
    </w:p>
    <w:p w14:paraId="18D39FF1" w14:textId="463485B1" w:rsidR="00D320B5" w:rsidRPr="00D320B5" w:rsidRDefault="00782009" w:rsidP="00D320B5">
      <w:pPr>
        <w:pStyle w:val="SingleTxtG"/>
      </w:pPr>
      <w:r>
        <w:tab/>
      </w:r>
      <w:r w:rsidR="00D320B5" w:rsidRPr="00D320B5">
        <w:t>Рассмотрение соблюдения Сторонами своих обязательств по Конвенции и Протоколу предусмотрен в статье 14</w:t>
      </w:r>
      <w:r w:rsidR="00E0199F">
        <w:t> </w:t>
      </w:r>
      <w:r w:rsidR="00D320B5" w:rsidRPr="00D320B5">
        <w:t>bis Конвенции и решении V/6</w:t>
      </w:r>
      <w:r w:rsidR="00E0199F">
        <w:t>–</w:t>
      </w:r>
      <w:r w:rsidR="00D320B5" w:rsidRPr="00D320B5">
        <w:t>I/6 (ECE/MP.EIA/SEA/2).</w:t>
      </w:r>
    </w:p>
    <w:p w14:paraId="09AB9275" w14:textId="77777777" w:rsidR="00D320B5" w:rsidRPr="00D320B5" w:rsidRDefault="00D320B5" w:rsidP="00D320B5">
      <w:pPr>
        <w:pStyle w:val="SingleTxtG"/>
      </w:pPr>
      <w:bookmarkStart w:id="26" w:name="_Hlk31986613"/>
      <w:bookmarkStart w:id="27" w:name="_Hlk31975671"/>
      <w:bookmarkStart w:id="28" w:name="_Hlk31885742"/>
      <w:r w:rsidRPr="00D320B5">
        <w:rPr>
          <w:i/>
          <w:iCs/>
        </w:rPr>
        <w:t>Ответственный(ые) орган(ы)</w:t>
      </w:r>
      <w:r w:rsidRPr="00D320B5">
        <w:t>: Комитет по осуществлению при поддержке секретариата.</w:t>
      </w:r>
      <w:bookmarkEnd w:id="26"/>
      <w:bookmarkEnd w:id="27"/>
    </w:p>
    <w:p w14:paraId="161E44EF" w14:textId="67F9AF44" w:rsidR="00D320B5" w:rsidRPr="00D320B5" w:rsidRDefault="00D320B5" w:rsidP="00D320B5">
      <w:pPr>
        <w:pStyle w:val="SingleTxtG"/>
      </w:pPr>
      <w:r w:rsidRPr="00D320B5">
        <w:rPr>
          <w:i/>
          <w:iCs/>
        </w:rPr>
        <w:t>Метод работы</w:t>
      </w:r>
      <w:r w:rsidRPr="00D320B5">
        <w:t>: Комитет проведет три ежегодных (всего девять) совещания в</w:t>
      </w:r>
      <w:r w:rsidR="00AB6E36">
        <w:t xml:space="preserve"> </w:t>
      </w:r>
      <w:r w:rsidR="00E0199F">
        <w:br/>
      </w:r>
      <w:r w:rsidRPr="00D320B5">
        <w:t xml:space="preserve">2021–2023 годах, а в межсессионный период в случае необходимости будет работать по электронной почте и проводить виртуальные (например, через «Webex») совещания или аудио-/видеоконференции. </w:t>
      </w:r>
    </w:p>
    <w:p w14:paraId="224741AB" w14:textId="3AFE25BD" w:rsidR="00D320B5" w:rsidRPr="00D320B5" w:rsidRDefault="00782009" w:rsidP="00D320B5">
      <w:pPr>
        <w:pStyle w:val="SingleTxtG"/>
      </w:pPr>
      <w:r>
        <w:tab/>
      </w:r>
      <w:r w:rsidR="00D320B5" w:rsidRPr="00D320B5">
        <w:t xml:space="preserve">В рамках своих ключевых функций секретариат: организовывает совещания и обеспечивает их обслуживание; готовит, редактирует и переводит официальные повестки дня и доклады о работе совещаний; предоставляет поддержку кураторам и сотрудникам в подготовке совещаний и последующей деятельности по их итогам; предоставляет членам Комитета неофициальные рабочие документы; ведет официальный веб-сайт; и оказывает помощь Председателю в распространении информации о проведенных Комитетом обсуждениях. </w:t>
      </w:r>
    </w:p>
    <w:p w14:paraId="22AF037B" w14:textId="77777777" w:rsidR="00D320B5" w:rsidRPr="00D320B5" w:rsidRDefault="00D320B5" w:rsidP="00D320B5">
      <w:pPr>
        <w:pStyle w:val="SingleTxtG"/>
      </w:pPr>
      <w:bookmarkStart w:id="29" w:name="_Hlk31976317"/>
      <w:bookmarkStart w:id="30" w:name="_Hlk31966194"/>
      <w:r w:rsidRPr="00D320B5">
        <w:rPr>
          <w:i/>
          <w:iCs/>
        </w:rPr>
        <w:t>Потребности в ресурсах</w:t>
      </w:r>
      <w:r w:rsidRPr="00D320B5">
        <w:t>: кадровое обеспечение секретариата, включая сотрудника категории специалистов для выполнения функций секретаря Комитета по осуществлению и вспомогательный персонал; покрытие путевых расходов имеющих на это право членов Комитета для участия в совещаниях.</w:t>
      </w:r>
      <w:bookmarkEnd w:id="28"/>
      <w:bookmarkEnd w:id="29"/>
      <w:bookmarkEnd w:id="30"/>
    </w:p>
    <w:p w14:paraId="2F254EAA" w14:textId="77777777" w:rsidR="00D320B5" w:rsidRPr="00D320B5" w:rsidRDefault="00D320B5" w:rsidP="00782009">
      <w:pPr>
        <w:pStyle w:val="H23G"/>
      </w:pPr>
      <w:r w:rsidRPr="00D320B5">
        <w:tab/>
        <w:t>1.</w:t>
      </w:r>
      <w:r w:rsidRPr="00D320B5">
        <w:tab/>
        <w:t>Рассмотрение вопросов соблюдения</w:t>
      </w:r>
    </w:p>
    <w:p w14:paraId="4547A673" w14:textId="2192B890" w:rsidR="00D320B5" w:rsidRPr="00D320B5" w:rsidRDefault="00782009" w:rsidP="00D320B5">
      <w:pPr>
        <w:pStyle w:val="SingleTxtG"/>
      </w:pPr>
      <w:bookmarkStart w:id="31" w:name="_Hlk9242057"/>
      <w:r>
        <w:tab/>
      </w:r>
      <w:r w:rsidR="00D320B5" w:rsidRPr="00D320B5">
        <w:t xml:space="preserve">Комитет по осуществлению рассматривает представленные материалы по вопросам соблюдения, инициативы Комитета, информацию из других источников и любые общие и конкретные вопросы соблюдения, возникающие в связи с обзорами осуществления. </w:t>
      </w:r>
    </w:p>
    <w:p w14:paraId="68C969AF" w14:textId="6D7BC67A" w:rsidR="00D320B5" w:rsidRPr="00D320B5" w:rsidRDefault="00782009" w:rsidP="00D320B5">
      <w:pPr>
        <w:pStyle w:val="SingleTxtG"/>
      </w:pPr>
      <w:r>
        <w:tab/>
      </w:r>
      <w:r w:rsidR="00D320B5" w:rsidRPr="00D320B5">
        <w:t xml:space="preserve">В случае необходимости Комитет представит проекты решений с выводами и рекомендациями в отношении соблюдения Сторонами Конвенции и Протокола своих обязательств по ним </w:t>
      </w:r>
      <w:r w:rsidR="00B4592D">
        <w:t>с</w:t>
      </w:r>
      <w:r w:rsidR="00D320B5" w:rsidRPr="00D320B5">
        <w:t>овещаниям Сторон Конвенции и Протокола на их девятой и пятой сессиях соответственно.</w:t>
      </w:r>
      <w:bookmarkEnd w:id="31"/>
    </w:p>
    <w:p w14:paraId="11E84B99" w14:textId="77777777" w:rsidR="00D320B5" w:rsidRPr="00D320B5" w:rsidRDefault="00D320B5" w:rsidP="00782009">
      <w:pPr>
        <w:pStyle w:val="H23G"/>
      </w:pPr>
      <w:r w:rsidRPr="00D320B5">
        <w:tab/>
        <w:t>2.</w:t>
      </w:r>
      <w:r w:rsidRPr="00D320B5">
        <w:tab/>
        <w:t>Рассмотрение итогов шестого обзора осуществления Конвенции и третьего обзора осуществления Протокола</w:t>
      </w:r>
    </w:p>
    <w:p w14:paraId="17A8EB13" w14:textId="031F3AF7" w:rsidR="00D320B5" w:rsidRPr="00D320B5" w:rsidRDefault="00782009" w:rsidP="00D320B5">
      <w:pPr>
        <w:pStyle w:val="SingleTxtG"/>
      </w:pPr>
      <w:r>
        <w:tab/>
      </w:r>
      <w:r w:rsidR="00D320B5" w:rsidRPr="00D320B5">
        <w:t>Комитет рассмотрит итоги шестого и третьего обзоров осуществления Конвенции и Протокола соответственно при поддержке секретариата к концу 2021 года для выявления возможных общих и конкретных вопросов соблюдения в период 2021–2023 годов.</w:t>
      </w:r>
    </w:p>
    <w:p w14:paraId="464EFE1C" w14:textId="77777777" w:rsidR="00D320B5" w:rsidRPr="00D320B5" w:rsidRDefault="00D320B5" w:rsidP="00782009">
      <w:pPr>
        <w:pStyle w:val="H23G"/>
      </w:pPr>
      <w:r w:rsidRPr="00D320B5">
        <w:tab/>
        <w:t>3.</w:t>
      </w:r>
      <w:r w:rsidRPr="00D320B5">
        <w:tab/>
        <w:t>Обзор и пересмотр структуры, функций и рабочих правил Комитета в случае необходимости</w:t>
      </w:r>
    </w:p>
    <w:p w14:paraId="5F775994" w14:textId="284609FD" w:rsidR="00D320B5" w:rsidRPr="00D320B5" w:rsidRDefault="00782009" w:rsidP="00D320B5">
      <w:pPr>
        <w:pStyle w:val="SingleTxtG"/>
      </w:pPr>
      <w:bookmarkStart w:id="32" w:name="_Hlk9245724"/>
      <w:r>
        <w:tab/>
      </w:r>
      <w:r w:rsidR="00D320B5" w:rsidRPr="00D320B5">
        <w:t xml:space="preserve">Комитет рассмотрит правила, регулирующие его методы работы, в свете своего опыта и в случае необходимости представит предложения о возможных поправках </w:t>
      </w:r>
      <w:r w:rsidR="00B4592D">
        <w:t>с</w:t>
      </w:r>
      <w:r w:rsidR="00D320B5" w:rsidRPr="00D320B5">
        <w:t>овещаниям Сторон Конвенции и Протокола к ней на их следующих сессиях.</w:t>
      </w:r>
    </w:p>
    <w:p w14:paraId="00B461B4" w14:textId="77777777" w:rsidR="00D320B5" w:rsidRPr="00D320B5" w:rsidRDefault="00D320B5" w:rsidP="00782009">
      <w:pPr>
        <w:pStyle w:val="H23G"/>
      </w:pPr>
      <w:r w:rsidRPr="00D320B5">
        <w:tab/>
        <w:t>4.</w:t>
      </w:r>
      <w:r w:rsidRPr="00D320B5">
        <w:tab/>
        <w:t>Доклад о деятельности Комитета</w:t>
      </w:r>
    </w:p>
    <w:p w14:paraId="2314EF30" w14:textId="0BDBD137" w:rsidR="00D320B5" w:rsidRPr="00D320B5" w:rsidRDefault="00782009" w:rsidP="00D320B5">
      <w:pPr>
        <w:pStyle w:val="SingleTxtG"/>
      </w:pPr>
      <w:r>
        <w:tab/>
      </w:r>
      <w:r w:rsidR="00D320B5" w:rsidRPr="00D320B5">
        <w:t xml:space="preserve">Комитет представит доклад о своей деятельности следующим сессиям </w:t>
      </w:r>
      <w:r w:rsidR="00B4592D">
        <w:t>с</w:t>
      </w:r>
      <w:r w:rsidR="00D320B5" w:rsidRPr="00D320B5">
        <w:t>овещаний Сторон, которые предварительно назначены на 2023 год, в виде официального документа. В промежуточный период Комитет будет регулярно представлять обновленную информацию о своей работе Президиуму и Рабочей группе.</w:t>
      </w:r>
    </w:p>
    <w:p w14:paraId="7528D223" w14:textId="77777777" w:rsidR="00D320B5" w:rsidRPr="00D320B5" w:rsidRDefault="00D320B5" w:rsidP="00782009">
      <w:pPr>
        <w:pStyle w:val="H23G"/>
      </w:pPr>
      <w:bookmarkStart w:id="33" w:name="_Hlk9248839"/>
      <w:bookmarkEnd w:id="32"/>
      <w:r w:rsidRPr="00D320B5">
        <w:lastRenderedPageBreak/>
        <w:tab/>
        <w:t>5.</w:t>
      </w:r>
      <w:r w:rsidRPr="00D320B5">
        <w:tab/>
        <w:t>Сбор выводов и мнений Комитета в отношении Конвенции и Протокола</w:t>
      </w:r>
    </w:p>
    <w:p w14:paraId="3A127BEB" w14:textId="1601BC09" w:rsidR="00D320B5" w:rsidRPr="00D320B5" w:rsidRDefault="00782009" w:rsidP="00D320B5">
      <w:pPr>
        <w:pStyle w:val="SingleTxtG"/>
      </w:pPr>
      <w:r>
        <w:tab/>
      </w:r>
      <w:r w:rsidR="00D320B5" w:rsidRPr="00D320B5">
        <w:t>Секретариат отвечает за сбор новых выводов и мнений Комитета и их размещение в режиме онлайн в качестве неофициальных публикаций на ежегодной основе.</w:t>
      </w:r>
    </w:p>
    <w:p w14:paraId="7228B784" w14:textId="77777777" w:rsidR="00D320B5" w:rsidRPr="00D320B5" w:rsidRDefault="00D320B5" w:rsidP="00782009">
      <w:pPr>
        <w:pStyle w:val="H23G"/>
      </w:pPr>
      <w:r w:rsidRPr="00D320B5">
        <w:tab/>
        <w:t>6.</w:t>
      </w:r>
      <w:r w:rsidRPr="00D320B5">
        <w:tab/>
        <w:t>Изучение возможностей взаимодействия с другими соответствующими форумами</w:t>
      </w:r>
    </w:p>
    <w:p w14:paraId="1F15384B" w14:textId="5B975EF7" w:rsidR="00D320B5" w:rsidRPr="00D320B5" w:rsidRDefault="00782009" w:rsidP="00D320B5">
      <w:pPr>
        <w:pStyle w:val="SingleTxtG"/>
      </w:pPr>
      <w:r>
        <w:tab/>
      </w:r>
      <w:r w:rsidR="00D320B5" w:rsidRPr="00D320B5">
        <w:t>Комитет изучит возможности для взаимодействия с другими соответствующими форумами по вопросам соблюдения, в том числе путем участия в неофициальных совещаниях председателей органов по осуществлению в рамках других многосторонних договоров ЕЭК.</w:t>
      </w:r>
    </w:p>
    <w:p w14:paraId="0C1D5A1C" w14:textId="606098CF" w:rsidR="00D320B5" w:rsidRPr="00D320B5" w:rsidRDefault="00D320B5" w:rsidP="00D320B5">
      <w:pPr>
        <w:pStyle w:val="SingleTxtG"/>
      </w:pPr>
      <w:r w:rsidRPr="00D320B5">
        <w:rPr>
          <w:i/>
          <w:iCs/>
        </w:rPr>
        <w:t>Дополнительные потребности в ресурсах</w:t>
      </w:r>
      <w:r w:rsidRPr="00D54568">
        <w:t>:</w:t>
      </w:r>
      <w:r w:rsidR="00D54568">
        <w:rPr>
          <w:i/>
          <w:iCs/>
        </w:rPr>
        <w:t xml:space="preserve"> </w:t>
      </w:r>
      <w:r w:rsidRPr="00D320B5">
        <w:t>по мере необходимости, поддержка в организации поездок Председателя.</w:t>
      </w:r>
    </w:p>
    <w:p w14:paraId="5D1694E0" w14:textId="77777777" w:rsidR="00D320B5" w:rsidRPr="00D320B5" w:rsidRDefault="00D320B5" w:rsidP="00782009">
      <w:pPr>
        <w:pStyle w:val="H1G"/>
      </w:pPr>
      <w:r w:rsidRPr="00D320B5">
        <w:tab/>
        <w:t>B.</w:t>
      </w:r>
      <w:r w:rsidRPr="00D320B5">
        <w:tab/>
        <w:t>Представление отчетности и обзор осуществления</w:t>
      </w:r>
    </w:p>
    <w:p w14:paraId="465A31C3" w14:textId="4741D57F" w:rsidR="00D320B5" w:rsidRPr="00D320B5" w:rsidRDefault="00782009" w:rsidP="00D320B5">
      <w:pPr>
        <w:pStyle w:val="SingleTxtG"/>
        <w:rPr>
          <w:i/>
          <w:iCs/>
        </w:rPr>
      </w:pPr>
      <w:bookmarkStart w:id="34" w:name="_Hlk31892693"/>
      <w:r>
        <w:tab/>
      </w:r>
      <w:r w:rsidR="00D320B5" w:rsidRPr="00D320B5">
        <w:t>Обязательная отчетность Сторон предусмотрена в статье 14</w:t>
      </w:r>
      <w:r w:rsidR="0022471C">
        <w:t xml:space="preserve"> </w:t>
      </w:r>
      <w:r w:rsidR="0022471C">
        <w:rPr>
          <w:lang w:val="en-US"/>
        </w:rPr>
        <w:t>bis</w:t>
      </w:r>
      <w:r w:rsidR="00D320B5" w:rsidRPr="00D320B5">
        <w:t xml:space="preserve"> Конвенции, а также в пункте 13 статьи 4 и пункте 14 статьи 7 Протокола. Обзор осуществления требуется в соответствии с пунктом 2 статьи 11 Конвенции и пунктом 4 статьи 14 Протокола.</w:t>
      </w:r>
    </w:p>
    <w:p w14:paraId="0D33DE42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54568">
        <w:t xml:space="preserve">: </w:t>
      </w:r>
      <w:r w:rsidRPr="00D320B5">
        <w:t>Стороны, Комитет по осуществлению и секретариат.</w:t>
      </w:r>
    </w:p>
    <w:bookmarkEnd w:id="33"/>
    <w:bookmarkEnd w:id="34"/>
    <w:p w14:paraId="19E24A58" w14:textId="77777777" w:rsidR="00D320B5" w:rsidRPr="00D320B5" w:rsidRDefault="00D320B5" w:rsidP="00782009">
      <w:pPr>
        <w:pStyle w:val="H23G"/>
      </w:pPr>
      <w:r w:rsidRPr="00D320B5">
        <w:tab/>
        <w:t>1.</w:t>
      </w:r>
      <w:r w:rsidRPr="00D320B5">
        <w:tab/>
        <w:t>Обновление вопросников для подготовки докладов об осуществлении Конвенции и Протокола в 2019–2021 годах</w:t>
      </w:r>
    </w:p>
    <w:p w14:paraId="194AC692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Цель</w:t>
      </w:r>
      <w:r w:rsidRPr="00D320B5">
        <w:t>: повышение качества информации, получаемой из вопросников для подготовки докладов об осуществлении Конвенции и Протокола Сторонами, в отношении достигнутого прогресса и сохраняющихся проблем. Содействие повышению информативности обзоров осуществления для Комитета по осуществлению в том, что касается потенциального несоблюдения, и их превращение в инструменты для сбора и распространения информации о надлежащей практике.</w:t>
      </w:r>
    </w:p>
    <w:p w14:paraId="64B09625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Комитет по осуществлению: обновит опросники в первой половине 2021 года с учетом замечаний Сторон и секретариата; представит проекты на утверждение Рабочей группе по оценке воздействия на окружающую среду и стратегической экологической оценке на ее совещании в 2021 году; и доработает их на основе замечаний Рабочей группы перед распространением.</w:t>
      </w:r>
    </w:p>
    <w:p w14:paraId="657CF1BD" w14:textId="77777777" w:rsidR="00D320B5" w:rsidRPr="00D320B5" w:rsidRDefault="00D320B5" w:rsidP="00782009">
      <w:pPr>
        <w:pStyle w:val="H23G"/>
      </w:pPr>
      <w:r w:rsidRPr="00D320B5">
        <w:tab/>
        <w:t>2.</w:t>
      </w:r>
      <w:r w:rsidRPr="00D320B5">
        <w:tab/>
        <w:t>Распространение вопросников для подготовки докладов об осуществлении Конвенции и Протокола в 2019−2021 годах</w:t>
      </w:r>
    </w:p>
    <w:p w14:paraId="0552D9DF" w14:textId="2E8392C4" w:rsidR="00D320B5" w:rsidRPr="00D320B5" w:rsidRDefault="00782009" w:rsidP="00D320B5">
      <w:pPr>
        <w:pStyle w:val="SingleTxtG"/>
      </w:pPr>
      <w:r>
        <w:tab/>
      </w:r>
      <w:r w:rsidR="00D320B5" w:rsidRPr="00D320B5">
        <w:t>Секретариат распространит вопросники среди Сторон к концу декабря 2021 года для получения ответов к концу апреля 2022 года.</w:t>
      </w:r>
    </w:p>
    <w:p w14:paraId="567CFD4D" w14:textId="77777777" w:rsidR="00D320B5" w:rsidRPr="00D320B5" w:rsidRDefault="00D320B5" w:rsidP="00782009">
      <w:pPr>
        <w:pStyle w:val="H23G"/>
      </w:pPr>
      <w:r w:rsidRPr="00D320B5">
        <w:tab/>
        <w:t>3.</w:t>
      </w:r>
      <w:r w:rsidRPr="00D320B5">
        <w:tab/>
        <w:t>Подготовка проекта обзоров осуществления Конвенции и Протокола</w:t>
      </w:r>
    </w:p>
    <w:p w14:paraId="140E6325" w14:textId="1760C94A" w:rsidR="00D320B5" w:rsidRPr="00D320B5" w:rsidRDefault="00782009" w:rsidP="00D320B5">
      <w:pPr>
        <w:pStyle w:val="SingleTxtG"/>
      </w:pPr>
      <w:bookmarkStart w:id="35" w:name="_Hlk9254866"/>
      <w:r>
        <w:tab/>
      </w:r>
      <w:r w:rsidR="00D320B5" w:rsidRPr="00D320B5">
        <w:t xml:space="preserve">Секретариат при поддержке консультантов подготовит проекты обзоров, обобщающие итоги осуществления Сторонами Конвенции и Протокола, для представления Комитету по осуществлению и Рабочей группе в 2022 году и </w:t>
      </w:r>
      <w:r w:rsidR="00B4592D">
        <w:t>с</w:t>
      </w:r>
      <w:r w:rsidR="00D320B5" w:rsidRPr="00D320B5">
        <w:t>овещаниям Сторон на их следующих сессиях в 2023 году. После утверждения обзоров секретариат опубликует их в электронном виде на английском, русском и французском языках.</w:t>
      </w:r>
      <w:bookmarkStart w:id="36" w:name="_Hlk34063511"/>
      <w:bookmarkEnd w:id="35"/>
    </w:p>
    <w:bookmarkEnd w:id="36"/>
    <w:p w14:paraId="06FE32B3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>: 25 000 долл. США на услуги консультантов и перевод национальных докладов.</w:t>
      </w:r>
      <w:bookmarkStart w:id="37" w:name="_Hlk23263461"/>
      <w:bookmarkEnd w:id="37"/>
    </w:p>
    <w:p w14:paraId="60EBAF9A" w14:textId="77777777" w:rsidR="00D320B5" w:rsidRPr="00D320B5" w:rsidRDefault="00D320B5" w:rsidP="00782009">
      <w:pPr>
        <w:pStyle w:val="H1G"/>
      </w:pPr>
      <w:bookmarkStart w:id="38" w:name="_Hlk32240404"/>
      <w:r w:rsidRPr="00D320B5">
        <w:lastRenderedPageBreak/>
        <w:tab/>
        <w:t>C.</w:t>
      </w:r>
      <w:r w:rsidRPr="00D320B5">
        <w:tab/>
        <w:t>Предоставление помощи в области законодательства</w:t>
      </w:r>
    </w:p>
    <w:p w14:paraId="4CBC9816" w14:textId="45689D13" w:rsidR="00D320B5" w:rsidRPr="00D320B5" w:rsidRDefault="00D320B5" w:rsidP="00D320B5">
      <w:pPr>
        <w:pStyle w:val="SingleTxtG"/>
      </w:pPr>
      <w:bookmarkStart w:id="39" w:name="_Hlk31906570"/>
      <w:r w:rsidRPr="00D320B5">
        <w:rPr>
          <w:i/>
          <w:iCs/>
        </w:rPr>
        <w:t>Цель</w:t>
      </w:r>
      <w:r w:rsidRPr="00D320B5">
        <w:t xml:space="preserve">: </w:t>
      </w:r>
      <w:r w:rsidR="00F609FC">
        <w:t>д</w:t>
      </w:r>
      <w:r w:rsidRPr="00D320B5">
        <w:t>анная категория видов деятельности направлена на оказание поддержки странам-бенефициарам в приведении их законодательства в соответствие с Конвенцией и/или Протоколом путем оказания помощи в разработке нового первичного или вторичного законодательства или поправок к существующему первичному или вторичному законодательству с целью содействия осуществлению этих двух договоров и присоединения к ним.</w:t>
      </w:r>
    </w:p>
    <w:p w14:paraId="7A236878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54568">
        <w:t>:</w:t>
      </w:r>
      <w:r w:rsidRPr="00D320B5">
        <w:t xml:space="preserve"> секретариат при поддержке консультантов предоставит помощь в области законодательства странам-бенефициарам по их просьбе и/или в соответствии с рекомендациями Комитета по осуществлению и в сотрудничестве с этими странами, а также в случае необходимости в консультации с Комитетом по осуществлению, Президиумом и/или Рабочей группой. Соответствующие виды деятельности будут осуществляться в пределах имеющегося проектного финансирования.</w:t>
      </w:r>
      <w:bookmarkEnd w:id="39"/>
    </w:p>
    <w:p w14:paraId="3B6BB3B0" w14:textId="754CCEBD" w:rsidR="00D320B5" w:rsidRPr="00D320B5" w:rsidRDefault="00D320B5" w:rsidP="00D320B5">
      <w:pPr>
        <w:pStyle w:val="SingleTxtG"/>
      </w:pPr>
      <w:bookmarkStart w:id="40" w:name="_Hlk31903569"/>
      <w:r w:rsidRPr="00D320B5">
        <w:rPr>
          <w:i/>
          <w:iCs/>
        </w:rPr>
        <w:t>Потребности в ресурсах</w:t>
      </w:r>
      <w:r w:rsidRPr="00D320B5">
        <w:t>: имеется финансировани</w:t>
      </w:r>
      <w:r w:rsidR="0022471C">
        <w:t>е</w:t>
      </w:r>
      <w:r w:rsidRPr="00D320B5">
        <w:t xml:space="preserve"> для подкатегорий 1 a)–c) и 2 ниже из средств программы «EU4Environment»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деятельности, и для подкатегории 1 d)</w:t>
      </w:r>
      <w:r w:rsidR="00D54568">
        <w:t xml:space="preserve"> — </w:t>
      </w:r>
      <w:r w:rsidRPr="00D320B5">
        <w:t>от Швейцарии.</w:t>
      </w:r>
    </w:p>
    <w:bookmarkEnd w:id="40"/>
    <w:p w14:paraId="2DD93696" w14:textId="77777777" w:rsidR="00D320B5" w:rsidRPr="00D320B5" w:rsidRDefault="00D320B5" w:rsidP="00782009">
      <w:pPr>
        <w:pStyle w:val="H23G"/>
      </w:pPr>
      <w:r w:rsidRPr="00D320B5">
        <w:tab/>
        <w:t>1.</w:t>
      </w:r>
      <w:r w:rsidRPr="00D320B5">
        <w:tab/>
        <w:t>Помощь в разработке законодательных актов</w:t>
      </w:r>
      <w:bookmarkStart w:id="41" w:name="_Hlk50998635"/>
    </w:p>
    <w:bookmarkEnd w:id="41"/>
    <w:p w14:paraId="010FF58F" w14:textId="1CA03DC5" w:rsidR="00D320B5" w:rsidRPr="00D320B5" w:rsidRDefault="00782009" w:rsidP="00D320B5">
      <w:pPr>
        <w:pStyle w:val="SingleTxtG"/>
      </w:pPr>
      <w:r>
        <w:tab/>
      </w:r>
      <w:r w:rsidR="00D320B5" w:rsidRPr="00D320B5">
        <w:t>Предоставление помощи в разработке подзаконных актов для осуществления Протокола и внесении изменений в первичное законодательство и подзаконные акты для осуществления Конвенции и Протокола.</w:t>
      </w:r>
    </w:p>
    <w:p w14:paraId="5C4C12FD" w14:textId="4A6E5D65" w:rsidR="00D320B5" w:rsidRPr="00D320B5" w:rsidRDefault="00782009" w:rsidP="00D320B5">
      <w:pPr>
        <w:pStyle w:val="SingleTxtG"/>
      </w:pPr>
      <w:r>
        <w:tab/>
      </w:r>
      <w:r w:rsidR="00D320B5" w:rsidRPr="00D320B5">
        <w:t>Запланирована на 2021 и 2022 годы в отношении следующих стран:</w:t>
      </w:r>
    </w:p>
    <w:p w14:paraId="6D815BE9" w14:textId="0701D9B1" w:rsidR="00D320B5" w:rsidRPr="00D320B5" w:rsidRDefault="00782009" w:rsidP="00D320B5">
      <w:pPr>
        <w:pStyle w:val="SingleTxtG"/>
      </w:pPr>
      <w:r>
        <w:tab/>
      </w:r>
      <w:r w:rsidR="00D320B5" w:rsidRPr="00D320B5">
        <w:t>a)</w:t>
      </w:r>
      <w:r w:rsidR="00D320B5" w:rsidRPr="00D320B5">
        <w:tab/>
        <w:t>Беларуси (внесение поправок в первичное законодательство и подзаконные акты);</w:t>
      </w:r>
      <w:bookmarkStart w:id="42" w:name="_Hlk9273096"/>
      <w:bookmarkStart w:id="43" w:name="_Hlk21509821"/>
    </w:p>
    <w:p w14:paraId="16AFE372" w14:textId="19AC9B61" w:rsidR="00D320B5" w:rsidRPr="00D320B5" w:rsidRDefault="00782009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>Республик</w:t>
      </w:r>
      <w:r w:rsidR="0022471C">
        <w:t>и</w:t>
      </w:r>
      <w:r w:rsidR="00D320B5" w:rsidRPr="00D320B5">
        <w:t xml:space="preserve"> Молдова (внесение изменений в первичное законодательство и разработка подзаконных актов);</w:t>
      </w:r>
    </w:p>
    <w:p w14:paraId="74B5522B" w14:textId="3B4898E3" w:rsidR="00D320B5" w:rsidRPr="00D320B5" w:rsidRDefault="00782009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>Украин</w:t>
      </w:r>
      <w:r w:rsidR="0022471C">
        <w:t>ы</w:t>
      </w:r>
      <w:r w:rsidR="00D320B5" w:rsidRPr="00D320B5">
        <w:t xml:space="preserve"> (поддержка в доработке проекта двустороннего соглашения с Румынией об осуществлении Конвенции) (будет уточнено позднее); </w:t>
      </w:r>
    </w:p>
    <w:p w14:paraId="6B1E3FF1" w14:textId="0CB9C35B" w:rsidR="00D320B5" w:rsidRPr="00D320B5" w:rsidRDefault="00782009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>Казахстан</w:t>
      </w:r>
      <w:r w:rsidR="0022471C">
        <w:t>а</w:t>
      </w:r>
      <w:r w:rsidR="00D320B5" w:rsidRPr="00D320B5">
        <w:t>, Таджикистан</w:t>
      </w:r>
      <w:r w:rsidR="0022471C">
        <w:t>а</w:t>
      </w:r>
      <w:r w:rsidR="00D320B5" w:rsidRPr="00D320B5">
        <w:t xml:space="preserve"> и Узбекистан</w:t>
      </w:r>
      <w:r w:rsidR="0022471C">
        <w:t>а</w:t>
      </w:r>
      <w:r w:rsidR="00D320B5" w:rsidRPr="00D320B5">
        <w:t xml:space="preserve"> (поддержка в завершении работы над первичным законодательством и в разработке вторичного законодательства по осуществлению Конвенции при условии последующего подтверждения правительствами стран-бенефициаров и Швейцарии).</w:t>
      </w:r>
    </w:p>
    <w:bookmarkEnd w:id="42"/>
    <w:bookmarkEnd w:id="43"/>
    <w:p w14:paraId="0287F85D" w14:textId="3B4858BB" w:rsidR="00D320B5" w:rsidRPr="00D320B5" w:rsidRDefault="00D320B5" w:rsidP="00782009">
      <w:pPr>
        <w:pStyle w:val="H23G"/>
      </w:pPr>
      <w:r w:rsidRPr="00D320B5">
        <w:tab/>
        <w:t>2.</w:t>
      </w:r>
      <w:r w:rsidRPr="00D320B5">
        <w:tab/>
        <w:t xml:space="preserve">Проведение мероприятий по повышению уровня информированности </w:t>
      </w:r>
      <w:r w:rsidR="00782009">
        <w:br/>
      </w:r>
      <w:r w:rsidRPr="00D320B5">
        <w:t>для содействия принятию законодательства</w:t>
      </w:r>
      <w:r w:rsidRPr="00D320B5">
        <w:tab/>
      </w:r>
    </w:p>
    <w:p w14:paraId="354FCC58" w14:textId="6180D586" w:rsidR="00D320B5" w:rsidRPr="00D320B5" w:rsidRDefault="00782009" w:rsidP="00D320B5">
      <w:pPr>
        <w:pStyle w:val="SingleTxtG"/>
      </w:pPr>
      <w:r>
        <w:tab/>
      </w:r>
      <w:r w:rsidR="00D320B5" w:rsidRPr="00D320B5">
        <w:t>Организация мероприятия по повышению уровня информированности для парламентариев и/или директивных органов в поддержку принятия поправок к первичному законодательству и подзаконным актам для осуществления Конвенции и Протокола.</w:t>
      </w:r>
    </w:p>
    <w:p w14:paraId="515F2D87" w14:textId="268C737C" w:rsidR="00D320B5" w:rsidRPr="00D320B5" w:rsidRDefault="00782009" w:rsidP="00D320B5">
      <w:pPr>
        <w:pStyle w:val="SingleTxtG"/>
      </w:pPr>
      <w:r>
        <w:tab/>
      </w:r>
      <w:r w:rsidR="00D320B5" w:rsidRPr="00D320B5">
        <w:t>Проведение мероприятия в Беларуси запланировано на 2021 и/или 2022 год(ы) (будет подтверждено позднее).</w:t>
      </w:r>
    </w:p>
    <w:bookmarkEnd w:id="38"/>
    <w:p w14:paraId="4B62718E" w14:textId="25966E45" w:rsidR="00D320B5" w:rsidRPr="00D320B5" w:rsidRDefault="00D320B5" w:rsidP="00782009">
      <w:pPr>
        <w:pStyle w:val="HChG"/>
      </w:pPr>
      <w:r w:rsidRPr="00D320B5">
        <w:tab/>
        <w:t>III.</w:t>
      </w:r>
      <w:r w:rsidRPr="00D320B5">
        <w:tab/>
        <w:t xml:space="preserve">Содействие практическому применению Конвенции </w:t>
      </w:r>
      <w:r w:rsidR="00782009">
        <w:br/>
      </w:r>
      <w:r w:rsidRPr="00D320B5">
        <w:t>и Протокола</w:t>
      </w:r>
      <w:bookmarkStart w:id="44" w:name="_Hlk9273754"/>
      <w:bookmarkStart w:id="45" w:name="_Hlk51693098"/>
    </w:p>
    <w:p w14:paraId="1AAB2270" w14:textId="77777777" w:rsidR="00D320B5" w:rsidRPr="00D320B5" w:rsidRDefault="00D320B5" w:rsidP="00D320B5">
      <w:pPr>
        <w:pStyle w:val="SingleTxtG"/>
      </w:pPr>
      <w:r w:rsidRPr="00D320B5">
        <w:tab/>
        <w:t>Эта область работы направлена на содействие эффективному практическому применению Конвенции и Протокола по следующим направлениям деятельности:</w:t>
      </w:r>
    </w:p>
    <w:p w14:paraId="3254F1F6" w14:textId="77777777" w:rsidR="00D320B5" w:rsidRPr="00D320B5" w:rsidRDefault="00D320B5" w:rsidP="00F609FC">
      <w:pPr>
        <w:pStyle w:val="SingleTxtG"/>
        <w:keepNext/>
      </w:pPr>
      <w:r w:rsidRPr="00D320B5">
        <w:lastRenderedPageBreak/>
        <w:tab/>
        <w:t>a)</w:t>
      </w:r>
      <w:r w:rsidRPr="00D320B5">
        <w:tab/>
        <w:t xml:space="preserve">субрегиональное сотрудничество и укрепление потенциала; </w:t>
      </w:r>
    </w:p>
    <w:p w14:paraId="7FD34AF2" w14:textId="77777777" w:rsidR="00D320B5" w:rsidRPr="00D320B5" w:rsidRDefault="00D320B5" w:rsidP="00F609FC">
      <w:pPr>
        <w:pStyle w:val="SingleTxtG"/>
        <w:keepNext/>
      </w:pPr>
      <w:r w:rsidRPr="00D320B5">
        <w:tab/>
        <w:t>b)</w:t>
      </w:r>
      <w:r w:rsidRPr="00D320B5">
        <w:tab/>
        <w:t>обмен информацией о надлежащей практике;</w:t>
      </w:r>
    </w:p>
    <w:p w14:paraId="67EF2B49" w14:textId="77777777" w:rsidR="00D320B5" w:rsidRPr="00D320B5" w:rsidRDefault="00D320B5" w:rsidP="00F609FC">
      <w:pPr>
        <w:pStyle w:val="SingleTxtG"/>
        <w:keepNext/>
      </w:pPr>
      <w:r w:rsidRPr="00D320B5">
        <w:tab/>
        <w:t>с)</w:t>
      </w:r>
      <w:r w:rsidRPr="00D320B5">
        <w:tab/>
        <w:t>укрепление потенциала.</w:t>
      </w:r>
    </w:p>
    <w:p w14:paraId="5D5C75A5" w14:textId="77777777" w:rsidR="00D320B5" w:rsidRPr="00D320B5" w:rsidRDefault="00D320B5" w:rsidP="00782009">
      <w:pPr>
        <w:pStyle w:val="H1G"/>
      </w:pPr>
      <w:r w:rsidRPr="00D320B5">
        <w:tab/>
        <w:t>A.</w:t>
      </w:r>
      <w:r w:rsidRPr="00D320B5">
        <w:tab/>
        <w:t xml:space="preserve">Субрегиональное сотрудничество и укрепление потенциала </w:t>
      </w:r>
    </w:p>
    <w:bookmarkEnd w:id="44"/>
    <w:p w14:paraId="3F1A2AE2" w14:textId="17111C1E" w:rsidR="00D320B5" w:rsidRPr="00D320B5" w:rsidRDefault="00782009" w:rsidP="00D320B5">
      <w:pPr>
        <w:pStyle w:val="SingleTxtG"/>
      </w:pPr>
      <w:r>
        <w:tab/>
      </w:r>
      <w:r w:rsidR="00D320B5" w:rsidRPr="00D320B5">
        <w:t>Эта деятельность преследует следующие цели в различных субрегионах ЕЭК:</w:t>
      </w:r>
    </w:p>
    <w:p w14:paraId="69EC082D" w14:textId="06707694" w:rsidR="00D320B5" w:rsidRPr="00D320B5" w:rsidRDefault="00782009" w:rsidP="00D320B5">
      <w:pPr>
        <w:pStyle w:val="SingleTxtG"/>
      </w:pPr>
      <w:r>
        <w:tab/>
      </w:r>
      <w:r w:rsidR="00D320B5" w:rsidRPr="00D320B5">
        <w:t>a)</w:t>
      </w:r>
      <w:r w:rsidR="00D320B5" w:rsidRPr="00D320B5">
        <w:tab/>
        <w:t xml:space="preserve">содействие общему пониманию и более эффективному осуществлению Конвенции и Протокола к ней в субрегионах ЕЭК; </w:t>
      </w:r>
    </w:p>
    <w:p w14:paraId="1F028BA7" w14:textId="2381D0C7" w:rsidR="00D320B5" w:rsidRPr="00D320B5" w:rsidRDefault="00782009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 xml:space="preserve">поощрение сотрудничества между Сторонами внутри субрегионов и между ними и укрепление контактов с государствами и субрегионами за пределами региона ЕЭК; </w:t>
      </w:r>
    </w:p>
    <w:p w14:paraId="3FB44F53" w14:textId="463320EF" w:rsidR="00D320B5" w:rsidRPr="00D320B5" w:rsidRDefault="00782009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 xml:space="preserve">повышение профессиональных навыков на всех уровнях государственного управления и осведомленности общественности, включая неправительственные организации (НПО), о стратегической экологической оценке, оценке воздействия на окружающую среду в трансграничном контексте и применении Конвенции и Протокола к ней; </w:t>
      </w:r>
    </w:p>
    <w:p w14:paraId="0353EBD6" w14:textId="328344F8" w:rsidR="00D320B5" w:rsidRPr="00D320B5" w:rsidRDefault="00782009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 xml:space="preserve">внесение вклада в расширение сотрудничества и взаимодействия с соответствующими многосторонними природоохранными соглашениями, другими международными документами и организациями; </w:t>
      </w:r>
    </w:p>
    <w:p w14:paraId="458B2B90" w14:textId="30CC6CEF" w:rsidR="00D320B5" w:rsidRPr="00D320B5" w:rsidRDefault="00782009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>содействие более широкому применению Конвенции и Протокола в регионе ЕЭК и за его пределами.</w:t>
      </w:r>
    </w:p>
    <w:p w14:paraId="0712FD59" w14:textId="77777777" w:rsidR="00D320B5" w:rsidRPr="00D320B5" w:rsidRDefault="00D320B5" w:rsidP="00782009">
      <w:pPr>
        <w:pStyle w:val="H23G"/>
      </w:pPr>
      <w:r w:rsidRPr="00D320B5">
        <w:tab/>
        <w:t>1.</w:t>
      </w:r>
      <w:r w:rsidRPr="00D320B5">
        <w:tab/>
        <w:t>Субрегион Балтийского моря</w:t>
      </w:r>
    </w:p>
    <w:p w14:paraId="7E8DF521" w14:textId="77777777" w:rsidR="00D320B5" w:rsidRPr="00D320B5" w:rsidRDefault="00D320B5" w:rsidP="00D320B5">
      <w:pPr>
        <w:pStyle w:val="SingleTxtG"/>
      </w:pPr>
      <w:bookmarkStart w:id="46" w:name="_Hlk9274129"/>
      <w:r w:rsidRPr="00D320B5">
        <w:rPr>
          <w:i/>
          <w:iCs/>
        </w:rPr>
        <w:t>Деятельность</w:t>
      </w:r>
      <w:r w:rsidRPr="00D320B5">
        <w:t xml:space="preserve">: организация субрегиональных семинаров (желательно двух) по сотрудничеству в рамках Конвенции и Протокола по темам, представляющим интерес для того или иного субрегиона, которые соответствующие ведущие страны должны определить до начала совещания в консультации с другими странами, а также подготовка доклада об итогах, который секретариат разместит на веб-сайте. </w:t>
      </w:r>
      <w:bookmarkEnd w:id="46"/>
    </w:p>
    <w:p w14:paraId="2701DCDD" w14:textId="3244B1B0" w:rsidR="00D320B5" w:rsidRPr="00D320B5" w:rsidRDefault="00D320B5" w:rsidP="00D320B5">
      <w:pPr>
        <w:pStyle w:val="SingleTxtG"/>
      </w:pPr>
      <w:bookmarkStart w:id="47" w:name="_Hlk51744963"/>
      <w:r w:rsidRPr="00D320B5">
        <w:rPr>
          <w:i/>
          <w:iCs/>
        </w:rPr>
        <w:t>Ответственный(ые) орган(ы)</w:t>
      </w:r>
      <w:r w:rsidRPr="00D54568">
        <w:t>:</w:t>
      </w:r>
      <w:r w:rsidR="00AE69B9">
        <w:t xml:space="preserve"> </w:t>
      </w:r>
      <w:r w:rsidR="00F609FC">
        <w:t>с</w:t>
      </w:r>
      <w:r w:rsidRPr="00D320B5">
        <w:t>траны-руководители</w:t>
      </w:r>
      <w:r w:rsidR="00D54568">
        <w:t xml:space="preserve"> — </w:t>
      </w:r>
      <w:r w:rsidRPr="00D320B5">
        <w:t>Эстония (виртуальное совещание) и Польша, по мере необходимости, при поддержке секретариата.</w:t>
      </w:r>
    </w:p>
    <w:bookmarkEnd w:id="47"/>
    <w:p w14:paraId="0D82D717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 xml:space="preserve">: взносы в натуральной форме, которые будут подтверждены соответствующими странами. В случае участия секретариата потребуется покрытие соответствующих путевых расходов. </w:t>
      </w:r>
    </w:p>
    <w:p w14:paraId="6F8247CC" w14:textId="77777777" w:rsidR="00D320B5" w:rsidRPr="00D320B5" w:rsidRDefault="00D320B5" w:rsidP="00782009">
      <w:pPr>
        <w:pStyle w:val="H23G"/>
      </w:pPr>
      <w:bookmarkStart w:id="48" w:name="_Hlk32240477"/>
      <w:r w:rsidRPr="00D320B5">
        <w:tab/>
        <w:t>2.</w:t>
      </w:r>
      <w:r w:rsidRPr="00D320B5">
        <w:tab/>
        <w:t xml:space="preserve">Восточная Европа и Кавказ </w:t>
      </w:r>
    </w:p>
    <w:p w14:paraId="74095105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организация субрегионального мероприятия (учебного рабочего совещания или ознакомительной поездки) для Армении, Азербайджана, Беларуси, Грузии, Республики Молдова и Украины с целью содействия обмену информацией и опытом между странами.</w:t>
      </w:r>
    </w:p>
    <w:p w14:paraId="24762D05" w14:textId="2D7BCD7D" w:rsidR="00D320B5" w:rsidRPr="00D320B5" w:rsidRDefault="00782009" w:rsidP="00D320B5">
      <w:pPr>
        <w:pStyle w:val="SingleTxtG"/>
      </w:pPr>
      <w:r>
        <w:tab/>
      </w:r>
      <w:r w:rsidR="00D320B5" w:rsidRPr="00D320B5">
        <w:t>Мероприятие предварительно запланировано на первую половину 2022 года.</w:t>
      </w:r>
    </w:p>
    <w:p w14:paraId="64A9EA90" w14:textId="6C14EB9E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320B5">
        <w:t>:</w:t>
      </w:r>
      <w:r w:rsidR="00AE69B9">
        <w:t xml:space="preserve"> </w:t>
      </w:r>
      <w:r w:rsidRPr="00D320B5">
        <w:t>секретариат в консультации с заинтересованными странами.</w:t>
      </w:r>
    </w:p>
    <w:p w14:paraId="659876AB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 xml:space="preserve">: финансирование из средств программы «EU4Environment». Участие в мероприятии могут принять другие страны, расположенные в регионе ЕЭК и за его пределами, если будет обеспечено дополнительное финансирование. </w:t>
      </w:r>
    </w:p>
    <w:p w14:paraId="250D6E97" w14:textId="77777777" w:rsidR="00D320B5" w:rsidRPr="00D320B5" w:rsidRDefault="00D320B5" w:rsidP="00782009">
      <w:pPr>
        <w:pStyle w:val="H23G"/>
      </w:pPr>
      <w:r w:rsidRPr="00D320B5">
        <w:tab/>
        <w:t>3.</w:t>
      </w:r>
      <w:r w:rsidRPr="00D320B5">
        <w:tab/>
        <w:t>Центральная Азия</w:t>
      </w:r>
    </w:p>
    <w:p w14:paraId="0F5862FC" w14:textId="018704E3" w:rsidR="00D320B5" w:rsidRPr="00D320B5" w:rsidRDefault="00D320B5" w:rsidP="00D320B5">
      <w:pPr>
        <w:pStyle w:val="SingleTxtG"/>
      </w:pPr>
      <w:bookmarkStart w:id="49" w:name="_Hlk51746045"/>
      <w:r w:rsidRPr="00D320B5">
        <w:rPr>
          <w:i/>
          <w:iCs/>
        </w:rPr>
        <w:t>Деятельность</w:t>
      </w:r>
      <w:r w:rsidRPr="00D320B5">
        <w:t xml:space="preserve">: завершение мероприятий по оценке потребностей/подготовке технико-экономических соображений и проектов стратегий/планов действий по созданию потенциала для внедрения стратегических систем экологической оценки в </w:t>
      </w:r>
      <w:r w:rsidRPr="00D320B5">
        <w:lastRenderedPageBreak/>
        <w:t xml:space="preserve">Казахстане, Кыргызстане, Таджикистане, Туркменистане и Узбекистане, а также организация национальных семинаров по повышению осведомленности в некоторых странах Центральной Азии с целью их представления и обсуждения. </w:t>
      </w:r>
    </w:p>
    <w:p w14:paraId="4CDA2601" w14:textId="33D32F17" w:rsidR="00D320B5" w:rsidRPr="00D320B5" w:rsidRDefault="00782009" w:rsidP="00D320B5">
      <w:pPr>
        <w:pStyle w:val="SingleTxtG"/>
      </w:pPr>
      <w:r>
        <w:tab/>
      </w:r>
      <w:r w:rsidR="00D320B5" w:rsidRPr="00D320B5">
        <w:t>Организация заключительного субрегионального мероприятия в одной из стран Центральной Азии для обмена опытом и обсуждения извлеченных уроков.</w:t>
      </w:r>
    </w:p>
    <w:p w14:paraId="67F0C0A3" w14:textId="77777777" w:rsidR="00D320B5" w:rsidRPr="00D320B5" w:rsidRDefault="00D320B5" w:rsidP="00D320B5">
      <w:pPr>
        <w:pStyle w:val="SingleTxtG"/>
        <w:rPr>
          <w:i/>
          <w:iCs/>
        </w:rPr>
      </w:pPr>
      <w:r w:rsidRPr="00D320B5">
        <w:rPr>
          <w:i/>
          <w:iCs/>
        </w:rPr>
        <w:t>Ответственный(ые) орган(ы)</w:t>
      </w:r>
      <w:r w:rsidRPr="00D54568">
        <w:t>:</w:t>
      </w:r>
      <w:r w:rsidRPr="00D320B5">
        <w:t xml:space="preserve"> ведущий партнер, Организация по безопасности и сотрудничеству в Европе (ОБСЕ), при поддержке секретариата и в консультации с заинтересованными странами.</w:t>
      </w:r>
    </w:p>
    <w:p w14:paraId="1A1B29F9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 xml:space="preserve">: финансирование предоставляется по линии совместного проекта ОБСЕ/ЕЭК «Укрепление национального и регионального потенциала и сотрудничества в области стратегической экологической оценки в Центральной Азии, в том числе в рамках реагирования на изменение климата», главным образом Германией при совместном финансировании ЕЭК и ОБСЕ. </w:t>
      </w:r>
    </w:p>
    <w:p w14:paraId="1F25F97F" w14:textId="77777777" w:rsidR="00D320B5" w:rsidRPr="00D320B5" w:rsidRDefault="00D320B5" w:rsidP="00782009">
      <w:pPr>
        <w:pStyle w:val="H23G"/>
        <w:rPr>
          <w:i/>
          <w:iCs/>
        </w:rPr>
      </w:pPr>
      <w:r w:rsidRPr="00D320B5">
        <w:tab/>
        <w:t>4.</w:t>
      </w:r>
      <w:r w:rsidRPr="00D320B5">
        <w:tab/>
        <w:t xml:space="preserve">Морские районы </w:t>
      </w:r>
    </w:p>
    <w:p w14:paraId="0EE12DEB" w14:textId="77777777" w:rsidR="00D320B5" w:rsidRPr="00D320B5" w:rsidRDefault="00D320B5" w:rsidP="00D320B5">
      <w:pPr>
        <w:pStyle w:val="SingleTxtG"/>
        <w:rPr>
          <w:bCs/>
          <w:i/>
          <w:iCs/>
        </w:rPr>
      </w:pPr>
      <w:r w:rsidRPr="00D320B5">
        <w:rPr>
          <w:i/>
          <w:iCs/>
        </w:rPr>
        <w:t>Деятельность</w:t>
      </w:r>
      <w:r w:rsidRPr="00520DCD">
        <w:t>:</w:t>
      </w:r>
    </w:p>
    <w:p w14:paraId="6FAB4D5C" w14:textId="09A91D5F" w:rsidR="00D320B5" w:rsidRPr="00D320B5" w:rsidRDefault="00E91EE2" w:rsidP="00E91EE2">
      <w:pPr>
        <w:pStyle w:val="SingleTxtG"/>
        <w:ind w:left="1701" w:hanging="567"/>
      </w:pPr>
      <w:bookmarkStart w:id="50" w:name="_Hlk56776034"/>
      <w:r>
        <w:t>–</w:t>
      </w:r>
      <w:r w:rsidR="00D320B5" w:rsidRPr="00D320B5">
        <w:tab/>
      </w:r>
      <w:r w:rsidR="00AE69B9">
        <w:t>П</w:t>
      </w:r>
      <w:r w:rsidR="00D320B5" w:rsidRPr="00D320B5">
        <w:t>одготовка технико-экономического обоснования для определения потенциала синергизма и преимуществ возможной будущей деятельности в области сотрудничества в целях улучшения согласованности и связей между Конвенцией об оценке воздействия на окружающую среду в трансграничном контексте (Конвенция Эспо), ее Протоколом по стратегической экологической оценке и Конвенцией о защите Средиземного моря от загрязнения (Барселонская конвенция), а также другими конвенциями по региональным морям. Эта деятельность будет также способствовать повышению осведомленности о Конвенции Эспо и Протоколе к ней, а также расширению контактов со странами субрегиона, не являющимися членами ЕЭК.</w:t>
      </w:r>
    </w:p>
    <w:p w14:paraId="19C3BD15" w14:textId="079208FB" w:rsidR="00D320B5" w:rsidRPr="00D320B5" w:rsidRDefault="00E91EE2" w:rsidP="00E91EE2">
      <w:pPr>
        <w:pStyle w:val="SingleTxtG"/>
        <w:ind w:left="1701" w:hanging="567"/>
      </w:pPr>
      <w:r>
        <w:t>–</w:t>
      </w:r>
      <w:r>
        <w:tab/>
      </w:r>
      <w:r w:rsidR="00AE69B9">
        <w:t>О</w:t>
      </w:r>
      <w:r w:rsidR="00D320B5" w:rsidRPr="00D320B5">
        <w:t>рганизация не более одного совместного технического (онлайнового) совещания в год с участием заинтересованных сторон и секретариатов Барселонской конвенции и других конвенций о региональных морях для обсуждения и дальнейшего развития результатов технико-экономического обоснования с целью выявления потенциала синергизма и возможных механизмов сотрудничества между соответствующими договорами (в плане</w:t>
      </w:r>
      <w:r w:rsidR="00AB6E36">
        <w:t xml:space="preserve"> </w:t>
      </w:r>
      <w:r w:rsidR="00D320B5" w:rsidRPr="00D320B5">
        <w:t>договорных обязательств и оперативной деятельности по их осуществлению). В случае необходимости для субрегиона Средиземноморья следует изучить возможность организации онлайнового устного перевода на французский язык. Подготовка докладов об итогах совместных технических совещаний и предоставление их для информирования и рассмотрения Сторонам соответствующих договоров.</w:t>
      </w:r>
      <w:bookmarkStart w:id="51" w:name="_Hlk58140932"/>
      <w:bookmarkStart w:id="52" w:name="_Hlk58140469"/>
      <w:bookmarkEnd w:id="50"/>
      <w:bookmarkEnd w:id="51"/>
      <w:bookmarkEnd w:id="52"/>
    </w:p>
    <w:p w14:paraId="05398F72" w14:textId="205FF7B5" w:rsidR="00D320B5" w:rsidRPr="00D320B5" w:rsidRDefault="00E91EE2" w:rsidP="00E91EE2">
      <w:pPr>
        <w:pStyle w:val="SingleTxtG"/>
        <w:ind w:left="1701" w:hanging="567"/>
      </w:pPr>
      <w:bookmarkStart w:id="53" w:name="_Hlk56776701"/>
      <w:r>
        <w:t>–</w:t>
      </w:r>
      <w:r w:rsidR="00D320B5" w:rsidRPr="00D320B5">
        <w:tab/>
      </w:r>
      <w:r w:rsidR="00AE69B9">
        <w:t>П</w:t>
      </w:r>
      <w:r w:rsidR="00D320B5" w:rsidRPr="00D320B5">
        <w:t xml:space="preserve">одготовка итогового доклада с изложением выявленных возможностей синергизма и видения </w:t>
      </w:r>
      <w:r w:rsidR="00AE69B9">
        <w:t>«</w:t>
      </w:r>
      <w:r w:rsidR="00D320B5" w:rsidRPr="00D320B5">
        <w:t>пути вперед</w:t>
      </w:r>
      <w:r w:rsidR="00AE69B9">
        <w:t>»</w:t>
      </w:r>
      <w:r w:rsidR="00D320B5" w:rsidRPr="00D320B5">
        <w:t xml:space="preserve"> и его преимуществ, а также предложений в отношении возможных совместных мероприятиях для последующих планов работы, начиная с плана работы на 2024</w:t>
      </w:r>
      <w:r w:rsidR="00AE69B9">
        <w:t>–</w:t>
      </w:r>
      <w:r w:rsidR="00D320B5" w:rsidRPr="00D320B5">
        <w:t>2026 годы, который будет рассмотрен совещаниями Сторон.</w:t>
      </w:r>
      <w:bookmarkStart w:id="54" w:name="_Hlk60414885"/>
      <w:bookmarkEnd w:id="54"/>
    </w:p>
    <w:p w14:paraId="0C40C077" w14:textId="39D711C5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54568">
        <w:t>:</w:t>
      </w:r>
      <w:r w:rsidR="00D54568">
        <w:t xml:space="preserve"> </w:t>
      </w:r>
      <w:r w:rsidRPr="00D320B5">
        <w:t>Италия как страна-руководитель деятельности вместе с другими заинтересованными сторонами Конвенции Эспо и Протокола к ней, а также других конвенций по региональным морям при поддержке секретариатов договоров в пределах имеющихся ресурсов. Президиум при содействии секретариата отвечает за первоначальное планирование деятельности, которая будет осуществляться при поддержке консультантов.</w:t>
      </w:r>
    </w:p>
    <w:bookmarkEnd w:id="53"/>
    <w:p w14:paraId="2B24439D" w14:textId="2285F4A8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>: 120 000 евро (или 40 000 евро в год), которые Италия выделит целевым образом в течение следующих трех лет (2021</w:t>
      </w:r>
      <w:r w:rsidR="00D54568">
        <w:t>–</w:t>
      </w:r>
      <w:r w:rsidRPr="00D320B5">
        <w:t xml:space="preserve">2023 годы) для покрытия всех расходов, включая расходы на консультантов и другие организационные нужды; возможные взносы других заинтересованных Сторон. </w:t>
      </w:r>
      <w:bookmarkStart w:id="55" w:name="_Hlk58152661"/>
      <w:bookmarkEnd w:id="55"/>
    </w:p>
    <w:bookmarkEnd w:id="45"/>
    <w:bookmarkEnd w:id="48"/>
    <w:bookmarkEnd w:id="49"/>
    <w:p w14:paraId="2942A239" w14:textId="77777777" w:rsidR="00D320B5" w:rsidRPr="00D320B5" w:rsidRDefault="00D320B5" w:rsidP="000519F9">
      <w:pPr>
        <w:pStyle w:val="H1G"/>
      </w:pPr>
      <w:r w:rsidRPr="00D320B5">
        <w:lastRenderedPageBreak/>
        <w:tab/>
        <w:t>B.</w:t>
      </w:r>
      <w:r w:rsidRPr="00D320B5">
        <w:tab/>
      </w:r>
      <w:r w:rsidRPr="00D320B5">
        <w:tab/>
        <w:t>Обмен информацией о надлежащей практике</w:t>
      </w:r>
    </w:p>
    <w:p w14:paraId="7C56236B" w14:textId="6ED8B3D9" w:rsidR="00D320B5" w:rsidRPr="00D320B5" w:rsidRDefault="00E91EE2" w:rsidP="00D320B5">
      <w:pPr>
        <w:pStyle w:val="SingleTxtG"/>
        <w:rPr>
          <w:bCs/>
        </w:rPr>
      </w:pPr>
      <w:r>
        <w:tab/>
      </w:r>
      <w:r w:rsidR="00D320B5" w:rsidRPr="00D320B5">
        <w:t>Цель этой области работы заключается в обмене знаниями и опытом в отношении законодательства и практики по осуществлению Конвенции и Протокола, что позволит усовершенствовать национальное законодательство и повысить эффективность осуществления договоров. Она также направлена на повышение осведомленности об этих двух договорах и их преимуществах. Работа ведется по следующим направлениям:</w:t>
      </w:r>
    </w:p>
    <w:p w14:paraId="0F99C15A" w14:textId="77777777" w:rsidR="00D320B5" w:rsidRPr="00D320B5" w:rsidRDefault="00D320B5" w:rsidP="00D320B5">
      <w:pPr>
        <w:pStyle w:val="SingleTxtG"/>
        <w:rPr>
          <w:bCs/>
        </w:rPr>
      </w:pPr>
      <w:r w:rsidRPr="00D320B5">
        <w:tab/>
        <w:t>a)</w:t>
      </w:r>
      <w:r w:rsidRPr="00D320B5">
        <w:tab/>
        <w:t>тематические рабочие совещания и семинары;</w:t>
      </w:r>
    </w:p>
    <w:p w14:paraId="189B4861" w14:textId="77777777" w:rsidR="00D320B5" w:rsidRPr="00D320B5" w:rsidRDefault="00D320B5" w:rsidP="00D320B5">
      <w:pPr>
        <w:pStyle w:val="SingleTxtG"/>
      </w:pPr>
      <w:r w:rsidRPr="00D320B5">
        <w:tab/>
        <w:t>b)</w:t>
      </w:r>
      <w:r w:rsidRPr="00D320B5">
        <w:tab/>
        <w:t>подготовка информационных бюллетеней;</w:t>
      </w:r>
    </w:p>
    <w:p w14:paraId="18346AF0" w14:textId="77777777" w:rsidR="00D320B5" w:rsidRPr="00D320B5" w:rsidRDefault="00D320B5" w:rsidP="00D320B5">
      <w:pPr>
        <w:pStyle w:val="SingleTxtG"/>
      </w:pPr>
      <w:r w:rsidRPr="00D320B5">
        <w:tab/>
        <w:t>с)</w:t>
      </w:r>
      <w:r w:rsidRPr="00D320B5">
        <w:tab/>
        <w:t>онлайновая база данных о надлежащей практике Сторон или сбор и компиляция информации о надлежащей практике.</w:t>
      </w:r>
    </w:p>
    <w:p w14:paraId="2DF7276B" w14:textId="77777777" w:rsidR="00D320B5" w:rsidRPr="00D320B5" w:rsidRDefault="00D320B5" w:rsidP="00E91EE2">
      <w:pPr>
        <w:pStyle w:val="H23G"/>
      </w:pPr>
      <w:bookmarkStart w:id="56" w:name="_Hlk36024545"/>
      <w:r w:rsidRPr="00D320B5">
        <w:tab/>
        <w:t>1.</w:t>
      </w:r>
      <w:r w:rsidRPr="00D320B5">
        <w:tab/>
        <w:t xml:space="preserve">Тематические рабочие совещания и семинары </w:t>
      </w:r>
      <w:bookmarkEnd w:id="56"/>
    </w:p>
    <w:p w14:paraId="7DB0107B" w14:textId="796D1D9F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организация полудневных или полнодневных рабочих совещаний или семинаров в ходе совещаний Рабочей группы в 2021</w:t>
      </w:r>
      <w:r w:rsidR="00E91EE2">
        <w:t>–</w:t>
      </w:r>
      <w:r w:rsidRPr="00D320B5">
        <w:t xml:space="preserve">2023 годах и/или сессий совещаний Сторон в 2023 году по конкретным темам/вопросам с целью подготовки краткого и ясного документа, содержащего рекомендации по наиболее важным проблемам, выявленным в рамках данной темы, с указанием также вклада этих тем в достижение </w:t>
      </w:r>
      <w:r w:rsidR="001D5B0C">
        <w:t>Ц</w:t>
      </w:r>
      <w:r w:rsidRPr="00D320B5">
        <w:t>елей в области устойчивого развития. Указанные конкретные темы/вопросы включают следующие:</w:t>
      </w:r>
      <w:r w:rsidR="00AB6E36">
        <w:t xml:space="preserve"> </w:t>
      </w:r>
    </w:p>
    <w:p w14:paraId="66752C01" w14:textId="243AC606" w:rsidR="00D320B5" w:rsidRPr="00D320B5" w:rsidRDefault="00E91EE2" w:rsidP="00D320B5">
      <w:pPr>
        <w:pStyle w:val="SingleTxtG"/>
      </w:pPr>
      <w:bookmarkStart w:id="57" w:name="_Hlk32335122"/>
      <w:r>
        <w:tab/>
      </w:r>
      <w:r w:rsidR="00D320B5" w:rsidRPr="00D320B5">
        <w:t>a)</w:t>
      </w:r>
      <w:r w:rsidR="00D320B5" w:rsidRPr="00D320B5">
        <w:tab/>
        <w:t>умные и устойчивые города;</w:t>
      </w:r>
    </w:p>
    <w:p w14:paraId="3825FCCD" w14:textId="7DCBA254" w:rsidR="00D320B5" w:rsidRPr="00D320B5" w:rsidRDefault="00E91EE2" w:rsidP="00D320B5">
      <w:pPr>
        <w:pStyle w:val="SingleTxtG"/>
      </w:pPr>
      <w:r>
        <w:tab/>
      </w:r>
      <w:r w:rsidR="00D320B5" w:rsidRPr="00D320B5">
        <w:t>b)</w:t>
      </w:r>
      <w:r w:rsidR="00D320B5" w:rsidRPr="00D320B5">
        <w:tab/>
        <w:t xml:space="preserve">экономика замкнутого цикла; </w:t>
      </w:r>
    </w:p>
    <w:p w14:paraId="24602788" w14:textId="3F221488" w:rsidR="00D320B5" w:rsidRPr="00D320B5" w:rsidRDefault="00E91EE2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 xml:space="preserve">устойчивая инфраструктура и экологизация инициативы «Один пояс, один путь» (в связи с конференцией министров </w:t>
      </w:r>
      <w:r>
        <w:t>«</w:t>
      </w:r>
      <w:r w:rsidR="00D320B5" w:rsidRPr="00D320B5">
        <w:t>Окружающая среда для Европы</w:t>
      </w:r>
      <w:r>
        <w:t>»</w:t>
      </w:r>
      <w:r w:rsidR="00D320B5" w:rsidRPr="00D320B5">
        <w:t xml:space="preserve"> 2022</w:t>
      </w:r>
      <w:r>
        <w:t> </w:t>
      </w:r>
      <w:r w:rsidR="00D320B5" w:rsidRPr="00D320B5">
        <w:t xml:space="preserve">года); </w:t>
      </w:r>
    </w:p>
    <w:p w14:paraId="17D944D4" w14:textId="197A75F5" w:rsidR="00D320B5" w:rsidRPr="00D320B5" w:rsidRDefault="00E91EE2" w:rsidP="00D320B5">
      <w:pPr>
        <w:pStyle w:val="SingleTxtG"/>
      </w:pPr>
      <w:r>
        <w:tab/>
      </w:r>
      <w:r w:rsidR="00D320B5" w:rsidRPr="00D320B5">
        <w:t>d)</w:t>
      </w:r>
      <w:r w:rsidR="00D320B5" w:rsidRPr="00D320B5">
        <w:tab/>
        <w:t xml:space="preserve">биологическое разнообразие; </w:t>
      </w:r>
    </w:p>
    <w:p w14:paraId="05324A3E" w14:textId="0A0BF599" w:rsidR="00D320B5" w:rsidRPr="00D320B5" w:rsidRDefault="00E91EE2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 xml:space="preserve">энергетический переход; </w:t>
      </w:r>
      <w:bookmarkEnd w:id="57"/>
    </w:p>
    <w:p w14:paraId="7556DC1A" w14:textId="07D9ADE6" w:rsidR="00D320B5" w:rsidRPr="00D320B5" w:rsidRDefault="00E91EE2" w:rsidP="00D320B5">
      <w:pPr>
        <w:pStyle w:val="SingleTxtG"/>
        <w:rPr>
          <w:bCs/>
        </w:rPr>
      </w:pPr>
      <w:r>
        <w:tab/>
      </w:r>
      <w:r w:rsidR="00D320B5" w:rsidRPr="00D320B5">
        <w:t>f)</w:t>
      </w:r>
      <w:r w:rsidR="00D320B5" w:rsidRPr="00D320B5">
        <w:tab/>
        <w:t>содействие применению стратегической экологической оценки в сотрудничестве в области развития;</w:t>
      </w:r>
    </w:p>
    <w:p w14:paraId="2046B866" w14:textId="44F116B0" w:rsidR="00D320B5" w:rsidRPr="00D320B5" w:rsidRDefault="00E91EE2" w:rsidP="00D320B5">
      <w:pPr>
        <w:pStyle w:val="SingleTxtG"/>
      </w:pPr>
      <w:r>
        <w:tab/>
      </w:r>
      <w:r w:rsidR="00D320B5" w:rsidRPr="00D320B5">
        <w:t>g)</w:t>
      </w:r>
      <w:r w:rsidR="00D320B5" w:rsidRPr="00D320B5">
        <w:tab/>
        <w:t>рассмотрение альтернатив и обоснование выбранных вариантов предлагаемой деятельности в документации по оценке воздействия на окружающую среду.</w:t>
      </w:r>
    </w:p>
    <w:p w14:paraId="541CEAB5" w14:textId="40AE6F8D" w:rsidR="00D320B5" w:rsidRPr="00D320B5" w:rsidRDefault="00D320B5" w:rsidP="00D320B5">
      <w:pPr>
        <w:pStyle w:val="SingleTxtG"/>
      </w:pPr>
      <w:bookmarkStart w:id="58" w:name="_Hlk58493371"/>
      <w:r w:rsidRPr="00D320B5">
        <w:rPr>
          <w:i/>
          <w:iCs/>
        </w:rPr>
        <w:t>Ответственный(ые) орган(ы)</w:t>
      </w:r>
      <w:r w:rsidRPr="00D54568">
        <w:t>:</w:t>
      </w:r>
      <w:r w:rsidR="001E7BBA">
        <w:t xml:space="preserve"> с</w:t>
      </w:r>
      <w:r w:rsidRPr="00D320B5">
        <w:t>ледующие страны или организации-руководители при поддержке секретариата в пределах своих ресурсов:</w:t>
      </w:r>
    </w:p>
    <w:p w14:paraId="746510CB" w14:textId="0FCEF02E" w:rsidR="00D320B5" w:rsidRPr="00D320B5" w:rsidRDefault="00E91EE2" w:rsidP="001D5B0C">
      <w:pPr>
        <w:pStyle w:val="SingleTxtG"/>
        <w:tabs>
          <w:tab w:val="clear" w:pos="2835"/>
          <w:tab w:val="left" w:pos="2977"/>
        </w:tabs>
      </w:pPr>
      <w:r>
        <w:tab/>
      </w:r>
      <w:r w:rsidR="00D320B5" w:rsidRPr="00D320B5">
        <w:t>а), b) или d)</w:t>
      </w:r>
      <w:r w:rsidR="00AB6E36">
        <w:t xml:space="preserve"> </w:t>
      </w:r>
      <w:r w:rsidR="001D5B0C">
        <w:tab/>
      </w:r>
      <w:r w:rsidR="00D320B5" w:rsidRPr="00D320B5">
        <w:t>ВОЗ вместе с заинтересованными Сторонами и партнерскими организациями;</w:t>
      </w:r>
      <w:r w:rsidR="00D320B5" w:rsidRPr="00D320B5">
        <w:tab/>
      </w:r>
    </w:p>
    <w:p w14:paraId="6442434A" w14:textId="10E0CC03" w:rsidR="00D320B5" w:rsidRPr="00D320B5" w:rsidRDefault="00E91EE2" w:rsidP="00D320B5">
      <w:pPr>
        <w:pStyle w:val="SingleTxtG"/>
      </w:pPr>
      <w:r>
        <w:tab/>
      </w:r>
      <w:r w:rsidR="00D320B5" w:rsidRPr="00D320B5">
        <w:t>с)</w:t>
      </w:r>
      <w:r w:rsidR="00D320B5" w:rsidRPr="00D320B5">
        <w:tab/>
        <w:t xml:space="preserve">Швейцария, Международная ассоциация по оценке воздействия (МАОВ) и другие заинтересованные Стороны и партнерские организации; </w:t>
      </w:r>
    </w:p>
    <w:p w14:paraId="5D1C5E59" w14:textId="61DA9265" w:rsidR="00D320B5" w:rsidRPr="00D320B5" w:rsidRDefault="00E91EE2" w:rsidP="00D320B5">
      <w:pPr>
        <w:pStyle w:val="SingleTxtG"/>
      </w:pPr>
      <w:r>
        <w:tab/>
      </w:r>
      <w:r w:rsidR="00D320B5" w:rsidRPr="00D320B5">
        <w:t>e)</w:t>
      </w:r>
      <w:r w:rsidR="00D320B5" w:rsidRPr="00D320B5">
        <w:tab/>
        <w:t>страны-руководители</w:t>
      </w:r>
      <w:r w:rsidR="00AB6E36">
        <w:t xml:space="preserve"> </w:t>
      </w:r>
      <w:r w:rsidR="00D320B5" w:rsidRPr="00D320B5">
        <w:t>или организации-руководители будут определены позднее;</w:t>
      </w:r>
    </w:p>
    <w:p w14:paraId="245C6ED3" w14:textId="192F0BDA" w:rsidR="00D320B5" w:rsidRPr="00D320B5" w:rsidRDefault="00E91EE2" w:rsidP="00D320B5">
      <w:pPr>
        <w:pStyle w:val="SingleTxtG"/>
      </w:pPr>
      <w:r>
        <w:tab/>
      </w:r>
      <w:r w:rsidR="00D320B5" w:rsidRPr="00D320B5">
        <w:t>f)</w:t>
      </w:r>
      <w:r w:rsidR="00D320B5" w:rsidRPr="00D320B5">
        <w:tab/>
        <w:t xml:space="preserve">Италия и другие заинтересованные Стороны и партнерские организации при поддержке секретариата; </w:t>
      </w:r>
    </w:p>
    <w:p w14:paraId="09145D1D" w14:textId="3CE677E5" w:rsidR="00D320B5" w:rsidRPr="00D320B5" w:rsidRDefault="00E91EE2" w:rsidP="00D320B5">
      <w:pPr>
        <w:pStyle w:val="SingleTxtG"/>
      </w:pPr>
      <w:r>
        <w:tab/>
      </w:r>
      <w:r w:rsidR="00D320B5" w:rsidRPr="00D320B5">
        <w:t>g)</w:t>
      </w:r>
      <w:r w:rsidR="00D320B5" w:rsidRPr="00D320B5">
        <w:tab/>
        <w:t>Беларусь, секретариат и заинтересованные Стороны.</w:t>
      </w:r>
    </w:p>
    <w:p w14:paraId="6D44C772" w14:textId="2A92D009" w:rsidR="00D320B5" w:rsidRPr="00D320B5" w:rsidRDefault="00D320B5" w:rsidP="00D320B5">
      <w:pPr>
        <w:pStyle w:val="SingleTxtG"/>
      </w:pPr>
      <w:r w:rsidRPr="00D320B5">
        <w:rPr>
          <w:i/>
          <w:iCs/>
        </w:rPr>
        <w:t>Требуемые ресурсы</w:t>
      </w:r>
      <w:r w:rsidRPr="00D320B5">
        <w:t xml:space="preserve">: потребуются ресурсы секретариата и средства из целевого фонда для покрытия путевых расходов представителей стран, имеющих право на финансовую поддержку, и стран, не являющихся членами ЕЭК. Расходы на проезд для выступающих, предоставление и перевод материалов, которые по мере возможности будут покрываться странами-руководителями в натуральной форме: для f) в размере 20 000 евро в год, которые будут выделены Италией в течение следующих трех лет </w:t>
      </w:r>
      <w:r w:rsidRPr="00D320B5">
        <w:lastRenderedPageBreak/>
        <w:t>(2021</w:t>
      </w:r>
      <w:r w:rsidR="00E91EE2">
        <w:t>–</w:t>
      </w:r>
      <w:r w:rsidRPr="00D320B5">
        <w:t>2023 годы) для покрытия расходов на двух консультантов по подготовке информационного документа в консультации с договорными органами и инстанциями Сторон, ответственными за сотрудничество в целях развития; для g)</w:t>
      </w:r>
      <w:r w:rsidR="00D54568">
        <w:t xml:space="preserve"> — </w:t>
      </w:r>
      <w:r w:rsidRPr="00D320B5">
        <w:t xml:space="preserve">средства программы «EU4Environment» (будет подтверждено позднее). </w:t>
      </w:r>
    </w:p>
    <w:bookmarkEnd w:id="58"/>
    <w:p w14:paraId="02A45D2C" w14:textId="77777777" w:rsidR="00D320B5" w:rsidRPr="00D320B5" w:rsidRDefault="00D320B5" w:rsidP="00E91EE2">
      <w:pPr>
        <w:pStyle w:val="H23G"/>
      </w:pPr>
      <w:r w:rsidRPr="00D320B5">
        <w:tab/>
        <w:t>2.</w:t>
      </w:r>
      <w:r w:rsidRPr="00D320B5">
        <w:tab/>
        <w:t>Информационные бюллетени</w:t>
      </w:r>
      <w:bookmarkStart w:id="59" w:name="_Hlk36024565"/>
      <w:bookmarkEnd w:id="59"/>
    </w:p>
    <w:p w14:paraId="76972517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подготовка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веб-сайте.</w:t>
      </w:r>
    </w:p>
    <w:p w14:paraId="1F76E7D5" w14:textId="254D2C59" w:rsidR="00D320B5" w:rsidRPr="00D320B5" w:rsidRDefault="00D320B5" w:rsidP="00D320B5">
      <w:pPr>
        <w:pStyle w:val="SingleTxtG"/>
        <w:rPr>
          <w:bCs/>
        </w:rPr>
      </w:pPr>
      <w:r w:rsidRPr="00D320B5">
        <w:rPr>
          <w:i/>
          <w:iCs/>
        </w:rPr>
        <w:t>Ответственный(ые) орган(ы)</w:t>
      </w:r>
      <w:r w:rsidRPr="00D320B5">
        <w:t xml:space="preserve">: </w:t>
      </w:r>
      <w:r w:rsidR="001E7BBA">
        <w:t>в</w:t>
      </w:r>
      <w:r w:rsidRPr="00D320B5">
        <w:t>се Стороны при поддержке секретариата.</w:t>
      </w:r>
    </w:p>
    <w:p w14:paraId="2FA8A654" w14:textId="77777777" w:rsidR="00D320B5" w:rsidRPr="00D320B5" w:rsidRDefault="00D320B5" w:rsidP="00D320B5">
      <w:pPr>
        <w:pStyle w:val="SingleTxtG"/>
        <w:rPr>
          <w:b/>
        </w:rPr>
      </w:pPr>
      <w:r w:rsidRPr="00D320B5">
        <w:rPr>
          <w:i/>
          <w:iCs/>
        </w:rPr>
        <w:t>Потребности в ресурсах</w:t>
      </w:r>
      <w:r w:rsidRPr="00D320B5">
        <w:t>: взносы в натуральной форме.</w:t>
      </w:r>
    </w:p>
    <w:p w14:paraId="7401B715" w14:textId="77731732" w:rsidR="00D320B5" w:rsidRPr="00D320B5" w:rsidRDefault="00D320B5" w:rsidP="00E91EE2">
      <w:pPr>
        <w:pStyle w:val="H23G"/>
      </w:pPr>
      <w:r w:rsidRPr="00D320B5">
        <w:tab/>
        <w:t>3.</w:t>
      </w:r>
      <w:r w:rsidRPr="00D320B5">
        <w:tab/>
        <w:t xml:space="preserve">Онлайновая база данных о надлежащей практике Сторон или сбор </w:t>
      </w:r>
      <w:r w:rsidR="00E91EE2">
        <w:br/>
      </w:r>
      <w:r w:rsidRPr="00D320B5">
        <w:t>и компиляция информации о надлежащей практике</w:t>
      </w:r>
      <w:bookmarkStart w:id="60" w:name="_Hlk36024591"/>
      <w:bookmarkEnd w:id="60"/>
    </w:p>
    <w:p w14:paraId="00D9A747" w14:textId="77777777" w:rsidR="00D320B5" w:rsidRPr="00D320B5" w:rsidRDefault="00D320B5" w:rsidP="00D320B5">
      <w:pPr>
        <w:pStyle w:val="SingleTxtG"/>
        <w:rPr>
          <w:bCs/>
        </w:rPr>
      </w:pPr>
      <w:r w:rsidRPr="00D320B5">
        <w:rPr>
          <w:i/>
          <w:iCs/>
        </w:rPr>
        <w:t>Деятельность</w:t>
      </w:r>
      <w:r w:rsidRPr="00D320B5">
        <w:t>: создание онлайновой базы данных на веб-сайте ЕЭК/компиляция информации о надлежащей практике Сторон. Предусматривает разработку структуры и типовой формы для представления Сторонами информации о надлежащей практике, а также направление запросов о получении этой информации, ее корректуру, редактирование и размещение на веб-сайте. В качестве альтернативы может быть осуществлен сбор информации о надлежащей практике и ее компиляция в неофициальной онлайновой публикации, которая будет регулярно обновляться.</w:t>
      </w:r>
    </w:p>
    <w:p w14:paraId="38F31201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54568">
        <w:t xml:space="preserve">: </w:t>
      </w:r>
      <w:r w:rsidRPr="00D320B5">
        <w:t>Стороны предоставляют информацию о надлежащей практике; секретариат при поддержке консультанта собирает, (анализирует и резюмирует), обобщает и размещает на веб-сайте информацию о надлежащей практике.</w:t>
      </w:r>
    </w:p>
    <w:p w14:paraId="60068794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Потребности в ресурсах</w:t>
      </w:r>
      <w:r w:rsidRPr="00D320B5">
        <w:t>: ресурсы секретариата и финансирование услуг консультантов в размере 15 000–25 000 долл. США. Осуществление будет зависеть от наличия финансовых средств у Сторон или партнерских организаций.</w:t>
      </w:r>
      <w:bookmarkStart w:id="61" w:name="_Hlk23265100"/>
      <w:bookmarkStart w:id="62" w:name="_Hlk23264532"/>
      <w:bookmarkEnd w:id="61"/>
    </w:p>
    <w:bookmarkEnd w:id="62"/>
    <w:p w14:paraId="758C2E8D" w14:textId="77777777" w:rsidR="00D320B5" w:rsidRPr="00D320B5" w:rsidRDefault="00D320B5" w:rsidP="00E91EE2">
      <w:pPr>
        <w:pStyle w:val="H1G"/>
      </w:pPr>
      <w:r w:rsidRPr="00D320B5">
        <w:tab/>
        <w:t>C.</w:t>
      </w:r>
      <w:r w:rsidRPr="00D320B5">
        <w:tab/>
        <w:t>Укрепление потенциала</w:t>
      </w:r>
    </w:p>
    <w:p w14:paraId="1DE2C5BF" w14:textId="154DC7D6" w:rsidR="00D320B5" w:rsidRPr="00D320B5" w:rsidRDefault="00E91EE2" w:rsidP="00D320B5">
      <w:pPr>
        <w:pStyle w:val="SingleTxtG"/>
      </w:pPr>
      <w:r>
        <w:tab/>
      </w:r>
      <w:r w:rsidR="00D320B5" w:rsidRPr="00D320B5">
        <w:t>Данная категория деятельности направлена на содействие применению Протокола и Конвенции в полном соответствии с установленными требованиями, в том числе путем укрепления потенциала и повышения профессиональных навыков должностных лиц на всех соответствующих административных уровнях, а также повышения осведомленности общественности, включая НПО, о положениях договоров и их применении. Она также способствует более широкому применению Конвенции и Протокола за счет поощрения ратификации договоров государствами, не являющимися их участниками.</w:t>
      </w:r>
    </w:p>
    <w:p w14:paraId="1FC8E0DE" w14:textId="63F81B28" w:rsidR="00D320B5" w:rsidRPr="00D320B5" w:rsidRDefault="00E91EE2" w:rsidP="00D320B5">
      <w:pPr>
        <w:pStyle w:val="SingleTxtG"/>
      </w:pPr>
      <w:r>
        <w:tab/>
      </w:r>
      <w:r w:rsidR="00D320B5" w:rsidRPr="00D320B5">
        <w:t xml:space="preserve">Данная категория деятельности будет осуществляться в рамках следующих мероприятий: </w:t>
      </w:r>
    </w:p>
    <w:p w14:paraId="78676C20" w14:textId="2EBA9EE1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1.</w:t>
      </w:r>
      <w:r w:rsidR="00D320B5" w:rsidRPr="00D320B5">
        <w:tab/>
        <w:t xml:space="preserve">осуществление пилотных проектов; </w:t>
      </w:r>
    </w:p>
    <w:p w14:paraId="32AC12C5" w14:textId="486DF5B4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2.</w:t>
      </w:r>
      <w:r w:rsidR="00D320B5" w:rsidRPr="00D320B5">
        <w:tab/>
        <w:t xml:space="preserve">учебные рабочие совещания по вопросам применения договоров; </w:t>
      </w:r>
    </w:p>
    <w:p w14:paraId="0E58CEE2" w14:textId="3D77DDAC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3.</w:t>
      </w:r>
      <w:r w:rsidR="00D320B5" w:rsidRPr="00D320B5">
        <w:tab/>
        <w:t>мероприятия по повышению осведомленности;</w:t>
      </w:r>
      <w:bookmarkStart w:id="63" w:name="_Hlk36026335"/>
    </w:p>
    <w:bookmarkEnd w:id="63"/>
    <w:p w14:paraId="00057A3D" w14:textId="3A7FDCD0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4.</w:t>
      </w:r>
      <w:r w:rsidR="00D320B5" w:rsidRPr="00D320B5">
        <w:tab/>
        <w:t>подготовка информационно-просветительских материалов на национальном уровне;</w:t>
      </w:r>
    </w:p>
    <w:p w14:paraId="6D2F2A3C" w14:textId="5646DC6C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5.</w:t>
      </w:r>
      <w:r w:rsidR="00D320B5" w:rsidRPr="00D320B5">
        <w:tab/>
        <w:t>разработка руководящих принципов по конкретным вопросам или секторам на национальном уровне;</w:t>
      </w:r>
    </w:p>
    <w:p w14:paraId="457422DA" w14:textId="7782F24C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6.</w:t>
      </w:r>
      <w:r w:rsidR="00D320B5" w:rsidRPr="00D320B5">
        <w:tab/>
        <w:t xml:space="preserve">создание типовой базы данных по стратегической экологической оценке; </w:t>
      </w:r>
    </w:p>
    <w:p w14:paraId="1369F1EB" w14:textId="7596505B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7.</w:t>
      </w:r>
      <w:r w:rsidR="00D320B5" w:rsidRPr="00D320B5">
        <w:tab/>
        <w:t>перевод видеофильма о применении Конвенции;</w:t>
      </w:r>
    </w:p>
    <w:p w14:paraId="62728D59" w14:textId="2295B1EA" w:rsidR="00D320B5" w:rsidRPr="00D320B5" w:rsidRDefault="001D5B0C" w:rsidP="001D5B0C">
      <w:pPr>
        <w:pStyle w:val="SingleTxtG"/>
        <w:ind w:left="2268" w:hanging="1134"/>
      </w:pPr>
      <w:r>
        <w:tab/>
      </w:r>
      <w:r w:rsidR="00D320B5" w:rsidRPr="00D320B5">
        <w:t>8.</w:t>
      </w:r>
      <w:r w:rsidR="00D320B5" w:rsidRPr="00D320B5">
        <w:tab/>
        <w:t>подготовка «FasTips».</w:t>
      </w:r>
    </w:p>
    <w:p w14:paraId="5FA58C63" w14:textId="7CF81005" w:rsidR="00D320B5" w:rsidRPr="00D320B5" w:rsidRDefault="00D320B5" w:rsidP="00D320B5">
      <w:pPr>
        <w:pStyle w:val="SingleTxtG"/>
      </w:pPr>
      <w:bookmarkStart w:id="64" w:name="_Hlk31990814"/>
      <w:r w:rsidRPr="00D320B5">
        <w:rPr>
          <w:i/>
          <w:iCs/>
        </w:rPr>
        <w:lastRenderedPageBreak/>
        <w:t>Потребности в ресурсах</w:t>
      </w:r>
      <w:r w:rsidRPr="00D320B5">
        <w:t>:</w:t>
      </w:r>
      <w:r w:rsidR="00AB6E36">
        <w:t xml:space="preserve"> </w:t>
      </w:r>
      <w:r w:rsidRPr="00D320B5">
        <w:t>для подкатегорий 1</w:t>
      </w:r>
      <w:r w:rsidR="00D54568">
        <w:t>–</w:t>
      </w:r>
      <w:r w:rsidRPr="00D320B5">
        <w:t>7 финансирование имеется из средств программы «EU4Environment»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 Осуществление деятельности в подгруппах 1</w:t>
      </w:r>
      <w:r w:rsidR="00D54568">
        <w:t> </w:t>
      </w:r>
      <w:r w:rsidRPr="00D320B5">
        <w:t>vii)</w:t>
      </w:r>
      <w:r w:rsidR="00D54568">
        <w:t>–</w:t>
      </w:r>
      <w:r w:rsidRPr="00D320B5">
        <w:t>viii) (будут уточнены позднее), как ожидается, будет профинансировано по линии Программы Федерального министерства охраны окружающей среды Германии по оказанию консультационной помощи в области охраны окружающей среды.</w:t>
      </w:r>
      <w:bookmarkEnd w:id="64"/>
    </w:p>
    <w:p w14:paraId="6D0791DF" w14:textId="77777777" w:rsidR="00D320B5" w:rsidRPr="00D320B5" w:rsidRDefault="00D320B5" w:rsidP="00E91EE2">
      <w:pPr>
        <w:pStyle w:val="H23G"/>
      </w:pPr>
      <w:bookmarkStart w:id="65" w:name="_Hlk31990223"/>
      <w:r w:rsidRPr="00D320B5">
        <w:tab/>
        <w:t>1.</w:t>
      </w:r>
      <w:r w:rsidRPr="00D320B5">
        <w:tab/>
        <w:t xml:space="preserve">Осуществление пилотных проектов </w:t>
      </w:r>
      <w:bookmarkStart w:id="66" w:name="_Hlk36025098"/>
      <w:bookmarkEnd w:id="65"/>
      <w:bookmarkEnd w:id="66"/>
    </w:p>
    <w:p w14:paraId="56740508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экспериментальное включение стратегической экологической оценки (или оценки воздействия на окружающую среду в трансграничном контексте) в план или проект по выбору стран-бенефициаров, для практического обучения проведению процедуры стратегической экологической оценки (или оценки воздействия на окружающую среду в трансграничном контексте), включающего подготовку по решению аналитических и консультативных задач, в соответствии с Протоколом/(Конвенцией). Запланированные пилотные проекты по стратегической экологической оценке включают:</w:t>
      </w:r>
      <w:bookmarkStart w:id="67" w:name="_Hlk31990318"/>
      <w:bookmarkStart w:id="68" w:name="_Hlk31991362"/>
      <w:bookmarkEnd w:id="67"/>
      <w:bookmarkEnd w:id="68"/>
    </w:p>
    <w:p w14:paraId="3BF1E8D6" w14:textId="77777777" w:rsidR="00D320B5" w:rsidRPr="00D320B5" w:rsidRDefault="00D320B5" w:rsidP="00F609FC">
      <w:pPr>
        <w:pStyle w:val="SingleTxtG"/>
        <w:ind w:left="1701" w:hanging="567"/>
      </w:pPr>
      <w:r w:rsidRPr="00D320B5">
        <w:tab/>
        <w:t>i)</w:t>
      </w:r>
      <w:r w:rsidRPr="00D320B5">
        <w:tab/>
        <w:t>пилотный проект в Армении (в 2021 году);</w:t>
      </w:r>
    </w:p>
    <w:p w14:paraId="4A7E26EB" w14:textId="77777777" w:rsidR="00D320B5" w:rsidRPr="00D320B5" w:rsidRDefault="00D320B5" w:rsidP="00F609FC">
      <w:pPr>
        <w:pStyle w:val="SingleTxtG"/>
        <w:ind w:left="1701" w:hanging="567"/>
      </w:pPr>
      <w:r w:rsidRPr="00D320B5">
        <w:tab/>
        <w:t>ii)</w:t>
      </w:r>
      <w:r w:rsidRPr="00D320B5">
        <w:tab/>
        <w:t>пилотный проект в Азербайджане (в 2021 году);</w:t>
      </w:r>
    </w:p>
    <w:p w14:paraId="64A7E2A8" w14:textId="5DF40142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iii)</w:t>
      </w:r>
      <w:r w:rsidR="00D320B5" w:rsidRPr="00D320B5">
        <w:tab/>
        <w:t>пилотный проект в Беларуси (в 2021</w:t>
      </w:r>
      <w:r>
        <w:t>–</w:t>
      </w:r>
      <w:r w:rsidR="00D320B5" w:rsidRPr="00D320B5">
        <w:t>2022 годах);</w:t>
      </w:r>
    </w:p>
    <w:p w14:paraId="17AF2658" w14:textId="7B66EEBD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iv)</w:t>
      </w:r>
      <w:r w:rsidR="00D320B5" w:rsidRPr="00D320B5">
        <w:tab/>
        <w:t>пилотный проект в Грузии (в 2021</w:t>
      </w:r>
      <w:r>
        <w:t>–</w:t>
      </w:r>
      <w:r w:rsidR="00D320B5" w:rsidRPr="00D320B5">
        <w:t>2022 годах);</w:t>
      </w:r>
      <w:bookmarkStart w:id="69" w:name="_Hlk51692256"/>
      <w:bookmarkEnd w:id="69"/>
    </w:p>
    <w:p w14:paraId="355EB33E" w14:textId="10988461" w:rsidR="00D320B5" w:rsidRPr="00D320B5" w:rsidRDefault="00D320B5" w:rsidP="00F609FC">
      <w:pPr>
        <w:pStyle w:val="SingleTxtG"/>
        <w:ind w:left="1701" w:hanging="567"/>
      </w:pPr>
      <w:r w:rsidRPr="00D320B5">
        <w:tab/>
        <w:t>v)</w:t>
      </w:r>
      <w:r w:rsidRPr="00D320B5">
        <w:tab/>
        <w:t>пилотный проект в Республике Молдова (в 2021</w:t>
      </w:r>
      <w:r w:rsidR="00E91EE2">
        <w:t>–</w:t>
      </w:r>
      <w:r w:rsidRPr="00D320B5">
        <w:t>2022 годах);</w:t>
      </w:r>
    </w:p>
    <w:p w14:paraId="0D0F30FC" w14:textId="1B3FD8A1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vi)</w:t>
      </w:r>
      <w:r w:rsidR="00D320B5" w:rsidRPr="00D320B5">
        <w:tab/>
        <w:t>пилотный проект на Украине (в 2021</w:t>
      </w:r>
      <w:r>
        <w:t>–</w:t>
      </w:r>
      <w:r w:rsidR="00D320B5" w:rsidRPr="00D320B5">
        <w:t>2022 годах);</w:t>
      </w:r>
    </w:p>
    <w:p w14:paraId="1AD6F6C3" w14:textId="5C4EEAAB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vii)</w:t>
      </w:r>
      <w:r w:rsidR="00D320B5" w:rsidRPr="00D320B5">
        <w:tab/>
        <w:t>пилотный проект в Казахстане (в 202</w:t>
      </w:r>
      <w:r w:rsidR="00810E96">
        <w:t>2</w:t>
      </w:r>
      <w:r w:rsidR="00D320B5" w:rsidRPr="00D320B5">
        <w:t>–202</w:t>
      </w:r>
      <w:r w:rsidR="00810E96">
        <w:t>3</w:t>
      </w:r>
      <w:r w:rsidR="00D320B5" w:rsidRPr="00D320B5">
        <w:t xml:space="preserve"> годах, будет подтвержден позднее);</w:t>
      </w:r>
    </w:p>
    <w:p w14:paraId="43C547B1" w14:textId="73950E33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viii)</w:t>
      </w:r>
      <w:r w:rsidR="00D320B5" w:rsidRPr="00D320B5">
        <w:tab/>
        <w:t>пилотный проект в Кыргызстане (в 202</w:t>
      </w:r>
      <w:r w:rsidR="00810E96">
        <w:t>2</w:t>
      </w:r>
      <w:r w:rsidR="00D320B5" w:rsidRPr="00D320B5">
        <w:t>–202</w:t>
      </w:r>
      <w:r w:rsidR="00810E96">
        <w:t>3</w:t>
      </w:r>
      <w:r w:rsidR="00D320B5" w:rsidRPr="00D320B5">
        <w:t xml:space="preserve"> годах, будет подтвержден позднее)</w:t>
      </w:r>
      <w:r w:rsidR="00B5275A">
        <w:t>.</w:t>
      </w:r>
    </w:p>
    <w:p w14:paraId="025C3BA1" w14:textId="76D53DD0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810E96">
        <w:t xml:space="preserve">: </w:t>
      </w:r>
      <w:r w:rsidRPr="00D320B5">
        <w:t>деятельность в подкатегориях 1 i)–vi) осуществляется при содействии секретариата, при поддержке консультантов и при активном участии стран-бенефициаров и, в соответствующих случаях, организаций-партнеров. С</w:t>
      </w:r>
      <w:r w:rsidR="00E91EE2">
        <w:t> </w:t>
      </w:r>
      <w:r w:rsidRPr="00D320B5">
        <w:t>делегациями Европейского союза, направляемыми в страны-бенефициары, и Европейской комиссией будут проведены консультации по вопросам отбора экспериментальных проектов. Деятельность в подкатегориях 1 vii)</w:t>
      </w:r>
      <w:r w:rsidR="00D54568">
        <w:t>–</w:t>
      </w:r>
      <w:r w:rsidRPr="00D320B5">
        <w:t>viii), которая будет осуществляться партнером-руководителем</w:t>
      </w:r>
      <w:r w:rsidR="00D54568">
        <w:t xml:space="preserve"> — </w:t>
      </w:r>
      <w:r w:rsidRPr="00D320B5">
        <w:t>Организацией по безопасности и сотрудничеству в Европе (ОБСЕ) при поддержке секретариата и в консультации с заинтересованными странами.</w:t>
      </w:r>
    </w:p>
    <w:p w14:paraId="2768394D" w14:textId="77777777" w:rsidR="00D320B5" w:rsidRPr="00D320B5" w:rsidRDefault="00D320B5" w:rsidP="00E91EE2">
      <w:pPr>
        <w:pStyle w:val="H23G"/>
      </w:pPr>
      <w:r w:rsidRPr="00D320B5">
        <w:tab/>
        <w:t>2.</w:t>
      </w:r>
      <w:r w:rsidRPr="00D320B5">
        <w:tab/>
        <w:t xml:space="preserve">Учебные рабочие совещания по вопросам применения договоров </w:t>
      </w:r>
      <w:bookmarkStart w:id="70" w:name="_Hlk36025379"/>
      <w:bookmarkEnd w:id="70"/>
    </w:p>
    <w:p w14:paraId="646B0016" w14:textId="77777777" w:rsidR="00D320B5" w:rsidRPr="00D320B5" w:rsidRDefault="00D320B5" w:rsidP="00D320B5">
      <w:pPr>
        <w:pStyle w:val="SingleTxtG"/>
      </w:pPr>
      <w:bookmarkStart w:id="71" w:name="_Hlk9278240"/>
      <w:r w:rsidRPr="00D320B5">
        <w:rPr>
          <w:i/>
          <w:iCs/>
        </w:rPr>
        <w:t>Деятельность</w:t>
      </w:r>
      <w:r w:rsidRPr="00D320B5">
        <w:t>: организация следующих учебных рабочих совещаний для создания потенциала в области практического применения Протокола:</w:t>
      </w:r>
    </w:p>
    <w:p w14:paraId="77EF36E9" w14:textId="77777777" w:rsidR="00D320B5" w:rsidRPr="00D320B5" w:rsidRDefault="00D320B5" w:rsidP="00D320B5">
      <w:pPr>
        <w:pStyle w:val="SingleTxtG"/>
      </w:pPr>
      <w:r w:rsidRPr="00D320B5">
        <w:tab/>
        <w:t>i)</w:t>
      </w:r>
      <w:r w:rsidRPr="00D320B5">
        <w:tab/>
        <w:t>учебного рабочего совещания в Азербайджане (в 2021 или 2022 году);</w:t>
      </w:r>
    </w:p>
    <w:p w14:paraId="2F1A9091" w14:textId="6E3C41AF" w:rsidR="00D320B5" w:rsidRPr="00D320B5" w:rsidRDefault="00D320B5" w:rsidP="00F609FC">
      <w:pPr>
        <w:pStyle w:val="SingleTxtG"/>
        <w:ind w:left="1701" w:hanging="567"/>
      </w:pPr>
      <w:r w:rsidRPr="00D320B5">
        <w:tab/>
        <w:t>ii)</w:t>
      </w:r>
      <w:r w:rsidRPr="00D320B5">
        <w:tab/>
        <w:t>учебного рабочего совещания на Украине (в 2021 или 2022 году</w:t>
      </w:r>
      <w:r w:rsidR="00B5275A">
        <w:t xml:space="preserve">, </w:t>
      </w:r>
      <w:r w:rsidRPr="00D320B5">
        <w:t>будет подтверждено позднее).</w:t>
      </w:r>
    </w:p>
    <w:p w14:paraId="2928D156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54568">
        <w:t>:</w:t>
      </w:r>
      <w:r w:rsidRPr="00D320B5">
        <w:t xml:space="preserve"> секретариат при поддержке консультантов в сотрудничестве со странами-бенефициарами.</w:t>
      </w:r>
    </w:p>
    <w:bookmarkEnd w:id="71"/>
    <w:p w14:paraId="1DF38EBC" w14:textId="77777777" w:rsidR="00D320B5" w:rsidRPr="00D320B5" w:rsidRDefault="00D320B5" w:rsidP="00E91EE2">
      <w:pPr>
        <w:pStyle w:val="H23G"/>
      </w:pPr>
      <w:r w:rsidRPr="00D320B5">
        <w:tab/>
        <w:t>3.</w:t>
      </w:r>
      <w:r w:rsidRPr="00D320B5">
        <w:tab/>
        <w:t xml:space="preserve">Мероприятия по повышению осведомленности на национальном уровне </w:t>
      </w:r>
      <w:bookmarkStart w:id="72" w:name="_Hlk32341991"/>
    </w:p>
    <w:p w14:paraId="23B78882" w14:textId="77777777" w:rsidR="00D320B5" w:rsidRPr="00D320B5" w:rsidRDefault="00D320B5" w:rsidP="00D320B5">
      <w:pPr>
        <w:pStyle w:val="SingleTxtG"/>
      </w:pPr>
      <w:bookmarkStart w:id="73" w:name="_Hlk9278633"/>
      <w:bookmarkEnd w:id="72"/>
      <w:r w:rsidRPr="00D320B5">
        <w:rPr>
          <w:i/>
          <w:iCs/>
        </w:rPr>
        <w:t>Деятельность</w:t>
      </w:r>
      <w:r w:rsidRPr="00D320B5">
        <w:t xml:space="preserve">: организация следующих мероприятий с целью повышения осведомленности секторальных органов и других соответствующих субъектов о необходимости и выгодах эффективного осуществления законодательства в области </w:t>
      </w:r>
      <w:r w:rsidRPr="00D320B5">
        <w:lastRenderedPageBreak/>
        <w:t>стратегической экологической оценки (или оценки воздействия на окружающую среду в трансграничном контексте) в соответствии с Конвенцией и Протоколом:</w:t>
      </w:r>
    </w:p>
    <w:p w14:paraId="52FC9E45" w14:textId="58FF3EE6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i)</w:t>
      </w:r>
      <w:r w:rsidR="00D320B5" w:rsidRPr="00D320B5">
        <w:tab/>
        <w:t>мероприятие по повышению осведомленности в Азербайджане</w:t>
      </w:r>
      <w:r w:rsidR="00AB6E36">
        <w:t xml:space="preserve"> </w:t>
      </w:r>
      <w:r w:rsidR="00D320B5" w:rsidRPr="00D320B5">
        <w:t>(в</w:t>
      </w:r>
      <w:r>
        <w:t> </w:t>
      </w:r>
      <w:r w:rsidR="00D320B5" w:rsidRPr="00D320B5">
        <w:t>2021</w:t>
      </w:r>
      <w:r>
        <w:t> </w:t>
      </w:r>
      <w:r w:rsidR="00D320B5" w:rsidRPr="00D320B5">
        <w:t>или 2022 году);</w:t>
      </w:r>
    </w:p>
    <w:p w14:paraId="40509C00" w14:textId="531CEF4C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ii)</w:t>
      </w:r>
      <w:r w:rsidR="00D320B5" w:rsidRPr="00D320B5">
        <w:tab/>
        <w:t>мероприятие по повышению осведомленности в Беларуси</w:t>
      </w:r>
      <w:r w:rsidR="00AB6E36">
        <w:t xml:space="preserve"> </w:t>
      </w:r>
      <w:r w:rsidR="00D320B5" w:rsidRPr="00D320B5">
        <w:t>(в 2021 или 2022 году);</w:t>
      </w:r>
    </w:p>
    <w:p w14:paraId="6F7D8B28" w14:textId="6F1629F0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iii)</w:t>
      </w:r>
      <w:r w:rsidR="00D320B5" w:rsidRPr="00D320B5">
        <w:tab/>
        <w:t>мероприятие по повышению осведомленности в Республике Молдова (в</w:t>
      </w:r>
      <w:r>
        <w:t> </w:t>
      </w:r>
      <w:r w:rsidR="00D320B5" w:rsidRPr="00D320B5">
        <w:t>2021 или 2022 году);</w:t>
      </w:r>
      <w:r w:rsidR="00D320B5" w:rsidRPr="00D320B5">
        <w:tab/>
      </w:r>
    </w:p>
    <w:p w14:paraId="3E507198" w14:textId="77777777" w:rsidR="00D320B5" w:rsidRPr="00D320B5" w:rsidRDefault="00D320B5" w:rsidP="00D320B5">
      <w:pPr>
        <w:pStyle w:val="SingleTxtG"/>
      </w:pPr>
      <w:bookmarkStart w:id="74" w:name="_Hlk32160459"/>
      <w:r w:rsidRPr="00D320B5">
        <w:rPr>
          <w:i/>
          <w:iCs/>
        </w:rPr>
        <w:t>Ответственный(ые) орган(ы)</w:t>
      </w:r>
      <w:r w:rsidRPr="00B5275A">
        <w:t>:</w:t>
      </w:r>
      <w:r w:rsidRPr="00D320B5">
        <w:t xml:space="preserve"> деятельность координируется секретариатом при поддержке консультантов в сотрудничестве со странами-бенефициарами. </w:t>
      </w:r>
    </w:p>
    <w:p w14:paraId="2F22BBFF" w14:textId="77777777" w:rsidR="00D320B5" w:rsidRPr="00D320B5" w:rsidRDefault="00D320B5" w:rsidP="00E91EE2">
      <w:pPr>
        <w:pStyle w:val="H23G"/>
      </w:pPr>
      <w:bookmarkStart w:id="75" w:name="_Hlk31991478"/>
      <w:bookmarkEnd w:id="73"/>
      <w:bookmarkEnd w:id="74"/>
      <w:r w:rsidRPr="00D320B5">
        <w:tab/>
        <w:t>4.</w:t>
      </w:r>
      <w:r w:rsidRPr="00D320B5">
        <w:tab/>
        <w:t>Подготовка информационно-просветительских материалов на национальном уровне</w:t>
      </w:r>
      <w:bookmarkStart w:id="76" w:name="_Hlk36026039"/>
      <w:bookmarkEnd w:id="76"/>
    </w:p>
    <w:p w14:paraId="6292EF11" w14:textId="2B054FC1" w:rsidR="00D320B5" w:rsidRPr="00D320B5" w:rsidRDefault="00D320B5" w:rsidP="00D320B5">
      <w:pPr>
        <w:pStyle w:val="SingleTxtG"/>
      </w:pPr>
      <w:bookmarkStart w:id="77" w:name="_Hlk9278913"/>
      <w:bookmarkEnd w:id="75"/>
      <w:r w:rsidRPr="00E91EE2">
        <w:rPr>
          <w:i/>
          <w:iCs/>
        </w:rPr>
        <w:t>Деятельность</w:t>
      </w:r>
      <w:r w:rsidRPr="00D320B5">
        <w:t>:</w:t>
      </w:r>
      <w:r w:rsidR="00697356">
        <w:t> </w:t>
      </w:r>
      <w:r w:rsidRPr="00D320B5">
        <w:t>подготовка по просьбе стран-бенефициаров следующих информационно-просветительских материалов о стратегической экологической оценке (или оценке воздействия на окружающую среду в трансграничном контексте) (например, листовок, содержащих информацию о надлежащей практике, или брошюр о роли участия общественности):</w:t>
      </w:r>
    </w:p>
    <w:p w14:paraId="39EA3951" w14:textId="4053C889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i)</w:t>
      </w:r>
      <w:r w:rsidR="00D320B5" w:rsidRPr="00D320B5">
        <w:tab/>
        <w:t>информационно-просветительских материалов для Азербайджана (в 2021 или 2022 году);</w:t>
      </w:r>
    </w:p>
    <w:p w14:paraId="69A59F9B" w14:textId="6940FC6B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ii)</w:t>
      </w:r>
      <w:r w:rsidR="00D320B5" w:rsidRPr="00D320B5">
        <w:tab/>
        <w:t>информационно-просветительских материалов для Беларуси (в 2021 или 2022 году);</w:t>
      </w:r>
    </w:p>
    <w:p w14:paraId="11E8EC95" w14:textId="30CC8258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iii)</w:t>
      </w:r>
      <w:r w:rsidR="00D320B5" w:rsidRPr="00D320B5">
        <w:tab/>
        <w:t>мероприятие по повышению осведомленности в Республике Молдова (в</w:t>
      </w:r>
      <w:r>
        <w:t> </w:t>
      </w:r>
      <w:r w:rsidR="00D320B5" w:rsidRPr="00D320B5">
        <w:t>2021 году);</w:t>
      </w:r>
    </w:p>
    <w:p w14:paraId="2FC8B97E" w14:textId="17222050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iv)</w:t>
      </w:r>
      <w:r w:rsidR="00D320B5" w:rsidRPr="00D320B5">
        <w:tab/>
        <w:t>информационно-просветительских материалов для Украины (в 2021 или 2022 году)</w:t>
      </w:r>
      <w:r w:rsidR="00B5275A">
        <w:t>.</w:t>
      </w:r>
    </w:p>
    <w:p w14:paraId="4280D471" w14:textId="77777777" w:rsidR="00D320B5" w:rsidRPr="00D320B5" w:rsidRDefault="00D320B5" w:rsidP="00D320B5">
      <w:pPr>
        <w:pStyle w:val="SingleTxtG"/>
      </w:pPr>
      <w:bookmarkStart w:id="78" w:name="_Hlk32160486"/>
      <w:r w:rsidRPr="00D320B5">
        <w:rPr>
          <w:i/>
          <w:iCs/>
        </w:rPr>
        <w:t>Ответственный(ые) орган(ы)</w:t>
      </w:r>
      <w:r w:rsidRPr="00D54568">
        <w:t>:</w:t>
      </w:r>
      <w:r w:rsidRPr="00D320B5">
        <w:t xml:space="preserve"> деятельность координируется секретариатом при поддержке консультантов в сотрудничестве со странами-бенефициарами. </w:t>
      </w:r>
      <w:bookmarkStart w:id="79" w:name="_Hlk31991742"/>
      <w:bookmarkEnd w:id="78"/>
    </w:p>
    <w:bookmarkEnd w:id="77"/>
    <w:bookmarkEnd w:id="79"/>
    <w:p w14:paraId="6362B955" w14:textId="1E247170" w:rsidR="00D320B5" w:rsidRPr="00D320B5" w:rsidRDefault="00D320B5" w:rsidP="00E91EE2">
      <w:pPr>
        <w:pStyle w:val="H23G"/>
      </w:pPr>
      <w:r w:rsidRPr="00D320B5">
        <w:tab/>
        <w:t>5.</w:t>
      </w:r>
      <w:r w:rsidRPr="00D320B5">
        <w:tab/>
        <w:t>Разработка руководящих принципов по конкретным вопросам или секторам на</w:t>
      </w:r>
      <w:r w:rsidR="00E91EE2">
        <w:t> </w:t>
      </w:r>
      <w:r w:rsidRPr="00D320B5">
        <w:t xml:space="preserve">национальном уровне </w:t>
      </w:r>
      <w:bookmarkStart w:id="80" w:name="_Hlk36026469"/>
      <w:bookmarkEnd w:id="80"/>
    </w:p>
    <w:p w14:paraId="5D6CDA41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подготовка следующих руководящих принципов в дополнение к существующим общим руководящим принципам стратегической экологической оценки по конкретным вопросам/секторам, согласованным со странами-бенефициарами:</w:t>
      </w:r>
    </w:p>
    <w:p w14:paraId="33FDCA6D" w14:textId="505EACF6" w:rsidR="00D320B5" w:rsidRPr="00D320B5" w:rsidRDefault="00D320B5" w:rsidP="00F609FC">
      <w:pPr>
        <w:pStyle w:val="SingleTxtG"/>
        <w:ind w:left="1701" w:hanging="567"/>
      </w:pPr>
      <w:r w:rsidRPr="00D320B5">
        <w:tab/>
        <w:t>i)</w:t>
      </w:r>
      <w:r w:rsidRPr="00D320B5">
        <w:tab/>
        <w:t>руководящих принципов для Азербайджана в области регионального развития/транспорта/сельского хозяйства (сектор будет подтвержден позднее), в</w:t>
      </w:r>
      <w:r w:rsidR="00D54568">
        <w:t> </w:t>
      </w:r>
      <w:r w:rsidRPr="00D320B5">
        <w:t>2021</w:t>
      </w:r>
      <w:r w:rsidR="00E91EE2">
        <w:t> </w:t>
      </w:r>
      <w:r w:rsidRPr="00D320B5">
        <w:t xml:space="preserve">или 2022 году; </w:t>
      </w:r>
    </w:p>
    <w:p w14:paraId="2A4B9722" w14:textId="6C17668F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 xml:space="preserve">ii) </w:t>
      </w:r>
      <w:r w:rsidR="00D320B5" w:rsidRPr="00D320B5">
        <w:tab/>
        <w:t>руководящих принципов для Беларуси в области градостроительства, в</w:t>
      </w:r>
      <w:r w:rsidR="00D54568">
        <w:t> </w:t>
      </w:r>
      <w:r w:rsidR="00D320B5" w:rsidRPr="00D320B5">
        <w:t xml:space="preserve">2121 году (будет подтверждено позднее); </w:t>
      </w:r>
      <w:r w:rsidR="00D320B5" w:rsidRPr="00D320B5">
        <w:tab/>
      </w:r>
    </w:p>
    <w:p w14:paraId="30F1BD88" w14:textId="2B0A81BF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iii)</w:t>
      </w:r>
      <w:r w:rsidR="00D320B5" w:rsidRPr="00D320B5">
        <w:tab/>
        <w:t>руководящих принципов для Республики Молдова по трансграничным процедурам, в 2021–2022 годах;</w:t>
      </w:r>
    </w:p>
    <w:p w14:paraId="4500DD80" w14:textId="57F81790" w:rsidR="00D320B5" w:rsidRPr="00D320B5" w:rsidRDefault="00E91EE2" w:rsidP="00F609FC">
      <w:pPr>
        <w:pStyle w:val="SingleTxtG"/>
        <w:ind w:left="1701" w:hanging="567"/>
      </w:pPr>
      <w:r>
        <w:tab/>
      </w:r>
      <w:r w:rsidR="00D320B5" w:rsidRPr="00D320B5">
        <w:t>iv)</w:t>
      </w:r>
      <w:r w:rsidR="00D320B5" w:rsidRPr="00D320B5">
        <w:tab/>
        <w:t>руководящих принципов для Украины в области градостроительства, в</w:t>
      </w:r>
      <w:r w:rsidR="00D54568">
        <w:t> </w:t>
      </w:r>
      <w:r w:rsidR="00D320B5" w:rsidRPr="00D320B5">
        <w:t>2</w:t>
      </w:r>
      <w:r w:rsidR="00B5275A">
        <w:t>0</w:t>
      </w:r>
      <w:r w:rsidR="00D320B5" w:rsidRPr="00D320B5">
        <w:t>21 году.</w:t>
      </w:r>
    </w:p>
    <w:p w14:paraId="4D3E6233" w14:textId="77777777" w:rsidR="00D320B5" w:rsidRPr="00D320B5" w:rsidRDefault="00D320B5" w:rsidP="00D320B5">
      <w:pPr>
        <w:pStyle w:val="SingleTxtG"/>
      </w:pPr>
      <w:bookmarkStart w:id="81" w:name="_Hlk31993495"/>
      <w:r w:rsidRPr="00D320B5">
        <w:rPr>
          <w:i/>
          <w:iCs/>
        </w:rPr>
        <w:t>Ответственный(ые) орган(ы)</w:t>
      </w:r>
      <w:r w:rsidRPr="00D54568">
        <w:t>:</w:t>
      </w:r>
      <w:r w:rsidRPr="00D320B5">
        <w:t xml:space="preserve"> деятельность координируется секретариатом при поддержке консультантов в сотрудничестве со странами-бенефициарами.</w:t>
      </w:r>
    </w:p>
    <w:bookmarkEnd w:id="81"/>
    <w:p w14:paraId="6D4A0B2D" w14:textId="77777777" w:rsidR="00D320B5" w:rsidRPr="00D320B5" w:rsidRDefault="00D320B5" w:rsidP="00E91EE2">
      <w:pPr>
        <w:pStyle w:val="H23G"/>
      </w:pPr>
      <w:r w:rsidRPr="00D320B5">
        <w:tab/>
        <w:t>6.</w:t>
      </w:r>
      <w:r w:rsidRPr="00D320B5">
        <w:tab/>
        <w:t xml:space="preserve">Создание типовой базы данных по стратегической экологической оценке </w:t>
      </w:r>
    </w:p>
    <w:p w14:paraId="4C9BB695" w14:textId="4B1DB3BC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</w:t>
      </w:r>
      <w:r w:rsidR="00697356">
        <w:t> </w:t>
      </w:r>
      <w:r w:rsidRPr="00D320B5">
        <w:t>разработка типовой базы данных направлена на поддержку применения стратегической экологической оценки в Армении, Азербайджане, Беларуси, Грузии, Республике Молдова и Украине.</w:t>
      </w:r>
    </w:p>
    <w:p w14:paraId="0CB84813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lastRenderedPageBreak/>
        <w:t>Ответственный(ые) орган(ы)</w:t>
      </w:r>
      <w:r w:rsidRPr="00D54568">
        <w:t xml:space="preserve">: </w:t>
      </w:r>
      <w:r w:rsidRPr="00D320B5">
        <w:t>деятельность будет координироваться секретариатом в 2021 году при поддержке консультантов в сотрудничестве со странами-бенефициарами.</w:t>
      </w:r>
    </w:p>
    <w:p w14:paraId="14B1C17E" w14:textId="77777777" w:rsidR="00D320B5" w:rsidRPr="00D320B5" w:rsidRDefault="00D320B5" w:rsidP="00E91EE2">
      <w:pPr>
        <w:pStyle w:val="H23G"/>
      </w:pPr>
      <w:r w:rsidRPr="00D320B5">
        <w:tab/>
        <w:t>7.</w:t>
      </w:r>
      <w:r w:rsidRPr="00D320B5">
        <w:tab/>
        <w:t xml:space="preserve">Перевод видеофильма о применении Конвенции </w:t>
      </w:r>
      <w:bookmarkStart w:id="82" w:name="_Hlk36026591"/>
      <w:bookmarkEnd w:id="82"/>
    </w:p>
    <w:p w14:paraId="0258C848" w14:textId="77777777" w:rsidR="00D320B5" w:rsidRPr="00D320B5" w:rsidRDefault="00D320B5" w:rsidP="00D320B5">
      <w:pPr>
        <w:pStyle w:val="SingleTxtG"/>
      </w:pPr>
      <w:r w:rsidRPr="00E91EE2">
        <w:rPr>
          <w:i/>
          <w:iCs/>
        </w:rPr>
        <w:t>Деятельность</w:t>
      </w:r>
      <w:r w:rsidRPr="00D320B5">
        <w:t>: перевод видеофильма о применении Конвенции на национальные языки стран-бенефициаров в целях повышения информированности и содействия применению Конвенции в этих странах.</w:t>
      </w:r>
    </w:p>
    <w:p w14:paraId="23082CE7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Ответственный(е) орган(ы)</w:t>
      </w:r>
      <w:r w:rsidRPr="00D320B5">
        <w:t>: деятельность координируется секретариатом при поддержке консультантов в сотрудничестве со странами-бенефициарами.</w:t>
      </w:r>
    </w:p>
    <w:p w14:paraId="0BAF5CFC" w14:textId="63ACD9C9" w:rsidR="00D320B5" w:rsidRPr="00D320B5" w:rsidRDefault="00D320B5" w:rsidP="00D320B5">
      <w:pPr>
        <w:pStyle w:val="SingleTxtG"/>
        <w:rPr>
          <w:i/>
          <w:iCs/>
        </w:rPr>
      </w:pPr>
      <w:r w:rsidRPr="00B5275A">
        <w:rPr>
          <w:i/>
          <w:iCs/>
        </w:rPr>
        <w:t>Потребности в ресурсах</w:t>
      </w:r>
      <w:r w:rsidRPr="00D320B5">
        <w:t>: финансирование из средств программы «EU4Environment» в интересах целевых стран программы (Армении, Азербайджана, Беларуси, Грузии, Республики Молдова и Украины)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 Другие заинтересованные Стороны могут по своему усмотрению предоставить финансирование для перевода видеофильма на свои национальные языки.</w:t>
      </w:r>
    </w:p>
    <w:p w14:paraId="618EE977" w14:textId="77777777" w:rsidR="00D320B5" w:rsidRPr="00D320B5" w:rsidRDefault="00D320B5" w:rsidP="00E91EE2">
      <w:pPr>
        <w:pStyle w:val="H23G"/>
      </w:pPr>
      <w:r w:rsidRPr="00D320B5">
        <w:tab/>
        <w:t>8.</w:t>
      </w:r>
      <w:r w:rsidRPr="00D320B5">
        <w:tab/>
        <w:t xml:space="preserve">Подготовка «FasTips» </w:t>
      </w:r>
      <w:bookmarkStart w:id="83" w:name="_Hlk36027098"/>
    </w:p>
    <w:bookmarkEnd w:id="83"/>
    <w:p w14:paraId="429F63BB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Деятельность</w:t>
      </w:r>
      <w:r w:rsidRPr="00D320B5">
        <w:t>: подготовка двухстраничных неофициальных брошюр («FasTips») по ключевым вопросам, касающимся практики проведения стратегической экологической оценки (по предложенным темам).</w:t>
      </w:r>
    </w:p>
    <w:p w14:paraId="77C1CD2E" w14:textId="77777777" w:rsidR="00D320B5" w:rsidRPr="00D320B5" w:rsidRDefault="00D320B5" w:rsidP="00D320B5">
      <w:pPr>
        <w:pStyle w:val="SingleTxtG"/>
      </w:pPr>
      <w:r w:rsidRPr="00D320B5">
        <w:rPr>
          <w:i/>
          <w:iCs/>
        </w:rPr>
        <w:t>Ответственный(ые) орган(ы)</w:t>
      </w:r>
      <w:r w:rsidRPr="00D54568">
        <w:t xml:space="preserve">: </w:t>
      </w:r>
      <w:r w:rsidRPr="00D320B5">
        <w:t>Международная ассоциация по оценке воздействия.</w:t>
      </w:r>
    </w:p>
    <w:p w14:paraId="18098411" w14:textId="71F70006" w:rsidR="00D320B5" w:rsidRDefault="00D320B5" w:rsidP="00D320B5">
      <w:pPr>
        <w:pStyle w:val="SingleTxtG"/>
      </w:pPr>
      <w:r w:rsidRPr="00755299">
        <w:rPr>
          <w:i/>
          <w:iCs/>
        </w:rPr>
        <w:t>Потребности в ресурсах</w:t>
      </w:r>
      <w:r w:rsidRPr="00D320B5">
        <w:t>: взносы в натуральной форме.</w:t>
      </w:r>
    </w:p>
    <w:p w14:paraId="7F3391A6" w14:textId="77777777" w:rsidR="00D320B5" w:rsidRDefault="00D320B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704AD86" w14:textId="77777777" w:rsidR="00D320B5" w:rsidRPr="0092432D" w:rsidRDefault="00D320B5" w:rsidP="00D320B5">
      <w:pPr>
        <w:pStyle w:val="HChG"/>
      </w:pPr>
      <w:r>
        <w:rPr>
          <w:bCs/>
        </w:rPr>
        <w:lastRenderedPageBreak/>
        <w:t>Приложение II</w:t>
      </w:r>
    </w:p>
    <w:p w14:paraId="4981C63F" w14:textId="77777777" w:rsidR="00D320B5" w:rsidRPr="0092432D" w:rsidRDefault="00D320B5" w:rsidP="00D320B5">
      <w:pPr>
        <w:pStyle w:val="HChG"/>
      </w:pPr>
      <w:bookmarkStart w:id="84" w:name="_Hlk34047917"/>
      <w:r>
        <w:tab/>
      </w:r>
      <w:r>
        <w:tab/>
      </w:r>
      <w:r>
        <w:rPr>
          <w:bCs/>
        </w:rPr>
        <w:t>Потребности в ресурсах для осуществления плана работы на 2021–2023 годы</w:t>
      </w:r>
      <w:bookmarkEnd w:id="84"/>
    </w:p>
    <w:p w14:paraId="7F955D28" w14:textId="7B4EC126" w:rsidR="00D320B5" w:rsidRPr="00561F6B" w:rsidRDefault="00E91EE2" w:rsidP="00E91EE2">
      <w:pPr>
        <w:pStyle w:val="H23G"/>
        <w:rPr>
          <w:bCs/>
        </w:rPr>
      </w:pPr>
      <w:r>
        <w:tab/>
      </w:r>
      <w:r>
        <w:tab/>
      </w:r>
      <w:r w:rsidR="00D320B5" w:rsidRPr="00E91EE2">
        <w:rPr>
          <w:b w:val="0"/>
          <w:bCs/>
        </w:rPr>
        <w:t>Таблица 1</w:t>
      </w:r>
      <w:r>
        <w:br/>
      </w:r>
      <w:r w:rsidR="00D320B5" w:rsidRPr="00561F6B">
        <w:rPr>
          <w:bCs/>
        </w:rPr>
        <w:t xml:space="preserve">Потребности в ресурсах на 2021–2023 годы 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419"/>
        <w:gridCol w:w="1239"/>
        <w:gridCol w:w="848"/>
        <w:gridCol w:w="747"/>
      </w:tblGrid>
      <w:tr w:rsidR="00F60675" w:rsidRPr="00F60675" w14:paraId="04E96AD4" w14:textId="77777777" w:rsidTr="00F60675">
        <w:trPr>
          <w:cantSplit/>
          <w:trHeight w:val="1998"/>
          <w:tblHeader/>
        </w:trPr>
        <w:tc>
          <w:tcPr>
            <w:tcW w:w="225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23B5C1" w14:textId="77777777" w:rsidR="00F60675" w:rsidRPr="00F60675" w:rsidRDefault="00F60675" w:rsidP="00F60675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bookmarkStart w:id="85" w:name="_Hlk32164981"/>
            <w:r w:rsidRPr="00F60675">
              <w:rPr>
                <w:i/>
                <w:sz w:val="16"/>
              </w:rPr>
              <w:t>Область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06816" w14:textId="2BC8C783" w:rsidR="00F60675" w:rsidRPr="00F60675" w:rsidRDefault="00F60675" w:rsidP="00F60675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F60675">
              <w:rPr>
                <w:i/>
                <w:sz w:val="16"/>
              </w:rPr>
              <w:t>Деятельность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A5C598" w14:textId="77777777" w:rsidR="00F60675" w:rsidRPr="00F60675" w:rsidRDefault="00F60675" w:rsidP="00755299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60675">
              <w:rPr>
                <w:i/>
                <w:sz w:val="16"/>
              </w:rPr>
              <w:t>Внебюджетные финансовые ресурсы (наличными и натурой в долл. США)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9A3B80" w14:textId="11A06A8A" w:rsidR="00F60675" w:rsidRPr="00F60675" w:rsidRDefault="00F60675" w:rsidP="00755299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60675">
              <w:rPr>
                <w:i/>
                <w:sz w:val="16"/>
              </w:rPr>
              <w:t xml:space="preserve">Людские ресурсы, </w:t>
            </w:r>
            <w:r>
              <w:rPr>
                <w:i/>
                <w:sz w:val="16"/>
              </w:rPr>
              <w:br/>
            </w:r>
            <w:r w:rsidRPr="00F60675">
              <w:rPr>
                <w:i/>
                <w:sz w:val="16"/>
              </w:rPr>
              <w:t>финансируемые из РБ/ВБР в интересах поддержки планируемой деятельности (в виде человеко-месяцев работы</w:t>
            </w:r>
            <w:r>
              <w:rPr>
                <w:i/>
                <w:sz w:val="16"/>
              </w:rPr>
              <w:t xml:space="preserve"> </w:t>
            </w:r>
            <w:r w:rsidRPr="00F60675">
              <w:rPr>
                <w:i/>
                <w:sz w:val="16"/>
              </w:rPr>
              <w:t>сотрудников секретариата категорий С и ОО)</w:t>
            </w:r>
          </w:p>
        </w:tc>
      </w:tr>
      <w:tr w:rsidR="00D320B5" w:rsidRPr="00F60675" w14:paraId="7BA7B9C5" w14:textId="77777777" w:rsidTr="00F60675">
        <w:trPr>
          <w:cantSplit/>
          <w:trHeight w:val="38"/>
          <w:tblHeader/>
        </w:trPr>
        <w:tc>
          <w:tcPr>
            <w:tcW w:w="22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3FF8BD" w14:textId="77777777" w:rsidR="00D320B5" w:rsidRPr="00F60675" w:rsidRDefault="00D320B5" w:rsidP="00F60675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34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36439B" w14:textId="77777777" w:rsidR="00D320B5" w:rsidRPr="00F60675" w:rsidRDefault="00D320B5" w:rsidP="00F60675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1CC35BA" w14:textId="77777777" w:rsidR="00D320B5" w:rsidRPr="00F60675" w:rsidRDefault="00D320B5" w:rsidP="00F60675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35DEB0" w14:textId="77777777" w:rsidR="00D320B5" w:rsidRPr="00F60675" w:rsidRDefault="00D320B5" w:rsidP="00F60675">
            <w:pPr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F60675">
              <w:rPr>
                <w:i/>
                <w:sz w:val="16"/>
              </w:rPr>
              <w:t>С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ACCFAC" w14:textId="77777777" w:rsidR="00D320B5" w:rsidRPr="00F60675" w:rsidRDefault="00D320B5" w:rsidP="00F60675">
            <w:pPr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F60675">
              <w:rPr>
                <w:i/>
                <w:sz w:val="16"/>
              </w:rPr>
              <w:t>ОО</w:t>
            </w:r>
          </w:p>
        </w:tc>
      </w:tr>
      <w:tr w:rsidR="00D320B5" w:rsidRPr="00764902" w14:paraId="4DB127D7" w14:textId="77777777" w:rsidTr="00F60675">
        <w:trPr>
          <w:cantSplit/>
          <w:trHeight w:val="70"/>
        </w:trPr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8EB4EC" w14:textId="77777777" w:rsidR="00D320B5" w:rsidRPr="00764902" w:rsidRDefault="00D320B5" w:rsidP="00F60675">
            <w:pPr>
              <w:spacing w:line="14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</w:tcPr>
          <w:p w14:paraId="39BFB367" w14:textId="77777777" w:rsidR="00D320B5" w:rsidRPr="00764902" w:rsidRDefault="00D320B5" w:rsidP="00F60675">
            <w:pPr>
              <w:spacing w:line="14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</w:tcPr>
          <w:p w14:paraId="0A523F07" w14:textId="77777777" w:rsidR="00D320B5" w:rsidRPr="00764902" w:rsidRDefault="00D320B5" w:rsidP="00F60675">
            <w:pPr>
              <w:spacing w:line="14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</w:tcPr>
          <w:p w14:paraId="1048A366" w14:textId="77777777" w:rsidR="00D320B5" w:rsidRPr="00764902" w:rsidRDefault="00D320B5" w:rsidP="00F60675">
            <w:pPr>
              <w:spacing w:line="14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44B7DB2A" w14:textId="77777777" w:rsidTr="00F60675">
        <w:trPr>
          <w:cantSplit/>
        </w:trPr>
        <w:tc>
          <w:tcPr>
            <w:tcW w:w="6909" w:type="dxa"/>
            <w:gridSpan w:val="3"/>
            <w:shd w:val="clear" w:color="auto" w:fill="auto"/>
          </w:tcPr>
          <w:p w14:paraId="20524E41" w14:textId="4D8500FF" w:rsidR="00D320B5" w:rsidRPr="00764902" w:rsidRDefault="00D320B5" w:rsidP="00764902">
            <w:pPr>
              <w:tabs>
                <w:tab w:val="left" w:pos="309"/>
              </w:tabs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I.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ab/>
              <w:t xml:space="preserve">Управление, координация и информационное освещение деятельности </w:t>
            </w:r>
            <w:r w:rsidR="00697356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в межсессионный период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1090E3B7" w14:textId="45EFC59B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29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17C9DA1" w14:textId="3C5C8305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15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D320B5" w:rsidRPr="00764902" w14:paraId="5BB148A9" w14:textId="77777777" w:rsidTr="00F60675">
        <w:trPr>
          <w:cantSplit/>
        </w:trPr>
        <w:tc>
          <w:tcPr>
            <w:tcW w:w="2251" w:type="dxa"/>
            <w:vMerge w:val="restart"/>
            <w:shd w:val="clear" w:color="auto" w:fill="auto"/>
          </w:tcPr>
          <w:p w14:paraId="5C5FC481" w14:textId="63AB1F9D" w:rsidR="00D320B5" w:rsidRPr="00764902" w:rsidRDefault="00D320B5" w:rsidP="00764902">
            <w:pPr>
              <w:tabs>
                <w:tab w:val="left" w:pos="309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 xml:space="preserve">A. </w:t>
            </w:r>
            <w:r w:rsidR="00764902">
              <w:rPr>
                <w:rFonts w:cs="Times New Roman"/>
                <w:b/>
                <w:bCs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Организация совещаний</w:t>
            </w:r>
          </w:p>
        </w:tc>
        <w:tc>
          <w:tcPr>
            <w:tcW w:w="3419" w:type="dxa"/>
            <w:shd w:val="clear" w:color="auto" w:fill="auto"/>
          </w:tcPr>
          <w:p w14:paraId="6102786E" w14:textId="40F86FC6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 xml:space="preserve">Основная и административная подготовка, обслуживание и последующие меры в связи с совещаниями Президиума, Рабочей группы и </w:t>
            </w:r>
            <w:r w:rsidR="00B4592D">
              <w:rPr>
                <w:rFonts w:cs="Times New Roman"/>
                <w:sz w:val="18"/>
                <w:szCs w:val="18"/>
              </w:rPr>
              <w:t>с</w:t>
            </w:r>
            <w:r w:rsidRPr="00764902">
              <w:rPr>
                <w:rFonts w:cs="Times New Roman"/>
                <w:sz w:val="18"/>
                <w:szCs w:val="18"/>
              </w:rPr>
              <w:t>овещаний Сторон</w:t>
            </w:r>
          </w:p>
        </w:tc>
        <w:tc>
          <w:tcPr>
            <w:tcW w:w="1239" w:type="dxa"/>
            <w:shd w:val="clear" w:color="auto" w:fill="auto"/>
          </w:tcPr>
          <w:p w14:paraId="36D2FF8F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57A2E47E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1F24A3EC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19597673" w14:textId="77777777" w:rsidTr="00F60675">
        <w:trPr>
          <w:cantSplit/>
        </w:trPr>
        <w:tc>
          <w:tcPr>
            <w:tcW w:w="2251" w:type="dxa"/>
            <w:vMerge/>
            <w:shd w:val="clear" w:color="auto" w:fill="auto"/>
          </w:tcPr>
          <w:p w14:paraId="3B3D5084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3A46989E" w14:textId="6A325FA5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Совещания Президиума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(смета 4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совещаний): покрытие путевых расходов экспертов, имеющих право на финансирование (смета на 2 экспертов/</w:t>
            </w:r>
            <w:r w:rsidR="00764902">
              <w:rPr>
                <w:rFonts w:cs="Times New Roman"/>
                <w:sz w:val="18"/>
                <w:szCs w:val="18"/>
              </w:rPr>
              <w:br/>
            </w:r>
            <w:r w:rsidRPr="00764902">
              <w:rPr>
                <w:rFonts w:cs="Times New Roman"/>
                <w:sz w:val="18"/>
                <w:szCs w:val="18"/>
              </w:rPr>
              <w:t xml:space="preserve">6 000 долл. США на </w:t>
            </w:r>
            <w:r w:rsidR="00755299">
              <w:rPr>
                <w:rFonts w:cs="Times New Roman"/>
                <w:sz w:val="18"/>
                <w:szCs w:val="18"/>
              </w:rPr>
              <w:t>двух</w:t>
            </w:r>
            <w:r w:rsidRPr="00764902">
              <w:rPr>
                <w:rFonts w:cs="Times New Roman"/>
                <w:sz w:val="18"/>
                <w:szCs w:val="18"/>
              </w:rPr>
              <w:t>дневное совещание)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159B5DF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12 000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29A30900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6E9D086F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60EF58F0" w14:textId="77777777" w:rsidTr="00F60675">
        <w:trPr>
          <w:cantSplit/>
        </w:trPr>
        <w:tc>
          <w:tcPr>
            <w:tcW w:w="2251" w:type="dxa"/>
            <w:vMerge/>
            <w:shd w:val="clear" w:color="auto" w:fill="auto"/>
          </w:tcPr>
          <w:p w14:paraId="1821D174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646D010A" w14:textId="0566304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Совещания Рабочей группы (3):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покрытие путевых расходов примерно 20 экспертов/</w:t>
            </w:r>
            <w:r w:rsidR="00764902">
              <w:rPr>
                <w:rFonts w:cs="Times New Roman"/>
                <w:sz w:val="18"/>
                <w:szCs w:val="18"/>
              </w:rPr>
              <w:br/>
            </w:r>
            <w:r w:rsidRPr="00764902">
              <w:rPr>
                <w:rFonts w:cs="Times New Roman"/>
                <w:sz w:val="18"/>
                <w:szCs w:val="18"/>
              </w:rPr>
              <w:t>совещание: 14 экспертов из имеющих право на финансирование стран ЕЭК (макс. 20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000 долл. США); 5 экспертов от НПО (макс. 10 000 долл. США); 1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 xml:space="preserve">эксперт от стран, не являющихся членами ЕЭК (макс. 3 000 долл. США) — при условии наличия финансирования и утверждения Президиумом) 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4CDDBC9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100 000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2875913A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4151246E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4F6F0A83" w14:textId="77777777" w:rsidTr="00F60675">
        <w:trPr>
          <w:cantSplit/>
        </w:trPr>
        <w:tc>
          <w:tcPr>
            <w:tcW w:w="2251" w:type="dxa"/>
            <w:vMerge/>
            <w:shd w:val="clear" w:color="auto" w:fill="auto"/>
          </w:tcPr>
          <w:p w14:paraId="5933EC3E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37FAE66F" w14:textId="0995F5A3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 xml:space="preserve">Сессии </w:t>
            </w:r>
            <w:r w:rsidR="00B4592D">
              <w:rPr>
                <w:rFonts w:cs="Times New Roman"/>
                <w:sz w:val="18"/>
                <w:szCs w:val="18"/>
              </w:rPr>
              <w:t>с</w:t>
            </w:r>
            <w:r w:rsidRPr="00764902">
              <w:rPr>
                <w:rFonts w:cs="Times New Roman"/>
                <w:sz w:val="18"/>
                <w:szCs w:val="18"/>
              </w:rPr>
              <w:t>овещаний Сторон (в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2023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году): покрытие путевых расходов примерно 37 экспертов: 22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экспертов из имеющих право на финансирование стран ЕЭК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(макс. 30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000 долл. США); 10 экспертов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от НПО (макс. 20 000 долл. США); 5</w:t>
            </w:r>
            <w:r w:rsidR="00F60675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 xml:space="preserve">экспертов из стран, не являющихся членами ЕЭК (макс. 15 000 долл. США); </w:t>
            </w:r>
            <w:r w:rsidR="00764902">
              <w:rPr>
                <w:rFonts w:cs="Times New Roman"/>
                <w:sz w:val="18"/>
                <w:szCs w:val="18"/>
              </w:rPr>
              <w:br/>
            </w:r>
            <w:r w:rsidRPr="00764902">
              <w:rPr>
                <w:rFonts w:cs="Times New Roman"/>
                <w:sz w:val="18"/>
                <w:szCs w:val="18"/>
              </w:rPr>
              <w:t>5 докладчиков (макс. 15 000 долл. США)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2F66F6FC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80 000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1C1DE00A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4128A5D7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159161E3" w14:textId="77777777" w:rsidTr="00F60675">
        <w:trPr>
          <w:cantSplit/>
        </w:trPr>
        <w:tc>
          <w:tcPr>
            <w:tcW w:w="2251" w:type="dxa"/>
            <w:vMerge w:val="restart"/>
            <w:shd w:val="clear" w:color="auto" w:fill="auto"/>
          </w:tcPr>
          <w:p w14:paraId="71F32285" w14:textId="6CF42764" w:rsidR="00D320B5" w:rsidRPr="00764902" w:rsidRDefault="00D320B5" w:rsidP="00764902">
            <w:pPr>
              <w:tabs>
                <w:tab w:val="left" w:pos="287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bookmarkStart w:id="86" w:name="_Hlk423232"/>
            <w:r w:rsidRPr="00764902">
              <w:rPr>
                <w:rFonts w:cs="Times New Roman"/>
                <w:b/>
                <w:bCs/>
                <w:sz w:val="18"/>
                <w:szCs w:val="18"/>
              </w:rPr>
              <w:t>B.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Коммуникация, информационное освещение, координация</w:t>
            </w:r>
          </w:p>
        </w:tc>
        <w:tc>
          <w:tcPr>
            <w:tcW w:w="3419" w:type="dxa"/>
            <w:shd w:val="clear" w:color="auto" w:fill="auto"/>
          </w:tcPr>
          <w:p w14:paraId="17804DD7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 xml:space="preserve">Поездки сотрудников секретариата в рамках осуществления плана работы и также информационно-координационные мероприятия (примерно 8 поездок в год) 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036FEF5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40 000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48DFCC47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4CACA060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0E0490C7" w14:textId="77777777" w:rsidTr="00F60675">
        <w:trPr>
          <w:cantSplit/>
        </w:trPr>
        <w:tc>
          <w:tcPr>
            <w:tcW w:w="2251" w:type="dxa"/>
            <w:vMerge/>
            <w:shd w:val="clear" w:color="auto" w:fill="auto"/>
          </w:tcPr>
          <w:p w14:paraId="0565013C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0EECFE04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Консультационная поддержка и информационно-пропагандистские материалы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4D9A12B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1C08AD90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13F736F8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4979E4F5" w14:textId="77777777" w:rsidTr="00F60675">
        <w:trPr>
          <w:cantSplit/>
        </w:trPr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6032DD1C" w14:textId="25EF26CA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lastRenderedPageBreak/>
              <w:t>C.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Общее управление программами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1A596B91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 xml:space="preserve">Управление финансовыми и людскими ресурсами и другие функции, связанные с общим планированием и управлением программами, административные мероприятия и отчетность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805ED5" w14:textId="2D091F4D" w:rsidR="00D320B5" w:rsidRPr="00764902" w:rsidRDefault="00764902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30452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989D8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434002C3" w14:textId="77777777" w:rsidTr="00F60675">
        <w:trPr>
          <w:cantSplit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15B66" w14:textId="77777777" w:rsidR="00D320B5" w:rsidRPr="00764902" w:rsidRDefault="00D320B5" w:rsidP="00F60675">
            <w:pPr>
              <w:spacing w:before="80" w:after="80" w:line="220" w:lineRule="exact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5470" w14:textId="77777777" w:rsidR="00D320B5" w:rsidRPr="00764902" w:rsidRDefault="00D320B5" w:rsidP="00F60675">
            <w:pPr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0143E" w14:textId="77777777" w:rsidR="00D320B5" w:rsidRPr="00764902" w:rsidRDefault="00D320B5" w:rsidP="00F60675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sz w:val="18"/>
                <w:szCs w:val="18"/>
              </w:rPr>
              <w:t>242 000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57A46" w14:textId="77777777" w:rsidR="00D320B5" w:rsidRPr="00764902" w:rsidRDefault="00D320B5" w:rsidP="00F60675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8A8C" w14:textId="77777777" w:rsidR="00D320B5" w:rsidRPr="00764902" w:rsidRDefault="00D320B5" w:rsidP="00F60675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bookmarkEnd w:id="86"/>
      <w:tr w:rsidR="00D320B5" w:rsidRPr="00764902" w14:paraId="5F721D44" w14:textId="77777777" w:rsidTr="00F60675">
        <w:trPr>
          <w:cantSplit/>
        </w:trPr>
        <w:tc>
          <w:tcPr>
            <w:tcW w:w="69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6D958" w14:textId="77777777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II.</w:t>
            </w:r>
            <w:r w:rsidRP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Соблюдение и осуществление Конвенции и Протокола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BCCB07" w14:textId="5F3270B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26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59F03" w14:textId="7FCA098D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10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D320B5" w:rsidRPr="00764902" w14:paraId="2DFB91FC" w14:textId="77777777" w:rsidTr="00F60675">
        <w:trPr>
          <w:cantSplit/>
        </w:trPr>
        <w:tc>
          <w:tcPr>
            <w:tcW w:w="2251" w:type="dxa"/>
            <w:shd w:val="clear" w:color="auto" w:fill="auto"/>
          </w:tcPr>
          <w:p w14:paraId="37D9981D" w14:textId="2481226A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A.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Рассмотрение соблюдения</w:t>
            </w:r>
          </w:p>
        </w:tc>
        <w:tc>
          <w:tcPr>
            <w:tcW w:w="3419" w:type="dxa"/>
            <w:shd w:val="clear" w:color="auto" w:fill="auto"/>
          </w:tcPr>
          <w:p w14:paraId="31AD6548" w14:textId="2EC218A9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Сессии Комитета по осуществлению (9 сессий): покрытие путевых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расходов экспертов, имеющих право на финансирование (смета на 2</w:t>
            </w:r>
            <w:r w:rsidR="009E1ADF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 xml:space="preserve">экспертов/ макс. 6 000 долл. США на </w:t>
            </w:r>
            <w:r w:rsidR="00755299">
              <w:rPr>
                <w:rFonts w:cs="Times New Roman"/>
                <w:sz w:val="18"/>
                <w:szCs w:val="18"/>
              </w:rPr>
              <w:t>четырех</w:t>
            </w:r>
            <w:r w:rsidRPr="00764902">
              <w:rPr>
                <w:rFonts w:cs="Times New Roman"/>
                <w:sz w:val="18"/>
                <w:szCs w:val="18"/>
              </w:rPr>
              <w:t>дневную сессию)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4133F57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27 000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5171D1AF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168601B1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381967CB" w14:textId="77777777" w:rsidTr="00F60675">
        <w:trPr>
          <w:cantSplit/>
        </w:trPr>
        <w:tc>
          <w:tcPr>
            <w:tcW w:w="2251" w:type="dxa"/>
            <w:shd w:val="clear" w:color="auto" w:fill="auto"/>
          </w:tcPr>
          <w:p w14:paraId="271C2A3E" w14:textId="4B955489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B.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Представление отчетности и обзор осуществления</w:t>
            </w:r>
          </w:p>
        </w:tc>
        <w:tc>
          <w:tcPr>
            <w:tcW w:w="3419" w:type="dxa"/>
            <w:shd w:val="clear" w:color="auto" w:fill="auto"/>
          </w:tcPr>
          <w:p w14:paraId="7E8D611D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Подготовка проектов обзоров осуществления Конвенции и Протокола: расходы на услуги консультантов и перевод национальных докладов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0D39883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25 000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208EA08D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1AB1F53A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06FD176E" w14:textId="77777777" w:rsidTr="00F60675">
        <w:trPr>
          <w:cantSplit/>
        </w:trPr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41AFB9A7" w14:textId="3AD8F26C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C.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Предоставление помощи в области законодательства</w:t>
            </w:r>
            <w:r w:rsidRPr="0076490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0D720C85" w14:textId="6738DE30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Помощь в разработке правовых документов и повышении уровня информированности стран Центральной Азии по пункту 1</w:t>
            </w:r>
            <w:r w:rsidR="00755299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d) (см.</w:t>
            </w:r>
            <w:r w:rsidR="009E1ADF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таблицу 3 ниже в отношении имеющегося проектного финансирования по пунктам 1 a)</w:t>
            </w:r>
            <w:r w:rsidR="009E1ADF" w:rsidRPr="00764902">
              <w:rPr>
                <w:rFonts w:cs="Times New Roman"/>
                <w:sz w:val="18"/>
                <w:szCs w:val="18"/>
              </w:rPr>
              <w:t>–</w:t>
            </w:r>
            <w:r w:rsidRPr="00764902">
              <w:rPr>
                <w:rFonts w:cs="Times New Roman"/>
                <w:sz w:val="18"/>
                <w:szCs w:val="18"/>
              </w:rPr>
              <w:t>c))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6FD6A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68 000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4C712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59EE3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1EEE4DD0" w14:textId="77777777" w:rsidTr="00F60675">
        <w:trPr>
          <w:cantSplit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87A79" w14:textId="77777777" w:rsidR="00D320B5" w:rsidRPr="00764902" w:rsidRDefault="00D320B5" w:rsidP="00F60675">
            <w:pPr>
              <w:spacing w:before="80" w:after="80" w:line="220" w:lineRule="exact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F3E6B" w14:textId="77777777" w:rsidR="00D320B5" w:rsidRPr="00764902" w:rsidRDefault="00D320B5" w:rsidP="00F60675">
            <w:pPr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0A5F58" w14:textId="77777777" w:rsidR="00D320B5" w:rsidRPr="00764902" w:rsidRDefault="00D320B5" w:rsidP="00F60675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sz w:val="18"/>
                <w:szCs w:val="18"/>
              </w:rPr>
              <w:t>120 000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88FF5" w14:textId="77777777" w:rsidR="00D320B5" w:rsidRPr="00764902" w:rsidRDefault="00D320B5" w:rsidP="00F60675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76D71" w14:textId="77777777" w:rsidR="00D320B5" w:rsidRPr="00764902" w:rsidRDefault="00D320B5" w:rsidP="00F60675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320B5" w:rsidRPr="00764902" w14:paraId="68737EF2" w14:textId="77777777" w:rsidTr="00F60675">
        <w:trPr>
          <w:cantSplit/>
        </w:trPr>
        <w:tc>
          <w:tcPr>
            <w:tcW w:w="69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2BDC29" w14:textId="2FD8ED3B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left="-5" w:right="113" w:firstLine="5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III.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Содействие практическому применению Конвенции и Протокола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28A9E232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14:paraId="18574EB7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27922300" w14:textId="77777777" w:rsidTr="00F60675">
        <w:trPr>
          <w:cantSplit/>
        </w:trPr>
        <w:tc>
          <w:tcPr>
            <w:tcW w:w="6909" w:type="dxa"/>
            <w:gridSpan w:val="3"/>
            <w:shd w:val="clear" w:color="auto" w:fill="auto"/>
          </w:tcPr>
          <w:p w14:paraId="31D9FA28" w14:textId="3D0EF390" w:rsidR="00D320B5" w:rsidRPr="00764902" w:rsidRDefault="00D320B5" w:rsidP="00764902">
            <w:pPr>
              <w:tabs>
                <w:tab w:val="left" w:pos="429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 xml:space="preserve">A. </w:t>
            </w:r>
            <w:r w:rsidR="00764902">
              <w:rPr>
                <w:rFonts w:cs="Times New Roman"/>
                <w:b/>
                <w:bCs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Субрегиональное сотрудничество и укрепление потенциала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125EAE1F" w14:textId="3B64A424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554A89B7" w14:textId="73145C68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D320B5" w:rsidRPr="00764902" w14:paraId="5982D3EE" w14:textId="77777777" w:rsidTr="00F60675">
        <w:trPr>
          <w:cantSplit/>
        </w:trPr>
        <w:tc>
          <w:tcPr>
            <w:tcW w:w="2251" w:type="dxa"/>
            <w:shd w:val="clear" w:color="auto" w:fill="auto"/>
          </w:tcPr>
          <w:p w14:paraId="2C557198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64F3AFB4" w14:textId="30285F7D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Субрегион Балтийского моря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(взносы в натуральной форме, будут подтверждены позднее)</w:t>
            </w:r>
          </w:p>
        </w:tc>
        <w:tc>
          <w:tcPr>
            <w:tcW w:w="1239" w:type="dxa"/>
            <w:shd w:val="clear" w:color="auto" w:fill="auto"/>
          </w:tcPr>
          <w:p w14:paraId="73A88446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22E7633F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21D73E6E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320B5" w:rsidRPr="00764902" w14:paraId="3DB0476E" w14:textId="77777777" w:rsidTr="00F60675">
        <w:trPr>
          <w:cantSplit/>
        </w:trPr>
        <w:tc>
          <w:tcPr>
            <w:tcW w:w="2251" w:type="dxa"/>
            <w:shd w:val="clear" w:color="auto" w:fill="auto"/>
          </w:tcPr>
          <w:p w14:paraId="0B0946BA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7DEB0B4F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Восточная Европа, Кавказ и Центральная Азия (имеющееся проектное финансирование см. в таблице 3 ниже)</w:t>
            </w:r>
          </w:p>
        </w:tc>
        <w:tc>
          <w:tcPr>
            <w:tcW w:w="1239" w:type="dxa"/>
            <w:shd w:val="clear" w:color="auto" w:fill="auto"/>
          </w:tcPr>
          <w:p w14:paraId="08DEDB81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68978EF2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1953C4C4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320B5" w:rsidRPr="00764902" w14:paraId="0F96EA2D" w14:textId="77777777" w:rsidTr="009E1ADF">
        <w:trPr>
          <w:cantSplit/>
        </w:trPr>
        <w:tc>
          <w:tcPr>
            <w:tcW w:w="2251" w:type="dxa"/>
            <w:shd w:val="clear" w:color="auto" w:fill="auto"/>
          </w:tcPr>
          <w:p w14:paraId="2EB11197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7AF188D5" w14:textId="77777777" w:rsidR="00AB6E36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Ресурсы для компенсации путевых расходов примерно 10 экспертов из Центральной Азии для участия в субрегиональной конференции (будут определены позднее)</w:t>
            </w:r>
          </w:p>
          <w:p w14:paraId="28B66E72" w14:textId="5EDA6214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Организация не более одного (виртуального) технического совещания в год и определение/разработка возможных оперативных мер и/или проектов. Разработка технико-экономического обоснования и итоговый доклад</w:t>
            </w:r>
          </w:p>
          <w:p w14:paraId="1AACD0C9" w14:textId="309BF423" w:rsidR="00D320B5" w:rsidRPr="00764902" w:rsidRDefault="00D320B5" w:rsidP="009E1ADF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  <w:lang w:eastAsia="fr-CH"/>
              </w:rPr>
            </w:pPr>
            <w:r w:rsidRPr="00764902">
              <w:rPr>
                <w:rFonts w:cs="Times New Roman"/>
                <w:sz w:val="18"/>
                <w:szCs w:val="18"/>
              </w:rPr>
              <w:t>(Гонорары консультантов и другие оперативные расходы, финансируемые Италией. Могут дополняться взносами любых других заинтересованных сторон)</w:t>
            </w:r>
          </w:p>
        </w:tc>
        <w:tc>
          <w:tcPr>
            <w:tcW w:w="1239" w:type="dxa"/>
            <w:shd w:val="clear" w:color="auto" w:fill="auto"/>
          </w:tcPr>
          <w:p w14:paraId="4641D222" w14:textId="77777777" w:rsidR="009E1ADF" w:rsidRPr="00764902" w:rsidRDefault="009E1ADF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  <w:p w14:paraId="0C33FED8" w14:textId="77777777" w:rsidR="009E1ADF" w:rsidRPr="00764902" w:rsidRDefault="009E1ADF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  <w:p w14:paraId="181866FF" w14:textId="07B05C02" w:rsidR="009E1ADF" w:rsidRPr="00764902" w:rsidRDefault="00764902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br/>
            </w:r>
          </w:p>
          <w:p w14:paraId="3E3D2067" w14:textId="0E276348" w:rsidR="00AB6E36" w:rsidRPr="00764902" w:rsidRDefault="00D320B5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20</w:t>
            </w:r>
            <w:r w:rsidR="009E1ADF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000</w:t>
            </w:r>
          </w:p>
          <w:p w14:paraId="7D5DD8B9" w14:textId="771F70B4" w:rsidR="009E1ADF" w:rsidRPr="00764902" w:rsidRDefault="009E1ADF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  <w:p w14:paraId="0C33A15B" w14:textId="33C1CC31" w:rsidR="009E1ADF" w:rsidRPr="00764902" w:rsidRDefault="009E1ADF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  <w:p w14:paraId="650A376D" w14:textId="53FD41BD" w:rsidR="009E1ADF" w:rsidRPr="00764902" w:rsidRDefault="009E1ADF" w:rsidP="009E1ADF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  <w:p w14:paraId="7A4D9FE2" w14:textId="14237DC0" w:rsidR="00D320B5" w:rsidRPr="00764902" w:rsidRDefault="00764902" w:rsidP="00764902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br/>
            </w:r>
            <w:r w:rsidR="00D320B5" w:rsidRPr="00764902">
              <w:rPr>
                <w:rFonts w:cs="Times New Roman"/>
                <w:sz w:val="18"/>
                <w:szCs w:val="18"/>
              </w:rPr>
              <w:t>140 000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0EFB9B03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657689F2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D320B5" w:rsidRPr="00764902" w14:paraId="70925ECB" w14:textId="77777777" w:rsidTr="00F60675">
        <w:trPr>
          <w:cantSplit/>
        </w:trPr>
        <w:tc>
          <w:tcPr>
            <w:tcW w:w="6909" w:type="dxa"/>
            <w:gridSpan w:val="3"/>
            <w:shd w:val="clear" w:color="auto" w:fill="auto"/>
          </w:tcPr>
          <w:p w14:paraId="2BA26AFC" w14:textId="77777777" w:rsidR="00D320B5" w:rsidRPr="00764902" w:rsidRDefault="00D320B5" w:rsidP="00764902">
            <w:pPr>
              <w:tabs>
                <w:tab w:val="left" w:pos="401"/>
              </w:tabs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lastRenderedPageBreak/>
              <w:t>B.</w:t>
            </w:r>
            <w:r w:rsidRPr="00764902">
              <w:rPr>
                <w:rFonts w:cs="Times New Roman"/>
                <w:sz w:val="18"/>
                <w:szCs w:val="18"/>
              </w:rPr>
              <w:tab/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Обмен информацией о надлежащей практике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10EF0696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CDC7572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D320B5" w:rsidRPr="00764902" w14:paraId="275CAF4D" w14:textId="77777777" w:rsidTr="00F60675">
        <w:trPr>
          <w:cantSplit/>
        </w:trPr>
        <w:tc>
          <w:tcPr>
            <w:tcW w:w="2251" w:type="dxa"/>
            <w:shd w:val="clear" w:color="auto" w:fill="auto"/>
          </w:tcPr>
          <w:p w14:paraId="3A4B7D6B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7D174C75" w14:textId="75380BF0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Тематические рабочие совещания или семинары в рамках совещаний Рабочей группы или совещаний Сторон (по</w:t>
            </w:r>
            <w:r w:rsid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пунктам 1 а)</w:t>
            </w:r>
            <w:r w:rsidR="00764902" w:rsidRPr="00764902">
              <w:rPr>
                <w:rFonts w:cs="Times New Roman"/>
                <w:sz w:val="18"/>
                <w:szCs w:val="18"/>
              </w:rPr>
              <w:t>–</w:t>
            </w:r>
            <w:r w:rsidRPr="00764902">
              <w:rPr>
                <w:rFonts w:cs="Times New Roman"/>
                <w:sz w:val="18"/>
                <w:szCs w:val="18"/>
              </w:rPr>
              <w:t xml:space="preserve">е) </w:t>
            </w:r>
            <w:r w:rsidR="00764902" w:rsidRPr="00764902">
              <w:rPr>
                <w:rFonts w:cs="Times New Roman"/>
                <w:sz w:val="18"/>
                <w:szCs w:val="18"/>
              </w:rPr>
              <w:t xml:space="preserve">— </w:t>
            </w:r>
            <w:r w:rsidRPr="00764902">
              <w:rPr>
                <w:rFonts w:cs="Times New Roman"/>
                <w:sz w:val="18"/>
                <w:szCs w:val="18"/>
              </w:rPr>
              <w:t xml:space="preserve">взносы натурой Сторон/заинтересованных сторон, по пункту 1 g) </w:t>
            </w:r>
            <w:r w:rsidR="00764902" w:rsidRPr="00764902">
              <w:rPr>
                <w:rFonts w:cs="Times New Roman"/>
                <w:sz w:val="18"/>
                <w:szCs w:val="18"/>
              </w:rPr>
              <w:t>—</w:t>
            </w:r>
            <w:r w:rsidRPr="00764902">
              <w:rPr>
                <w:rFonts w:cs="Times New Roman"/>
                <w:sz w:val="18"/>
                <w:szCs w:val="18"/>
              </w:rPr>
              <w:t xml:space="preserve"> см. таблицу 3 ниже в отношении имеющегося проектного финансирования (будет подтверждено позднее), по пункту</w:t>
            </w:r>
            <w:r w:rsidR="00764902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1</w:t>
            </w:r>
            <w:r w:rsidR="00764902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f)</w:t>
            </w:r>
            <w:r w:rsidR="00764902" w:rsidRPr="00764902">
              <w:rPr>
                <w:rFonts w:cs="Times New Roman"/>
                <w:sz w:val="18"/>
                <w:szCs w:val="18"/>
              </w:rPr>
              <w:t> </w:t>
            </w:r>
            <w:r w:rsidR="009E1ADF" w:rsidRPr="00764902">
              <w:rPr>
                <w:rFonts w:cs="Times New Roman"/>
                <w:sz w:val="18"/>
                <w:szCs w:val="18"/>
              </w:rPr>
              <w:t>—</w:t>
            </w:r>
            <w:r w:rsidRPr="00764902">
              <w:rPr>
                <w:rFonts w:cs="Times New Roman"/>
                <w:sz w:val="18"/>
                <w:szCs w:val="18"/>
              </w:rPr>
              <w:t xml:space="preserve"> см.</w:t>
            </w:r>
            <w:r w:rsidR="009E1ADF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информацию ниже)</w:t>
            </w:r>
          </w:p>
          <w:p w14:paraId="198E7FAE" w14:textId="4F5695DE" w:rsidR="00D320B5" w:rsidRPr="00764902" w:rsidRDefault="00D320B5" w:rsidP="00965DFC">
            <w:pPr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Подготовка информационного</w:t>
            </w:r>
            <w:r w:rsidR="00965DFC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документа о применении принципов СЭО к проектам сотрудничества в области развития и организация тематического семинара в ходе одного из совещаний Рабочей группы. Финансирование предоставляется Италией и любыми иными заинтересованными Сторонами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0684B22" w14:textId="77777777" w:rsidR="00AB6E36" w:rsidRPr="00764902" w:rsidRDefault="00AB6E36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Cs/>
                <w:sz w:val="18"/>
                <w:szCs w:val="18"/>
              </w:rPr>
            </w:pPr>
          </w:p>
          <w:p w14:paraId="7DA4BB38" w14:textId="7529116C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70 000</w:t>
            </w:r>
          </w:p>
        </w:tc>
        <w:tc>
          <w:tcPr>
            <w:tcW w:w="848" w:type="dxa"/>
            <w:shd w:val="clear" w:color="auto" w:fill="auto"/>
          </w:tcPr>
          <w:p w14:paraId="33AF4AB5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66D1C2DD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182D9292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320B5" w:rsidRPr="00764902" w14:paraId="0165E5BD" w14:textId="77777777" w:rsidTr="00764902">
        <w:trPr>
          <w:cantSplit/>
        </w:trPr>
        <w:tc>
          <w:tcPr>
            <w:tcW w:w="2251" w:type="dxa"/>
            <w:shd w:val="clear" w:color="auto" w:fill="auto"/>
          </w:tcPr>
          <w:p w14:paraId="29BDE2A8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74AD1E05" w14:textId="1D5677CB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Подготовка информационных бюллетеней (взносы в натуральной форме от Сторон/заинтересованных субъектов)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065A199" w14:textId="6A8BB4E2" w:rsidR="00D320B5" w:rsidRPr="00764902" w:rsidRDefault="00764902" w:rsidP="00764902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shd w:val="clear" w:color="auto" w:fill="auto"/>
          </w:tcPr>
          <w:p w14:paraId="45F5471E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14:paraId="6DB6303F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6AA46EFF" w14:textId="77777777" w:rsidTr="00F60675">
        <w:trPr>
          <w:cantSplit/>
        </w:trPr>
        <w:tc>
          <w:tcPr>
            <w:tcW w:w="2251" w:type="dxa"/>
            <w:shd w:val="clear" w:color="auto" w:fill="auto"/>
          </w:tcPr>
          <w:p w14:paraId="3D2B3916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3E39C807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 xml:space="preserve">Разработка онлайновой базы данных о надлежащей практике Сторон или сбор и компиляция информации о надлежащей практике (размер гонораров консультантов будет определен позднее) 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9BB7AFA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20 000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386998C5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46169023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3967265D" w14:textId="77777777" w:rsidTr="00F60675">
        <w:trPr>
          <w:cantSplit/>
        </w:trPr>
        <w:tc>
          <w:tcPr>
            <w:tcW w:w="6909" w:type="dxa"/>
            <w:gridSpan w:val="3"/>
            <w:shd w:val="clear" w:color="auto" w:fill="auto"/>
          </w:tcPr>
          <w:p w14:paraId="41431623" w14:textId="77777777" w:rsidR="00D320B5" w:rsidRPr="00764902" w:rsidRDefault="00D320B5" w:rsidP="00764902">
            <w:pPr>
              <w:keepNext/>
              <w:keepLines/>
              <w:tabs>
                <w:tab w:val="left" w:pos="378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C.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ab/>
              <w:t xml:space="preserve">Укрепление потенциала 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45B50CF7" w14:textId="3AB1C5AD" w:rsidR="00D320B5" w:rsidRPr="00764902" w:rsidRDefault="00D320B5" w:rsidP="009E1ADF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F60675" w:rsidRPr="00764902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764902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DBF27D0" w14:textId="77777777" w:rsidR="00D320B5" w:rsidRPr="00764902" w:rsidRDefault="00D320B5" w:rsidP="009E1ADF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320B5" w:rsidRPr="00764902" w14:paraId="476DB18A" w14:textId="77777777" w:rsidTr="00697356">
        <w:trPr>
          <w:cantSplit/>
        </w:trPr>
        <w:tc>
          <w:tcPr>
            <w:tcW w:w="2251" w:type="dxa"/>
            <w:shd w:val="clear" w:color="auto" w:fill="auto"/>
          </w:tcPr>
          <w:p w14:paraId="4537826B" w14:textId="77777777" w:rsidR="00D320B5" w:rsidRPr="00764902" w:rsidRDefault="00D320B5" w:rsidP="009E1ADF">
            <w:pPr>
              <w:keepNext/>
              <w:keepLines/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7D932B65" w14:textId="3E3E6103" w:rsidR="00D320B5" w:rsidRPr="00764902" w:rsidRDefault="00D320B5" w:rsidP="009E1ADF">
            <w:pPr>
              <w:keepNext/>
              <w:keepLines/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 xml:space="preserve">Экспериментальные проекты, подготовка, повышение информированности, руководящие принципы по конкретным вопросам или секторам и типовая база данных для стран Восточной Европы и Кавказа (имеющееся финансирование проектов по пунктам 1 i)–vi) и </w:t>
            </w:r>
            <w:r w:rsidR="00965DFC">
              <w:rPr>
                <w:rFonts w:cs="Times New Roman"/>
                <w:sz w:val="18"/>
                <w:szCs w:val="18"/>
              </w:rPr>
              <w:br/>
            </w:r>
            <w:r w:rsidRPr="00764902">
              <w:rPr>
                <w:rFonts w:cs="Times New Roman"/>
                <w:sz w:val="18"/>
                <w:szCs w:val="18"/>
              </w:rPr>
              <w:t>пунктам</w:t>
            </w:r>
            <w:r w:rsidR="00497248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2–7 см. таблицу 3 ниже). По</w:t>
            </w:r>
            <w:r w:rsidR="00764902" w:rsidRPr="00764902">
              <w:rPr>
                <w:rFonts w:cs="Times New Roman"/>
                <w:sz w:val="18"/>
                <w:szCs w:val="18"/>
              </w:rPr>
              <w:t> </w:t>
            </w:r>
            <w:r w:rsidRPr="00764902">
              <w:rPr>
                <w:rFonts w:cs="Times New Roman"/>
                <w:sz w:val="18"/>
                <w:szCs w:val="18"/>
              </w:rPr>
              <w:t>пунктам 1</w:t>
            </w:r>
            <w:r w:rsidR="00AB6E36" w:rsidRPr="00764902">
              <w:rPr>
                <w:rFonts w:cs="Times New Roman"/>
                <w:sz w:val="18"/>
                <w:szCs w:val="18"/>
              </w:rPr>
              <w:t xml:space="preserve"> </w:t>
            </w:r>
            <w:r w:rsidRPr="00764902">
              <w:rPr>
                <w:rFonts w:cs="Times New Roman"/>
                <w:sz w:val="18"/>
                <w:szCs w:val="18"/>
              </w:rPr>
              <w:t>vii)</w:t>
            </w:r>
            <w:r w:rsidR="00497248">
              <w:rPr>
                <w:rFonts w:cs="Times New Roman"/>
                <w:sz w:val="18"/>
                <w:szCs w:val="18"/>
              </w:rPr>
              <w:t>–</w:t>
            </w:r>
            <w:r w:rsidRPr="00764902">
              <w:rPr>
                <w:rFonts w:cs="Times New Roman"/>
                <w:sz w:val="18"/>
                <w:szCs w:val="18"/>
              </w:rPr>
              <w:t>viii) финансирование будет указано отдельно)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1F4AA72" w14:textId="6AFC2413" w:rsidR="00D320B5" w:rsidRPr="00764902" w:rsidRDefault="0069735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723B887D" w14:textId="77777777" w:rsidR="00D320B5" w:rsidRPr="00764902" w:rsidRDefault="00D320B5" w:rsidP="009E1ADF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70F022A3" w14:textId="77777777" w:rsidR="00D320B5" w:rsidRPr="00764902" w:rsidRDefault="00D320B5" w:rsidP="009E1ADF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1AE48781" w14:textId="77777777" w:rsidTr="00764902">
        <w:trPr>
          <w:cantSplit/>
        </w:trPr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5640CB61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0EC736B0" w14:textId="77777777" w:rsidR="00D320B5" w:rsidRPr="00764902" w:rsidRDefault="00D320B5" w:rsidP="00F60675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  <w:szCs w:val="18"/>
              </w:rPr>
              <w:t>Подготовка «FasTips» силами МАОВ (взнос в натуральной форме)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9A760" w14:textId="150BE061" w:rsidR="00D320B5" w:rsidRPr="00764902" w:rsidRDefault="00764902" w:rsidP="00764902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6D283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6ADC0" w14:textId="77777777" w:rsidR="00D320B5" w:rsidRPr="00764902" w:rsidRDefault="00D320B5" w:rsidP="00F60675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320B5" w:rsidRPr="00764902" w14:paraId="15B1DDBB" w14:textId="77777777" w:rsidTr="009E1ADF">
        <w:trPr>
          <w:cantSplit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F10CB" w14:textId="77777777" w:rsidR="00D320B5" w:rsidRPr="00764902" w:rsidRDefault="00D320B5" w:rsidP="009E1ADF">
            <w:pPr>
              <w:spacing w:before="80" w:after="80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406AD" w14:textId="77777777" w:rsidR="00D320B5" w:rsidRPr="00764902" w:rsidRDefault="00D320B5" w:rsidP="009E1ADF">
            <w:pPr>
              <w:spacing w:before="80" w:after="8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0E6E6" w14:textId="77777777" w:rsidR="00D320B5" w:rsidRPr="00764902" w:rsidRDefault="00D320B5" w:rsidP="009E1ADF">
            <w:pPr>
              <w:spacing w:before="80" w:after="8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sz w:val="18"/>
                <w:szCs w:val="18"/>
              </w:rPr>
              <w:t>250 000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6ED68" w14:textId="77777777" w:rsidR="00D320B5" w:rsidRPr="00764902" w:rsidRDefault="00D320B5" w:rsidP="009E1ADF">
            <w:pPr>
              <w:spacing w:before="80" w:after="8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8E7F2E" w14:textId="77777777" w:rsidR="00D320B5" w:rsidRPr="00764902" w:rsidRDefault="00D320B5" w:rsidP="009E1ADF">
            <w:pPr>
              <w:spacing w:before="80" w:after="8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320B5" w:rsidRPr="00764902" w14:paraId="4323FC50" w14:textId="77777777" w:rsidTr="009E1ADF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94167D" w14:textId="77777777" w:rsidR="00D320B5" w:rsidRPr="00764902" w:rsidRDefault="00D320B5" w:rsidP="009E1ADF">
            <w:pPr>
              <w:spacing w:before="80" w:after="80"/>
              <w:ind w:left="283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Всего на деятельность (области работы I–V)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2FA528" w14:textId="77777777" w:rsidR="00D320B5" w:rsidRPr="00764902" w:rsidRDefault="00D320B5" w:rsidP="009E1ADF">
            <w:pPr>
              <w:spacing w:before="80" w:after="8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612 000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DFD104" w14:textId="77777777" w:rsidR="00D320B5" w:rsidRPr="00764902" w:rsidRDefault="00D320B5" w:rsidP="009E1ADF">
            <w:pPr>
              <w:spacing w:before="80" w:after="8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6245FE" w14:textId="77777777" w:rsidR="00D320B5" w:rsidRPr="00764902" w:rsidRDefault="00D320B5" w:rsidP="009E1ADF">
            <w:pPr>
              <w:spacing w:before="80" w:after="8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764902">
              <w:rPr>
                <w:rFonts w:cs="Times New Roman"/>
                <w:b/>
                <w:bCs/>
                <w:sz w:val="18"/>
                <w:szCs w:val="18"/>
              </w:rPr>
              <w:t>31,5</w:t>
            </w:r>
          </w:p>
        </w:tc>
      </w:tr>
    </w:tbl>
    <w:p w14:paraId="56935723" w14:textId="7A1C7625" w:rsidR="00D320B5" w:rsidRPr="00F60675" w:rsidRDefault="00D320B5" w:rsidP="009E1ADF">
      <w:pPr>
        <w:keepNext/>
        <w:spacing w:before="120" w:line="220" w:lineRule="exact"/>
        <w:ind w:left="1134" w:right="-1" w:firstLine="170"/>
        <w:rPr>
          <w:sz w:val="18"/>
          <w:szCs w:val="18"/>
        </w:rPr>
      </w:pPr>
      <w:bookmarkStart w:id="87" w:name="_Hlk32495233"/>
      <w:bookmarkEnd w:id="85"/>
      <w:r w:rsidRPr="00F60675">
        <w:rPr>
          <w:i/>
          <w:iCs/>
          <w:sz w:val="18"/>
          <w:szCs w:val="18"/>
        </w:rPr>
        <w:t>Сокращения</w:t>
      </w:r>
      <w:r w:rsidRPr="00F60675">
        <w:rPr>
          <w:sz w:val="18"/>
          <w:szCs w:val="18"/>
        </w:rPr>
        <w:t xml:space="preserve">: ОВОС — оценка воздействия на окружающую среду; ОО — сотрудник категории общего обслуживания; МАОВ — Международная ассоциация по оценке воздействия; С — сотрудник категории </w:t>
      </w:r>
      <w:r w:rsidRPr="00F60675">
        <w:rPr>
          <w:sz w:val="18"/>
          <w:szCs w:val="18"/>
        </w:rPr>
        <w:lastRenderedPageBreak/>
        <w:t xml:space="preserve">специалистов; РБ — регулярный бюджет; СЭО — стратегическая экологическая оценка; </w:t>
      </w:r>
      <w:r w:rsidR="00965DFC">
        <w:rPr>
          <w:sz w:val="18"/>
          <w:szCs w:val="18"/>
        </w:rPr>
        <w:br/>
      </w:r>
      <w:r w:rsidRPr="00F60675">
        <w:rPr>
          <w:sz w:val="18"/>
          <w:szCs w:val="18"/>
        </w:rPr>
        <w:t xml:space="preserve">ВБР </w:t>
      </w:r>
      <w:r w:rsidR="009E1ADF">
        <w:rPr>
          <w:sz w:val="18"/>
          <w:szCs w:val="18"/>
        </w:rPr>
        <w:t>—</w:t>
      </w:r>
      <w:r w:rsidRPr="00F60675">
        <w:rPr>
          <w:sz w:val="18"/>
          <w:szCs w:val="18"/>
        </w:rPr>
        <w:t xml:space="preserve"> внебюджетные ресурсы. </w:t>
      </w:r>
      <w:bookmarkStart w:id="88" w:name="_Hlk60412794"/>
      <w:bookmarkEnd w:id="88"/>
    </w:p>
    <w:bookmarkEnd w:id="87"/>
    <w:p w14:paraId="6D82BDE4" w14:textId="6111D5D4" w:rsidR="00D320B5" w:rsidRPr="00F60675" w:rsidRDefault="00D320B5" w:rsidP="009E1ADF">
      <w:pPr>
        <w:keepNext/>
        <w:spacing w:line="220" w:lineRule="exact"/>
        <w:ind w:left="1134" w:right="-1" w:firstLine="170"/>
        <w:rPr>
          <w:sz w:val="18"/>
          <w:szCs w:val="18"/>
        </w:rPr>
      </w:pPr>
      <w:r w:rsidRPr="00F60675">
        <w:rPr>
          <w:i/>
          <w:iCs/>
          <w:sz w:val="18"/>
          <w:szCs w:val="18"/>
          <w:vertAlign w:val="superscript"/>
        </w:rPr>
        <w:t>a</w:t>
      </w:r>
      <w:r w:rsidRPr="00F60675">
        <w:rPr>
          <w:sz w:val="18"/>
          <w:szCs w:val="18"/>
        </w:rPr>
        <w:t xml:space="preserve"> </w:t>
      </w:r>
      <w:r w:rsidR="009E1ADF">
        <w:rPr>
          <w:sz w:val="18"/>
          <w:szCs w:val="18"/>
        </w:rPr>
        <w:t xml:space="preserve"> </w:t>
      </w:r>
      <w:r w:rsidRPr="00F60675">
        <w:rPr>
          <w:sz w:val="18"/>
          <w:szCs w:val="18"/>
        </w:rPr>
        <w:t>Финансирование деятельности, предусмотренной планом работы на 2021–2023 годы, как указано в таблице 1, зависит от того, будут ли получены достаточные средства от Сторон в виде их добровольных взносов в целевой фонд Конвенции и Протокола.</w:t>
      </w:r>
    </w:p>
    <w:p w14:paraId="032EE95C" w14:textId="302EEB1C" w:rsidR="00D320B5" w:rsidRPr="00764902" w:rsidRDefault="00764902" w:rsidP="00764902">
      <w:pPr>
        <w:pStyle w:val="H23G"/>
        <w:rPr>
          <w:sz w:val="18"/>
          <w:szCs w:val="18"/>
        </w:rPr>
      </w:pPr>
      <w:bookmarkStart w:id="89" w:name="_Hlk34213913"/>
      <w:bookmarkStart w:id="90" w:name="_Hlk32231736"/>
      <w:r>
        <w:tab/>
      </w:r>
      <w:r>
        <w:tab/>
      </w:r>
      <w:r w:rsidR="00D320B5" w:rsidRPr="00764902">
        <w:rPr>
          <w:b w:val="0"/>
          <w:bCs/>
        </w:rPr>
        <w:t>Таблица 2</w:t>
      </w:r>
      <w:r>
        <w:br/>
      </w:r>
      <w:r w:rsidR="00D320B5" w:rsidRPr="00561F6B">
        <w:rPr>
          <w:bCs/>
        </w:rPr>
        <w:t>Общий объем ресурсов на 2021–2023 годы</w:t>
      </w:r>
      <w:r>
        <w:rPr>
          <w:bCs/>
        </w:rPr>
        <w:br/>
      </w:r>
      <w:r w:rsidR="00D320B5" w:rsidRPr="00497248">
        <w:rPr>
          <w:b w:val="0"/>
          <w:bCs/>
          <w:sz w:val="16"/>
          <w:szCs w:val="16"/>
        </w:rPr>
        <w:t>(в долл. США)</w:t>
      </w:r>
      <w:bookmarkEnd w:id="89"/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274"/>
      </w:tblGrid>
      <w:tr w:rsidR="00D320B5" w:rsidRPr="00764902" w14:paraId="35FC7137" w14:textId="77777777" w:rsidTr="00497248">
        <w:trPr>
          <w:tblHeader/>
        </w:trPr>
        <w:tc>
          <w:tcPr>
            <w:tcW w:w="7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90"/>
          <w:p w14:paraId="39BB20B3" w14:textId="77777777" w:rsidR="00D320B5" w:rsidRPr="00764902" w:rsidRDefault="00D320B5" w:rsidP="00764902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764902">
              <w:rPr>
                <w:rFonts w:cs="Times New Roman"/>
                <w:i/>
                <w:sz w:val="16"/>
              </w:rPr>
              <w:t>Статья расходов/деятельность + людские ресурсы (из таблицы 1 выше)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2484C" w14:textId="77777777" w:rsidR="00D320B5" w:rsidRPr="00764902" w:rsidRDefault="00D320B5" w:rsidP="00764902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764902">
              <w:rPr>
                <w:rFonts w:cs="Times New Roman"/>
                <w:i/>
                <w:sz w:val="16"/>
              </w:rPr>
              <w:t>Расходы</w:t>
            </w:r>
          </w:p>
        </w:tc>
      </w:tr>
      <w:tr w:rsidR="00D320B5" w:rsidRPr="00764902" w14:paraId="585F38BA" w14:textId="77777777" w:rsidTr="00497248">
        <w:tc>
          <w:tcPr>
            <w:tcW w:w="7230" w:type="dxa"/>
            <w:shd w:val="clear" w:color="auto" w:fill="auto"/>
          </w:tcPr>
          <w:p w14:paraId="00B87B85" w14:textId="30ED6347" w:rsidR="00D320B5" w:rsidRPr="0076490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bookmarkStart w:id="91" w:name="_Hlk34214090"/>
            <w:r w:rsidRPr="00764902">
              <w:rPr>
                <w:rFonts w:cs="Times New Roman"/>
                <w:sz w:val="18"/>
              </w:rPr>
              <w:t xml:space="preserve">Деятельность 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0675CC8" w14:textId="77777777" w:rsidR="00D320B5" w:rsidRPr="00764902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612 000</w:t>
            </w:r>
          </w:p>
        </w:tc>
      </w:tr>
      <w:bookmarkEnd w:id="91"/>
      <w:tr w:rsidR="00D320B5" w:rsidRPr="00764902" w14:paraId="59AAD5BD" w14:textId="77777777" w:rsidTr="00497248">
        <w:tc>
          <w:tcPr>
            <w:tcW w:w="7230" w:type="dxa"/>
            <w:shd w:val="clear" w:color="auto" w:fill="auto"/>
          </w:tcPr>
          <w:p w14:paraId="5810153B" w14:textId="1E065BC2" w:rsidR="00D320B5" w:rsidRPr="0076490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Персонал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C0B5438" w14:textId="77777777" w:rsidR="00D320B5" w:rsidRPr="00764902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320B5" w:rsidRPr="00764902" w14:paraId="1BC28371" w14:textId="77777777" w:rsidTr="00497248">
        <w:tc>
          <w:tcPr>
            <w:tcW w:w="7230" w:type="dxa"/>
            <w:shd w:val="clear" w:color="auto" w:fill="auto"/>
          </w:tcPr>
          <w:p w14:paraId="09D694FF" w14:textId="01419AA7" w:rsidR="00D320B5" w:rsidRPr="0076490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РБ, сотрудник категории специалистов, полная занятость, уровень С-4</w:t>
            </w:r>
            <w:r w:rsidR="00AB6E36" w:rsidRPr="00764902">
              <w:rPr>
                <w:rFonts w:cs="Times New Roman"/>
                <w:sz w:val="18"/>
              </w:rPr>
              <w:t xml:space="preserve"> </w:t>
            </w:r>
            <w:r w:rsidR="00497248">
              <w:rPr>
                <w:rFonts w:cs="Times New Roman"/>
                <w:sz w:val="18"/>
              </w:rPr>
              <w:br/>
            </w:r>
            <w:r w:rsidRPr="00764902">
              <w:rPr>
                <w:rFonts w:cs="Times New Roman"/>
                <w:sz w:val="18"/>
              </w:rPr>
              <w:t>(31,5 человеко-месяца)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81EAC3E" w14:textId="77777777" w:rsidR="00D320B5" w:rsidRPr="00497248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  <w:r w:rsidRPr="00497248">
              <w:rPr>
                <w:rFonts w:cs="Times New Roman"/>
                <w:i/>
                <w:iCs/>
                <w:sz w:val="18"/>
                <w:vertAlign w:val="superscript"/>
              </w:rPr>
              <w:t>а</w:t>
            </w:r>
          </w:p>
        </w:tc>
      </w:tr>
      <w:tr w:rsidR="00D320B5" w:rsidRPr="00764902" w14:paraId="7DD91725" w14:textId="77777777" w:rsidTr="00497248">
        <w:tc>
          <w:tcPr>
            <w:tcW w:w="7230" w:type="dxa"/>
            <w:shd w:val="clear" w:color="auto" w:fill="auto"/>
          </w:tcPr>
          <w:p w14:paraId="10395361" w14:textId="4CD69AAF" w:rsidR="00D320B5" w:rsidRPr="0076490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 xml:space="preserve">РБ, сотрудник категории общего обслуживания, частичная занятость 50 % </w:t>
            </w:r>
            <w:r w:rsidR="00497248">
              <w:rPr>
                <w:rFonts w:cs="Times New Roman"/>
                <w:sz w:val="18"/>
              </w:rPr>
              <w:br/>
            </w:r>
            <w:r w:rsidRPr="00764902">
              <w:rPr>
                <w:rFonts w:cs="Times New Roman"/>
                <w:sz w:val="18"/>
              </w:rPr>
              <w:t>(15,75 человеко-месяцев)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240751A" w14:textId="77777777" w:rsidR="00D320B5" w:rsidRPr="00497248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  <w:r w:rsidRPr="00497248">
              <w:rPr>
                <w:rFonts w:cs="Times New Roman"/>
                <w:i/>
                <w:iCs/>
                <w:sz w:val="18"/>
                <w:vertAlign w:val="superscript"/>
              </w:rPr>
              <w:t>а</w:t>
            </w:r>
          </w:p>
        </w:tc>
      </w:tr>
      <w:tr w:rsidR="00D320B5" w:rsidRPr="00764902" w14:paraId="5E99FE01" w14:textId="77777777" w:rsidTr="00497248">
        <w:tc>
          <w:tcPr>
            <w:tcW w:w="7230" w:type="dxa"/>
            <w:shd w:val="clear" w:color="auto" w:fill="auto"/>
          </w:tcPr>
          <w:p w14:paraId="0C59E932" w14:textId="5FF9173F" w:rsidR="00D320B5" w:rsidRPr="00764902" w:rsidDel="005F76A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ВБР, сотрудник категории специалистов, полная занятость, уровень С-3</w:t>
            </w:r>
            <w:r w:rsidR="00AB6E36" w:rsidRPr="00764902">
              <w:rPr>
                <w:rFonts w:cs="Times New Roman"/>
                <w:sz w:val="18"/>
              </w:rPr>
              <w:t xml:space="preserve"> </w:t>
            </w:r>
            <w:r w:rsidR="00497248">
              <w:rPr>
                <w:rFonts w:cs="Times New Roman"/>
                <w:sz w:val="18"/>
              </w:rPr>
              <w:br/>
            </w:r>
            <w:r w:rsidRPr="00764902">
              <w:rPr>
                <w:rFonts w:cs="Times New Roman"/>
                <w:sz w:val="18"/>
              </w:rPr>
              <w:t xml:space="preserve">(31,5 человеко-месяца) 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053EC37" w14:textId="77777777" w:rsidR="00D320B5" w:rsidRPr="00764902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630 000</w:t>
            </w:r>
          </w:p>
        </w:tc>
      </w:tr>
      <w:tr w:rsidR="00D320B5" w:rsidRPr="00764902" w14:paraId="6821A4A3" w14:textId="77777777" w:rsidTr="00497248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54B2484D" w14:textId="71FDB1DD" w:rsidR="00D320B5" w:rsidRPr="0076490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 xml:space="preserve">ВБР, сотрудник категории общего обслуживания, частичная занятость 50 % </w:t>
            </w:r>
            <w:r w:rsidR="00497248">
              <w:rPr>
                <w:rFonts w:cs="Times New Roman"/>
                <w:sz w:val="18"/>
              </w:rPr>
              <w:br/>
            </w:r>
            <w:r w:rsidRPr="00764902">
              <w:rPr>
                <w:rFonts w:cs="Times New Roman"/>
                <w:sz w:val="18"/>
              </w:rPr>
              <w:t>(15,75 человеко-месяцев)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C86F1" w14:textId="77777777" w:rsidR="00D320B5" w:rsidRPr="00764902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165 000</w:t>
            </w:r>
            <w:r w:rsidRPr="00965DFC">
              <w:rPr>
                <w:rFonts w:cs="Times New Roman"/>
                <w:i/>
                <w:iCs/>
                <w:sz w:val="18"/>
                <w:vertAlign w:val="superscript"/>
              </w:rPr>
              <w:t>b</w:t>
            </w:r>
          </w:p>
        </w:tc>
      </w:tr>
      <w:tr w:rsidR="00D320B5" w:rsidRPr="00497248" w14:paraId="087C749B" w14:textId="77777777" w:rsidTr="00497248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6004A" w14:textId="17462516" w:rsidR="00D320B5" w:rsidRPr="00497248" w:rsidRDefault="00D320B5" w:rsidP="00497248">
            <w:pPr>
              <w:suppressAutoHyphens w:val="0"/>
              <w:spacing w:before="80" w:after="80" w:line="220" w:lineRule="exact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497248">
              <w:rPr>
                <w:rFonts w:cs="Times New Roman"/>
                <w:b/>
                <w:sz w:val="1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36197B" w14:textId="77777777" w:rsidR="00D320B5" w:rsidRPr="00497248" w:rsidRDefault="00D320B5" w:rsidP="00497248">
            <w:pPr>
              <w:suppressAutoHyphens w:val="0"/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97248">
              <w:rPr>
                <w:rFonts w:cs="Times New Roman"/>
                <w:b/>
                <w:sz w:val="18"/>
              </w:rPr>
              <w:t>1 407 000</w:t>
            </w:r>
          </w:p>
        </w:tc>
      </w:tr>
      <w:tr w:rsidR="00D320B5" w:rsidRPr="00764902" w14:paraId="6D34A78F" w14:textId="77777777" w:rsidTr="00497248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20799" w14:textId="77777777" w:rsidR="00D320B5" w:rsidRPr="00764902" w:rsidRDefault="00D320B5" w:rsidP="00764902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>Накладные расходы (13 %) (округлено)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A2F47" w14:textId="77777777" w:rsidR="00D320B5" w:rsidRPr="00764902" w:rsidRDefault="00D320B5" w:rsidP="00764902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764902">
              <w:rPr>
                <w:rFonts w:cs="Times New Roman"/>
                <w:sz w:val="18"/>
              </w:rPr>
              <w:t xml:space="preserve">182 910 </w:t>
            </w:r>
          </w:p>
        </w:tc>
      </w:tr>
      <w:tr w:rsidR="00D320B5" w:rsidRPr="00497248" w14:paraId="47F07CD0" w14:textId="77777777" w:rsidTr="00497248">
        <w:tc>
          <w:tcPr>
            <w:tcW w:w="7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0D00F4" w14:textId="77777777" w:rsidR="00D320B5" w:rsidRPr="00497248" w:rsidRDefault="00D320B5" w:rsidP="00497248">
            <w:pPr>
              <w:suppressAutoHyphens w:val="0"/>
              <w:spacing w:before="80" w:after="80" w:line="220" w:lineRule="exact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497248">
              <w:rPr>
                <w:rFonts w:cs="Times New Roman"/>
                <w:b/>
                <w:sz w:val="18"/>
              </w:rPr>
              <w:t xml:space="preserve">Всего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EA489D" w14:textId="77777777" w:rsidR="00D320B5" w:rsidRPr="00497248" w:rsidRDefault="00D320B5" w:rsidP="00497248">
            <w:pPr>
              <w:suppressAutoHyphens w:val="0"/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497248">
              <w:rPr>
                <w:rFonts w:cs="Times New Roman"/>
                <w:b/>
                <w:sz w:val="18"/>
              </w:rPr>
              <w:t>1 589 910</w:t>
            </w:r>
          </w:p>
        </w:tc>
      </w:tr>
    </w:tbl>
    <w:p w14:paraId="6FF0FFDE" w14:textId="38F82A9D" w:rsidR="00D320B5" w:rsidRPr="00497248" w:rsidRDefault="00D320B5" w:rsidP="00497248">
      <w:pPr>
        <w:pStyle w:val="SingleTxtG"/>
        <w:spacing w:before="120" w:after="0" w:line="220" w:lineRule="exact"/>
        <w:ind w:right="0" w:firstLine="142"/>
        <w:jc w:val="left"/>
        <w:rPr>
          <w:sz w:val="18"/>
          <w:szCs w:val="18"/>
        </w:rPr>
      </w:pPr>
      <w:bookmarkStart w:id="92" w:name="_Hlk32247406"/>
      <w:r w:rsidRPr="00497248">
        <w:rPr>
          <w:i/>
          <w:iCs/>
          <w:sz w:val="18"/>
          <w:szCs w:val="18"/>
        </w:rPr>
        <w:t>Примечание</w:t>
      </w:r>
      <w:r w:rsidRPr="00497248">
        <w:rPr>
          <w:sz w:val="18"/>
          <w:szCs w:val="18"/>
        </w:rPr>
        <w:t xml:space="preserve">: </w:t>
      </w:r>
      <w:r w:rsidR="00497248">
        <w:rPr>
          <w:sz w:val="18"/>
          <w:szCs w:val="18"/>
        </w:rPr>
        <w:t>О</w:t>
      </w:r>
      <w:r w:rsidRPr="00497248">
        <w:rPr>
          <w:sz w:val="18"/>
          <w:szCs w:val="18"/>
        </w:rPr>
        <w:t>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ресурсов на персонал подготовлены на основе стандартных ставок заработной платы Организации Объединенных Наций, включая чистый оклад, налоги и общие расходы по персоналу, а также обязательные расходы на служебные помещения, информационно-техническое оборудование, связь и подготовку.</w:t>
      </w:r>
    </w:p>
    <w:bookmarkEnd w:id="92"/>
    <w:p w14:paraId="0B94CC5B" w14:textId="19C1B245" w:rsidR="00D320B5" w:rsidRPr="00497248" w:rsidRDefault="00D320B5" w:rsidP="00497248">
      <w:pPr>
        <w:pStyle w:val="SingleTxtG"/>
        <w:spacing w:after="0" w:line="220" w:lineRule="exact"/>
        <w:ind w:right="0" w:firstLine="142"/>
        <w:jc w:val="left"/>
        <w:rPr>
          <w:sz w:val="18"/>
          <w:szCs w:val="18"/>
        </w:rPr>
      </w:pPr>
      <w:r w:rsidRPr="00497248">
        <w:rPr>
          <w:i/>
          <w:iCs/>
          <w:sz w:val="18"/>
          <w:szCs w:val="18"/>
          <w:vertAlign w:val="superscript"/>
        </w:rPr>
        <w:t>а</w:t>
      </w:r>
      <w:r w:rsidR="00497248">
        <w:rPr>
          <w:sz w:val="18"/>
          <w:szCs w:val="18"/>
        </w:rPr>
        <w:t xml:space="preserve"> </w:t>
      </w:r>
      <w:r w:rsidRPr="00497248">
        <w:rPr>
          <w:sz w:val="18"/>
          <w:szCs w:val="18"/>
        </w:rPr>
        <w:t xml:space="preserve"> Предоставляется из регулярного бюджета Организации Объединенных Наций. Должность категории специалистов, финансируемая из РБ, это должность секретаря Конвенции Эспо и Протокола к ней, предусматривающая надзор за функционированием секретариата договора и выполнением плана работы.</w:t>
      </w:r>
    </w:p>
    <w:p w14:paraId="66707754" w14:textId="04F7A800" w:rsidR="00D320B5" w:rsidRPr="00497248" w:rsidRDefault="00D320B5" w:rsidP="00497248">
      <w:pPr>
        <w:pStyle w:val="SingleTxtG"/>
        <w:spacing w:after="0" w:line="220" w:lineRule="exact"/>
        <w:ind w:right="0" w:firstLine="142"/>
        <w:jc w:val="left"/>
        <w:rPr>
          <w:sz w:val="18"/>
          <w:szCs w:val="18"/>
        </w:rPr>
      </w:pPr>
      <w:r w:rsidRPr="00497248">
        <w:rPr>
          <w:i/>
          <w:iCs/>
          <w:sz w:val="18"/>
          <w:szCs w:val="18"/>
          <w:vertAlign w:val="superscript"/>
        </w:rPr>
        <w:t>b</w:t>
      </w:r>
      <w:r w:rsidR="00AB6E36" w:rsidRPr="00497248">
        <w:rPr>
          <w:sz w:val="18"/>
          <w:szCs w:val="18"/>
        </w:rPr>
        <w:t xml:space="preserve"> </w:t>
      </w:r>
      <w:r w:rsidR="00497248">
        <w:rPr>
          <w:sz w:val="18"/>
          <w:szCs w:val="18"/>
        </w:rPr>
        <w:t xml:space="preserve"> П</w:t>
      </w:r>
      <w:r w:rsidRPr="00497248">
        <w:rPr>
          <w:sz w:val="18"/>
          <w:szCs w:val="18"/>
        </w:rPr>
        <w:t>ри условии наличия ресурсов.</w:t>
      </w:r>
    </w:p>
    <w:p w14:paraId="55D98D41" w14:textId="58C08BEF" w:rsidR="00D320B5" w:rsidRPr="00497248" w:rsidRDefault="00497248" w:rsidP="00764902">
      <w:pPr>
        <w:pStyle w:val="H23G"/>
        <w:rPr>
          <w:b w:val="0"/>
          <w:bCs/>
          <w:sz w:val="16"/>
          <w:szCs w:val="16"/>
        </w:rPr>
      </w:pPr>
      <w:r>
        <w:tab/>
      </w:r>
      <w:r>
        <w:tab/>
      </w:r>
      <w:r w:rsidR="00D320B5" w:rsidRPr="00497248">
        <w:rPr>
          <w:b w:val="0"/>
          <w:bCs/>
        </w:rPr>
        <w:t>Таблица 3</w:t>
      </w:r>
      <w:r w:rsidRPr="00497248">
        <w:rPr>
          <w:b w:val="0"/>
          <w:bCs/>
        </w:rPr>
        <w:br/>
      </w:r>
      <w:r w:rsidR="00D320B5" w:rsidRPr="00561F6B">
        <w:rPr>
          <w:bCs/>
        </w:rPr>
        <w:t>Обзор ресурсов программы «Европейский союз за окружающую среду»</w:t>
      </w:r>
      <w:r w:rsidR="00AB6E36">
        <w:rPr>
          <w:bCs/>
        </w:rPr>
        <w:t xml:space="preserve"> </w:t>
      </w:r>
      <w:r w:rsidR="00965DFC">
        <w:rPr>
          <w:bCs/>
        </w:rPr>
        <w:br/>
      </w:r>
      <w:r w:rsidR="00D320B5" w:rsidRPr="00561F6B">
        <w:rPr>
          <w:bCs/>
        </w:rPr>
        <w:t>на 2021 и 2022 годы</w:t>
      </w:r>
      <w:r w:rsidR="00D320B5" w:rsidRPr="00497248">
        <w:rPr>
          <w:b w:val="0"/>
          <w:bCs/>
          <w:i/>
          <w:iCs/>
          <w:vertAlign w:val="superscript"/>
        </w:rPr>
        <w:t>а</w:t>
      </w:r>
      <w:r>
        <w:rPr>
          <w:b w:val="0"/>
          <w:bCs/>
          <w:i/>
          <w:iCs/>
          <w:vertAlign w:val="superscript"/>
        </w:rPr>
        <w:br/>
      </w:r>
      <w:r w:rsidR="00D320B5" w:rsidRPr="00497248">
        <w:rPr>
          <w:b w:val="0"/>
          <w:bCs/>
          <w:sz w:val="16"/>
          <w:szCs w:val="16"/>
        </w:rPr>
        <w:t>(в долл. США)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36"/>
        <w:gridCol w:w="1642"/>
        <w:gridCol w:w="752"/>
        <w:gridCol w:w="644"/>
        <w:gridCol w:w="863"/>
      </w:tblGrid>
      <w:tr w:rsidR="00497248" w:rsidRPr="00497248" w14:paraId="0762D69F" w14:textId="77777777" w:rsidTr="001E7BBA">
        <w:trPr>
          <w:cantSplit/>
          <w:trHeight w:val="151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0CC72A" w14:textId="77777777" w:rsidR="00497248" w:rsidRPr="00497248" w:rsidRDefault="00497248" w:rsidP="0049724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Год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4153DA" w14:textId="77777777" w:rsidR="00497248" w:rsidRPr="00497248" w:rsidRDefault="00497248" w:rsidP="00497248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Области работы и деятельность в странах Восточной Европы и Кавказа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3A9182" w14:textId="77777777" w:rsidR="00497248" w:rsidRPr="00497248" w:rsidRDefault="00497248" w:rsidP="00497248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Общие внебюджетные финансовые ресурсы из средств программы «EU4Environment» (наличными, в долл. США)</w:t>
            </w:r>
          </w:p>
          <w:p w14:paraId="6DED14B9" w14:textId="3FC25198" w:rsidR="00497248" w:rsidRPr="00497248" w:rsidRDefault="00497248" w:rsidP="00497248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 xml:space="preserve">(деятельность + </w:t>
            </w:r>
            <w:r w:rsidR="00965DFC">
              <w:rPr>
                <w:rFonts w:cs="Times New Roman"/>
                <w:i/>
                <w:sz w:val="16"/>
              </w:rPr>
              <w:br/>
            </w:r>
            <w:r w:rsidRPr="00497248">
              <w:rPr>
                <w:rFonts w:cs="Times New Roman"/>
                <w:i/>
                <w:sz w:val="16"/>
              </w:rPr>
              <w:t>ВБ-персонал)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0EEB9" w14:textId="40BC878B" w:rsidR="00497248" w:rsidRPr="00497248" w:rsidRDefault="00497248" w:rsidP="00497248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Финансируемые из средств программы «EU4Environment» кадровые ресурсы (руководитель проекта +</w:t>
            </w:r>
            <w:r w:rsidR="00965DFC">
              <w:rPr>
                <w:rFonts w:cs="Times New Roman"/>
                <w:i/>
                <w:sz w:val="16"/>
              </w:rPr>
              <w:t xml:space="preserve"> </w:t>
            </w:r>
            <w:r w:rsidRPr="00497248">
              <w:rPr>
                <w:rFonts w:cs="Times New Roman"/>
                <w:i/>
                <w:sz w:val="16"/>
              </w:rPr>
              <w:t xml:space="preserve"> ассистент) </w:t>
            </w:r>
            <w:r w:rsidR="00965DFC">
              <w:rPr>
                <w:rFonts w:cs="Times New Roman"/>
                <w:i/>
                <w:sz w:val="16"/>
              </w:rPr>
              <w:br/>
            </w:r>
            <w:r w:rsidRPr="00497248">
              <w:rPr>
                <w:rFonts w:cs="Times New Roman"/>
                <w:i/>
                <w:sz w:val="16"/>
              </w:rPr>
              <w:t>(в человеко-месяцах)</w:t>
            </w:r>
            <w:r w:rsidRPr="00965DFC">
              <w:rPr>
                <w:rFonts w:cs="Times New Roman"/>
                <w:i/>
                <w:sz w:val="16"/>
                <w:vertAlign w:val="superscript"/>
              </w:rPr>
              <w:t>b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3103D" w14:textId="1BA8A5DB" w:rsidR="00497248" w:rsidRPr="00497248" w:rsidRDefault="00497248" w:rsidP="00497248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 xml:space="preserve">Прочие людские ресурсы секретариата (РБ + ВБР) </w:t>
            </w:r>
            <w:r w:rsidR="00965DFC">
              <w:rPr>
                <w:rFonts w:cs="Times New Roman"/>
                <w:i/>
                <w:sz w:val="16"/>
              </w:rPr>
              <w:br/>
            </w:r>
            <w:r w:rsidRPr="00497248">
              <w:rPr>
                <w:rFonts w:cs="Times New Roman"/>
                <w:i/>
                <w:sz w:val="16"/>
              </w:rPr>
              <w:t>в человеко-месяцах</w:t>
            </w:r>
          </w:p>
        </w:tc>
      </w:tr>
      <w:tr w:rsidR="00497248" w:rsidRPr="00497248" w14:paraId="5103F2FA" w14:textId="77777777" w:rsidTr="001E7BBA">
        <w:trPr>
          <w:cantSplit/>
          <w:tblHeader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349559" w14:textId="77777777" w:rsidR="00D320B5" w:rsidRPr="00497248" w:rsidRDefault="00D320B5" w:rsidP="0049724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40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522DA9" w14:textId="77777777" w:rsidR="00D320B5" w:rsidRPr="00497248" w:rsidRDefault="00D320B5" w:rsidP="0049724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164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6AE53F4" w14:textId="77777777" w:rsidR="00D320B5" w:rsidRPr="00497248" w:rsidRDefault="00D320B5" w:rsidP="00497248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D7B440" w14:textId="77777777" w:rsidR="00D320B5" w:rsidRPr="00497248" w:rsidRDefault="00D320B5" w:rsidP="00965DFC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С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AB16D" w14:textId="77777777" w:rsidR="00D320B5" w:rsidRPr="00497248" w:rsidRDefault="00D320B5" w:rsidP="00965DFC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ОО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4EE56296" w14:textId="77777777" w:rsidR="00D320B5" w:rsidRPr="00497248" w:rsidRDefault="00D320B5" w:rsidP="00965DFC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497248">
              <w:rPr>
                <w:rFonts w:cs="Times New Roman"/>
                <w:i/>
                <w:sz w:val="16"/>
              </w:rPr>
              <w:t>С</w:t>
            </w:r>
          </w:p>
        </w:tc>
      </w:tr>
      <w:tr w:rsidR="00497248" w:rsidRPr="00497248" w14:paraId="3307BBED" w14:textId="77777777" w:rsidTr="003A6DC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A80759" w14:textId="77777777" w:rsidR="00D320B5" w:rsidRPr="00497248" w:rsidRDefault="00D320B5" w:rsidP="00497248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497248">
              <w:rPr>
                <w:rFonts w:cs="Times New Roman"/>
                <w:b/>
                <w:bCs/>
                <w:sz w:val="18"/>
              </w:rPr>
              <w:t>2021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EB1A8" w14:textId="7D7DE970" w:rsidR="00D320B5" w:rsidRPr="00497248" w:rsidRDefault="00D320B5" w:rsidP="00016C8C">
            <w:pPr>
              <w:tabs>
                <w:tab w:val="left" w:pos="366"/>
              </w:tabs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497248">
              <w:rPr>
                <w:rFonts w:cs="Times New Roman"/>
                <w:sz w:val="18"/>
              </w:rPr>
              <w:t xml:space="preserve">II. </w:t>
            </w:r>
            <w:r w:rsidR="00016C8C">
              <w:rPr>
                <w:rFonts w:cs="Times New Roman"/>
                <w:sz w:val="18"/>
              </w:rPr>
              <w:tab/>
            </w:r>
            <w:r w:rsidRPr="00497248">
              <w:rPr>
                <w:rFonts w:cs="Times New Roman"/>
                <w:sz w:val="18"/>
              </w:rPr>
              <w:t xml:space="preserve">Соблюдение и осуществление Конвенции и Протокола (С) </w:t>
            </w:r>
          </w:p>
          <w:p w14:paraId="16624915" w14:textId="420B9B69" w:rsidR="00D320B5" w:rsidRPr="00497248" w:rsidRDefault="00D320B5" w:rsidP="00016C8C">
            <w:pPr>
              <w:tabs>
                <w:tab w:val="left" w:pos="366"/>
              </w:tabs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497248">
              <w:rPr>
                <w:rFonts w:cs="Times New Roman"/>
                <w:sz w:val="18"/>
              </w:rPr>
              <w:t xml:space="preserve">III. </w:t>
            </w:r>
            <w:r w:rsidR="00016C8C">
              <w:rPr>
                <w:rFonts w:cs="Times New Roman"/>
                <w:sz w:val="18"/>
              </w:rPr>
              <w:tab/>
            </w:r>
            <w:r w:rsidRPr="00497248">
              <w:rPr>
                <w:rFonts w:cs="Times New Roman"/>
                <w:sz w:val="18"/>
              </w:rPr>
              <w:t>Содействие практическому применению Протокола и/или Конвенции (A</w:t>
            </w:r>
            <w:r w:rsidR="003A6DC6">
              <w:rPr>
                <w:rFonts w:cs="Times New Roman"/>
                <w:sz w:val="18"/>
              </w:rPr>
              <w:t xml:space="preserve"> </w:t>
            </w:r>
            <w:r w:rsidRPr="00497248">
              <w:rPr>
                <w:rFonts w:cs="Times New Roman"/>
                <w:sz w:val="18"/>
              </w:rPr>
              <w:t>+</w:t>
            </w:r>
            <w:r w:rsidR="003A6DC6">
              <w:rPr>
                <w:rFonts w:cs="Times New Roman"/>
                <w:sz w:val="18"/>
              </w:rPr>
              <w:t xml:space="preserve"> </w:t>
            </w:r>
            <w:r w:rsidRPr="00497248">
              <w:rPr>
                <w:rFonts w:cs="Times New Roman"/>
                <w:sz w:val="18"/>
              </w:rPr>
              <w:t xml:space="preserve">C)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A764E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979B5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7EF9C2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05BA0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97248" w:rsidRPr="00016C8C" w14:paraId="31CEB1B2" w14:textId="77777777" w:rsidTr="003A6DC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52C8" w14:textId="77777777" w:rsidR="00D320B5" w:rsidRPr="00016C8C" w:rsidRDefault="00D320B5" w:rsidP="00016C8C">
            <w:pPr>
              <w:spacing w:before="80" w:after="80" w:line="220" w:lineRule="exact"/>
              <w:ind w:left="28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919AC5" w14:textId="790975B6" w:rsidR="00D320B5" w:rsidRPr="00016C8C" w:rsidRDefault="00016C8C" w:rsidP="00016C8C">
            <w:pPr>
              <w:tabs>
                <w:tab w:val="left" w:pos="354"/>
              </w:tabs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</w:rPr>
              <w:tab/>
            </w:r>
            <w:r w:rsidR="00D320B5" w:rsidRPr="00016C8C">
              <w:rPr>
                <w:rFonts w:cs="Times New Roman"/>
                <w:b/>
                <w:sz w:val="18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B68C8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664 007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FAC2D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10,5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1D2D5E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10,5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621BBB" w14:textId="254DF14C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1</w:t>
            </w:r>
            <w:r w:rsidR="00AB6E36" w:rsidRPr="00016C8C">
              <w:rPr>
                <w:rFonts w:cs="Times New Roman"/>
                <w:b/>
                <w:sz w:val="18"/>
              </w:rPr>
              <w:t xml:space="preserve"> </w:t>
            </w:r>
          </w:p>
        </w:tc>
      </w:tr>
      <w:tr w:rsidR="00497248" w:rsidRPr="00497248" w14:paraId="4036F5A6" w14:textId="77777777" w:rsidTr="003A6DC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3CE8E" w14:textId="77777777" w:rsidR="00D320B5" w:rsidRPr="00497248" w:rsidRDefault="00D320B5" w:rsidP="00497248">
            <w:pPr>
              <w:spacing w:before="40" w:after="40" w:line="220" w:lineRule="exact"/>
              <w:rPr>
                <w:rFonts w:cs="Times New Roman"/>
                <w:b/>
                <w:sz w:val="18"/>
                <w:szCs w:val="18"/>
              </w:rPr>
            </w:pPr>
            <w:r w:rsidRPr="00497248">
              <w:rPr>
                <w:rFonts w:cs="Times New Roman"/>
                <w:b/>
                <w:bCs/>
                <w:sz w:val="18"/>
              </w:rPr>
              <w:lastRenderedPageBreak/>
              <w:t>2022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981613" w14:textId="32558F3D" w:rsidR="00D320B5" w:rsidRPr="00497248" w:rsidRDefault="00D320B5" w:rsidP="00016C8C">
            <w:pPr>
              <w:tabs>
                <w:tab w:val="left" w:pos="419"/>
              </w:tabs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497248">
              <w:rPr>
                <w:rFonts w:cs="Times New Roman"/>
                <w:sz w:val="18"/>
              </w:rPr>
              <w:t xml:space="preserve">III. </w:t>
            </w:r>
            <w:r w:rsidR="00016C8C">
              <w:rPr>
                <w:rFonts w:cs="Times New Roman"/>
                <w:sz w:val="18"/>
              </w:rPr>
              <w:tab/>
            </w:r>
            <w:r w:rsidRPr="00497248">
              <w:rPr>
                <w:rFonts w:cs="Times New Roman"/>
                <w:sz w:val="18"/>
              </w:rPr>
              <w:t xml:space="preserve">Содействие практическому применению Протокола и/или Конвенции (A + B)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38D61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377BD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355BA9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0A3F9B" w14:textId="77777777" w:rsidR="00D320B5" w:rsidRPr="00497248" w:rsidRDefault="00D320B5" w:rsidP="00497248">
            <w:pPr>
              <w:spacing w:before="40" w:after="40" w:line="220" w:lineRule="exact"/>
              <w:jc w:val="righ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97248" w:rsidRPr="00016C8C" w14:paraId="607DAB0F" w14:textId="77777777" w:rsidTr="003A6DC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AC111" w14:textId="77777777" w:rsidR="00D320B5" w:rsidRPr="00016C8C" w:rsidRDefault="00D320B5" w:rsidP="00016C8C">
            <w:pPr>
              <w:spacing w:before="80" w:after="80" w:line="220" w:lineRule="exact"/>
              <w:ind w:left="283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4D61E5" w14:textId="7AF5B436" w:rsidR="00D320B5" w:rsidRPr="00016C8C" w:rsidRDefault="00016C8C" w:rsidP="00016C8C">
            <w:pPr>
              <w:tabs>
                <w:tab w:val="left" w:pos="419"/>
              </w:tabs>
              <w:spacing w:before="80" w:after="8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D320B5" w:rsidRPr="00016C8C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17B4A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016C8C">
              <w:rPr>
                <w:rFonts w:cs="Times New Roman"/>
                <w:b/>
                <w:bCs/>
                <w:sz w:val="18"/>
              </w:rPr>
              <w:t>402 795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38B58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016C8C">
              <w:rPr>
                <w:rFonts w:cs="Times New Roman"/>
                <w:b/>
                <w:bCs/>
                <w:sz w:val="18"/>
              </w:rPr>
              <w:t>10,5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95710F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016C8C">
              <w:rPr>
                <w:rFonts w:cs="Times New Roman"/>
                <w:b/>
                <w:bCs/>
                <w:sz w:val="18"/>
              </w:rPr>
              <w:t>10,5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1F07DE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016C8C">
              <w:rPr>
                <w:rFonts w:cs="Times New Roman"/>
                <w:b/>
                <w:bCs/>
                <w:sz w:val="18"/>
              </w:rPr>
              <w:t xml:space="preserve">1 </w:t>
            </w:r>
          </w:p>
        </w:tc>
      </w:tr>
      <w:tr w:rsidR="00497248" w:rsidRPr="00016C8C" w14:paraId="7472E8B1" w14:textId="77777777" w:rsidTr="00016C8C">
        <w:trPr>
          <w:cantSplit/>
        </w:trPr>
        <w:tc>
          <w:tcPr>
            <w:tcW w:w="46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184F5E" w14:textId="1534B7E7" w:rsidR="00D320B5" w:rsidRPr="00016C8C" w:rsidRDefault="00697356" w:rsidP="00CA56C1">
            <w:pPr>
              <w:tabs>
                <w:tab w:val="left" w:pos="996"/>
              </w:tabs>
              <w:spacing w:before="80" w:after="80" w:line="220" w:lineRule="exact"/>
              <w:ind w:left="996" w:hanging="7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</w:rPr>
              <w:tab/>
            </w:r>
            <w:r w:rsidR="00D320B5" w:rsidRPr="00016C8C">
              <w:rPr>
                <w:rFonts w:cs="Times New Roman"/>
                <w:b/>
                <w:sz w:val="18"/>
              </w:rPr>
              <w:t xml:space="preserve">Всего внебюджетных ресурсов на 2021 и </w:t>
            </w:r>
            <w:r>
              <w:rPr>
                <w:rFonts w:cs="Times New Roman"/>
                <w:b/>
                <w:sz w:val="18"/>
              </w:rPr>
              <w:br/>
            </w:r>
            <w:r w:rsidR="00D320B5" w:rsidRPr="00016C8C">
              <w:rPr>
                <w:rFonts w:cs="Times New Roman"/>
                <w:b/>
                <w:sz w:val="18"/>
              </w:rPr>
              <w:t>2022 годы (на осуществление деятельности и кадровое обеспечение)</w:t>
            </w:r>
            <w:r w:rsidR="00AB6E36" w:rsidRPr="00016C8C">
              <w:rPr>
                <w:rFonts w:cs="Times New Roman"/>
                <w:b/>
                <w:sz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998B9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1 066 802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54C74D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42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6EA380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8326C3" w14:textId="77777777" w:rsidR="00D320B5" w:rsidRPr="00016C8C" w:rsidRDefault="00D320B5" w:rsidP="00016C8C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016C8C">
              <w:rPr>
                <w:rFonts w:cs="Times New Roman"/>
                <w:b/>
                <w:sz w:val="18"/>
              </w:rPr>
              <w:t>2</w:t>
            </w:r>
          </w:p>
        </w:tc>
      </w:tr>
    </w:tbl>
    <w:p w14:paraId="7755D70B" w14:textId="75D8D414" w:rsidR="00D320B5" w:rsidRPr="00016C8C" w:rsidRDefault="00D320B5" w:rsidP="00016C8C">
      <w:pPr>
        <w:pStyle w:val="SingleTxtG"/>
        <w:spacing w:before="120" w:after="0" w:line="220" w:lineRule="exact"/>
        <w:ind w:right="0" w:firstLine="142"/>
        <w:jc w:val="left"/>
        <w:rPr>
          <w:sz w:val="18"/>
          <w:szCs w:val="18"/>
        </w:rPr>
      </w:pPr>
      <w:r w:rsidRPr="00016C8C">
        <w:rPr>
          <w:i/>
          <w:iCs/>
          <w:sz w:val="18"/>
          <w:szCs w:val="18"/>
          <w:vertAlign w:val="superscript"/>
        </w:rPr>
        <w:t>а</w:t>
      </w:r>
      <w:r w:rsidRPr="00016C8C">
        <w:rPr>
          <w:sz w:val="18"/>
          <w:szCs w:val="18"/>
        </w:rPr>
        <w:t xml:space="preserve"> </w:t>
      </w:r>
      <w:r w:rsidR="00016C8C">
        <w:rPr>
          <w:sz w:val="18"/>
          <w:szCs w:val="18"/>
        </w:rPr>
        <w:t xml:space="preserve"> </w:t>
      </w:r>
      <w:r w:rsidRPr="00016C8C">
        <w:rPr>
          <w:sz w:val="18"/>
          <w:szCs w:val="18"/>
        </w:rPr>
        <w:t>«Европейский союз за окружающую среду» («EU4Environment») — финансируемый Европейским союзом региональный многосторонний проект, рассчитанный на период с 2019 по 2022 год. Общий объем финансирования Европейским союзом компонента ЕЭК по оценке воздействия на окружающую среду составляет 2 384 687 евро, или приблизительно 2 579 670 долл. США (по обменному курсу на декабрь 2019 года). Финансирование регулируется применимыми в рамках проекта процедурами.</w:t>
      </w:r>
    </w:p>
    <w:p w14:paraId="60F80508" w14:textId="583E8D97" w:rsidR="00D320B5" w:rsidRPr="00016C8C" w:rsidRDefault="00D320B5" w:rsidP="00016C8C">
      <w:pPr>
        <w:pStyle w:val="SingleTxtG"/>
        <w:spacing w:after="0" w:line="220" w:lineRule="exact"/>
        <w:ind w:right="0" w:firstLine="142"/>
        <w:jc w:val="left"/>
        <w:rPr>
          <w:sz w:val="18"/>
          <w:szCs w:val="18"/>
        </w:rPr>
      </w:pPr>
      <w:r w:rsidRPr="00016C8C">
        <w:rPr>
          <w:i/>
          <w:iCs/>
          <w:sz w:val="18"/>
          <w:szCs w:val="18"/>
          <w:vertAlign w:val="superscript"/>
        </w:rPr>
        <w:t>b</w:t>
      </w:r>
      <w:r w:rsidRPr="00016C8C">
        <w:rPr>
          <w:sz w:val="18"/>
          <w:szCs w:val="18"/>
        </w:rPr>
        <w:t xml:space="preserve"> </w:t>
      </w:r>
      <w:r w:rsidR="00016C8C">
        <w:rPr>
          <w:sz w:val="18"/>
          <w:szCs w:val="18"/>
        </w:rPr>
        <w:t xml:space="preserve"> </w:t>
      </w:r>
      <w:r w:rsidRPr="00016C8C">
        <w:rPr>
          <w:sz w:val="18"/>
          <w:szCs w:val="18"/>
        </w:rPr>
        <w:t>Одна должность (сотрудника категории специалистов или категории общего обслуживания) в</w:t>
      </w:r>
      <w:r w:rsidR="00016C8C">
        <w:rPr>
          <w:sz w:val="18"/>
          <w:szCs w:val="18"/>
        </w:rPr>
        <w:t> </w:t>
      </w:r>
      <w:r w:rsidRPr="00016C8C">
        <w:rPr>
          <w:sz w:val="18"/>
          <w:szCs w:val="18"/>
        </w:rPr>
        <w:t>трудозатратах эквивалентна 10,5 человеко-месяца в год или в 31,5 человеко-месяца за трехлетний период.</w:t>
      </w:r>
    </w:p>
    <w:p w14:paraId="18406938" w14:textId="7A113EB1" w:rsidR="00E77FA5" w:rsidRDefault="00E77FA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6D2AF1A" w14:textId="77777777" w:rsidR="00E77FA5" w:rsidRPr="0092432D" w:rsidRDefault="00E77FA5" w:rsidP="00E77FA5">
      <w:pPr>
        <w:pStyle w:val="HChG"/>
      </w:pPr>
      <w:bookmarkStart w:id="93" w:name="_Hlk34209124"/>
      <w:r>
        <w:rPr>
          <w:bCs/>
        </w:rPr>
        <w:lastRenderedPageBreak/>
        <w:t>Приложение III</w:t>
      </w:r>
      <w:bookmarkStart w:id="94" w:name="_Hlk34048008"/>
    </w:p>
    <w:p w14:paraId="7B9430A4" w14:textId="7C00A585" w:rsidR="00E77FA5" w:rsidRPr="0092432D" w:rsidRDefault="00E77FA5" w:rsidP="00E77FA5">
      <w:pPr>
        <w:pStyle w:val="HChG"/>
        <w:rPr>
          <w:szCs w:val="24"/>
        </w:rPr>
      </w:pPr>
      <w:r>
        <w:tab/>
      </w:r>
      <w:r>
        <w:tab/>
      </w:r>
      <w:r w:rsidRPr="00561F6B">
        <w:rPr>
          <w:bCs/>
        </w:rPr>
        <w:t xml:space="preserve">Виды деятельности, требующие дополнительных ресурсов, включая кадровое обеспечение секретариата, для осуществления в период 2021–2023 годов, </w:t>
      </w:r>
      <w:r w:rsidR="00A25693">
        <w:rPr>
          <w:bCs/>
        </w:rPr>
        <w:br/>
      </w:r>
      <w:r w:rsidRPr="00561F6B">
        <w:rPr>
          <w:bCs/>
        </w:rPr>
        <w:t>при условии выделения ресурсов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188"/>
        <w:gridCol w:w="1269"/>
        <w:gridCol w:w="930"/>
        <w:gridCol w:w="991"/>
      </w:tblGrid>
      <w:tr w:rsidR="00016C8C" w:rsidRPr="00016C8C" w14:paraId="22A0E881" w14:textId="77777777" w:rsidTr="003A6DC6">
        <w:trPr>
          <w:trHeight w:val="1123"/>
          <w:tblHeader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93"/>
          <w:bookmarkEnd w:id="94"/>
          <w:p w14:paraId="4972CC94" w14:textId="77777777" w:rsidR="00016C8C" w:rsidRPr="00016C8C" w:rsidRDefault="00016C8C" w:rsidP="003A6DC6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016C8C">
              <w:rPr>
                <w:i/>
                <w:sz w:val="16"/>
              </w:rPr>
              <w:t>Область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1F307E" w14:textId="6A9B2F3B" w:rsidR="00016C8C" w:rsidRPr="00016C8C" w:rsidRDefault="00016C8C" w:rsidP="003A6DC6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016C8C">
              <w:rPr>
                <w:i/>
                <w:sz w:val="16"/>
              </w:rPr>
              <w:t>Мероприятия, страны-руководители/</w:t>
            </w:r>
            <w:r w:rsidR="00CA56C1">
              <w:rPr>
                <w:i/>
                <w:sz w:val="16"/>
              </w:rPr>
              <w:br/>
            </w:r>
            <w:r w:rsidRPr="00016C8C">
              <w:rPr>
                <w:i/>
                <w:sz w:val="16"/>
              </w:rPr>
              <w:t>поддерживающие страны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942CBC" w14:textId="45D26C0E" w:rsidR="00016C8C" w:rsidRPr="00016C8C" w:rsidRDefault="00016C8C" w:rsidP="003A6DC6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016C8C">
              <w:rPr>
                <w:i/>
                <w:sz w:val="16"/>
              </w:rPr>
              <w:t xml:space="preserve">Первоначальная смета внебюджетных финансовых ресурсов (наличными </w:t>
            </w:r>
            <w:r w:rsidR="003A6DC6">
              <w:rPr>
                <w:i/>
                <w:sz w:val="16"/>
              </w:rPr>
              <w:br/>
            </w:r>
            <w:r w:rsidRPr="00016C8C">
              <w:rPr>
                <w:i/>
                <w:sz w:val="16"/>
              </w:rPr>
              <w:t xml:space="preserve">и в натуральной форме, в долл. США) </w:t>
            </w:r>
            <w:bookmarkStart w:id="95" w:name="_Hlk32167078"/>
          </w:p>
        </w:tc>
        <w:bookmarkEnd w:id="95"/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515C5" w14:textId="3488355F" w:rsidR="00016C8C" w:rsidRPr="00016C8C" w:rsidRDefault="00016C8C" w:rsidP="003A6DC6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016C8C">
              <w:rPr>
                <w:i/>
                <w:sz w:val="16"/>
              </w:rPr>
              <w:t xml:space="preserve">Финансируемые из ВБР людские ресурсы, необходимые для поддержки осуществления деятельности </w:t>
            </w:r>
            <w:r w:rsidR="003A6DC6">
              <w:rPr>
                <w:i/>
                <w:sz w:val="16"/>
              </w:rPr>
              <w:br/>
            </w:r>
            <w:r w:rsidRPr="00016C8C">
              <w:rPr>
                <w:i/>
                <w:sz w:val="16"/>
              </w:rPr>
              <w:t>(в человеко-месяцах)</w:t>
            </w:r>
          </w:p>
        </w:tc>
      </w:tr>
      <w:tr w:rsidR="00E77FA5" w:rsidRPr="00016C8C" w14:paraId="502B4BB0" w14:textId="77777777" w:rsidTr="003A6DC6">
        <w:trPr>
          <w:tblHeader/>
        </w:trPr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5F4928" w14:textId="77777777" w:rsidR="00E77FA5" w:rsidRPr="00016C8C" w:rsidRDefault="00E77FA5" w:rsidP="003A6DC6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318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864E02" w14:textId="77777777" w:rsidR="00E77FA5" w:rsidRPr="00016C8C" w:rsidRDefault="00E77FA5" w:rsidP="003A6DC6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6B91B2" w14:textId="77777777" w:rsidR="00E77FA5" w:rsidRPr="00016C8C" w:rsidRDefault="00E77FA5" w:rsidP="003A6DC6">
            <w:pPr>
              <w:spacing w:before="40" w:after="120"/>
              <w:ind w:right="113"/>
              <w:rPr>
                <w:i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C133E0" w14:textId="77777777" w:rsidR="00E77FA5" w:rsidRPr="00016C8C" w:rsidRDefault="00E77FA5" w:rsidP="003A6DC6">
            <w:pPr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016C8C">
              <w:rPr>
                <w:i/>
                <w:sz w:val="16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F00CE3" w14:textId="77777777" w:rsidR="00E77FA5" w:rsidRPr="00016C8C" w:rsidRDefault="00E77FA5" w:rsidP="003A6DC6">
            <w:pPr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016C8C">
              <w:rPr>
                <w:i/>
                <w:sz w:val="16"/>
              </w:rPr>
              <w:t>ОО</w:t>
            </w:r>
          </w:p>
        </w:tc>
      </w:tr>
      <w:tr w:rsidR="00E77FA5" w:rsidRPr="00850186" w14:paraId="4E4B680E" w14:textId="77777777" w:rsidTr="00016C8C">
        <w:tc>
          <w:tcPr>
            <w:tcW w:w="53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037615" w14:textId="77777777" w:rsidR="00E77FA5" w:rsidRPr="00850186" w:rsidRDefault="00E77FA5" w:rsidP="003A6DC6">
            <w:pPr>
              <w:spacing w:line="120" w:lineRule="exact"/>
              <w:ind w:right="113"/>
            </w:pPr>
          </w:p>
        </w:tc>
        <w:tc>
          <w:tcPr>
            <w:tcW w:w="31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7D5C09F" w14:textId="77777777" w:rsidR="00E77FA5" w:rsidRPr="00850186" w:rsidRDefault="00E77FA5" w:rsidP="003A6DC6">
            <w:pPr>
              <w:spacing w:line="120" w:lineRule="exact"/>
              <w:ind w:right="113"/>
            </w:pPr>
          </w:p>
        </w:tc>
      </w:tr>
      <w:tr w:rsidR="00E77FA5" w:rsidRPr="00A25693" w14:paraId="68CA2D7F" w14:textId="77777777" w:rsidTr="00016C8C">
        <w:tc>
          <w:tcPr>
            <w:tcW w:w="5314" w:type="dxa"/>
            <w:gridSpan w:val="2"/>
            <w:shd w:val="clear" w:color="auto" w:fill="auto"/>
          </w:tcPr>
          <w:p w14:paraId="3DE3C830" w14:textId="76538CE5" w:rsidR="00E77FA5" w:rsidRPr="00A25693" w:rsidRDefault="00E77FA5" w:rsidP="00697356">
            <w:pPr>
              <w:tabs>
                <w:tab w:val="left" w:pos="395"/>
              </w:tabs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III.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="00A25693"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Субрегиональное сотрудничество и укрепление потенциала</w:t>
            </w:r>
          </w:p>
        </w:tc>
        <w:tc>
          <w:tcPr>
            <w:tcW w:w="1269" w:type="dxa"/>
            <w:shd w:val="clear" w:color="auto" w:fill="auto"/>
          </w:tcPr>
          <w:p w14:paraId="6683B0E0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6525809A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6AC37E1E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  <w:tr w:rsidR="00E77FA5" w:rsidRPr="00A25693" w14:paraId="6734B28B" w14:textId="77777777" w:rsidTr="00016C8C">
        <w:tc>
          <w:tcPr>
            <w:tcW w:w="5314" w:type="dxa"/>
            <w:gridSpan w:val="2"/>
            <w:shd w:val="clear" w:color="auto" w:fill="auto"/>
          </w:tcPr>
          <w:p w14:paraId="2F4050DB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Юго-Восточная Европа</w:t>
            </w:r>
          </w:p>
        </w:tc>
        <w:tc>
          <w:tcPr>
            <w:tcW w:w="1269" w:type="dxa"/>
            <w:shd w:val="clear" w:color="auto" w:fill="auto"/>
          </w:tcPr>
          <w:p w14:paraId="516AB4BA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05A4353E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079B2DB2" w14:textId="77777777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</w:tr>
      <w:tr w:rsidR="00E77FA5" w:rsidRPr="00A25693" w14:paraId="5BDC9192" w14:textId="77777777" w:rsidTr="00A25693">
        <w:tc>
          <w:tcPr>
            <w:tcW w:w="2126" w:type="dxa"/>
            <w:shd w:val="clear" w:color="auto" w:fill="auto"/>
          </w:tcPr>
          <w:p w14:paraId="6BB27721" w14:textId="67CEEF43" w:rsidR="00E77FA5" w:rsidRPr="00A25693" w:rsidRDefault="00E77FA5" w:rsidP="00697356">
            <w:pPr>
              <w:tabs>
                <w:tab w:val="left" w:pos="378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="00A25693"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Совещание Сторон Бухарестского соглашения</w:t>
            </w:r>
          </w:p>
        </w:tc>
        <w:tc>
          <w:tcPr>
            <w:tcW w:w="3188" w:type="dxa"/>
            <w:shd w:val="clear" w:color="auto" w:fill="auto"/>
          </w:tcPr>
          <w:p w14:paraId="389117C3" w14:textId="266C9E05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 xml:space="preserve">Ответственный(ые) орган(ы): Румыния в качестве депозитария Бухарестского соглашения, возможно, совместно с другой страной-руководителем </w:t>
            </w:r>
          </w:p>
          <w:p w14:paraId="31496789" w14:textId="2FF6EB5A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Деятельность: организация первого совещания Сторон Бухарестского соглашения. Подробности и сроки будут определены позднее</w:t>
            </w:r>
          </w:p>
          <w:p w14:paraId="6815C87C" w14:textId="2EAFA4C0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Потребности в ресурсах: примерно</w:t>
            </w:r>
            <w:r w:rsidR="00AB6E36"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Pr="00A25693">
              <w:rPr>
                <w:rFonts w:cs="Times New Roman"/>
                <w:sz w:val="18"/>
                <w:szCs w:val="18"/>
              </w:rPr>
              <w:t xml:space="preserve">40 000 долл. США на </w:t>
            </w:r>
            <w:r w:rsidR="003A6DC6">
              <w:rPr>
                <w:rFonts w:cs="Times New Roman"/>
                <w:sz w:val="18"/>
                <w:szCs w:val="18"/>
              </w:rPr>
              <w:t>двух</w:t>
            </w:r>
            <w:r w:rsidRPr="00A25693">
              <w:rPr>
                <w:rFonts w:cs="Times New Roman"/>
                <w:sz w:val="18"/>
                <w:szCs w:val="18"/>
              </w:rPr>
              <w:t>дневное мероприятие для 2–3 человек/страну; или взносы в натуральной форме от принимающей страны и, возможно, других стран-руководителей, а также, в случае необходимости, ресурсы секретариата в поддержку этого мероприятия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6B93575" w14:textId="77777777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 xml:space="preserve">40 000 </w:t>
            </w:r>
          </w:p>
          <w:p w14:paraId="2A449F60" w14:textId="77777777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(или в натуральной форме)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A2DF7F" w14:textId="77777777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7464D8C2" w14:textId="77777777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1,5</w:t>
            </w:r>
          </w:p>
        </w:tc>
      </w:tr>
      <w:tr w:rsidR="00E77FA5" w:rsidRPr="00A25693" w14:paraId="05C65774" w14:textId="77777777" w:rsidTr="00A25693">
        <w:tc>
          <w:tcPr>
            <w:tcW w:w="2126" w:type="dxa"/>
            <w:shd w:val="clear" w:color="auto" w:fill="auto"/>
          </w:tcPr>
          <w:p w14:paraId="37C97B10" w14:textId="08BDD9A7" w:rsidR="00E77FA5" w:rsidRPr="00A25693" w:rsidRDefault="00E77FA5" w:rsidP="00697356">
            <w:pPr>
              <w:tabs>
                <w:tab w:val="left" w:pos="378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2.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="00A25693"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Создание потенциала для осуществления Бухарестского соглашения</w:t>
            </w:r>
          </w:p>
        </w:tc>
        <w:tc>
          <w:tcPr>
            <w:tcW w:w="3188" w:type="dxa"/>
            <w:shd w:val="clear" w:color="auto" w:fill="auto"/>
          </w:tcPr>
          <w:p w14:paraId="3D073EE7" w14:textId="2350376A" w:rsidR="00E77FA5" w:rsidRPr="00A25693" w:rsidRDefault="00E77FA5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 xml:space="preserve">Субрегиональная инициатива, предложенная Черногорией (и на настоящий момент поддержанная Албанией, Северной Македонией и Сербией) и направленная на улучшение осуществления Бухарестского соглашения, Конвенции и Протокола к ней в трансграничном контексте между Сторонами Бухарестского соглашения (и другими странами субрегиона Юго-Восточной Европы) 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5A0502DA" w14:textId="30CD5BCB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0D4B4FD2" w14:textId="4FFE51AE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1D41F0FA" w14:textId="00064CE8" w:rsidR="00E77FA5" w:rsidRPr="00A25693" w:rsidRDefault="00E77FA5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A6DC6" w:rsidRPr="00A25693" w14:paraId="6AA2BF78" w14:textId="77777777" w:rsidTr="00A25693">
        <w:tc>
          <w:tcPr>
            <w:tcW w:w="2126" w:type="dxa"/>
            <w:shd w:val="clear" w:color="auto" w:fill="auto"/>
          </w:tcPr>
          <w:p w14:paraId="23A6823A" w14:textId="77777777" w:rsidR="003A6DC6" w:rsidRPr="00A25693" w:rsidRDefault="003A6DC6" w:rsidP="00697356">
            <w:pPr>
              <w:keepNext/>
              <w:keepLines/>
              <w:tabs>
                <w:tab w:val="left" w:pos="378"/>
              </w:tabs>
              <w:spacing w:before="40" w:after="40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shd w:val="clear" w:color="auto" w:fill="auto"/>
          </w:tcPr>
          <w:p w14:paraId="425CA4D1" w14:textId="576A92EE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 xml:space="preserve">Предлагаемая деятельность включает создание секретариата для координации осуществления Бухарестского соглашения, обмен примерами надлежащей практики и разработку и осуществление деятельности по созданию потенциала, включая учебные рабочие совещания, например, для 5 стран (25 000 долл. США) и пилотные проекты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A25693">
              <w:rPr>
                <w:rFonts w:cs="Times New Roman"/>
                <w:sz w:val="18"/>
                <w:szCs w:val="18"/>
              </w:rPr>
              <w:t>(85 000–100 000 долл. США)</w:t>
            </w:r>
          </w:p>
          <w:p w14:paraId="45DEC12A" w14:textId="2E93A1DC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Виды деятельности, сроки и условия осуществления будут определены позднее. Черногория предложила возможное сотрудничество с Организацией по безопасности и сотрудничеству в Европе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DA536C9" w14:textId="51474872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750 000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337E49" w14:textId="6A906D61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50807203" w14:textId="5D6A6F5B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3A6DC6" w:rsidRPr="00A25693" w14:paraId="4B7BD6B3" w14:textId="77777777" w:rsidTr="00016C8C">
        <w:tc>
          <w:tcPr>
            <w:tcW w:w="8504" w:type="dxa"/>
            <w:gridSpan w:val="5"/>
            <w:shd w:val="clear" w:color="auto" w:fill="auto"/>
          </w:tcPr>
          <w:p w14:paraId="2515AC33" w14:textId="77777777" w:rsidR="003A6DC6" w:rsidRPr="00A25693" w:rsidRDefault="003A6DC6" w:rsidP="00697356">
            <w:pPr>
              <w:tabs>
                <w:tab w:val="left" w:pos="355"/>
              </w:tabs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V.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Содействие практическому применению Протокола и/или Конвенции</w:t>
            </w:r>
          </w:p>
        </w:tc>
      </w:tr>
      <w:tr w:rsidR="003A6DC6" w:rsidRPr="00A25693" w14:paraId="793931B7" w14:textId="77777777" w:rsidTr="00A25693">
        <w:tc>
          <w:tcPr>
            <w:tcW w:w="2126" w:type="dxa"/>
            <w:shd w:val="clear" w:color="auto" w:fill="auto"/>
          </w:tcPr>
          <w:p w14:paraId="68E87761" w14:textId="77777777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Центральная Азия</w:t>
            </w:r>
          </w:p>
        </w:tc>
        <w:tc>
          <w:tcPr>
            <w:tcW w:w="3188" w:type="dxa"/>
            <w:shd w:val="clear" w:color="auto" w:fill="auto"/>
          </w:tcPr>
          <w:p w14:paraId="3938A2B9" w14:textId="70B52FE3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Деятельность по укреплению потенциала в 5 республиках Центральной Азии в поддержку осуществления и ратификации Протокола и/или Конвенции. На основе предоставленной ранее помощи в области законодательства</w:t>
            </w:r>
          </w:p>
          <w:p w14:paraId="4CC76EEB" w14:textId="71FB15CB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Учебные практикумы (25 000 долл.) и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Pr="00A25693">
              <w:rPr>
                <w:rFonts w:cs="Times New Roman"/>
                <w:sz w:val="18"/>
                <w:szCs w:val="18"/>
              </w:rPr>
              <w:t xml:space="preserve">пилотные проекты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A25693">
              <w:rPr>
                <w:rFonts w:cs="Times New Roman"/>
                <w:sz w:val="18"/>
                <w:szCs w:val="18"/>
              </w:rPr>
              <w:t>(85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Pr="00A25693">
              <w:rPr>
                <w:rFonts w:cs="Times New Roman"/>
                <w:sz w:val="18"/>
                <w:szCs w:val="18"/>
              </w:rPr>
              <w:t>000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A25693">
              <w:rPr>
                <w:rFonts w:cs="Times New Roman"/>
                <w:sz w:val="18"/>
                <w:szCs w:val="18"/>
              </w:rPr>
              <w:t xml:space="preserve">100 000 долл.) 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19F713CD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750 000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6BF5E90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669B91E7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CA56C1" w:rsidRPr="00A25693" w14:paraId="42B4AFC1" w14:textId="77777777" w:rsidTr="00B4592D"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9325A" w14:textId="55B268EA" w:rsidR="00CA56C1" w:rsidRPr="00A25693" w:rsidRDefault="00CA56C1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 xml:space="preserve">III и V.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Деятельность и кадровые ресурсы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D9656" w14:textId="77777777" w:rsidR="00CA56C1" w:rsidRPr="00A25693" w:rsidRDefault="00CA56C1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</w:p>
          <w:p w14:paraId="27FD53F6" w14:textId="77777777" w:rsidR="00CA56C1" w:rsidRPr="00A25693" w:rsidRDefault="00CA56C1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1 540 000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ABB71" w14:textId="77777777" w:rsidR="00CA56C1" w:rsidRPr="00A25693" w:rsidRDefault="00CA56C1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31,5</w:t>
            </w:r>
          </w:p>
          <w:p w14:paraId="3145A4EF" w14:textId="77777777" w:rsidR="00CA56C1" w:rsidRPr="00A25693" w:rsidRDefault="00CA56C1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(610 000)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53838" w14:textId="77777777" w:rsidR="00CA56C1" w:rsidRPr="00A25693" w:rsidRDefault="00CA56C1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31,5</w:t>
            </w:r>
          </w:p>
          <w:p w14:paraId="29DA9C8E" w14:textId="77777777" w:rsidR="00CA56C1" w:rsidRPr="00A25693" w:rsidRDefault="00CA56C1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(330 000)</w:t>
            </w:r>
          </w:p>
        </w:tc>
      </w:tr>
      <w:tr w:rsidR="003A6DC6" w:rsidRPr="00A25693" w14:paraId="01DA83C2" w14:textId="77777777" w:rsidTr="00A25693"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7537C" w14:textId="77777777" w:rsidR="003A6DC6" w:rsidRPr="00A25693" w:rsidRDefault="003A6DC6" w:rsidP="00697356">
            <w:pPr>
              <w:spacing w:before="40" w:after="40" w:line="220" w:lineRule="exact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Итого по областям III и V: 2 480 000 + 13 % накладных расходов (322 400) = 2 802 400</w:t>
            </w:r>
          </w:p>
        </w:tc>
      </w:tr>
      <w:tr w:rsidR="003A6DC6" w:rsidRPr="00A25693" w14:paraId="4B5DE306" w14:textId="77777777" w:rsidTr="00A25693">
        <w:tc>
          <w:tcPr>
            <w:tcW w:w="85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FD566F" w14:textId="386FB8EB" w:rsidR="003A6DC6" w:rsidRPr="00A25693" w:rsidRDefault="003A6DC6" w:rsidP="00CA56C1">
            <w:pPr>
              <w:tabs>
                <w:tab w:val="left" w:pos="395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VI.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="00CA56C1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Информационно-пропагандистская деятельность</w:t>
            </w:r>
          </w:p>
          <w:p w14:paraId="2FE9B991" w14:textId="77777777" w:rsidR="003A6DC6" w:rsidRPr="003A6DC6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3A6DC6">
              <w:rPr>
                <w:rFonts w:cs="Times New Roman"/>
                <w:sz w:val="18"/>
                <w:szCs w:val="18"/>
              </w:rPr>
              <w:t xml:space="preserve">Цель: повышение осведомленности о Конвенции и Протоколе и присоединении к ним, а также применение их принципов за пределами региона ЕЭК. </w:t>
            </w:r>
          </w:p>
          <w:p w14:paraId="3480C6F8" w14:textId="7E133900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3A6DC6">
              <w:rPr>
                <w:rFonts w:cs="Times New Roman"/>
                <w:sz w:val="18"/>
                <w:szCs w:val="18"/>
              </w:rPr>
              <w:t>Ответственный(ые) орган(ы): секретариат, со странами-руководителями, в консультации с договорными органами.</w:t>
            </w:r>
          </w:p>
        </w:tc>
      </w:tr>
      <w:tr w:rsidR="003A6DC6" w:rsidRPr="00A25693" w14:paraId="78E00A0C" w14:textId="77777777" w:rsidTr="00A25693">
        <w:tc>
          <w:tcPr>
            <w:tcW w:w="2126" w:type="dxa"/>
            <w:shd w:val="clear" w:color="auto" w:fill="auto"/>
          </w:tcPr>
          <w:p w14:paraId="6BDB293B" w14:textId="5C429BD6" w:rsidR="003A6DC6" w:rsidRPr="00A25693" w:rsidRDefault="003A6DC6" w:rsidP="00697356">
            <w:pPr>
              <w:tabs>
                <w:tab w:val="left" w:pos="367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Повышение осведомленности о Конвенции и Протоколе</w:t>
            </w:r>
          </w:p>
        </w:tc>
        <w:tc>
          <w:tcPr>
            <w:tcW w:w="3188" w:type="dxa"/>
            <w:shd w:val="clear" w:color="auto" w:fill="auto"/>
          </w:tcPr>
          <w:p w14:paraId="51C9A449" w14:textId="77777777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 xml:space="preserve">Содействие повышению осведомленности о договорах и их деятельности на глобальных и региональных мероприятиях путем представления докладов и организации заседаний и/или параллельных мероприятий; </w:t>
            </w:r>
          </w:p>
          <w:p w14:paraId="3FB05511" w14:textId="487FF02D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ресурсы для покрытия путевых расходов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ABC5121" w14:textId="77777777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50 000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8144AA" w14:textId="77777777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5B341A41" w14:textId="77777777" w:rsidR="003A6DC6" w:rsidRPr="00A25693" w:rsidRDefault="003A6DC6" w:rsidP="00697356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A6DC6" w:rsidRPr="00A25693" w14:paraId="408DE48C" w14:textId="77777777" w:rsidTr="00A25693">
        <w:tc>
          <w:tcPr>
            <w:tcW w:w="2126" w:type="dxa"/>
            <w:shd w:val="clear" w:color="auto" w:fill="auto"/>
          </w:tcPr>
          <w:p w14:paraId="45EE77C7" w14:textId="02613F88" w:rsidR="003A6DC6" w:rsidRPr="00A25693" w:rsidRDefault="003A6DC6" w:rsidP="00697356">
            <w:pPr>
              <w:keepNext/>
              <w:tabs>
                <w:tab w:val="left" w:pos="367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lastRenderedPageBreak/>
              <w:t>2.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Содействие присоединению</w:t>
            </w:r>
          </w:p>
        </w:tc>
        <w:tc>
          <w:tcPr>
            <w:tcW w:w="3188" w:type="dxa"/>
            <w:shd w:val="clear" w:color="auto" w:fill="auto"/>
          </w:tcPr>
          <w:p w14:paraId="6875EC3A" w14:textId="6F2DC9AF" w:rsidR="003A6DC6" w:rsidRPr="00A25693" w:rsidRDefault="003A6DC6" w:rsidP="00697356">
            <w:pPr>
              <w:keepNext/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Подготовка и перевод информационных материалов, посвященных общим и конкретным вопросам, касающимся присоединения к договорам и их осуществления. Расходы на услуги консультантов в размере приблизительно 25 000 долл. США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EF44C3C" w14:textId="77777777" w:rsidR="003A6DC6" w:rsidRPr="00A25693" w:rsidRDefault="003A6DC6" w:rsidP="00697356">
            <w:pPr>
              <w:keepNext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25 000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1D4122" w14:textId="77777777" w:rsidR="003A6DC6" w:rsidRPr="00A25693" w:rsidRDefault="003A6DC6" w:rsidP="00697356">
            <w:pPr>
              <w:keepNext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76589D0D" w14:textId="77777777" w:rsidR="003A6DC6" w:rsidRPr="00A25693" w:rsidRDefault="003A6DC6" w:rsidP="00697356">
            <w:pPr>
              <w:keepNext/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A6DC6" w:rsidRPr="00A25693" w14:paraId="5B9E451B" w14:textId="77777777" w:rsidTr="00A25693">
        <w:tc>
          <w:tcPr>
            <w:tcW w:w="2126" w:type="dxa"/>
            <w:shd w:val="clear" w:color="auto" w:fill="auto"/>
          </w:tcPr>
          <w:p w14:paraId="1E85AD32" w14:textId="4CBCF958" w:rsidR="003A6DC6" w:rsidRPr="00A25693" w:rsidRDefault="003A6DC6" w:rsidP="00697356">
            <w:pPr>
              <w:tabs>
                <w:tab w:val="left" w:pos="401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3</w:t>
            </w:r>
            <w:r w:rsidRPr="00A25693">
              <w:rPr>
                <w:rFonts w:cs="Times New Roman"/>
                <w:sz w:val="18"/>
                <w:szCs w:val="18"/>
              </w:rPr>
              <w:t xml:space="preserve">. 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Пропаганда преимуществ осуществления договоров и распространение информации о них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14:paraId="095224F1" w14:textId="77777777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Подготовка информационной брошюры для договорных органов о преимуществах Конвенции и Протокола, включая надлежащую практику и тематические исследования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F5FF9DC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25 000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0012B44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17E587FA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A6DC6" w:rsidRPr="00A25693" w14:paraId="5C301D13" w14:textId="77777777" w:rsidTr="00A25693">
        <w:tc>
          <w:tcPr>
            <w:tcW w:w="2126" w:type="dxa"/>
            <w:shd w:val="clear" w:color="auto" w:fill="auto"/>
          </w:tcPr>
          <w:p w14:paraId="61CDFAFE" w14:textId="08B67F69" w:rsidR="003A6DC6" w:rsidRPr="00A25693" w:rsidRDefault="003A6DC6" w:rsidP="00697356">
            <w:pPr>
              <w:tabs>
                <w:tab w:val="left" w:pos="401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Pr="00A25693">
              <w:rPr>
                <w:rFonts w:cs="Times New Roman"/>
                <w:sz w:val="18"/>
                <w:szCs w:val="18"/>
              </w:rPr>
              <w:t xml:space="preserve">. 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Предоставление помощи в области законодательства</w:t>
            </w:r>
          </w:p>
        </w:tc>
        <w:tc>
          <w:tcPr>
            <w:tcW w:w="3188" w:type="dxa"/>
            <w:shd w:val="clear" w:color="auto" w:fill="auto"/>
          </w:tcPr>
          <w:p w14:paraId="3622C87A" w14:textId="18C39A11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Обзоры законодательства и оказание поддержки в разработке правовых документов для приведения национального законодательства в соответствие с Конвенцией и Протоколом (30 000 долл. США) для 5</w:t>
            </w:r>
            <w:r w:rsidR="00AA21ED">
              <w:rPr>
                <w:rFonts w:cs="Times New Roman"/>
                <w:sz w:val="18"/>
                <w:szCs w:val="18"/>
              </w:rPr>
              <w:t> </w:t>
            </w:r>
            <w:r w:rsidRPr="00A25693">
              <w:rPr>
                <w:rFonts w:cs="Times New Roman"/>
                <w:sz w:val="18"/>
                <w:szCs w:val="18"/>
              </w:rPr>
              <w:t>стран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F71C0DE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150 000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00E899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FE841C7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A6DC6" w:rsidRPr="00A25693" w14:paraId="6B7C3C26" w14:textId="77777777" w:rsidTr="00A25693">
        <w:tc>
          <w:tcPr>
            <w:tcW w:w="2126" w:type="dxa"/>
            <w:shd w:val="clear" w:color="auto" w:fill="auto"/>
          </w:tcPr>
          <w:p w14:paraId="3CD83B11" w14:textId="2E4CA0AE" w:rsidR="003A6DC6" w:rsidRPr="00A25693" w:rsidRDefault="003A6DC6" w:rsidP="00697356">
            <w:pPr>
              <w:tabs>
                <w:tab w:val="left" w:pos="424"/>
              </w:tabs>
              <w:spacing w:before="40" w:after="40" w:line="220" w:lineRule="exact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5.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Укрепление потенциала</w:t>
            </w:r>
          </w:p>
        </w:tc>
        <w:tc>
          <w:tcPr>
            <w:tcW w:w="3188" w:type="dxa"/>
            <w:shd w:val="clear" w:color="auto" w:fill="auto"/>
          </w:tcPr>
          <w:p w14:paraId="4E5EDADC" w14:textId="77777777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Содействие эффективному практическому применению Конвенции и Протокола</w:t>
            </w:r>
          </w:p>
          <w:p w14:paraId="27FF020A" w14:textId="4A9F2886" w:rsidR="003A6DC6" w:rsidRPr="00A25693" w:rsidRDefault="003A6DC6" w:rsidP="00697356">
            <w:pPr>
              <w:spacing w:before="40" w:after="40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Учебные практикумы (25 000 долл.) и</w:t>
            </w:r>
            <w:r w:rsidR="00AA21ED">
              <w:rPr>
                <w:rFonts w:cs="Times New Roman"/>
                <w:sz w:val="18"/>
                <w:szCs w:val="18"/>
              </w:rPr>
              <w:t> </w:t>
            </w:r>
            <w:r w:rsidRPr="00A25693">
              <w:rPr>
                <w:rFonts w:cs="Times New Roman"/>
                <w:sz w:val="18"/>
                <w:szCs w:val="18"/>
              </w:rPr>
              <w:t xml:space="preserve">пилотные проекты </w:t>
            </w:r>
            <w:r w:rsidR="00AA21ED">
              <w:rPr>
                <w:rFonts w:cs="Times New Roman"/>
                <w:sz w:val="18"/>
                <w:szCs w:val="18"/>
              </w:rPr>
              <w:br/>
            </w:r>
            <w:r w:rsidRPr="00A25693">
              <w:rPr>
                <w:rFonts w:cs="Times New Roman"/>
                <w:sz w:val="18"/>
                <w:szCs w:val="18"/>
              </w:rPr>
              <w:t>(85</w:t>
            </w:r>
            <w:r w:rsidR="00AA21ED">
              <w:rPr>
                <w:rFonts w:cs="Times New Roman"/>
                <w:sz w:val="18"/>
                <w:szCs w:val="18"/>
              </w:rPr>
              <w:t> </w:t>
            </w:r>
            <w:r w:rsidRPr="00A25693">
              <w:rPr>
                <w:rFonts w:cs="Times New Roman"/>
                <w:sz w:val="18"/>
                <w:szCs w:val="18"/>
              </w:rPr>
              <w:t>000</w:t>
            </w:r>
            <w:r w:rsidR="00AA21ED">
              <w:rPr>
                <w:rFonts w:cs="Times New Roman"/>
                <w:sz w:val="18"/>
                <w:szCs w:val="18"/>
              </w:rPr>
              <w:t>–</w:t>
            </w:r>
            <w:r w:rsidRPr="00A25693">
              <w:rPr>
                <w:rFonts w:cs="Times New Roman"/>
                <w:sz w:val="18"/>
                <w:szCs w:val="18"/>
              </w:rPr>
              <w:t>100 000 долл.) в 5 странах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CFE047C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sz w:val="18"/>
                <w:szCs w:val="18"/>
              </w:rPr>
              <w:t>750 000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7FEF47F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4AF671E5" w14:textId="77777777" w:rsidR="003A6DC6" w:rsidRPr="00A25693" w:rsidRDefault="003A6DC6" w:rsidP="00697356">
            <w:pPr>
              <w:spacing w:before="40" w:after="4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A6DC6" w:rsidRPr="00A25693" w14:paraId="5CCFB445" w14:textId="77777777" w:rsidTr="00A25693"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1C7578" w14:textId="4B6CF700" w:rsidR="003A6DC6" w:rsidRPr="00A25693" w:rsidRDefault="003A6DC6" w:rsidP="00CA56C1">
            <w:pPr>
              <w:tabs>
                <w:tab w:val="left" w:pos="429"/>
              </w:tabs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VI.</w:t>
            </w:r>
            <w:r w:rsidRPr="00A25693">
              <w:rPr>
                <w:rFonts w:cs="Times New Roman"/>
                <w:sz w:val="18"/>
                <w:szCs w:val="18"/>
              </w:rPr>
              <w:t xml:space="preserve"> </w:t>
            </w:r>
            <w:r w:rsidRPr="00A25693">
              <w:rPr>
                <w:rFonts w:cs="Times New Roman"/>
                <w:sz w:val="18"/>
                <w:szCs w:val="18"/>
              </w:rPr>
              <w:tab/>
            </w:r>
            <w:r w:rsidRPr="00A25693">
              <w:rPr>
                <w:rFonts w:cs="Times New Roman"/>
                <w:b/>
                <w:bCs/>
                <w:sz w:val="18"/>
                <w:szCs w:val="18"/>
              </w:rPr>
              <w:t>Деятельность и кадровые ресурсы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33338" w14:textId="77777777" w:rsidR="003A6DC6" w:rsidRPr="00A25693" w:rsidRDefault="003A6DC6" w:rsidP="003A6DC6">
            <w:pPr>
              <w:spacing w:before="40" w:after="120"/>
              <w:ind w:right="113"/>
              <w:jc w:val="right"/>
              <w:rPr>
                <w:rFonts w:cs="Times New Roman"/>
                <w:bCs/>
                <w:sz w:val="18"/>
                <w:szCs w:val="18"/>
              </w:rPr>
            </w:pPr>
          </w:p>
          <w:p w14:paraId="3F60AEC8" w14:textId="77777777" w:rsidR="003A6DC6" w:rsidRPr="00A25693" w:rsidRDefault="003A6DC6" w:rsidP="003A6DC6">
            <w:pPr>
              <w:spacing w:before="40" w:after="120"/>
              <w:ind w:right="113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950 000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1DF469" w14:textId="77777777" w:rsidR="003A6DC6" w:rsidRPr="00A25693" w:rsidRDefault="003A6DC6" w:rsidP="003A6DC6">
            <w:pPr>
              <w:spacing w:before="40" w:after="120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31,5</w:t>
            </w:r>
          </w:p>
          <w:p w14:paraId="47366478" w14:textId="77777777" w:rsidR="003A6DC6" w:rsidRPr="00A25693" w:rsidRDefault="003A6DC6" w:rsidP="003A6DC6">
            <w:pPr>
              <w:spacing w:before="40" w:after="120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(610 000)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9210B" w14:textId="77777777" w:rsidR="003A6DC6" w:rsidRPr="00A25693" w:rsidRDefault="003A6DC6" w:rsidP="003A6DC6">
            <w:pPr>
              <w:spacing w:before="40" w:after="120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31,5</w:t>
            </w:r>
          </w:p>
          <w:p w14:paraId="3535677B" w14:textId="77777777" w:rsidR="003A6DC6" w:rsidRPr="00A25693" w:rsidRDefault="003A6DC6" w:rsidP="003A6DC6">
            <w:pPr>
              <w:spacing w:before="40" w:after="120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A25693">
              <w:rPr>
                <w:rFonts w:cs="Times New Roman"/>
                <w:b/>
                <w:bCs/>
                <w:sz w:val="18"/>
                <w:szCs w:val="18"/>
              </w:rPr>
              <w:t>(330 000)</w:t>
            </w:r>
          </w:p>
        </w:tc>
      </w:tr>
      <w:tr w:rsidR="003A6DC6" w:rsidRPr="00A25693" w14:paraId="6A2C91FD" w14:textId="77777777" w:rsidTr="00A25693"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3AC0F" w14:textId="56E27086" w:rsidR="003A6DC6" w:rsidRPr="00A25693" w:rsidRDefault="003A6DC6" w:rsidP="003A6DC6">
            <w:pPr>
              <w:spacing w:before="80" w:after="80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Итого по областям VI: 1 890 000 + 13</w:t>
            </w:r>
            <w:r w:rsidR="00AA21ED">
              <w:rPr>
                <w:rFonts w:cs="Times New Roman"/>
                <w:b/>
                <w:sz w:val="18"/>
                <w:szCs w:val="18"/>
              </w:rPr>
              <w:t> </w:t>
            </w:r>
            <w:r w:rsidRPr="00A25693">
              <w:rPr>
                <w:rFonts w:cs="Times New Roman"/>
                <w:b/>
                <w:sz w:val="18"/>
                <w:szCs w:val="18"/>
              </w:rPr>
              <w:t>% накладных расходов (245 700) = 2 135 700</w:t>
            </w:r>
          </w:p>
        </w:tc>
      </w:tr>
      <w:tr w:rsidR="003A6DC6" w:rsidRPr="00A25693" w14:paraId="7D2932C8" w14:textId="77777777" w:rsidTr="00A25693">
        <w:tc>
          <w:tcPr>
            <w:tcW w:w="850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E98F3F" w14:textId="77777777" w:rsidR="003A6DC6" w:rsidRPr="00A25693" w:rsidRDefault="003A6DC6" w:rsidP="003A6DC6">
            <w:pPr>
              <w:spacing w:before="80" w:after="80"/>
              <w:ind w:left="283"/>
              <w:rPr>
                <w:rFonts w:cs="Times New Roman"/>
                <w:b/>
                <w:sz w:val="18"/>
                <w:szCs w:val="18"/>
              </w:rPr>
            </w:pPr>
            <w:r w:rsidRPr="00A25693">
              <w:rPr>
                <w:rFonts w:cs="Times New Roman"/>
                <w:b/>
                <w:sz w:val="18"/>
                <w:szCs w:val="18"/>
              </w:rPr>
              <w:t>Всего III, V и VI = 4 938 100</w:t>
            </w:r>
          </w:p>
        </w:tc>
      </w:tr>
    </w:tbl>
    <w:p w14:paraId="308E2D20" w14:textId="5B135AD0" w:rsidR="00E77FA5" w:rsidRPr="0092432D" w:rsidRDefault="00E77FA5" w:rsidP="00A25693">
      <w:pPr>
        <w:pStyle w:val="SingleTxtG"/>
        <w:spacing w:before="120" w:after="0" w:line="220" w:lineRule="exact"/>
        <w:ind w:right="0" w:firstLine="142"/>
        <w:jc w:val="left"/>
        <w:rPr>
          <w:sz w:val="18"/>
          <w:szCs w:val="18"/>
        </w:rPr>
      </w:pPr>
      <w:r w:rsidRPr="00A25693">
        <w:rPr>
          <w:i/>
          <w:iCs/>
          <w:sz w:val="18"/>
          <w:szCs w:val="18"/>
        </w:rPr>
        <w:t>Сокращения</w:t>
      </w:r>
      <w:r w:rsidRPr="00A25693">
        <w:rPr>
          <w:sz w:val="18"/>
          <w:szCs w:val="18"/>
        </w:rPr>
        <w:t xml:space="preserve">: Бухарестское соглашение — многостороннее соглашение между странами Юго-Восточной Европы по осуществлению Конвенции об оценке воздействия на окружающую среду в трансграничном контексте. ОО — сотрудник категории общего обслуживания; С — сотрудник категории специалистов; </w:t>
      </w:r>
      <w:r w:rsidR="00A25693">
        <w:rPr>
          <w:sz w:val="18"/>
          <w:szCs w:val="18"/>
        </w:rPr>
        <w:br/>
      </w:r>
      <w:r w:rsidRPr="00A25693">
        <w:rPr>
          <w:sz w:val="18"/>
          <w:szCs w:val="18"/>
        </w:rPr>
        <w:t xml:space="preserve">РБ — регулярный бюджет; ВБР – внебюджетные ресурсы. </w:t>
      </w:r>
      <w:bookmarkStart w:id="96" w:name="_Hlk32495456"/>
      <w:bookmarkEnd w:id="96"/>
    </w:p>
    <w:p w14:paraId="029EF2BB" w14:textId="40D99EE1" w:rsidR="00E77FA5" w:rsidRPr="00A25693" w:rsidRDefault="00E77FA5" w:rsidP="00AA21ED">
      <w:pPr>
        <w:pStyle w:val="SingleTxtG"/>
        <w:spacing w:after="0" w:line="220" w:lineRule="exact"/>
        <w:ind w:right="0" w:firstLine="142"/>
        <w:jc w:val="left"/>
        <w:rPr>
          <w:sz w:val="18"/>
          <w:szCs w:val="18"/>
        </w:rPr>
      </w:pPr>
      <w:r w:rsidRPr="00A25693">
        <w:rPr>
          <w:i/>
          <w:iCs/>
          <w:sz w:val="18"/>
          <w:szCs w:val="18"/>
        </w:rPr>
        <w:t>Примечание</w:t>
      </w:r>
      <w:r w:rsidRPr="00A25693">
        <w:rPr>
          <w:sz w:val="18"/>
          <w:szCs w:val="18"/>
        </w:rPr>
        <w:t xml:space="preserve">: </w:t>
      </w:r>
      <w:r w:rsidR="00AA21ED">
        <w:rPr>
          <w:sz w:val="18"/>
          <w:szCs w:val="18"/>
        </w:rPr>
        <w:t>О</w:t>
      </w:r>
      <w:r w:rsidRPr="00A25693">
        <w:rPr>
          <w:sz w:val="18"/>
          <w:szCs w:val="18"/>
        </w:rPr>
        <w:t>дна должность (сотрудника категории специалистов или категории общего обслуживания) в</w:t>
      </w:r>
      <w:r w:rsidR="00A25693">
        <w:rPr>
          <w:sz w:val="18"/>
          <w:szCs w:val="18"/>
          <w:lang w:val="en-US"/>
        </w:rPr>
        <w:t> </w:t>
      </w:r>
      <w:r w:rsidRPr="00A25693">
        <w:rPr>
          <w:sz w:val="18"/>
          <w:szCs w:val="18"/>
        </w:rPr>
        <w:t>трудозатратах эквивалентна в 10,5 человеко-месяца в год или в 31,5 человеко-месяца за трехлетний период для одного сотрудника. Указанные выше оценки ресурсов на персонал подготовлены на основе стандартных ставок заработной платы Организации Объединенных Наций, включая чистый оклад, налоги и общие расходы по персоналу, а также расходы на служебные помещения, информационно-техническое оборудование, связь и подготовку.</w:t>
      </w:r>
    </w:p>
    <w:p w14:paraId="5100FFC9" w14:textId="2E619351" w:rsidR="00E77FA5" w:rsidRDefault="00E77FA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B222A8B" w14:textId="77B0E777" w:rsidR="00E77FA5" w:rsidRPr="00E77FA5" w:rsidRDefault="00E77FA5" w:rsidP="00A25693">
      <w:pPr>
        <w:pStyle w:val="HChG"/>
      </w:pPr>
      <w:r w:rsidRPr="00E77FA5">
        <w:lastRenderedPageBreak/>
        <w:tab/>
      </w:r>
      <w:r w:rsidR="00AA21ED">
        <w:tab/>
      </w:r>
      <w:r w:rsidRPr="00E77FA5">
        <w:t>Решение VIII/3–IV/3</w:t>
      </w:r>
    </w:p>
    <w:p w14:paraId="68C7131A" w14:textId="77777777" w:rsidR="00E77FA5" w:rsidRPr="00E77FA5" w:rsidRDefault="00E77FA5" w:rsidP="00A25693">
      <w:pPr>
        <w:pStyle w:val="H1G"/>
      </w:pPr>
      <w:r w:rsidRPr="00E77FA5">
        <w:tab/>
      </w:r>
      <w:r w:rsidRPr="00E77FA5">
        <w:tab/>
        <w:t xml:space="preserve">Долгосрочная стратегия и план действий по осуществлению Конвенции и Протокола </w:t>
      </w:r>
    </w:p>
    <w:p w14:paraId="3834A8FC" w14:textId="64E967F5" w:rsidR="00E77FA5" w:rsidRPr="00E77FA5" w:rsidRDefault="00A25693" w:rsidP="00E77FA5">
      <w:pPr>
        <w:pStyle w:val="SingleTxtG"/>
        <w:rPr>
          <w:i/>
          <w:iCs/>
        </w:rPr>
      </w:pPr>
      <w:r>
        <w:rPr>
          <w:i/>
          <w:iCs/>
        </w:rPr>
        <w:tab/>
      </w:r>
      <w:r w:rsidR="00E77FA5" w:rsidRPr="00E77FA5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</w:t>
      </w:r>
      <w:r w:rsidR="00E77FA5" w:rsidRPr="00A25693">
        <w:t>,</w:t>
      </w:r>
    </w:p>
    <w:p w14:paraId="57438B89" w14:textId="6946176A" w:rsidR="00E77FA5" w:rsidRPr="00E77FA5" w:rsidRDefault="00A25693" w:rsidP="00E77FA5">
      <w:pPr>
        <w:pStyle w:val="SingleTxtG"/>
      </w:pPr>
      <w:r>
        <w:rPr>
          <w:i/>
          <w:iCs/>
        </w:rPr>
        <w:tab/>
      </w:r>
      <w:r w:rsidR="00E77FA5" w:rsidRPr="00E77FA5">
        <w:rPr>
          <w:i/>
          <w:iCs/>
        </w:rPr>
        <w:t>ссылаясь</w:t>
      </w:r>
      <w:r w:rsidR="00E77FA5" w:rsidRPr="00E77FA5">
        <w:t xml:space="preserve"> на свое решение VII/7–III/6 о разработке стратегии и плана действий по дальнейшему применению Конвенции и Протокола, </w:t>
      </w:r>
    </w:p>
    <w:p w14:paraId="554CE541" w14:textId="40FD2F8D" w:rsidR="00E77FA5" w:rsidRPr="00E77FA5" w:rsidRDefault="00A25693" w:rsidP="00E77FA5">
      <w:pPr>
        <w:pStyle w:val="SingleTxtG"/>
      </w:pPr>
      <w:r>
        <w:rPr>
          <w:i/>
          <w:iCs/>
        </w:rPr>
        <w:tab/>
      </w:r>
      <w:r w:rsidR="00E77FA5" w:rsidRPr="00E77FA5">
        <w:rPr>
          <w:i/>
          <w:iCs/>
        </w:rPr>
        <w:t>признавая</w:t>
      </w:r>
      <w:r w:rsidR="00E77FA5" w:rsidRPr="00E77FA5">
        <w:t xml:space="preserve"> важность долгосрочной стратегии и плана действий для руководства работой и приоритетными направлениями деятельности в рамках Конвенции и Протокола, </w:t>
      </w:r>
    </w:p>
    <w:p w14:paraId="0203CA54" w14:textId="4C15F93B" w:rsidR="00E77FA5" w:rsidRPr="00E77FA5" w:rsidRDefault="00A25693" w:rsidP="00E77FA5">
      <w:pPr>
        <w:pStyle w:val="SingleTxtG"/>
      </w:pPr>
      <w:r>
        <w:rPr>
          <w:i/>
          <w:iCs/>
        </w:rPr>
        <w:tab/>
      </w:r>
      <w:r w:rsidR="00E77FA5" w:rsidRPr="00E77FA5">
        <w:rPr>
          <w:i/>
          <w:iCs/>
        </w:rPr>
        <w:t>признавая</w:t>
      </w:r>
      <w:r w:rsidR="00E77FA5" w:rsidRPr="00E77FA5">
        <w:t xml:space="preserve"> необходимость выделения достаточных ресурсов для их осуществления,</w:t>
      </w:r>
    </w:p>
    <w:p w14:paraId="6675B894" w14:textId="02073171" w:rsidR="00E77FA5" w:rsidRPr="00E77FA5" w:rsidRDefault="00A25693" w:rsidP="00E77FA5">
      <w:pPr>
        <w:pStyle w:val="SingleTxtG"/>
      </w:pPr>
      <w:r>
        <w:tab/>
      </w:r>
      <w:r w:rsidR="00E77FA5" w:rsidRPr="00E77FA5">
        <w:t>1.</w:t>
      </w:r>
      <w:r w:rsidR="00E77FA5" w:rsidRPr="00E77FA5">
        <w:tab/>
      </w:r>
      <w:r w:rsidR="00E77FA5" w:rsidRPr="00E77FA5">
        <w:rPr>
          <w:i/>
          <w:iCs/>
        </w:rPr>
        <w:t>приветствуют</w:t>
      </w:r>
      <w:r w:rsidR="00E77FA5" w:rsidRPr="00E77FA5">
        <w:t xml:space="preserve"> разработку проекта долгосрочной стратегии Сторонами, вызвавшимися добровольно участвовать в этой работе, в рамках неофициальных консультаций под сопредседательством Нидерландов сначала с Австрией, а затем с Польшей при поддержке секретариата;</w:t>
      </w:r>
    </w:p>
    <w:p w14:paraId="4D36EB38" w14:textId="74D845A8" w:rsidR="00E77FA5" w:rsidRPr="00E77FA5" w:rsidRDefault="00A25693" w:rsidP="00E77FA5">
      <w:pPr>
        <w:pStyle w:val="SingleTxtG"/>
      </w:pPr>
      <w:r>
        <w:tab/>
      </w:r>
      <w:r w:rsidR="00E77FA5" w:rsidRPr="00E77FA5">
        <w:t>2.</w:t>
      </w:r>
      <w:r w:rsidR="00E77FA5" w:rsidRPr="00E77FA5">
        <w:tab/>
      </w:r>
      <w:r w:rsidR="00E77FA5" w:rsidRPr="00E77FA5">
        <w:rPr>
          <w:i/>
          <w:iCs/>
        </w:rPr>
        <w:t>утверждают</w:t>
      </w:r>
      <w:r w:rsidR="00E77FA5" w:rsidRPr="00E77FA5">
        <w:t xml:space="preserve"> долгосрочную стратегию и план действий, содержащиеся в документе (ECE/MP.EIA/30/Add.1/</w:t>
      </w:r>
      <w:r w:rsidR="00AA21ED">
        <w:t>-</w:t>
      </w:r>
      <w:r w:rsidR="00E77FA5" w:rsidRPr="00E77FA5">
        <w:t>ECE/MP.EIA/SEA/13/Add.1, решение VIII/3–IV/3, приложение);</w:t>
      </w:r>
    </w:p>
    <w:p w14:paraId="4EEAB1F0" w14:textId="0064679A" w:rsidR="00E77FA5" w:rsidRPr="00E77FA5" w:rsidRDefault="00A25693" w:rsidP="00E77FA5">
      <w:pPr>
        <w:pStyle w:val="SingleTxtG"/>
      </w:pPr>
      <w:r>
        <w:tab/>
      </w:r>
      <w:r w:rsidR="00E77FA5" w:rsidRPr="00E77FA5">
        <w:t>3.</w:t>
      </w:r>
      <w:r w:rsidR="00E77FA5" w:rsidRPr="00E77FA5">
        <w:tab/>
      </w:r>
      <w:r w:rsidR="00E77FA5" w:rsidRPr="00E77FA5">
        <w:rPr>
          <w:i/>
          <w:iCs/>
        </w:rPr>
        <w:t>постановляют</w:t>
      </w:r>
      <w:r w:rsidR="00E77FA5" w:rsidRPr="00E77FA5">
        <w:t xml:space="preserve">, что стратегия и план действий будут осуществляться посредством действий, предусмотренных в планах работы и решениях </w:t>
      </w:r>
      <w:r w:rsidR="00B4592D">
        <w:t>с</w:t>
      </w:r>
      <w:r w:rsidR="00E77FA5" w:rsidRPr="00E77FA5">
        <w:t>овещаний Сторон;</w:t>
      </w:r>
    </w:p>
    <w:p w14:paraId="1CB921ED" w14:textId="3554702F" w:rsidR="00E77FA5" w:rsidRPr="00E77FA5" w:rsidRDefault="00A25693" w:rsidP="00E77FA5">
      <w:pPr>
        <w:pStyle w:val="SingleTxtG"/>
      </w:pPr>
      <w:r>
        <w:tab/>
      </w:r>
      <w:r w:rsidR="00E77FA5" w:rsidRPr="00E77FA5">
        <w:t>4.</w:t>
      </w:r>
      <w:r w:rsidR="00E77FA5" w:rsidRPr="00E77FA5">
        <w:tab/>
      </w:r>
      <w:r w:rsidR="00E77FA5" w:rsidRPr="00E77FA5">
        <w:rPr>
          <w:i/>
          <w:iCs/>
        </w:rPr>
        <w:t>соглашаются</w:t>
      </w:r>
      <w:r w:rsidR="00E77FA5" w:rsidRPr="00E77FA5">
        <w:t xml:space="preserve"> приложить все усилия для выделения финансирования на осуществление запланированных видов деятельности;</w:t>
      </w:r>
    </w:p>
    <w:p w14:paraId="05573D7E" w14:textId="03608A21" w:rsidR="00E77FA5" w:rsidRPr="00E77FA5" w:rsidRDefault="00A25693" w:rsidP="00E77FA5">
      <w:pPr>
        <w:pStyle w:val="SingleTxtG"/>
      </w:pPr>
      <w:r>
        <w:tab/>
      </w:r>
      <w:r w:rsidR="00E77FA5" w:rsidRPr="00E77FA5">
        <w:t>5.</w:t>
      </w:r>
      <w:r w:rsidR="00E77FA5" w:rsidRPr="00E77FA5">
        <w:tab/>
      </w:r>
      <w:r w:rsidR="00E77FA5" w:rsidRPr="00E77FA5">
        <w:rPr>
          <w:i/>
          <w:iCs/>
        </w:rPr>
        <w:t>постановляют</w:t>
      </w:r>
      <w:r w:rsidR="00E77FA5" w:rsidRPr="00E77FA5">
        <w:t xml:space="preserve"> проводить регулярную оценку прогресса в осуществлении долгосрочной стратегии и плана действий;</w:t>
      </w:r>
    </w:p>
    <w:p w14:paraId="705D6756" w14:textId="299FB94E" w:rsidR="00E77FA5" w:rsidRDefault="00A25693" w:rsidP="00E77FA5">
      <w:pPr>
        <w:pStyle w:val="SingleTxtG"/>
      </w:pPr>
      <w:r>
        <w:tab/>
      </w:r>
      <w:r w:rsidR="00E77FA5" w:rsidRPr="00E77FA5">
        <w:t>6.</w:t>
      </w:r>
      <w:r w:rsidR="00E77FA5" w:rsidRPr="00E77FA5">
        <w:tab/>
      </w:r>
      <w:r w:rsidR="00E77FA5" w:rsidRPr="00E77FA5">
        <w:rPr>
          <w:i/>
          <w:iCs/>
        </w:rPr>
        <w:t>постановляют также</w:t>
      </w:r>
      <w:r w:rsidR="00E77FA5" w:rsidRPr="00E77FA5">
        <w:t xml:space="preserve"> пересмотреть и при необходимости скорректировать стратегические цели и приоритетные задачи в 2030 году.</w:t>
      </w:r>
    </w:p>
    <w:p w14:paraId="6A907648" w14:textId="77777777" w:rsidR="00C36019" w:rsidRDefault="00C36019">
      <w:pPr>
        <w:suppressAutoHyphens w:val="0"/>
        <w:spacing w:line="240" w:lineRule="auto"/>
      </w:pPr>
    </w:p>
    <w:p w14:paraId="23F91330" w14:textId="20760452" w:rsidR="00C36019" w:rsidRDefault="00C36019">
      <w:pPr>
        <w:suppressAutoHyphens w:val="0"/>
        <w:spacing w:line="240" w:lineRule="auto"/>
        <w:sectPr w:rsidR="00C36019" w:rsidSect="00B93E34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680" w:footer="567" w:gutter="0"/>
          <w:cols w:space="708"/>
          <w:docGrid w:linePitch="360"/>
        </w:sectPr>
      </w:pPr>
    </w:p>
    <w:p w14:paraId="09B28D96" w14:textId="77777777" w:rsidR="00E77FA5" w:rsidRPr="00E77FA5" w:rsidRDefault="00E77FA5" w:rsidP="00A25693">
      <w:pPr>
        <w:pStyle w:val="HChG"/>
      </w:pPr>
      <w:r w:rsidRPr="00E77FA5">
        <w:lastRenderedPageBreak/>
        <w:t>Приложение</w:t>
      </w:r>
    </w:p>
    <w:p w14:paraId="21EE6FF6" w14:textId="6F94AA58" w:rsidR="00E77FA5" w:rsidRPr="00E77FA5" w:rsidRDefault="00E77FA5" w:rsidP="00A25693">
      <w:pPr>
        <w:pStyle w:val="HChG"/>
      </w:pPr>
      <w:r w:rsidRPr="00E77FA5">
        <w:tab/>
      </w:r>
      <w:r w:rsidRPr="00E77FA5">
        <w:tab/>
        <w:t xml:space="preserve">Долгосрочная стратегия и план действий </w:t>
      </w:r>
      <w:r w:rsidR="00A25693">
        <w:br/>
      </w:r>
      <w:r w:rsidRPr="00E77FA5">
        <w:t>по осуществлению Конвенции и Протокола</w:t>
      </w:r>
    </w:p>
    <w:p w14:paraId="5349FA3F" w14:textId="77777777" w:rsidR="00E77FA5" w:rsidRPr="00E77FA5" w:rsidRDefault="00E77FA5" w:rsidP="00A25693">
      <w:pPr>
        <w:pStyle w:val="HChG"/>
      </w:pPr>
      <w:r w:rsidRPr="00E77FA5">
        <w:tab/>
        <w:t>I.</w:t>
      </w:r>
      <w:r w:rsidRPr="00E77FA5">
        <w:tab/>
        <w:t>Введение</w:t>
      </w:r>
    </w:p>
    <w:p w14:paraId="58122079" w14:textId="77777777" w:rsidR="00E77FA5" w:rsidRPr="00E77FA5" w:rsidRDefault="00E77FA5" w:rsidP="00E77FA5">
      <w:pPr>
        <w:pStyle w:val="SingleTxtG"/>
      </w:pPr>
      <w:r w:rsidRPr="00E77FA5">
        <w:t>1.</w:t>
      </w:r>
      <w:r w:rsidRPr="00E77FA5">
        <w:tab/>
        <w:t>Конвенция об оценке воздействия на окружающую среду в трансграничном контексте и Протокол по стратегической экологической оценке способствовали улучшению международного сотрудничества, интеграции проблематики окружающей среды в деятельность в области развития, экологическому управлению и транспарентности при планировании и принятии решений.</w:t>
      </w:r>
    </w:p>
    <w:p w14:paraId="4A7496C7" w14:textId="77777777" w:rsidR="00E77FA5" w:rsidRPr="00E77FA5" w:rsidRDefault="00E77FA5" w:rsidP="00E77FA5">
      <w:pPr>
        <w:pStyle w:val="SingleTxtG"/>
      </w:pPr>
      <w:r w:rsidRPr="00E77FA5">
        <w:t>2.</w:t>
      </w:r>
      <w:r w:rsidRPr="00E77FA5">
        <w:tab/>
        <w:t>Эти договоры доказали свою эффективность в качестве инструментов содействия экологически обоснованному и устойчивому развитию, о чем свидетельствуют неуклонно растущее число их Сторон и всемирный интерес к этим договорам. Стороны Конвенции и Протокола к ней также уверены в том, что эти договоры будут способствовать достижению странами целого ряда Целей в области устойчивого развития, сформулированных в Повестке дня в области устойчивого развития на период до 2030 года.</w:t>
      </w:r>
    </w:p>
    <w:p w14:paraId="75C91B71" w14:textId="77777777" w:rsidR="00E77FA5" w:rsidRPr="00E77FA5" w:rsidRDefault="00E77FA5" w:rsidP="00E77FA5">
      <w:pPr>
        <w:pStyle w:val="SingleTxtG"/>
      </w:pPr>
      <w:r w:rsidRPr="00E77FA5">
        <w:t>3.</w:t>
      </w:r>
      <w:r w:rsidRPr="00E77FA5">
        <w:tab/>
        <w:t>Хотя, как отмечалось выше, эти договоры имеют ряд сильных сторон, в связи с ними возникает целый ряд серьезных вызовов, главный из которых, как представляется, заключается в их полном и эффективном осуществлении Сторонами. Важная цель состоит также в том, чтобы всесторонне использовать эти договоры для решения проблем на национальном, региональном и глобальном уровнях. По состоянию на февраль 2020 года во всем регионе Европейской экономической комиссии Организации Объединенных Наций (ЕЭК), включая страны Кавказа, Центральной Азии, Европы и Северной Америки и Европейского союза, насчитывалось соответственно 45</w:t>
      </w:r>
      <w:r w:rsidRPr="00651826">
        <w:rPr>
          <w:rStyle w:val="FootnoteReference"/>
        </w:rPr>
        <w:footnoteReference w:id="4"/>
      </w:r>
      <w:r w:rsidRPr="00E77FA5">
        <w:t xml:space="preserve"> и 33</w:t>
      </w:r>
      <w:r w:rsidRPr="00651826">
        <w:rPr>
          <w:rStyle w:val="FootnoteReference"/>
        </w:rPr>
        <w:footnoteReference w:id="5"/>
      </w:r>
      <w:r w:rsidRPr="00E77FA5">
        <w:t xml:space="preserve"> Стороны Конвенции и Протокола. Часть долгосрочного видения как Конвенции, так и Протокола состоит в том, чтобы, опираясь на это участие, обеспечить более широкое осуществление данных договоров в регионе ЕЭК и за его пределами.</w:t>
      </w:r>
    </w:p>
    <w:p w14:paraId="3F2EC55F" w14:textId="77777777" w:rsidR="00E77FA5" w:rsidRPr="00E77FA5" w:rsidRDefault="00E77FA5" w:rsidP="00E77FA5">
      <w:pPr>
        <w:pStyle w:val="SingleTxtG"/>
      </w:pPr>
      <w:r w:rsidRPr="00E77FA5">
        <w:t>4.</w:t>
      </w:r>
      <w:r w:rsidRPr="00E77FA5">
        <w:tab/>
        <w:t>Настоящая долгосрочная стратегия осуществления Конвенции и Протокола была разработана не только для непосредственного решения вышеупомянутых задач, но и для использования многочисленных сильных сторон этих договоров.</w:t>
      </w:r>
    </w:p>
    <w:p w14:paraId="0056A927" w14:textId="1600C8DD" w:rsidR="00E77FA5" w:rsidRPr="00E77FA5" w:rsidRDefault="00E77FA5" w:rsidP="00E77FA5">
      <w:pPr>
        <w:pStyle w:val="SingleTxtG"/>
      </w:pPr>
      <w:r w:rsidRPr="00E77FA5">
        <w:t>5.</w:t>
      </w:r>
      <w:r w:rsidRPr="00E77FA5">
        <w:tab/>
        <w:t>В соответствии с решением VII/7–III/6 (ECE/MP.EIA/23/Add.1</w:t>
      </w:r>
      <w:r w:rsidR="000939E7">
        <w:t>-</w:t>
      </w:r>
      <w:r w:rsidRPr="00E77FA5">
        <w:t>ECE/MP.EIA/ SEA/7/Add.1) долгосрочная стратегия и план действий имеют следующие цели:</w:t>
      </w:r>
    </w:p>
    <w:p w14:paraId="17A3F644" w14:textId="13E6314A" w:rsidR="00E77FA5" w:rsidRPr="00E77FA5" w:rsidRDefault="00651826" w:rsidP="00E77FA5">
      <w:pPr>
        <w:pStyle w:val="SingleTxtG"/>
      </w:pPr>
      <w:r>
        <w:tab/>
      </w:r>
      <w:r w:rsidR="00E77FA5" w:rsidRPr="00E77FA5">
        <w:t>a)</w:t>
      </w:r>
      <w:r w:rsidR="00E77FA5" w:rsidRPr="00E77FA5">
        <w:tab/>
        <w:t>определить стратегическое видение на ближайшие годы, обозначить приоритеты и решать новые задачи, в том числе в области изменения климата, биоразнообразия, энергетики, землепользования и городского планирования, сельского хозяйства, удаления отходов и транспорта;</w:t>
      </w:r>
    </w:p>
    <w:p w14:paraId="082B51EB" w14:textId="00FD9903" w:rsidR="00E77FA5" w:rsidRPr="00E77FA5" w:rsidRDefault="00651826" w:rsidP="00E77FA5">
      <w:pPr>
        <w:pStyle w:val="SingleTxtG"/>
      </w:pPr>
      <w:r>
        <w:tab/>
      </w:r>
      <w:r w:rsidR="00E77FA5" w:rsidRPr="00E77FA5">
        <w:t>b)</w:t>
      </w:r>
      <w:r w:rsidR="00E77FA5" w:rsidRPr="00E77FA5">
        <w:tab/>
        <w:t>определить приоритеты на оперативном уровне в целях обеспечения оптимального использования ограниченных ресурсов Сторон и секретариата;</w:t>
      </w:r>
    </w:p>
    <w:p w14:paraId="00F26399" w14:textId="1BE3B340" w:rsidR="00E77FA5" w:rsidRPr="00E77FA5" w:rsidRDefault="00651826" w:rsidP="00E77FA5">
      <w:pPr>
        <w:pStyle w:val="SingleTxtG"/>
      </w:pPr>
      <w:r>
        <w:lastRenderedPageBreak/>
        <w:tab/>
      </w:r>
      <w:r w:rsidR="00E77FA5" w:rsidRPr="00E77FA5">
        <w:t>с)</w:t>
      </w:r>
      <w:r w:rsidR="00E77FA5" w:rsidRPr="00E77FA5">
        <w:tab/>
        <w:t>определить будущие виды деятельности, партнерства и механизмы финансирования.</w:t>
      </w:r>
    </w:p>
    <w:p w14:paraId="6DE3853B" w14:textId="77777777" w:rsidR="00E77FA5" w:rsidRPr="00E77FA5" w:rsidRDefault="00E77FA5" w:rsidP="00E77FA5">
      <w:pPr>
        <w:pStyle w:val="SingleTxtG"/>
      </w:pPr>
      <w:r w:rsidRPr="00E77FA5">
        <w:t>6.</w:t>
      </w:r>
      <w:r w:rsidRPr="00E77FA5">
        <w:tab/>
        <w:t>Стратегия ориентирована на достижение следующих трех стратегических целей, изложенных ниже в порядке приоритетности:</w:t>
      </w:r>
    </w:p>
    <w:p w14:paraId="4C7B119D" w14:textId="67FB4000" w:rsidR="00E77FA5" w:rsidRPr="00E77FA5" w:rsidRDefault="00651826" w:rsidP="00E77FA5">
      <w:pPr>
        <w:pStyle w:val="SingleTxtG"/>
      </w:pPr>
      <w:r>
        <w:tab/>
      </w:r>
      <w:r w:rsidR="00E77FA5" w:rsidRPr="00E77FA5">
        <w:t>a)</w:t>
      </w:r>
      <w:r w:rsidR="00E77FA5" w:rsidRPr="00E77FA5">
        <w:tab/>
        <w:t>полное и эффективное осуществление Конвенции и Протокола;</w:t>
      </w:r>
    </w:p>
    <w:p w14:paraId="285FA242" w14:textId="2CD33590" w:rsidR="00E77FA5" w:rsidRPr="00E77FA5" w:rsidRDefault="00651826" w:rsidP="00E77FA5">
      <w:pPr>
        <w:pStyle w:val="SingleTxtG"/>
      </w:pPr>
      <w:r>
        <w:tab/>
      </w:r>
      <w:r w:rsidR="00E77FA5" w:rsidRPr="00E77FA5">
        <w:t>b)</w:t>
      </w:r>
      <w:r w:rsidR="00E77FA5" w:rsidRPr="00E77FA5">
        <w:tab/>
        <w:t xml:space="preserve">усиление воздействия за счет решения новых национальных, региональных и глобальных проблем; </w:t>
      </w:r>
    </w:p>
    <w:p w14:paraId="77E078DE" w14:textId="3DBAAEED" w:rsidR="00E77FA5" w:rsidRPr="00E77FA5" w:rsidRDefault="00651826" w:rsidP="00E77FA5">
      <w:pPr>
        <w:pStyle w:val="SingleTxtG"/>
      </w:pPr>
      <w:r>
        <w:tab/>
      </w:r>
      <w:r w:rsidR="00E77FA5" w:rsidRPr="00E77FA5">
        <w:t>с)</w:t>
      </w:r>
      <w:r w:rsidR="00E77FA5" w:rsidRPr="00E77FA5">
        <w:tab/>
        <w:t>расширение применения Конвенции и Протокола в регионе ЕЭК и за его пределами.</w:t>
      </w:r>
    </w:p>
    <w:p w14:paraId="7989D402" w14:textId="3DD59D3A" w:rsidR="00E77FA5" w:rsidRPr="00E77FA5" w:rsidRDefault="00E77FA5" w:rsidP="00E77FA5">
      <w:pPr>
        <w:pStyle w:val="SingleTxtG"/>
      </w:pPr>
      <w:r w:rsidRPr="00E77FA5">
        <w:t>7.</w:t>
      </w:r>
      <w:r w:rsidRPr="00E77FA5">
        <w:tab/>
        <w:t xml:space="preserve">Каждая стратегическая цель увязана с приоритетными задачами на национальном и международном уровнях. Периодические планы работы способствуют реализации целей и приоритетных задач. Планы работы должны </w:t>
      </w:r>
      <w:r w:rsidR="00651826">
        <w:br/>
      </w:r>
      <w:r w:rsidRPr="00E77FA5">
        <w:t>по-прежнему согласовываться на сессиях совещаний Сторон на межсессионный период (как правило, на три года), а их осуществление должно регулярно рассматриваться Президиумом и Рабочей группой на их совещаниях.</w:t>
      </w:r>
    </w:p>
    <w:p w14:paraId="37973834" w14:textId="77777777" w:rsidR="00E77FA5" w:rsidRPr="00E77FA5" w:rsidRDefault="00E77FA5" w:rsidP="00E77FA5">
      <w:pPr>
        <w:pStyle w:val="SingleTxtG"/>
      </w:pPr>
      <w:r w:rsidRPr="00E77FA5">
        <w:t>8.</w:t>
      </w:r>
      <w:r w:rsidRPr="00E77FA5">
        <w:tab/>
        <w:t>Стратегия рассчитана на период до 2030 года. По мере необходимости должны проводиться периодические обзоры ее осуществления.</w:t>
      </w:r>
    </w:p>
    <w:p w14:paraId="3F53F6E3" w14:textId="77777777" w:rsidR="00E77FA5" w:rsidRPr="00E77FA5" w:rsidRDefault="00E77FA5" w:rsidP="00E77FA5">
      <w:pPr>
        <w:pStyle w:val="SingleTxtG"/>
      </w:pPr>
      <w:r w:rsidRPr="00E77FA5">
        <w:t>9.</w:t>
      </w:r>
      <w:r w:rsidRPr="00E77FA5">
        <w:tab/>
        <w:t xml:space="preserve">Следует отметить, что для обеспечения эффективного будущего осуществления Конвенции и Протокола одна из приоритетных задач этой стратегии будет состоять в обеспечении того, чтобы все их Стороны по возможности вносили финансовые взносы или увеличивали существующие взносы. Реализация изложенных в стратегии целей и приоритетных задач в значительной степени зависит от обеспечения того, чтобы Стороны вносили или увеличивали существующие финансовые взносы, поскольку достижение многих из намеченных в стратегии амбициозных целей зависит от наличия ресурсов. </w:t>
      </w:r>
    </w:p>
    <w:p w14:paraId="13332DB2" w14:textId="6870D9D0" w:rsidR="00E77FA5" w:rsidRPr="00E77FA5" w:rsidRDefault="00E77FA5" w:rsidP="00651826">
      <w:pPr>
        <w:pStyle w:val="HChG"/>
      </w:pPr>
      <w:r w:rsidRPr="00E77FA5">
        <w:tab/>
        <w:t>II.</w:t>
      </w:r>
      <w:r w:rsidRPr="00E77FA5">
        <w:tab/>
        <w:t xml:space="preserve">Стратегические цели и приоритетные задачи </w:t>
      </w:r>
      <w:r w:rsidR="00651826">
        <w:br/>
      </w:r>
      <w:r w:rsidRPr="00E77FA5">
        <w:t xml:space="preserve">на национальном и международном уровнях на период </w:t>
      </w:r>
      <w:r w:rsidR="00F332A7">
        <w:br/>
      </w:r>
      <w:r w:rsidRPr="00E77FA5">
        <w:t>до 2030 года</w:t>
      </w:r>
    </w:p>
    <w:p w14:paraId="2D6CC73A" w14:textId="77777777" w:rsidR="00E77FA5" w:rsidRPr="00E77FA5" w:rsidRDefault="00E77FA5" w:rsidP="00651826">
      <w:pPr>
        <w:pStyle w:val="H1G"/>
      </w:pPr>
      <w:r w:rsidRPr="00E77FA5">
        <w:tab/>
        <w:t>A.</w:t>
      </w:r>
      <w:r w:rsidRPr="00E77FA5">
        <w:tab/>
        <w:t xml:space="preserve">Полное и эффективное осуществление Конвенции и Протокола </w:t>
      </w:r>
    </w:p>
    <w:p w14:paraId="4123D370" w14:textId="77777777" w:rsidR="00E77FA5" w:rsidRPr="00E77FA5" w:rsidRDefault="00E77FA5" w:rsidP="00651826">
      <w:pPr>
        <w:pStyle w:val="H23G"/>
      </w:pPr>
      <w:r w:rsidRPr="00E77FA5">
        <w:tab/>
        <w:t>1.</w:t>
      </w:r>
      <w:r w:rsidRPr="00E77FA5">
        <w:tab/>
        <w:t>Использование сильных и устранение слабых сторон</w:t>
      </w:r>
    </w:p>
    <w:p w14:paraId="16734196" w14:textId="43196F20" w:rsidR="00E77FA5" w:rsidRPr="00E77FA5" w:rsidRDefault="00E77FA5" w:rsidP="00651826">
      <w:pPr>
        <w:pStyle w:val="Bullet1G"/>
      </w:pPr>
      <w:bookmarkStart w:id="98" w:name="_Hlk32320815"/>
      <w:r w:rsidRPr="00E77FA5">
        <w:t>Повышение эффективности осуществления Конвенции Сторонами путем использования сильных и устранения слабых сторон в законодательстве и практике, включая недостатки, перечисленные в ходе обзоров осуществления Конвенции и Протокола,</w:t>
      </w:r>
      <w:r w:rsidR="00D54568">
        <w:t xml:space="preserve"> — </w:t>
      </w:r>
      <w:r w:rsidRPr="00E77FA5">
        <w:t>к числу проблемных вопросов относятся следующие:</w:t>
      </w:r>
      <w:bookmarkStart w:id="99" w:name="_Hlk32320847"/>
      <w:bookmarkEnd w:id="98"/>
      <w:bookmarkEnd w:id="99"/>
    </w:p>
    <w:p w14:paraId="5EA7DF6C" w14:textId="536CDBDF" w:rsidR="00E77FA5" w:rsidRPr="00E77FA5" w:rsidRDefault="00E77FA5" w:rsidP="00651826">
      <w:pPr>
        <w:pStyle w:val="Bullet2G"/>
      </w:pPr>
      <w:r w:rsidRPr="00E77FA5">
        <w:tab/>
        <w:t xml:space="preserve">вопросы языка и перевода в рамках трансграничных процедур: выявление передовой практики в области выполнения переводов, в частности, в отношении качества перевода и подлежащей переводу документации; </w:t>
      </w:r>
      <w:bookmarkStart w:id="100" w:name="_Hlk50742424"/>
    </w:p>
    <w:bookmarkEnd w:id="100"/>
    <w:p w14:paraId="69331A75" w14:textId="57029632" w:rsidR="00E77FA5" w:rsidRPr="00E77FA5" w:rsidRDefault="00E77FA5" w:rsidP="00651826">
      <w:pPr>
        <w:pStyle w:val="Bullet2G"/>
      </w:pPr>
      <w:r w:rsidRPr="00E77FA5">
        <w:t>сроки уведомления: обеспечение как можно более раннего уведомления затрагиваемых Сторон.</w:t>
      </w:r>
    </w:p>
    <w:p w14:paraId="688AEDBE" w14:textId="77777777" w:rsidR="00E77FA5" w:rsidRPr="00651826" w:rsidRDefault="00E77FA5" w:rsidP="00651826">
      <w:pPr>
        <w:pStyle w:val="H23G"/>
      </w:pPr>
      <w:r w:rsidRPr="00651826">
        <w:tab/>
        <w:t>2.</w:t>
      </w:r>
      <w:r w:rsidRPr="00651826">
        <w:tab/>
        <w:t xml:space="preserve">Унификация применения договоров и укрепление потенциала Сторон </w:t>
      </w:r>
      <w:bookmarkStart w:id="101" w:name="_Hlk50979593"/>
      <w:bookmarkStart w:id="102" w:name="_Hlk50897563"/>
    </w:p>
    <w:p w14:paraId="34CF79CD" w14:textId="4C60E078" w:rsidR="00E77FA5" w:rsidRPr="00E77FA5" w:rsidRDefault="00E77FA5" w:rsidP="00651826">
      <w:pPr>
        <w:pStyle w:val="Bullet1G"/>
      </w:pPr>
      <w:bookmarkStart w:id="103" w:name="_Hlk50897588"/>
      <w:bookmarkStart w:id="104" w:name="_Hlk50979436"/>
      <w:bookmarkEnd w:id="101"/>
      <w:bookmarkEnd w:id="102"/>
      <w:r w:rsidRPr="00E77FA5">
        <w:t>Унификация применения договоров и укрепление потенциала Сторон, например путем:</w:t>
      </w:r>
      <w:bookmarkEnd w:id="103"/>
    </w:p>
    <w:bookmarkEnd w:id="104"/>
    <w:p w14:paraId="168076E8" w14:textId="58295C8D" w:rsidR="00E77FA5" w:rsidRPr="00E77FA5" w:rsidRDefault="00E77FA5" w:rsidP="00651826">
      <w:pPr>
        <w:pStyle w:val="Bullet2G"/>
      </w:pPr>
      <w:r w:rsidRPr="00E77FA5">
        <w:t xml:space="preserve">рекомендации заинтересованным Сторонам ратифицировать вторую поправку к Конвенции; </w:t>
      </w:r>
    </w:p>
    <w:p w14:paraId="595E560E" w14:textId="66A44744" w:rsidR="00E77FA5" w:rsidRPr="00E77FA5" w:rsidRDefault="00E77FA5" w:rsidP="00651826">
      <w:pPr>
        <w:pStyle w:val="Bullet2G"/>
      </w:pPr>
      <w:r w:rsidRPr="00E77FA5">
        <w:lastRenderedPageBreak/>
        <w:t xml:space="preserve">поощрения Сторон к более эффективному использованию существующих руководств; </w:t>
      </w:r>
    </w:p>
    <w:p w14:paraId="131844A2" w14:textId="3BEC2769" w:rsidR="00E77FA5" w:rsidRPr="00E77FA5" w:rsidRDefault="00E77FA5" w:rsidP="00651826">
      <w:pPr>
        <w:pStyle w:val="Bullet2G"/>
      </w:pPr>
      <w:r w:rsidRPr="00E77FA5">
        <w:t>разработки новых руководящих указаний и обновления существующих руководящих указаний по мере необходимости и при условии наличия ресурсов;</w:t>
      </w:r>
      <w:r w:rsidR="00AB6E36">
        <w:t xml:space="preserve"> </w:t>
      </w:r>
    </w:p>
    <w:p w14:paraId="250DC3C2" w14:textId="31137348" w:rsidR="00E77FA5" w:rsidRPr="00E77FA5" w:rsidRDefault="00E77FA5" w:rsidP="00651826">
      <w:pPr>
        <w:pStyle w:val="Bullet2G"/>
      </w:pPr>
      <w:r w:rsidRPr="00E77FA5">
        <w:t>обмена информацией о передовой практике;</w:t>
      </w:r>
    </w:p>
    <w:p w14:paraId="1C1BB934" w14:textId="5A7A48DB" w:rsidR="00E77FA5" w:rsidRPr="00E77FA5" w:rsidRDefault="00E77FA5" w:rsidP="00651826">
      <w:pPr>
        <w:pStyle w:val="Bullet2G"/>
      </w:pPr>
      <w:r w:rsidRPr="00E77FA5">
        <w:tab/>
        <w:t>уточнения сферы охвата договоров и их связей с другими инструментами оценки, когда это необходимо, в целях повышения эффективности и предупреждения дублирования;</w:t>
      </w:r>
    </w:p>
    <w:p w14:paraId="6E9CBD8E" w14:textId="6D4F2AD4" w:rsidR="00E77FA5" w:rsidRPr="00E77FA5" w:rsidRDefault="00E77FA5" w:rsidP="00651826">
      <w:pPr>
        <w:pStyle w:val="Bullet2G"/>
      </w:pPr>
      <w:r w:rsidRPr="00E77FA5">
        <w:tab/>
        <w:t>уточнения терминологии и обязательств договоров с особым упором на добавления к Конвенции и Протоколу;</w:t>
      </w:r>
      <w:r w:rsidRPr="00E77FA5">
        <w:tab/>
      </w:r>
    </w:p>
    <w:p w14:paraId="0E20DD3C" w14:textId="3F53A2F5" w:rsidR="00E77FA5" w:rsidRPr="00E77FA5" w:rsidRDefault="00E77FA5" w:rsidP="00651826">
      <w:pPr>
        <w:pStyle w:val="Bullet2G"/>
      </w:pPr>
      <w:r w:rsidRPr="00E77FA5">
        <w:tab/>
        <w:t xml:space="preserve">выявления потребностей Сторон в законодательной помощи и укреплении потенциала, в том числе путем проведения обзора их национального законодательства и административного потенциала, при условии наличия ресурсов; </w:t>
      </w:r>
    </w:p>
    <w:p w14:paraId="1DD408F6" w14:textId="2C14FAAD" w:rsidR="00E77FA5" w:rsidRPr="00E77FA5" w:rsidRDefault="00E77FA5" w:rsidP="00651826">
      <w:pPr>
        <w:pStyle w:val="Bullet2G"/>
      </w:pPr>
      <w:r w:rsidRPr="00E77FA5">
        <w:t>соотнесения потребностей с имеющимися ресурсами и, насколько это возможно, их удовлетворения за счет технической поддержки, создания потенциала, руководящих указаний, обмена передовой практикой и опытом с использованием при необходимости процедуры рассмотрения соблюдения.</w:t>
      </w:r>
    </w:p>
    <w:p w14:paraId="6A6887C0" w14:textId="77777777" w:rsidR="00E77FA5" w:rsidRPr="00651826" w:rsidRDefault="00E77FA5" w:rsidP="00651826">
      <w:pPr>
        <w:pStyle w:val="H23G"/>
      </w:pPr>
      <w:r w:rsidRPr="00651826">
        <w:tab/>
        <w:t>3.</w:t>
      </w:r>
      <w:r w:rsidRPr="00651826">
        <w:tab/>
        <w:t>Поощрение неофициального предуведомительного взаимодействия</w:t>
      </w:r>
      <w:bookmarkStart w:id="105" w:name="_Hlk32323753"/>
    </w:p>
    <w:p w14:paraId="472CCE68" w14:textId="591E646F" w:rsidR="00E77FA5" w:rsidRPr="00E77FA5" w:rsidRDefault="00E77FA5" w:rsidP="00651826">
      <w:pPr>
        <w:pStyle w:val="Bullet1G"/>
      </w:pPr>
      <w:bookmarkStart w:id="106" w:name="_Hlk50973259"/>
      <w:bookmarkEnd w:id="105"/>
      <w:r w:rsidRPr="00E77FA5">
        <w:t>Поощрение Сторон к проведению консультаций друг с другом по вопросам применения Конвенции путем установления на предуведомительном этапе неофициальных контактов по проектам, не перечисленным в добавлении I к Конвенции.</w:t>
      </w:r>
      <w:bookmarkEnd w:id="106"/>
    </w:p>
    <w:p w14:paraId="1CF736B6" w14:textId="77777777" w:rsidR="00E77FA5" w:rsidRPr="00651826" w:rsidRDefault="00E77FA5" w:rsidP="00651826">
      <w:pPr>
        <w:pStyle w:val="H23G"/>
      </w:pPr>
      <w:r w:rsidRPr="00651826">
        <w:tab/>
        <w:t>4.</w:t>
      </w:r>
      <w:r w:rsidRPr="00651826">
        <w:tab/>
        <w:t>Усиление поддержки договоров</w:t>
      </w:r>
    </w:p>
    <w:p w14:paraId="52FAB02B" w14:textId="7DFFEAAF" w:rsidR="00E77FA5" w:rsidRPr="00E77FA5" w:rsidRDefault="00E77FA5" w:rsidP="00651826">
      <w:pPr>
        <w:pStyle w:val="Bullet1G"/>
      </w:pPr>
      <w:r w:rsidRPr="00E77FA5">
        <w:tab/>
        <w:t>Оказание более активной поддержки договорам со стороны лиц, принимающих решения, экономических секторов и общественности путем повышения наглядности и более эффективного информирования о преимуществах договоров</w:t>
      </w:r>
      <w:r w:rsidR="00D54568">
        <w:t xml:space="preserve"> — </w:t>
      </w:r>
      <w:r w:rsidRPr="00E77FA5">
        <w:t xml:space="preserve">соответствующие действия включают следующие примеры: </w:t>
      </w:r>
    </w:p>
    <w:p w14:paraId="76454978" w14:textId="40F20433" w:rsidR="00E77FA5" w:rsidRPr="00E77FA5" w:rsidRDefault="00E77FA5" w:rsidP="00651826">
      <w:pPr>
        <w:pStyle w:val="Bullet2G"/>
      </w:pPr>
      <w:r w:rsidRPr="00E77FA5">
        <w:tab/>
        <w:t>разработку коммуникационной стратегии с целью привлечения внимания к договорам и более эффективного информирования о преимуществах стратегической экологической оценки и трансграничной оценки воздействия на окружающую среду;</w:t>
      </w:r>
    </w:p>
    <w:p w14:paraId="5B20775B" w14:textId="23743307" w:rsidR="00E77FA5" w:rsidRPr="00E77FA5" w:rsidRDefault="00E77FA5" w:rsidP="00651826">
      <w:pPr>
        <w:pStyle w:val="Bullet2G"/>
      </w:pPr>
      <w:r w:rsidRPr="00E77FA5">
        <w:tab/>
        <w:t xml:space="preserve">демонстрацию выгод этих договоров путем представления примеров передовой практики на их веб-сайте; </w:t>
      </w:r>
    </w:p>
    <w:p w14:paraId="078FB428" w14:textId="18DEA97B" w:rsidR="00E77FA5" w:rsidRPr="00E77FA5" w:rsidRDefault="00E77FA5" w:rsidP="00651826">
      <w:pPr>
        <w:pStyle w:val="Bullet2G"/>
      </w:pPr>
      <w:r w:rsidRPr="00E77FA5">
        <w:tab/>
        <w:t>принятие мер с целью сделать связи между этими двумя инструментами оценки и Целями в области устойчивого развития, климатическими целями и другими национальными приоритетами более очевидными и более известными;</w:t>
      </w:r>
    </w:p>
    <w:p w14:paraId="2EFF0AB2" w14:textId="4F2E5764" w:rsidR="00E77FA5" w:rsidRPr="00E77FA5" w:rsidRDefault="00E77FA5" w:rsidP="00651826">
      <w:pPr>
        <w:pStyle w:val="Bullet2G"/>
      </w:pPr>
      <w:r w:rsidRPr="00E77FA5">
        <w:tab/>
        <w:t>более эффективное использование средств массовой информации, включая социальные сети, совершенствование веб-сайта ЕЭК и других коммуникационных инструментов;</w:t>
      </w:r>
    </w:p>
    <w:p w14:paraId="094A0FEE" w14:textId="3639B125" w:rsidR="00E77FA5" w:rsidRPr="00E77FA5" w:rsidRDefault="00E77FA5" w:rsidP="00651826">
      <w:pPr>
        <w:pStyle w:val="Bullet2G"/>
      </w:pPr>
      <w:r w:rsidRPr="00E77FA5">
        <w:tab/>
        <w:t>подготовку таких инновационных рекламных материалов для различных целевых аудиторий, как видеоматериалы и сборники передовой практики, краткие послания для лиц, ответственных за разработку политики, и ответы на часто задаваемые вопросы;</w:t>
      </w:r>
    </w:p>
    <w:p w14:paraId="7951D8F3" w14:textId="4487D6F1" w:rsidR="00E77FA5" w:rsidRPr="00E77FA5" w:rsidRDefault="00E77FA5" w:rsidP="00651826">
      <w:pPr>
        <w:pStyle w:val="Bullet2G"/>
      </w:pPr>
      <w:r w:rsidRPr="00E77FA5">
        <w:tab/>
        <w:t xml:space="preserve">организацию в странах информационных и общественно-просветительских кампаний, мероприятий по повышению уровня информированности парламентариев и более широкое использование </w:t>
      </w:r>
      <w:r w:rsidRPr="00E77FA5">
        <w:lastRenderedPageBreak/>
        <w:t xml:space="preserve">информационно-пропагандистской функции неправительственных организаций; </w:t>
      </w:r>
    </w:p>
    <w:p w14:paraId="53FCEB05" w14:textId="6CB0ACFE" w:rsidR="00E77FA5" w:rsidRPr="00E77FA5" w:rsidRDefault="00E77FA5" w:rsidP="00651826">
      <w:pPr>
        <w:pStyle w:val="Bullet2G"/>
      </w:pPr>
      <w:r w:rsidRPr="00E77FA5">
        <w:tab/>
        <w:t>привлечение более высокопоставленных лиц к участию в официальных совещаниях договорных органов и вовлечение значимых субъектов в пропаганду договоров.</w:t>
      </w:r>
    </w:p>
    <w:p w14:paraId="28D10BB0" w14:textId="02A128D3" w:rsidR="00E77FA5" w:rsidRPr="00651826" w:rsidRDefault="00E77FA5" w:rsidP="00651826">
      <w:pPr>
        <w:pStyle w:val="H23G"/>
      </w:pPr>
      <w:r w:rsidRPr="00651826">
        <w:tab/>
        <w:t>5.</w:t>
      </w:r>
      <w:r w:rsidRPr="00651826">
        <w:tab/>
        <w:t>Налаживание и расширение синергических связей и сотрудничества</w:t>
      </w:r>
      <w:r w:rsidR="00AB6E36" w:rsidRPr="00651826">
        <w:t xml:space="preserve"> </w:t>
      </w:r>
    </w:p>
    <w:p w14:paraId="76BA35DA" w14:textId="294F1229" w:rsidR="00E77FA5" w:rsidRPr="00E77FA5" w:rsidRDefault="00E77FA5" w:rsidP="00651826">
      <w:pPr>
        <w:pStyle w:val="Bullet1G"/>
      </w:pPr>
      <w:r w:rsidRPr="00E77FA5">
        <w:t>Выявление возможностей для создания и усиления синергизма с другими соответствующими конвенциями и международными процессами, а также для улучшения координации между Сторонами и внутри них</w:t>
      </w:r>
      <w:r w:rsidR="00D54568">
        <w:t xml:space="preserve"> — </w:t>
      </w:r>
      <w:r w:rsidRPr="00E77FA5">
        <w:t>соответствующие действия включают следующие примеры:</w:t>
      </w:r>
    </w:p>
    <w:p w14:paraId="60B0E102" w14:textId="7F844D14" w:rsidR="00E77FA5" w:rsidRPr="00E77FA5" w:rsidRDefault="00E77FA5" w:rsidP="00651826">
      <w:pPr>
        <w:pStyle w:val="Bullet2G"/>
      </w:pPr>
      <w:r w:rsidRPr="00E77FA5">
        <w:t xml:space="preserve">выявление конвенций/правовых актов, демонстрирующих возможности для улучшения координации/гармонизации в целях обеспечения синергизма в отношении их осуществления и выполнения закрепленных в них обязательствах; </w:t>
      </w:r>
    </w:p>
    <w:p w14:paraId="7CB4EA75" w14:textId="0DE98C46" w:rsidR="00E77FA5" w:rsidRPr="00E77FA5" w:rsidRDefault="00E77FA5" w:rsidP="00651826">
      <w:pPr>
        <w:pStyle w:val="Bullet2G"/>
      </w:pPr>
      <w:r w:rsidRPr="00E77FA5">
        <w:t>предупреждение принятия дублирующих обязательств и действий с другими соответствующими конвенциями и организациями;</w:t>
      </w:r>
    </w:p>
    <w:p w14:paraId="43937773" w14:textId="3B90489D" w:rsidR="00E77FA5" w:rsidRPr="00E77FA5" w:rsidRDefault="00E77FA5" w:rsidP="00651826">
      <w:pPr>
        <w:pStyle w:val="Bullet2G"/>
      </w:pPr>
      <w:r w:rsidRPr="00E77FA5">
        <w:t>принятие мер по повышению затратоэффективности секретариатов вышеупомянутых договоров и организаций, например путем проведения совместных мероприятий по укреплению потенциала и, если это возможно, путем совместного использования персонала и ресурсов.</w:t>
      </w:r>
    </w:p>
    <w:p w14:paraId="0B5A54D1" w14:textId="77777777" w:rsidR="00E77FA5" w:rsidRPr="00651826" w:rsidRDefault="00E77FA5" w:rsidP="00651826">
      <w:pPr>
        <w:pStyle w:val="H23G"/>
      </w:pPr>
      <w:r w:rsidRPr="00651826">
        <w:tab/>
        <w:t>6.</w:t>
      </w:r>
      <w:r w:rsidRPr="00651826">
        <w:tab/>
        <w:t>Увеличение числа двусторонних соглашений</w:t>
      </w:r>
    </w:p>
    <w:p w14:paraId="237487D5" w14:textId="293E93E4" w:rsidR="00E77FA5" w:rsidRPr="00E77FA5" w:rsidRDefault="00E77FA5" w:rsidP="00651826">
      <w:pPr>
        <w:pStyle w:val="Bullet1G"/>
      </w:pPr>
      <w:bookmarkStart w:id="107" w:name="_Hlk32325557"/>
      <w:r w:rsidRPr="00E77FA5">
        <w:tab/>
        <w:t>Увеличение числа двусторонних соглашений об осуществлении Конвенции и трансграничных процедур Протокола и упрощение их разработки с целью достижения единообразия в толковании договоров сопредельными странами</w:t>
      </w:r>
      <w:bookmarkEnd w:id="107"/>
      <w:r w:rsidR="00F332A7">
        <w:t>.</w:t>
      </w:r>
    </w:p>
    <w:p w14:paraId="488BA8CE" w14:textId="77777777" w:rsidR="00E77FA5" w:rsidRPr="00651826" w:rsidRDefault="00E77FA5" w:rsidP="00651826">
      <w:pPr>
        <w:pStyle w:val="H23G"/>
      </w:pPr>
      <w:r w:rsidRPr="00651826">
        <w:tab/>
        <w:t>7.</w:t>
      </w:r>
      <w:r w:rsidRPr="00651826">
        <w:tab/>
        <w:t xml:space="preserve">Расширение сетевых контактов </w:t>
      </w:r>
    </w:p>
    <w:p w14:paraId="30D7CA0B" w14:textId="21655C9B" w:rsidR="00E77FA5" w:rsidRPr="00E77FA5" w:rsidRDefault="00E77FA5" w:rsidP="00651826">
      <w:pPr>
        <w:pStyle w:val="Bullet1G"/>
      </w:pPr>
      <w:r w:rsidRPr="00E77FA5">
        <w:t>Улучшение трансграничного сотрудничества путем расширения использования и функционирования сетей национальных координаторов и контактных центров для уведомления, например посредством:</w:t>
      </w:r>
    </w:p>
    <w:p w14:paraId="616ECE5A" w14:textId="36950E75" w:rsidR="00E77FA5" w:rsidRPr="00E77FA5" w:rsidRDefault="00E77FA5" w:rsidP="00651826">
      <w:pPr>
        <w:pStyle w:val="Bullet2G"/>
      </w:pPr>
      <w:r w:rsidRPr="00E77FA5">
        <w:t>организации регулярных совещаний с координаторами из соседних Сторон/региона;</w:t>
      </w:r>
    </w:p>
    <w:p w14:paraId="72EF4209" w14:textId="4C0E47AE" w:rsidR="00E77FA5" w:rsidRPr="00E77FA5" w:rsidRDefault="00E77FA5" w:rsidP="00651826">
      <w:pPr>
        <w:pStyle w:val="Bullet2G"/>
      </w:pPr>
      <w:r w:rsidRPr="00E77FA5">
        <w:t>проведения (неофициальных) обсуждений по вопросам толкования и осуществления с участием координаторов из соседних Сторон;</w:t>
      </w:r>
    </w:p>
    <w:p w14:paraId="5FC55053" w14:textId="348A32AD" w:rsidR="00E77FA5" w:rsidRPr="00E77FA5" w:rsidRDefault="00E77FA5" w:rsidP="00651826">
      <w:pPr>
        <w:pStyle w:val="Bullet2G"/>
      </w:pPr>
      <w:r w:rsidRPr="00E77FA5">
        <w:t>поощрения создания более долговременных субрегиональных специальных групп в составе координаторов и экспертов соседних Сторон для обмена информацией о проектах и национальных системах и мнениях</w:t>
      </w:r>
      <w:r w:rsidR="00F332A7">
        <w:t>.</w:t>
      </w:r>
    </w:p>
    <w:p w14:paraId="2FA76023" w14:textId="77777777" w:rsidR="00E77FA5" w:rsidRPr="00651826" w:rsidRDefault="00E77FA5" w:rsidP="00651826">
      <w:pPr>
        <w:pStyle w:val="H23G"/>
      </w:pPr>
      <w:r w:rsidRPr="00651826">
        <w:tab/>
        <w:t>8.</w:t>
      </w:r>
      <w:r w:rsidRPr="00651826">
        <w:tab/>
        <w:t>Обеспечение эффективности механизма соблюдения</w:t>
      </w:r>
    </w:p>
    <w:p w14:paraId="431FEC57" w14:textId="003EF3DC" w:rsidR="00E77FA5" w:rsidRPr="00E77FA5" w:rsidRDefault="00E77FA5" w:rsidP="00651826">
      <w:pPr>
        <w:pStyle w:val="Bullet1G"/>
      </w:pPr>
      <w:r w:rsidRPr="00E77FA5">
        <w:t>Обеспечение четкого функционирования механизма соблюдения согласно Конвенции и Протоколу и осуществление достигнутых результатов, с тем чтобы он мог эффективно помогать Сторонам в полном объеме выполнять свои обязательства по этим договорам</w:t>
      </w:r>
      <w:r w:rsidR="00D54568">
        <w:t xml:space="preserve"> — </w:t>
      </w:r>
      <w:r w:rsidRPr="00E77FA5">
        <w:t xml:space="preserve">соответствующие меры включают следующие примеры: </w:t>
      </w:r>
      <w:bookmarkStart w:id="108" w:name="_Hlk50892283"/>
      <w:bookmarkEnd w:id="108"/>
    </w:p>
    <w:p w14:paraId="3ABAA657" w14:textId="0A1DF1CD" w:rsidR="00E77FA5" w:rsidRPr="00E77FA5" w:rsidRDefault="00E77FA5" w:rsidP="00651826">
      <w:pPr>
        <w:pStyle w:val="Bullet2G"/>
      </w:pPr>
      <w:r w:rsidRPr="00E77FA5">
        <w:tab/>
        <w:t>рассмотрение оперативных правил, финансирования, количества членов Комитета и критериев их избрания в целях укрепления этого механизма;</w:t>
      </w:r>
    </w:p>
    <w:p w14:paraId="258C1E31" w14:textId="39D205C3" w:rsidR="00E77FA5" w:rsidRPr="00E77FA5" w:rsidRDefault="00E77FA5" w:rsidP="00651826">
      <w:pPr>
        <w:pStyle w:val="Bullet2G"/>
      </w:pPr>
      <w:r w:rsidRPr="00E77FA5">
        <w:tab/>
        <w:t>обеспечение своевременного представления Сторонами ответов на запросы Комитета.</w:t>
      </w:r>
    </w:p>
    <w:p w14:paraId="0B6EF554" w14:textId="77777777" w:rsidR="00E77FA5" w:rsidRPr="00651826" w:rsidRDefault="00E77FA5" w:rsidP="00651826">
      <w:pPr>
        <w:pStyle w:val="H23G"/>
      </w:pPr>
      <w:r w:rsidRPr="00651826">
        <w:lastRenderedPageBreak/>
        <w:tab/>
        <w:t>9.</w:t>
      </w:r>
      <w:r w:rsidRPr="00651826">
        <w:tab/>
        <w:t>Улучшение представления отчетности и обзор осуществления</w:t>
      </w:r>
    </w:p>
    <w:p w14:paraId="3AC63B7B" w14:textId="4933EC36" w:rsidR="00E77FA5" w:rsidRPr="00E77FA5" w:rsidRDefault="00E77FA5" w:rsidP="00651826">
      <w:pPr>
        <w:pStyle w:val="Bullet1G"/>
      </w:pPr>
      <w:r w:rsidRPr="00E77FA5">
        <w:tab/>
        <w:t>Использование механизма обязательного представления отчетности согласно Конвенции и Протоколу для более эффективного мониторинга и поддержки обзора хода осуществления</w:t>
      </w:r>
      <w:r w:rsidR="00D54568">
        <w:t xml:space="preserve"> — </w:t>
      </w:r>
      <w:r w:rsidRPr="00E77FA5">
        <w:t>соответствующие меры включают следующие примеры:</w:t>
      </w:r>
    </w:p>
    <w:p w14:paraId="61E4BEB7" w14:textId="67F9B120" w:rsidR="00E77FA5" w:rsidRPr="00E77FA5" w:rsidRDefault="00E77FA5" w:rsidP="00651826">
      <w:pPr>
        <w:pStyle w:val="Bullet2G"/>
        <w:rPr>
          <w:b/>
        </w:rPr>
      </w:pPr>
      <w:r w:rsidRPr="00E77FA5">
        <w:tab/>
        <w:t>улучшение своевременности и качества обязательной отчетности и вопросников;</w:t>
      </w:r>
    </w:p>
    <w:p w14:paraId="1F7554F0" w14:textId="710D0CD6" w:rsidR="00E77FA5" w:rsidRPr="00E77FA5" w:rsidRDefault="00E77FA5" w:rsidP="00651826">
      <w:pPr>
        <w:pStyle w:val="Bullet2G"/>
      </w:pPr>
      <w:r w:rsidRPr="00E77FA5">
        <w:tab/>
        <w:t>адаптация обзоров осуществления в целях максимального повышения их полезности в качестве источника информации, представление информации о достигнутом прогрессе, привлечение внимания к областям, нуждающимся в улучшении, распространение наилучшей практики и информирование Комитета по осуществлению о случаях возможного несоблюдения.</w:t>
      </w:r>
    </w:p>
    <w:p w14:paraId="73484896" w14:textId="77777777" w:rsidR="00E77FA5" w:rsidRPr="00651826" w:rsidRDefault="00E77FA5" w:rsidP="00651826">
      <w:pPr>
        <w:pStyle w:val="H23G"/>
      </w:pPr>
      <w:r w:rsidRPr="00651826">
        <w:tab/>
        <w:t>10.</w:t>
      </w:r>
      <w:r w:rsidRPr="00651826">
        <w:tab/>
        <w:t>Увеличение финансирования</w:t>
      </w:r>
    </w:p>
    <w:p w14:paraId="371594AF" w14:textId="1CB26362" w:rsidR="00E77FA5" w:rsidRPr="00E77FA5" w:rsidRDefault="00E77FA5" w:rsidP="00651826">
      <w:pPr>
        <w:pStyle w:val="Bullet1G"/>
      </w:pPr>
      <w:r w:rsidRPr="00E77FA5">
        <w:tab/>
        <w:t>Предоставление Сторонами достаточных ресурсов путем внесения необходимых финансовых средств в целевой фонд и внесение взносов натурой для обеспечения достаточной поддержки осуществления всех мероприятий по плану работы и секретариатских услуг.</w:t>
      </w:r>
    </w:p>
    <w:p w14:paraId="51F5D085" w14:textId="77777777" w:rsidR="00E77FA5" w:rsidRPr="00651826" w:rsidRDefault="00E77FA5" w:rsidP="00651826">
      <w:pPr>
        <w:pStyle w:val="H23G"/>
      </w:pPr>
      <w:bookmarkStart w:id="109" w:name="_Hlk32328431"/>
      <w:r w:rsidRPr="00651826">
        <w:tab/>
        <w:t>11.</w:t>
      </w:r>
      <w:r w:rsidRPr="00651826">
        <w:tab/>
        <w:t xml:space="preserve">Улучшение взаимодействия и достижение консенсуса </w:t>
      </w:r>
      <w:bookmarkStart w:id="110" w:name="_Hlk50980677"/>
      <w:bookmarkEnd w:id="110"/>
    </w:p>
    <w:bookmarkEnd w:id="109"/>
    <w:p w14:paraId="5E4D5B13" w14:textId="029B60FA" w:rsidR="00E77FA5" w:rsidRPr="00E77FA5" w:rsidRDefault="00E77FA5" w:rsidP="00651826">
      <w:pPr>
        <w:pStyle w:val="Bullet1G"/>
      </w:pPr>
      <w:r w:rsidRPr="00E77FA5">
        <w:tab/>
        <w:t>Улучшение взаимодействия Сторон и обеспечение принятия решений на основе консенсуса на совещаниях договорных органов.</w:t>
      </w:r>
    </w:p>
    <w:p w14:paraId="58ABE328" w14:textId="77777777" w:rsidR="00E77FA5" w:rsidRPr="00E77FA5" w:rsidRDefault="00E77FA5" w:rsidP="00651826">
      <w:pPr>
        <w:pStyle w:val="H1G"/>
      </w:pPr>
      <w:r w:rsidRPr="00E77FA5">
        <w:tab/>
        <w:t>B.</w:t>
      </w:r>
      <w:r w:rsidRPr="00E77FA5">
        <w:tab/>
        <w:t>Усиление воздействия за счет решения новых национальных, региональных и глобальных проблем и задач</w:t>
      </w:r>
    </w:p>
    <w:p w14:paraId="55366E04" w14:textId="77777777" w:rsidR="00E77FA5" w:rsidRPr="00651826" w:rsidRDefault="00E77FA5" w:rsidP="00651826">
      <w:pPr>
        <w:pStyle w:val="H23G"/>
      </w:pPr>
      <w:r w:rsidRPr="00651826">
        <w:tab/>
        <w:t>1.</w:t>
      </w:r>
      <w:r w:rsidRPr="00651826">
        <w:tab/>
        <w:t xml:space="preserve">Пропаганда роли договоров в решении национальных и глобальных проблем </w:t>
      </w:r>
    </w:p>
    <w:p w14:paraId="24276C4B" w14:textId="1DE3F70B" w:rsidR="00E77FA5" w:rsidRPr="00E77FA5" w:rsidRDefault="00E77FA5" w:rsidP="00651826">
      <w:pPr>
        <w:pStyle w:val="Bullet1G"/>
      </w:pPr>
      <w:r w:rsidRPr="00E77FA5">
        <w:tab/>
        <w:t xml:space="preserve">Акцентирование и распространение информации о роли, которую эти договоры могут играть в решении глобальных и национальных приоритетных задач и проблем в области охраны окружающей среды, в том числе в области изменения климата, биоразнообразия, утилизации отходов, экономики замкнутого цикла, воздуха, почвы и воды: с этой целью ведется разработка передовой практики в области энергетики (ядерной, возобновляемой), транспорта и телекоммуникаций, землепользования и урбанизма и развития инфраструктуры. </w:t>
      </w:r>
    </w:p>
    <w:p w14:paraId="17722EBF" w14:textId="77777777" w:rsidR="00E77FA5" w:rsidRPr="00651826" w:rsidRDefault="00E77FA5" w:rsidP="00651826">
      <w:pPr>
        <w:pStyle w:val="H23G"/>
      </w:pPr>
      <w:r w:rsidRPr="00651826">
        <w:tab/>
        <w:t>2.</w:t>
      </w:r>
      <w:r w:rsidRPr="00651826">
        <w:tab/>
        <w:t xml:space="preserve">Использование потенциала договоров в полной мере </w:t>
      </w:r>
    </w:p>
    <w:p w14:paraId="12782364" w14:textId="135515D0" w:rsidR="00E77FA5" w:rsidRPr="00E77FA5" w:rsidRDefault="00E77FA5" w:rsidP="00651826">
      <w:pPr>
        <w:pStyle w:val="Bullet1G"/>
      </w:pPr>
      <w:r w:rsidRPr="00E77FA5">
        <w:tab/>
        <w:t>Использование в полной мере потенциала договоров для решения новых глобальных, региональных и национальных задач и выполнения обязательств,</w:t>
      </w:r>
      <w:r w:rsidR="00AB6E36">
        <w:t xml:space="preserve"> </w:t>
      </w:r>
      <w:r w:rsidRPr="00E77FA5">
        <w:t xml:space="preserve">например конкретизация вклада договоров в достижение </w:t>
      </w:r>
      <w:r w:rsidR="00EB509E">
        <w:t>Ц</w:t>
      </w:r>
      <w:r w:rsidRPr="00E77FA5">
        <w:t xml:space="preserve">елей в области устойчивого развития и улучшение возможности для его оценки путем разработки руководства для специалистов по оценке воздействия на окружающую среду и стратегической экологической оценке для реализации тех целей, задач и показателей, которые имеют отношение к оценке конкретного предлагаемого вида деятельности, плана или программы. </w:t>
      </w:r>
    </w:p>
    <w:p w14:paraId="25F26A2D" w14:textId="77777777" w:rsidR="00E77FA5" w:rsidRPr="00651826" w:rsidRDefault="00E77FA5" w:rsidP="00651826">
      <w:pPr>
        <w:pStyle w:val="H23G"/>
      </w:pPr>
      <w:r w:rsidRPr="00651826">
        <w:tab/>
        <w:t>3.</w:t>
      </w:r>
      <w:r w:rsidRPr="00651826">
        <w:tab/>
        <w:t>Согласование соответствующих видов деятельности по плану работы, которые направлены на решение этих новых задач и достижение новых целей</w:t>
      </w:r>
    </w:p>
    <w:p w14:paraId="5FE018B0" w14:textId="423293F8" w:rsidR="00E77FA5" w:rsidRPr="00E77FA5" w:rsidRDefault="00E77FA5" w:rsidP="00651826">
      <w:pPr>
        <w:pStyle w:val="Bullet1G"/>
      </w:pPr>
      <w:r w:rsidRPr="00E77FA5">
        <w:tab/>
        <w:t>Согласование мероприятий по плану работы и соответствующего/адресного финансирования, направленных на решение ключевых задач и достижение целей, включая их сроки, ожидаемые результаты и обеспечение их соответствия ключевым задачам и целям, в том числе например:</w:t>
      </w:r>
      <w:bookmarkStart w:id="111" w:name="_Hlk50894946"/>
      <w:bookmarkEnd w:id="111"/>
    </w:p>
    <w:p w14:paraId="331FF7B2" w14:textId="6E1E1158" w:rsidR="00E77FA5" w:rsidRPr="00E77FA5" w:rsidRDefault="00E77FA5" w:rsidP="00EB509E">
      <w:pPr>
        <w:pStyle w:val="Bullet2G"/>
        <w:keepNext/>
        <w:keepLines/>
      </w:pPr>
      <w:r w:rsidRPr="00E77FA5">
        <w:lastRenderedPageBreak/>
        <w:t xml:space="preserve">обмен информацией о передовой практике; </w:t>
      </w:r>
    </w:p>
    <w:p w14:paraId="6C6E46BF" w14:textId="2BFF2841" w:rsidR="00E77FA5" w:rsidRPr="00E77FA5" w:rsidRDefault="00E77FA5" w:rsidP="00EB509E">
      <w:pPr>
        <w:pStyle w:val="Bullet2G"/>
        <w:keepNext/>
        <w:keepLines/>
      </w:pPr>
      <w:r w:rsidRPr="00E77FA5">
        <w:t>подготовка руководства;</w:t>
      </w:r>
    </w:p>
    <w:p w14:paraId="5D9CFA7B" w14:textId="76B81CAD" w:rsidR="00E77FA5" w:rsidRPr="00E77FA5" w:rsidRDefault="00E77FA5" w:rsidP="00EB509E">
      <w:pPr>
        <w:pStyle w:val="Bullet2G"/>
        <w:keepNext/>
        <w:keepLines/>
      </w:pPr>
      <w:r w:rsidRPr="00E77FA5">
        <w:tab/>
        <w:t>наращивание потенциала, например за счет целевой подготовки;</w:t>
      </w:r>
    </w:p>
    <w:p w14:paraId="6A422C81" w14:textId="77777777" w:rsidR="00E77FA5" w:rsidRPr="00651826" w:rsidRDefault="00E77FA5" w:rsidP="00651826">
      <w:pPr>
        <w:pStyle w:val="H23G"/>
      </w:pPr>
      <w:r w:rsidRPr="00651826">
        <w:tab/>
        <w:t>4.</w:t>
      </w:r>
      <w:r w:rsidRPr="00651826">
        <w:tab/>
        <w:t>Координация деятельности и сотрудничество с соответствующими договорами и организациями</w:t>
      </w:r>
      <w:bookmarkStart w:id="112" w:name="_Hlk32330899"/>
      <w:bookmarkEnd w:id="112"/>
    </w:p>
    <w:p w14:paraId="07B23951" w14:textId="10311B9A" w:rsidR="00E77FA5" w:rsidRPr="00E77FA5" w:rsidRDefault="00E77FA5" w:rsidP="00651826">
      <w:pPr>
        <w:pStyle w:val="Bullet1G"/>
      </w:pPr>
      <w:r w:rsidRPr="00E77FA5">
        <w:tab/>
        <w:t>Координация деятельности и сотрудничество с соответствующими региональными и глобальными договорами и организациями.</w:t>
      </w:r>
    </w:p>
    <w:p w14:paraId="5B4D93D8" w14:textId="22D4F1A4" w:rsidR="00E77FA5" w:rsidRPr="00E77FA5" w:rsidRDefault="00E77FA5" w:rsidP="00651826">
      <w:pPr>
        <w:pStyle w:val="H1G"/>
      </w:pPr>
      <w:r w:rsidRPr="00E77FA5">
        <w:tab/>
        <w:t>C.</w:t>
      </w:r>
      <w:r w:rsidRPr="00E77FA5">
        <w:tab/>
        <w:t xml:space="preserve">Расширение применения Конвенции и Протокола в регионе ЕЭК </w:t>
      </w:r>
      <w:r w:rsidR="00651826">
        <w:br/>
      </w:r>
      <w:r w:rsidRPr="00E77FA5">
        <w:t>и за его пределами</w:t>
      </w:r>
    </w:p>
    <w:p w14:paraId="4A2DA0E2" w14:textId="635BF603" w:rsidR="00E77FA5" w:rsidRPr="00651826" w:rsidRDefault="00E77FA5" w:rsidP="00651826">
      <w:pPr>
        <w:pStyle w:val="H23G"/>
      </w:pPr>
      <w:r w:rsidRPr="00651826">
        <w:tab/>
        <w:t>1.</w:t>
      </w:r>
      <w:r w:rsidRPr="00651826">
        <w:tab/>
        <w:t xml:space="preserve">Активизация присоединения государств </w:t>
      </w:r>
      <w:r w:rsidR="00651826" w:rsidRPr="00651826">
        <w:t>—</w:t>
      </w:r>
      <w:r w:rsidRPr="00651826">
        <w:t xml:space="preserve"> членов ЕЭК </w:t>
      </w:r>
      <w:bookmarkStart w:id="113" w:name="_Hlk50897257"/>
    </w:p>
    <w:p w14:paraId="5381C8A8" w14:textId="07315B62" w:rsidR="00E77FA5" w:rsidRPr="00E77FA5" w:rsidRDefault="00E77FA5" w:rsidP="00651826">
      <w:pPr>
        <w:pStyle w:val="Bullet1G"/>
      </w:pPr>
      <w:r w:rsidRPr="00E77FA5">
        <w:tab/>
        <w:t>Увеличение числа государств</w:t>
      </w:r>
      <w:r w:rsidR="00D54568">
        <w:t xml:space="preserve"> — </w:t>
      </w:r>
      <w:r w:rsidRPr="00E77FA5">
        <w:t>членов ЕЭК, присоединяющихся к договорам, например посредством:</w:t>
      </w:r>
      <w:bookmarkEnd w:id="113"/>
    </w:p>
    <w:p w14:paraId="34FBA49B" w14:textId="5AD455FC" w:rsidR="00E77FA5" w:rsidRPr="00E77FA5" w:rsidRDefault="00E77FA5" w:rsidP="00651826">
      <w:pPr>
        <w:pStyle w:val="Bullet2G"/>
      </w:pPr>
      <w:r w:rsidRPr="00E77FA5">
        <w:tab/>
        <w:t xml:space="preserve">наращивания политической и общественной поддержки среди государств, не являющихся Сторонами; </w:t>
      </w:r>
    </w:p>
    <w:p w14:paraId="34E6A467" w14:textId="7F893F05" w:rsidR="00E77FA5" w:rsidRPr="00E77FA5" w:rsidRDefault="00E77FA5" w:rsidP="00651826">
      <w:pPr>
        <w:pStyle w:val="Bullet2G"/>
      </w:pPr>
      <w:r w:rsidRPr="00E77FA5">
        <w:t>обеспечения поддержки правовых реформ, повышения осведомленности и наращивания потенциала в странах, не являющихся Сторонами, в том числе посредством заключения двусторонних договоренностей о поддержке развития и сотрудничестве;</w:t>
      </w:r>
    </w:p>
    <w:p w14:paraId="0F3DD1F2" w14:textId="4F439D40" w:rsidR="00E77FA5" w:rsidRPr="00E77FA5" w:rsidRDefault="00E77FA5" w:rsidP="00651826">
      <w:pPr>
        <w:pStyle w:val="Bullet2G"/>
      </w:pPr>
      <w:r w:rsidRPr="00E77FA5">
        <w:tab/>
        <w:t>создание пула экспертов по Конвенции и Протоколу.</w:t>
      </w:r>
    </w:p>
    <w:p w14:paraId="51ABF22D" w14:textId="6FF47298" w:rsidR="00E77FA5" w:rsidRPr="00651826" w:rsidRDefault="00E77FA5" w:rsidP="00651826">
      <w:pPr>
        <w:pStyle w:val="H23G"/>
      </w:pPr>
      <w:r w:rsidRPr="00651826">
        <w:tab/>
        <w:t>2.</w:t>
      </w:r>
      <w:r w:rsidRPr="00651826">
        <w:tab/>
        <w:t xml:space="preserve">Стимулирование и поощрение присоединения и осуществления странами, </w:t>
      </w:r>
      <w:r w:rsidR="00651826">
        <w:br/>
      </w:r>
      <w:r w:rsidRPr="00651826">
        <w:t xml:space="preserve">не являющимися членами ЕЭС </w:t>
      </w:r>
    </w:p>
    <w:p w14:paraId="4C768A34" w14:textId="31930704" w:rsidR="00E77FA5" w:rsidRPr="00E77FA5" w:rsidRDefault="00E77FA5" w:rsidP="00651826">
      <w:pPr>
        <w:pStyle w:val="Bullet1G"/>
      </w:pPr>
      <w:r w:rsidRPr="00E77FA5">
        <w:t>Предоставление странам из других регионов возможности и их поощрение к присоединению к договорам и/или тиражирование и применение Сторонами в их регионе (регионах) положений договоров и передовой практики</w:t>
      </w:r>
      <w:r w:rsidR="00D54568">
        <w:t xml:space="preserve"> — </w:t>
      </w:r>
      <w:r w:rsidRPr="00E77FA5">
        <w:t>соответствующие действия включают в себя следующие примеры:</w:t>
      </w:r>
    </w:p>
    <w:p w14:paraId="7AA0CF45" w14:textId="70810183" w:rsidR="00E77FA5" w:rsidRPr="00E77FA5" w:rsidRDefault="00E77FA5" w:rsidP="00651826">
      <w:pPr>
        <w:pStyle w:val="Bullet2G"/>
      </w:pPr>
      <w:r w:rsidRPr="00E77FA5">
        <w:tab/>
        <w:t>завершение оставшимися странами процесса ратификации первой поправки к Конвенции (обращение к оставшимся странам с настоятельным призывом принять необходимые меры и, возможно, оказать финансовую поддержку соответствующим странам, если они ратифицируют первую поправку);</w:t>
      </w:r>
    </w:p>
    <w:p w14:paraId="063C76DE" w14:textId="2023EF5C" w:rsidR="00E77FA5" w:rsidRPr="00E77FA5" w:rsidRDefault="00E77FA5" w:rsidP="00651826">
      <w:pPr>
        <w:pStyle w:val="Bullet2G"/>
      </w:pPr>
      <w:r w:rsidRPr="00E77FA5">
        <w:tab/>
        <w:t>проведение мероприятий по повышению осведомленности, оказанию технической помощи и созданию потенциала;</w:t>
      </w:r>
    </w:p>
    <w:p w14:paraId="58A8CC3C" w14:textId="1DA25E23" w:rsidR="00E77FA5" w:rsidRPr="00E77FA5" w:rsidRDefault="00E77FA5" w:rsidP="00651826">
      <w:pPr>
        <w:pStyle w:val="Bullet2G"/>
      </w:pPr>
      <w:r w:rsidRPr="00E77FA5">
        <w:tab/>
        <w:t>разработку информационных материалов и руководств и их перевод на другие языки;</w:t>
      </w:r>
    </w:p>
    <w:p w14:paraId="5EAFEC5E" w14:textId="790223A7" w:rsidR="00E77FA5" w:rsidRPr="00E77FA5" w:rsidRDefault="00E77FA5" w:rsidP="00651826">
      <w:pPr>
        <w:pStyle w:val="Bullet2G"/>
      </w:pPr>
      <w:r w:rsidRPr="00E77FA5">
        <w:tab/>
        <w:t xml:space="preserve">использование региональных и международных рамок сотрудничества для распространения информации и повышения осведомленности о Конвенции и Протоколе, а также стимулирования интереса к ним; </w:t>
      </w:r>
    </w:p>
    <w:p w14:paraId="1E0BB26F" w14:textId="4DFA01B1" w:rsidR="00E77FA5" w:rsidRPr="00E77FA5" w:rsidRDefault="00E77FA5" w:rsidP="00651826">
      <w:pPr>
        <w:pStyle w:val="Bullet2G"/>
      </w:pPr>
      <w:bookmarkStart w:id="114" w:name="_Hlk22724022"/>
      <w:r w:rsidRPr="00E77FA5">
        <w:t xml:space="preserve">создание пула экспертов по Конвенции и Протоколу; </w:t>
      </w:r>
      <w:bookmarkEnd w:id="114"/>
    </w:p>
    <w:p w14:paraId="41C90F76" w14:textId="0B1FCB74" w:rsidR="00E77FA5" w:rsidRPr="00E77FA5" w:rsidRDefault="00E77FA5" w:rsidP="00651826">
      <w:pPr>
        <w:pStyle w:val="Bullet2G"/>
      </w:pPr>
      <w:r w:rsidRPr="00E77FA5">
        <w:tab/>
        <w:t>включение в планы работы мероприятий, представляющих глобальный интерес.</w:t>
      </w:r>
    </w:p>
    <w:p w14:paraId="5962F21D" w14:textId="77777777" w:rsidR="00E77FA5" w:rsidRPr="00651826" w:rsidRDefault="00E77FA5" w:rsidP="00651826">
      <w:pPr>
        <w:pStyle w:val="H23G"/>
      </w:pPr>
      <w:r w:rsidRPr="00651826">
        <w:tab/>
        <w:t>3.</w:t>
      </w:r>
      <w:r w:rsidRPr="00651826">
        <w:tab/>
        <w:t xml:space="preserve">Подготовка к присоединению стран, не являющихся членами ЕЭК </w:t>
      </w:r>
    </w:p>
    <w:p w14:paraId="43EF30FB" w14:textId="5DCCE70C" w:rsidR="00E77FA5" w:rsidRPr="00E77FA5" w:rsidRDefault="00E77FA5" w:rsidP="00651826">
      <w:pPr>
        <w:pStyle w:val="Bullet1G"/>
      </w:pPr>
      <w:r w:rsidRPr="00E77FA5">
        <w:tab/>
        <w:t>Подготовка к присоединению стран, не входящих в регион ЕЭК, с помощью таких мер, как:</w:t>
      </w:r>
    </w:p>
    <w:p w14:paraId="4A36DCFB" w14:textId="642BE408" w:rsidR="00E77FA5" w:rsidRPr="00E77FA5" w:rsidRDefault="00E77FA5" w:rsidP="00EB509E">
      <w:pPr>
        <w:pStyle w:val="Bullet2G"/>
        <w:keepNext/>
        <w:keepLines/>
      </w:pPr>
      <w:r w:rsidRPr="00E77FA5">
        <w:lastRenderedPageBreak/>
        <w:t xml:space="preserve">разработка рекомендаций и/или критериев для глобального применения данных договоров; </w:t>
      </w:r>
    </w:p>
    <w:p w14:paraId="35C8742F" w14:textId="02D7E492" w:rsidR="00E77FA5" w:rsidRPr="00E77FA5" w:rsidRDefault="00E77FA5" w:rsidP="00EB509E">
      <w:pPr>
        <w:pStyle w:val="Bullet2G"/>
        <w:keepNext/>
        <w:keepLines/>
      </w:pPr>
      <w:r w:rsidRPr="00E77FA5">
        <w:tab/>
        <w:t>определение и согласование возможных изменений в методах работы договорных органов (Рабочая группа по оценке воздействия на окружающую среду и стратегической экологической оценке, совещания Сторон и Комитет по осуществлению);</w:t>
      </w:r>
    </w:p>
    <w:p w14:paraId="661DF13C" w14:textId="2F686A77" w:rsidR="00E77FA5" w:rsidRPr="00E77FA5" w:rsidRDefault="00E77FA5" w:rsidP="00651826">
      <w:pPr>
        <w:pStyle w:val="Bullet2G"/>
      </w:pPr>
      <w:r w:rsidRPr="00E77FA5">
        <w:tab/>
        <w:t>согласование бюджета и механизм финансирования, к примеру, для финансирования участия стран, не являющихся членами ЕЭК, в совещаниях и деятельности по расширению охвата, повышению осведомленности и оказанию помощи;</w:t>
      </w:r>
    </w:p>
    <w:p w14:paraId="18DE488B" w14:textId="4D100EEE" w:rsidR="00E77FA5" w:rsidRDefault="00E77FA5" w:rsidP="00651826">
      <w:pPr>
        <w:pStyle w:val="Bullet2G"/>
      </w:pPr>
      <w:r w:rsidRPr="00E77FA5">
        <w:tab/>
        <w:t>выявление возможных инструментов и их преимуществ и недостатков, например возможностей двусторонних партнерств, помощи в целях развития и соглашений о двусторонних договоренностях между нынешними и будущими Сторонами, информационно-пропагандистских механизмов и сотрудничества с международными организациями и финансовыми учреждениями.</w:t>
      </w:r>
    </w:p>
    <w:p w14:paraId="544075DA" w14:textId="77777777" w:rsidR="00A413F1" w:rsidRDefault="00A413F1">
      <w:pPr>
        <w:suppressAutoHyphens w:val="0"/>
        <w:spacing w:line="240" w:lineRule="auto"/>
        <w:sectPr w:rsidR="00A413F1" w:rsidSect="00C36019">
          <w:headerReference w:type="even" r:id="rId18"/>
          <w:headerReference w:type="default" r:id="rId19"/>
          <w:footerReference w:type="even" r:id="rId20"/>
          <w:footerReference w:type="defaul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680" w:footer="567" w:gutter="0"/>
          <w:cols w:space="708"/>
          <w:docGrid w:linePitch="360"/>
        </w:sectPr>
      </w:pPr>
    </w:p>
    <w:p w14:paraId="2EE3ED60" w14:textId="77F3F420" w:rsidR="00E77FA5" w:rsidRPr="0092432D" w:rsidRDefault="00A25693" w:rsidP="00E77FA5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</w:r>
      <w:r w:rsidR="00E77FA5">
        <w:rPr>
          <w:bCs/>
        </w:rPr>
        <w:t>Вильнюсская декларация</w:t>
      </w:r>
    </w:p>
    <w:p w14:paraId="791647B3" w14:textId="77777777" w:rsidR="00E77FA5" w:rsidRPr="0092432D" w:rsidRDefault="00E77FA5" w:rsidP="00E77FA5">
      <w:pPr>
        <w:pStyle w:val="SingleTxtG"/>
        <w:spacing w:before="120"/>
        <w:ind w:firstLine="567"/>
        <w:rPr>
          <w:i/>
          <w:iCs/>
        </w:rPr>
      </w:pPr>
      <w:r>
        <w:rPr>
          <w:i/>
          <w:iCs/>
        </w:rPr>
        <w:t>Мы, высокопоставленные представители государств — членов Европейской экономической комиссии Организации Объединенных Наций (ЕЭК) и Европейского союза, собравшись в Вильнюсе 8−11 декабря 2020 года по случаю восьмой сессии Совещания Сторон Конвенции об оценке воздействия на окружающую среду в трансграничном контексте (Конвенции Эспо) и четвертой сессии Совещания Сторон Конвенции, действующего в качестве Совещания Сторон Протокола по стратегической экологической оценке</w:t>
      </w:r>
      <w:r w:rsidRPr="00EB509E">
        <w:t>,</w:t>
      </w:r>
    </w:p>
    <w:p w14:paraId="66C99756" w14:textId="659AE8AC" w:rsidR="00E77FA5" w:rsidRPr="0092432D" w:rsidRDefault="00E77FA5" w:rsidP="00E77FA5">
      <w:pPr>
        <w:pStyle w:val="SingleTxtG"/>
      </w:pPr>
      <w:r>
        <w:tab/>
      </w:r>
      <w:r w:rsidRPr="0054091D">
        <w:rPr>
          <w:i/>
          <w:iCs/>
        </w:rPr>
        <w:t>отмечая</w:t>
      </w:r>
      <w:r>
        <w:t xml:space="preserve"> тридцатую годовщину принятия Конвенции Эспо, а также значительное воздействие, которое она в ходе последних десятилетий оказывала на международное экологическое право и состояние окружающей среды,</w:t>
      </w:r>
      <w:bookmarkStart w:id="115" w:name="_Hlk50812909"/>
    </w:p>
    <w:p w14:paraId="5EBF9B14" w14:textId="02DD03C0" w:rsidR="00E77FA5" w:rsidRPr="0092432D" w:rsidRDefault="00E77FA5" w:rsidP="00E77FA5">
      <w:pPr>
        <w:pStyle w:val="SingleTxtG"/>
        <w:rPr>
          <w:iCs/>
        </w:rPr>
      </w:pPr>
      <w:r>
        <w:tab/>
      </w:r>
      <w:r w:rsidRPr="0054091D">
        <w:rPr>
          <w:i/>
          <w:iCs/>
        </w:rPr>
        <w:t>отмечая также</w:t>
      </w:r>
      <w:r>
        <w:t xml:space="preserve"> дополнительное положительное воздействие, оказываемое Протоколом по стратегической экологической оценке с момента его вступления в силу 10 лет назад, в результате распространения действия Конвенции на самые ранние этапы принятия решений в отношении разработки планов и программ и, в соответствующих случаях, политики и законодательства,</w:t>
      </w:r>
    </w:p>
    <w:p w14:paraId="77AD2A20" w14:textId="73E59A7D" w:rsidR="00E77FA5" w:rsidRPr="0092432D" w:rsidRDefault="00E77FA5" w:rsidP="00E77FA5">
      <w:pPr>
        <w:pStyle w:val="SingleTxtG"/>
        <w:rPr>
          <w:iCs/>
        </w:rPr>
      </w:pPr>
      <w:r>
        <w:tab/>
      </w:r>
      <w:r w:rsidRPr="0054091D">
        <w:rPr>
          <w:i/>
          <w:iCs/>
        </w:rPr>
        <w:t>признавая</w:t>
      </w:r>
      <w:r>
        <w:t xml:space="preserve"> важность вклада обоих договоров в совершенствование экологического руководства и повышение транспарентности в области планирования и принятия решений, </w:t>
      </w:r>
    </w:p>
    <w:bookmarkEnd w:id="115"/>
    <w:p w14:paraId="493601FD" w14:textId="7354DD7B" w:rsidR="00E77FA5" w:rsidRPr="0092432D" w:rsidRDefault="00E77FA5" w:rsidP="00E77FA5">
      <w:pPr>
        <w:pStyle w:val="SingleTxtG"/>
      </w:pPr>
      <w:r>
        <w:tab/>
      </w:r>
      <w:bookmarkStart w:id="116" w:name="_Hlk50812596"/>
      <w:r w:rsidR="00AC345A" w:rsidRPr="0054091D">
        <w:rPr>
          <w:i/>
          <w:iCs/>
        </w:rPr>
        <w:t>подчеркивая</w:t>
      </w:r>
      <w:r w:rsidR="00AC345A">
        <w:t xml:space="preserve"> необходимость обеспечения здорового и «зеленого» восстановления после пандемии коронавирусного заболевания (COVID-19) и предотвращения пандемий в будущем, а также роль, </w:t>
      </w:r>
      <w:r w:rsidR="00AC345A" w:rsidRPr="00AC345A">
        <w:t>которую Конвенция и особенно Протокол могут играть в этом отношении путем обеспечения предварительной оценки значительных экологических, в том числе для здо</w:t>
      </w:r>
      <w:r w:rsidR="00AC345A">
        <w:t>ровья населения, последствий деятельности, а также планов и программ в консультации с природоохранными органами и органами здравоохранения,</w:t>
      </w:r>
    </w:p>
    <w:bookmarkEnd w:id="116"/>
    <w:p w14:paraId="37F72432" w14:textId="11825E71" w:rsidR="00E77FA5" w:rsidRPr="0092432D" w:rsidRDefault="00E77FA5" w:rsidP="00E77FA5">
      <w:pPr>
        <w:pStyle w:val="SingleTxtG"/>
        <w:rPr>
          <w:iCs/>
        </w:rPr>
      </w:pPr>
      <w:r>
        <w:tab/>
      </w:r>
      <w:r w:rsidRPr="0054091D">
        <w:rPr>
          <w:i/>
          <w:iCs/>
        </w:rPr>
        <w:t>напоминая</w:t>
      </w:r>
      <w:r>
        <w:t xml:space="preserve"> о целях и принципах Конвенции и Протокола, а также о взятых по ним обязательствах, в частности в отношении: </w:t>
      </w:r>
    </w:p>
    <w:p w14:paraId="1F34717A" w14:textId="77777777" w:rsidR="00E77FA5" w:rsidRPr="0092432D" w:rsidRDefault="00E77FA5" w:rsidP="00E77FA5">
      <w:pPr>
        <w:pStyle w:val="SingleTxtG"/>
        <w:ind w:firstLine="567"/>
      </w:pPr>
      <w:r>
        <w:t>a)</w:t>
      </w:r>
      <w:r>
        <w:tab/>
        <w:t>предотвращения и смягчения последствий значительного негативного воздействия на окружающую среду, в том числе на здоровье населения, которое может возникнуть в результате планируемой экономической деятельности или развития;</w:t>
      </w:r>
    </w:p>
    <w:p w14:paraId="39F20A98" w14:textId="516DC0CF" w:rsidR="00E77FA5" w:rsidRPr="0092432D" w:rsidRDefault="00E77FA5" w:rsidP="00E77FA5">
      <w:pPr>
        <w:pStyle w:val="SingleTxtG"/>
        <w:ind w:firstLine="567"/>
      </w:pPr>
      <w:r>
        <w:t>b)</w:t>
      </w:r>
      <w:r>
        <w:tab/>
        <w:t>обеспечения большей транспарентности и более широкого участия в принятии решений в области планирования в соответствующих секторах экономики на основе консультаций с природоохранными органами и органами здравоохранения, другими заинтересованными сторонами и общественностью на местном, национальном и международном уровнях;</w:t>
      </w:r>
    </w:p>
    <w:p w14:paraId="158D48AE" w14:textId="7A8AA208" w:rsidR="00E77FA5" w:rsidRPr="0092432D" w:rsidRDefault="00E77FA5" w:rsidP="00E77FA5">
      <w:pPr>
        <w:pStyle w:val="SingleTxtG"/>
        <w:ind w:firstLine="567"/>
      </w:pPr>
      <w:r>
        <w:t>с)</w:t>
      </w:r>
      <w:r>
        <w:tab/>
        <w:t>расширения международного сотрудничества в области оценки воздействия на окружающую среду, в частности в трансграничном контексте;</w:t>
      </w:r>
    </w:p>
    <w:p w14:paraId="6829FE6B" w14:textId="33770F22" w:rsidR="00E77FA5" w:rsidRPr="0092432D" w:rsidRDefault="00E77FA5" w:rsidP="00E77FA5">
      <w:pPr>
        <w:pStyle w:val="SingleTxtG"/>
        <w:ind w:firstLine="567"/>
      </w:pPr>
      <w:r>
        <w:t>d)</w:t>
      </w:r>
      <w:r>
        <w:tab/>
        <w:t>дальнейшего устойчивого развития,</w:t>
      </w:r>
    </w:p>
    <w:p w14:paraId="2E124C74" w14:textId="798C5980" w:rsidR="00E77FA5" w:rsidRPr="0092432D" w:rsidRDefault="00E77FA5" w:rsidP="00E77FA5">
      <w:pPr>
        <w:pStyle w:val="SingleTxtG"/>
        <w:rPr>
          <w:iCs/>
        </w:rPr>
      </w:pPr>
      <w:r>
        <w:tab/>
      </w:r>
      <w:r w:rsidRPr="0054091D">
        <w:rPr>
          <w:i/>
          <w:iCs/>
        </w:rPr>
        <w:t>признавая</w:t>
      </w:r>
      <w:r>
        <w:t xml:space="preserve">, что Конвенция и Протокол также представляют собой эффективные инструменты реализации выгод во всемирном масштабе, содействуя среди прочего достижению Целей в области устойчивого развития и выполнению глобальных обязательств, связанных с климатом и биологическим разнообразием, </w:t>
      </w:r>
    </w:p>
    <w:p w14:paraId="0F0BC21B" w14:textId="18526EA6" w:rsidR="00E77FA5" w:rsidRPr="0092432D" w:rsidRDefault="00E77FA5" w:rsidP="00E77FA5">
      <w:pPr>
        <w:pStyle w:val="SingleTxtG"/>
        <w:rPr>
          <w:iCs/>
        </w:rPr>
      </w:pPr>
      <w:r>
        <w:tab/>
      </w:r>
      <w:r w:rsidRPr="0054091D">
        <w:rPr>
          <w:i/>
          <w:iCs/>
        </w:rPr>
        <w:t>признавая также</w:t>
      </w:r>
      <w:r>
        <w:t xml:space="preserve"> потенциал этих договоров в деле содействия «зеленому» росту и развития «зеленой» инфраструктуры, устойчивых и «умных» городов и экономики замкнутого цикла,</w:t>
      </w:r>
    </w:p>
    <w:p w14:paraId="51222F9E" w14:textId="2D6BA68E" w:rsidR="00E77FA5" w:rsidRPr="0092432D" w:rsidRDefault="00E77FA5" w:rsidP="00E77FA5">
      <w:pPr>
        <w:pStyle w:val="SingleTxtG"/>
        <w:rPr>
          <w:iCs/>
        </w:rPr>
      </w:pPr>
      <w:r>
        <w:tab/>
      </w:r>
      <w:r>
        <w:rPr>
          <w:i/>
          <w:iCs/>
        </w:rPr>
        <w:t>с обеспокоенностью принимая во внимание</w:t>
      </w:r>
      <w:r>
        <w:t xml:space="preserve"> наблюдаемые в течение длительного времени нехватку, непредсказуемость и неравномерность распределения финансирования Сторонами этих двух инструментов, что ставит под угрозу выполнение планов работы и функционирование Конвенция и Протокола, учитывая </w:t>
      </w:r>
      <w:r>
        <w:lastRenderedPageBreak/>
        <w:t>также будущее присоединение стран, не являющихся государствами — членами Европейской экономической комиссии Организации Объединенных Наций,</w:t>
      </w:r>
    </w:p>
    <w:p w14:paraId="2789A7E0" w14:textId="77777777" w:rsidR="00E77FA5" w:rsidRPr="0092432D" w:rsidRDefault="00E77FA5" w:rsidP="00E77FA5">
      <w:pPr>
        <w:pStyle w:val="SingleTxtG"/>
        <w:ind w:firstLine="567"/>
      </w:pPr>
      <w:r>
        <w:t>1.</w:t>
      </w:r>
      <w:r>
        <w:tab/>
      </w:r>
      <w:r w:rsidRPr="0054091D">
        <w:rPr>
          <w:i/>
          <w:iCs/>
        </w:rPr>
        <w:t>подтверждаем</w:t>
      </w:r>
      <w:r>
        <w:t xml:space="preserve"> нашу твердую приверженность полному осуществлению и соблюдению наших соответствующих обязательств по Конвенции и Протоколу;</w:t>
      </w:r>
    </w:p>
    <w:p w14:paraId="66FA104B" w14:textId="77777777" w:rsidR="00E77FA5" w:rsidRPr="0092432D" w:rsidRDefault="00E77FA5" w:rsidP="00E77FA5">
      <w:pPr>
        <w:pStyle w:val="SingleTxtG"/>
        <w:ind w:firstLine="567"/>
      </w:pPr>
      <w:r>
        <w:t>2.</w:t>
      </w:r>
      <w:r>
        <w:tab/>
      </w:r>
      <w:r w:rsidRPr="0054091D">
        <w:rPr>
          <w:i/>
          <w:iCs/>
        </w:rPr>
        <w:t>обязуемся</w:t>
      </w:r>
      <w:r>
        <w:t xml:space="preserve"> активизировать усилия по содействию устойчивому функционированию договоров путем предоставления адекватных ресурсов — как людских, так и финансовых;</w:t>
      </w:r>
    </w:p>
    <w:p w14:paraId="224FF7DF" w14:textId="77777777" w:rsidR="00E77FA5" w:rsidRPr="0092432D" w:rsidRDefault="00E77FA5" w:rsidP="00E77FA5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обязуемся также</w:t>
      </w:r>
      <w:r>
        <w:t xml:space="preserve"> и далее повышать эффективность осуществления и воздействие обоих договоров, в том числе путем обеспечения их более единообразного толкования и уточнения сферы их применения, а также путем усиления политической поддержки благодаря повышению уровня осведомленности об этих договорах и их преимуществах;</w:t>
      </w:r>
    </w:p>
    <w:p w14:paraId="70E4EBB1" w14:textId="77777777" w:rsidR="00E77FA5" w:rsidRPr="0092432D" w:rsidRDefault="00E77FA5" w:rsidP="00E77FA5">
      <w:pPr>
        <w:pStyle w:val="SingleTxtG"/>
        <w:ind w:firstLine="567"/>
      </w:pPr>
      <w:r>
        <w:t>4.</w:t>
      </w:r>
      <w:r>
        <w:tab/>
      </w:r>
      <w:r w:rsidRPr="0054091D">
        <w:rPr>
          <w:i/>
          <w:iCs/>
        </w:rPr>
        <w:t>берем на себя обязательство</w:t>
      </w:r>
      <w:r>
        <w:t xml:space="preserve"> активизировать применение Конвенции и Протокола, в том числе, по мере необходимости, путем предоставления руководящих указаний, повышения осведомленности и укрепления потенциала, с тем чтобы в полной мере использовать их потенциал для решения новых и назревающих национальных, региональных и глобальных проблем и достижения целей;</w:t>
      </w:r>
    </w:p>
    <w:p w14:paraId="1932E2A9" w14:textId="77777777" w:rsidR="00E77FA5" w:rsidRPr="0092432D" w:rsidRDefault="00E77FA5" w:rsidP="00E77FA5">
      <w:pPr>
        <w:pStyle w:val="SingleTxtG"/>
        <w:ind w:firstLine="567"/>
      </w:pPr>
      <w:r>
        <w:t>5.</w:t>
      </w:r>
      <w:r>
        <w:tab/>
      </w:r>
      <w:r w:rsidRPr="0054091D">
        <w:rPr>
          <w:i/>
          <w:iCs/>
        </w:rPr>
        <w:t>призываем</w:t>
      </w:r>
      <w:r>
        <w:t xml:space="preserve"> все Стороны, которые еще не ратифицировали вторую поправку к Конвенции, сделать это, чтобы обеспечить единообразное применение Конвенции всеми ее Сторонами;</w:t>
      </w:r>
    </w:p>
    <w:p w14:paraId="502E1C86" w14:textId="6A6DD63C" w:rsidR="00E77FA5" w:rsidRPr="0092432D" w:rsidRDefault="00E77FA5" w:rsidP="00E77FA5">
      <w:pPr>
        <w:pStyle w:val="SingleTxtG"/>
        <w:ind w:firstLine="567"/>
      </w:pPr>
      <w:r>
        <w:t>6.</w:t>
      </w:r>
      <w:r>
        <w:tab/>
      </w:r>
      <w:r w:rsidRPr="0054091D">
        <w:rPr>
          <w:i/>
          <w:iCs/>
        </w:rPr>
        <w:t>предлагаем</w:t>
      </w:r>
      <w:r>
        <w:t xml:space="preserve"> любому государству, которое еще не является участником Конвенции и Протокола, присоединиться к ним с целью усиления воздействия этих договоров в регионе и, в ожидании присоединения, создать достаточный потенциал для их успешного осуществления;</w:t>
      </w:r>
      <w:bookmarkStart w:id="117" w:name="_Hlk23239192"/>
      <w:bookmarkEnd w:id="117"/>
    </w:p>
    <w:p w14:paraId="14092430" w14:textId="77777777" w:rsidR="00E77FA5" w:rsidRPr="0092432D" w:rsidRDefault="00E77FA5" w:rsidP="00E77FA5">
      <w:pPr>
        <w:pStyle w:val="SingleTxtG"/>
        <w:ind w:firstLine="567"/>
      </w:pPr>
      <w:r>
        <w:t>7.</w:t>
      </w:r>
      <w:r>
        <w:tab/>
      </w:r>
      <w:r w:rsidRPr="0054091D">
        <w:rPr>
          <w:i/>
          <w:iCs/>
        </w:rPr>
        <w:t>призываем также</w:t>
      </w:r>
      <w:r>
        <w:t xml:space="preserve"> страны из других регионов предпринять шаги по присоединению к этим договорам и/или тиражированию и применению их положений и накопленной на их основе передовой практики; </w:t>
      </w:r>
    </w:p>
    <w:p w14:paraId="3DBE014E" w14:textId="77777777" w:rsidR="00E77FA5" w:rsidRPr="0092432D" w:rsidRDefault="00E77FA5" w:rsidP="00E77FA5">
      <w:pPr>
        <w:pStyle w:val="SingleTxtG"/>
        <w:ind w:firstLine="567"/>
      </w:pPr>
      <w:r>
        <w:t>8.</w:t>
      </w:r>
      <w:r>
        <w:tab/>
      </w:r>
      <w:r w:rsidRPr="0054091D">
        <w:rPr>
          <w:i/>
          <w:iCs/>
        </w:rPr>
        <w:t>подчеркиваем</w:t>
      </w:r>
      <w:r>
        <w:t xml:space="preserve"> необходимость ускорить вступление в силу первой поправки, с тем чтобы открыть возможность присоединения странам, не являющимся членами ЕЭК ООН, путем получения недостающих ратификационных грамот, и настоятельно призываем соответствующие Стороны как можно скорее ратифицировать первую поправку;</w:t>
      </w:r>
    </w:p>
    <w:p w14:paraId="3D44EC32" w14:textId="77777777" w:rsidR="00E77FA5" w:rsidRPr="0092432D" w:rsidRDefault="00E77FA5" w:rsidP="00E77FA5">
      <w:pPr>
        <w:pStyle w:val="SingleTxtG"/>
        <w:ind w:firstLine="567"/>
      </w:pPr>
      <w:r>
        <w:t>9.</w:t>
      </w:r>
      <w:r>
        <w:tab/>
      </w:r>
      <w:r w:rsidRPr="0054091D">
        <w:rPr>
          <w:i/>
          <w:iCs/>
        </w:rPr>
        <w:t>берем на себя обязательство</w:t>
      </w:r>
      <w:r>
        <w:t xml:space="preserve"> оказывать содействие странам как входящим в регион ЕЭК, так и находящимся за его пределами, в их усилиях, направленных на осуществление Конвенции, а также на осуществление Протокола и присоединение к нему;</w:t>
      </w:r>
    </w:p>
    <w:p w14:paraId="1826125B" w14:textId="77777777" w:rsidR="00E77FA5" w:rsidRPr="0092432D" w:rsidRDefault="00E77FA5" w:rsidP="00E77FA5">
      <w:pPr>
        <w:pStyle w:val="SingleTxtG"/>
        <w:ind w:firstLine="567"/>
      </w:pPr>
      <w:r>
        <w:t>10.</w:t>
      </w:r>
      <w:r>
        <w:tab/>
      </w:r>
      <w:r w:rsidRPr="0054091D">
        <w:rPr>
          <w:i/>
          <w:iCs/>
        </w:rPr>
        <w:t>призываем</w:t>
      </w:r>
      <w:r>
        <w:t xml:space="preserve"> к укреплению сотрудничества между странами, а также сотрудничества с другими международными договорами, национальными и международными организациями, гражданским обществом, частным сектором и финансовыми учреждениям и к активному участию всех этих субъектов с целью оказания поддержки применению этих договоров во всемирном масштабе;</w:t>
      </w:r>
    </w:p>
    <w:p w14:paraId="079AFEE2" w14:textId="77777777" w:rsidR="00E77FA5" w:rsidRPr="0092432D" w:rsidRDefault="00E77FA5" w:rsidP="00E77FA5">
      <w:pPr>
        <w:pStyle w:val="SingleTxtG"/>
        <w:ind w:firstLine="567"/>
      </w:pPr>
      <w:bookmarkStart w:id="118" w:name="_Hlk50812712"/>
      <w:r>
        <w:t>11.</w:t>
      </w:r>
      <w:r>
        <w:tab/>
      </w:r>
      <w:r w:rsidRPr="0054091D">
        <w:rPr>
          <w:i/>
          <w:iCs/>
        </w:rPr>
        <w:t>приветствуем</w:t>
      </w:r>
      <w:r>
        <w:t xml:space="preserve"> долгосрочную стратегию и план действий по осуществлению Конвенции и Протокола</w:t>
      </w:r>
      <w:r w:rsidRPr="00651826">
        <w:rPr>
          <w:rStyle w:val="FootnoteReference"/>
        </w:rPr>
        <w:footnoteReference w:id="6"/>
      </w:r>
      <w:r>
        <w:t>, принятые решением VIII/3–IV/3</w:t>
      </w:r>
      <w:r w:rsidRPr="00651826">
        <w:rPr>
          <w:rStyle w:val="FootnoteReference"/>
        </w:rPr>
        <w:footnoteReference w:id="7"/>
      </w:r>
      <w:r>
        <w:t xml:space="preserve">, и обязуемся осуществлять долгосрочную стратегию и план действий посредством оперативных мероприятий, изложенных в планах работы; </w:t>
      </w:r>
    </w:p>
    <w:p w14:paraId="6030E510" w14:textId="77EF6480" w:rsidR="00E77FA5" w:rsidRPr="0092432D" w:rsidRDefault="00E77FA5" w:rsidP="00E77FA5">
      <w:pPr>
        <w:pStyle w:val="SingleTxtG"/>
        <w:ind w:firstLine="567"/>
      </w:pPr>
      <w:r>
        <w:t>12.</w:t>
      </w:r>
      <w:r>
        <w:tab/>
      </w:r>
      <w:r w:rsidRPr="0054091D">
        <w:rPr>
          <w:i/>
          <w:iCs/>
        </w:rPr>
        <w:t>приветствуем</w:t>
      </w:r>
      <w:r>
        <w:t xml:space="preserve"> </w:t>
      </w:r>
      <w:r w:rsidRPr="00EE4BDF">
        <w:rPr>
          <w:i/>
          <w:iCs/>
        </w:rPr>
        <w:t xml:space="preserve">также </w:t>
      </w:r>
      <w:r>
        <w:t>Руководящие указания относительно применимости Конвенции к продлению срока эксплуатации атомных электростанций</w:t>
      </w:r>
      <w:r w:rsidRPr="00651826">
        <w:rPr>
          <w:rStyle w:val="FootnoteReference"/>
        </w:rPr>
        <w:footnoteReference w:id="8"/>
      </w:r>
      <w:r w:rsidR="00651826">
        <w:t>,</w:t>
      </w:r>
      <w:r>
        <w:t xml:space="preserve"> принятые решением VIII/6</w:t>
      </w:r>
      <w:r w:rsidRPr="00651826">
        <w:rPr>
          <w:rStyle w:val="FootnoteReference"/>
        </w:rPr>
        <w:footnoteReference w:id="9"/>
      </w:r>
      <w:r>
        <w:t xml:space="preserve">, которое призвано помочь Комитету по </w:t>
      </w:r>
      <w:r>
        <w:lastRenderedPageBreak/>
        <w:t>осуществлению, а также Сторонам в последовательном практическом применении Конвенции на практике;</w:t>
      </w:r>
      <w:bookmarkStart w:id="119" w:name="_Hlk50812752"/>
      <w:bookmarkEnd w:id="119"/>
    </w:p>
    <w:p w14:paraId="4ED08329" w14:textId="7C4F8E23" w:rsidR="00E77FA5" w:rsidRPr="0092432D" w:rsidRDefault="00E77FA5" w:rsidP="00E77FA5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 xml:space="preserve">приветствуем далее </w:t>
      </w:r>
      <w:r>
        <w:t>проделанную работу по подготовке проекта руководства по оценке воздействия на здоровье в рамках стратегической экологической оценки</w:t>
      </w:r>
      <w:r w:rsidRPr="00651826">
        <w:rPr>
          <w:rStyle w:val="FootnoteReference"/>
        </w:rPr>
        <w:footnoteReference w:id="10"/>
      </w:r>
      <w:r>
        <w:t xml:space="preserve"> и обязуемся завершить эту работу, при условии наличия ресурсов, до официального принятия руководящего документа на следующей сессии Совещания Сторон Протокола;</w:t>
      </w:r>
    </w:p>
    <w:bookmarkEnd w:id="118"/>
    <w:p w14:paraId="30448866" w14:textId="130CC722" w:rsidR="00E77FA5" w:rsidRPr="0092432D" w:rsidRDefault="00E77FA5" w:rsidP="00E77FA5">
      <w:pPr>
        <w:pStyle w:val="SingleTxtG"/>
        <w:ind w:firstLine="567"/>
      </w:pPr>
      <w:r>
        <w:t>14.</w:t>
      </w:r>
      <w:r>
        <w:tab/>
      </w:r>
      <w:r w:rsidRPr="0054091D">
        <w:rPr>
          <w:i/>
          <w:iCs/>
        </w:rPr>
        <w:t>выражаем благодарность</w:t>
      </w:r>
      <w:r>
        <w:t xml:space="preserve"> правительству Литвы за его активную и щедрую поддержку в организации восьмой и четвертой сессий Совещания Сторон Конвенции и Совещания Сторон Протокола</w:t>
      </w:r>
      <w:r w:rsidRPr="004133C0">
        <w:t xml:space="preserve"> </w:t>
      </w:r>
      <w:r>
        <w:t xml:space="preserve">соответственно, которые в связи с пандемией проходили не в Вильнюсе, как первоначально планировалось, а в удаленном режиме. </w:t>
      </w:r>
    </w:p>
    <w:p w14:paraId="1EC4B085" w14:textId="60D446B0" w:rsidR="00E77FA5" w:rsidRPr="00C36019" w:rsidRDefault="00E77FA5" w:rsidP="00C36019">
      <w:pPr>
        <w:spacing w:before="240"/>
        <w:jc w:val="center"/>
        <w:rPr>
          <w:u w:val="single"/>
        </w:rPr>
      </w:pPr>
      <w:r w:rsidRPr="0092432D">
        <w:rPr>
          <w:u w:val="single"/>
        </w:rPr>
        <w:tab/>
      </w:r>
      <w:r w:rsidR="00B93E34">
        <w:rPr>
          <w:u w:val="single"/>
        </w:rPr>
        <w:tab/>
      </w:r>
      <w:r w:rsidR="00B93E34">
        <w:rPr>
          <w:u w:val="single"/>
        </w:rPr>
        <w:tab/>
      </w:r>
    </w:p>
    <w:sectPr w:rsidR="00E77FA5" w:rsidRPr="00C36019" w:rsidSect="00A413F1">
      <w:headerReference w:type="even" r:id="rId22"/>
      <w:headerReference w:type="default" r:id="rId23"/>
      <w:footerReference w:type="even" r:id="rId24"/>
      <w:footerReference w:type="default" r:id="rId25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93D8" w14:textId="77777777" w:rsidR="006D0D23" w:rsidRPr="00A312BC" w:rsidRDefault="006D0D23" w:rsidP="00A312BC"/>
  </w:endnote>
  <w:endnote w:type="continuationSeparator" w:id="0">
    <w:p w14:paraId="0634FB86" w14:textId="77777777" w:rsidR="006D0D23" w:rsidRPr="00A312BC" w:rsidRDefault="006D0D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B034" w14:textId="7BFDE5C7" w:rsidR="008F0FF4" w:rsidRPr="00D320B5" w:rsidRDefault="008F0FF4">
    <w:pPr>
      <w:pStyle w:val="Footer"/>
    </w:pPr>
    <w:r w:rsidRPr="00D320B5">
      <w:rPr>
        <w:b/>
        <w:sz w:val="18"/>
      </w:rPr>
      <w:fldChar w:fldCharType="begin"/>
    </w:r>
    <w:r w:rsidRPr="00D320B5">
      <w:rPr>
        <w:b/>
        <w:sz w:val="18"/>
      </w:rPr>
      <w:instrText xml:space="preserve"> PAGE  \* MERGEFORMAT </w:instrText>
    </w:r>
    <w:r w:rsidRPr="00D320B5">
      <w:rPr>
        <w:b/>
        <w:sz w:val="18"/>
      </w:rPr>
      <w:fldChar w:fldCharType="separate"/>
    </w:r>
    <w:r w:rsidRPr="00D320B5">
      <w:rPr>
        <w:b/>
        <w:noProof/>
        <w:sz w:val="18"/>
      </w:rPr>
      <w:t>2</w:t>
    </w:r>
    <w:r w:rsidRPr="00D320B5">
      <w:rPr>
        <w:b/>
        <w:sz w:val="18"/>
      </w:rPr>
      <w:fldChar w:fldCharType="end"/>
    </w:r>
    <w:r>
      <w:rPr>
        <w:b/>
        <w:sz w:val="18"/>
      </w:rPr>
      <w:tab/>
    </w:r>
    <w:r>
      <w:t>GE.21-01859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C8B7" w14:textId="6A2F515F" w:rsidR="008F0FF4" w:rsidRDefault="008F0FF4" w:rsidP="00E77FA5">
    <w:pPr>
      <w:pStyle w:val="Footer"/>
      <w:tabs>
        <w:tab w:val="clear" w:pos="9639"/>
        <w:tab w:val="right" w:pos="9638"/>
      </w:tabs>
    </w:pPr>
    <w:r>
      <w:t>GE.21-01859</w:t>
    </w:r>
    <w:r>
      <w:tab/>
    </w:r>
    <w:r w:rsidRPr="00D320B5">
      <w:rPr>
        <w:b/>
        <w:sz w:val="18"/>
      </w:rPr>
      <w:fldChar w:fldCharType="begin"/>
    </w:r>
    <w:r w:rsidRPr="00D320B5">
      <w:rPr>
        <w:b/>
        <w:sz w:val="18"/>
      </w:rPr>
      <w:instrText xml:space="preserve"> PAGE  \* MERGEFORMAT </w:instrText>
    </w:r>
    <w:r w:rsidRPr="00D320B5">
      <w:rPr>
        <w:b/>
        <w:sz w:val="18"/>
      </w:rPr>
      <w:fldChar w:fldCharType="separate"/>
    </w:r>
    <w:r w:rsidRPr="00D320B5">
      <w:rPr>
        <w:b/>
        <w:noProof/>
        <w:sz w:val="18"/>
      </w:rPr>
      <w:t>3</w:t>
    </w:r>
    <w:r w:rsidRPr="00D320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5CBB" w14:textId="581A0B6E" w:rsidR="008F0FF4" w:rsidRPr="00D320B5" w:rsidRDefault="008F0FF4" w:rsidP="00D320B5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C36DDC" wp14:editId="0BFC1E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21-01859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F29754" wp14:editId="540CB81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080421  140421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2607" w14:textId="53C750EE" w:rsidR="00B93E34" w:rsidRPr="00B93E34" w:rsidRDefault="00B93E34" w:rsidP="00B93E34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9</w:t>
    </w:r>
    <w:r>
      <w:rPr>
        <w:b/>
        <w:sz w:val="18"/>
      </w:rPr>
      <w:fldChar w:fldCharType="end"/>
    </w:r>
    <w:r>
      <w:rPr>
        <w:b/>
        <w:sz w:val="18"/>
      </w:rPr>
      <w:tab/>
    </w:r>
    <w:r w:rsidRPr="00B93E34">
      <w:t>GE.21-01859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DA84" w14:textId="34861083" w:rsidR="00B93E34" w:rsidRPr="00B93E34" w:rsidRDefault="00B93E34" w:rsidP="00B93E34">
    <w:pPr>
      <w:pStyle w:val="Footer"/>
      <w:rPr>
        <w:b/>
        <w:sz w:val="18"/>
      </w:rPr>
    </w:pPr>
    <w:r>
      <w:t>GE.</w:t>
    </w:r>
    <w:r w:rsidRPr="00B93E34">
      <w:t>21</w:t>
    </w:r>
    <w:r>
      <w:t>-</w:t>
    </w:r>
    <w:r w:rsidRPr="00B93E34">
      <w:t>01859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B6CA" w14:textId="1D662BFD" w:rsidR="008F0FF4" w:rsidRPr="00C36019" w:rsidRDefault="008F0FF4" w:rsidP="00C36019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35</w:t>
    </w:r>
    <w:r>
      <w:rPr>
        <w:b/>
        <w:sz w:val="18"/>
      </w:rPr>
      <w:fldChar w:fldCharType="end"/>
    </w:r>
    <w:r>
      <w:rPr>
        <w:b/>
        <w:sz w:val="18"/>
      </w:rPr>
      <w:tab/>
    </w:r>
    <w:r w:rsidRPr="00C36019">
      <w:t>GE.21-01859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1281" w14:textId="609E980E" w:rsidR="008F0FF4" w:rsidRPr="00C36019" w:rsidRDefault="008F0FF4" w:rsidP="00C36019">
    <w:pPr>
      <w:pStyle w:val="Footer"/>
      <w:rPr>
        <w:b/>
        <w:sz w:val="18"/>
      </w:rPr>
    </w:pPr>
    <w:r>
      <w:t>GE.</w:t>
    </w:r>
    <w:r w:rsidRPr="00C36019">
      <w:t>21</w:t>
    </w:r>
    <w:r>
      <w:t>-</w:t>
    </w:r>
    <w:r w:rsidRPr="00C36019">
      <w:t>01859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36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BFB7" w14:textId="227761B1" w:rsidR="008F0FF4" w:rsidRPr="00A413F1" w:rsidRDefault="008F0FF4" w:rsidP="00A413F1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43</w:t>
    </w:r>
    <w:r>
      <w:rPr>
        <w:b/>
        <w:sz w:val="18"/>
      </w:rPr>
      <w:fldChar w:fldCharType="end"/>
    </w:r>
    <w:r>
      <w:rPr>
        <w:b/>
        <w:sz w:val="18"/>
      </w:rPr>
      <w:tab/>
    </w:r>
    <w:r w:rsidRPr="00A413F1">
      <w:t>GE.21-01859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3627" w14:textId="5A8F7F41" w:rsidR="008F0FF4" w:rsidRPr="00A413F1" w:rsidRDefault="008F0FF4" w:rsidP="00A413F1">
    <w:pPr>
      <w:pStyle w:val="Footer"/>
      <w:rPr>
        <w:b/>
        <w:sz w:val="18"/>
      </w:rPr>
    </w:pPr>
    <w:r>
      <w:t>GE.</w:t>
    </w:r>
    <w:r w:rsidRPr="00A413F1">
      <w:t>21</w:t>
    </w:r>
    <w:r>
      <w:t>-</w:t>
    </w:r>
    <w:r w:rsidRPr="00A413F1">
      <w:t>01859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0998" w14:textId="77777777" w:rsidR="006D0D23" w:rsidRPr="001075E9" w:rsidRDefault="006D0D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4206B1" w14:textId="77777777" w:rsidR="006D0D23" w:rsidRDefault="006D0D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29CA78" w14:textId="31A7B0E7" w:rsidR="008F0FF4" w:rsidRPr="0092432D" w:rsidRDefault="008F0FF4" w:rsidP="00651826">
      <w:pPr>
        <w:pStyle w:val="FootnoteText"/>
      </w:pPr>
      <w:r>
        <w:tab/>
      </w:r>
      <w:r w:rsidRPr="00651826">
        <w:rPr>
          <w:rStyle w:val="FootnoteReference"/>
        </w:rPr>
        <w:footnoteRef/>
      </w:r>
      <w:r>
        <w:tab/>
        <w:t xml:space="preserve">Министерства иностранных дел и агентства по сотрудничеству в целях развития могут предоставлять финансирование для укрепления потенциала и предусмотренной планом работы информационно-пропагандистской деятельности в странах, имеющих право на получение официальной помощи в целях развития. Перечень стран, имеющих право на получение такой помощи, имеется на веб-сайте Организации экономического сотрудничества и развития, URL: </w:t>
      </w:r>
      <w:hyperlink r:id="rId1" w:history="1">
        <w:r w:rsidRPr="00AB6E36">
          <w:rPr>
            <w:rStyle w:val="Hyperlink"/>
          </w:rPr>
          <w:t>http://www.oecd.org/development/financing-sustainable-development/development-finance-standards/daclist.htm</w:t>
        </w:r>
      </w:hyperlink>
      <w:r>
        <w:t>.</w:t>
      </w:r>
    </w:p>
  </w:footnote>
  <w:footnote w:id="2">
    <w:p w14:paraId="4B498667" w14:textId="081DBF46" w:rsidR="008F0FF4" w:rsidRPr="0092432D" w:rsidRDefault="008F0FF4" w:rsidP="00651826">
      <w:pPr>
        <w:pStyle w:val="FootnoteText"/>
      </w:pPr>
      <w:r>
        <w:tab/>
      </w:r>
      <w:r w:rsidRPr="00651826">
        <w:rPr>
          <w:rStyle w:val="FootnoteReference"/>
        </w:rPr>
        <w:footnoteRef/>
      </w:r>
      <w:r>
        <w:tab/>
        <w:t xml:space="preserve">См. ECE/MP.EIA/23/Add.1-ECE/MP.EIA/SEA/7/Add.1, решение VII/4–III/4, приложение. </w:t>
      </w:r>
    </w:p>
  </w:footnote>
  <w:footnote w:id="3">
    <w:p w14:paraId="5EB5FF93" w14:textId="2BCC8F37" w:rsidR="008F0FF4" w:rsidRPr="0092432D" w:rsidRDefault="008F0FF4" w:rsidP="00651826">
      <w:pPr>
        <w:pStyle w:val="FootnoteText"/>
      </w:pPr>
      <w:r>
        <w:tab/>
      </w:r>
      <w:r w:rsidRPr="00651826">
        <w:rPr>
          <w:rStyle w:val="FootnoteReference"/>
        </w:rPr>
        <w:footnoteRef/>
      </w:r>
      <w:r>
        <w:tab/>
      </w:r>
      <w:r w:rsidRPr="00B4592D">
        <w:t>Видам деятельности, включенным в утвержденный бюджет для осуществления Конвенции и Протокола к ней на период 2017</w:t>
      </w:r>
      <w:r>
        <w:t>–</w:t>
      </w:r>
      <w:r w:rsidRPr="00B4592D">
        <w:t>2020 годов на осуществление деятельности, подлежащей финансированию из целевого фонда Конвенции или за счет взносов натурой, были присвоены приоритет 1 (привлечение внешнего эксперта для оказания секретариатской поддержки и покрытие расходов на консультантов при подготовке проектов обзоров осуществления) и</w:t>
      </w:r>
      <w:r>
        <w:t> </w:t>
      </w:r>
      <w:r w:rsidRPr="00B4592D">
        <w:t>приоритет 2 (участие стран, имеющих право на получение помощи, в официальных</w:t>
      </w:r>
      <w:r>
        <w:t xml:space="preserve"> совещаниях договорных органов и дальнейшая поддержка осуществления Конвенции и Протокола, предусматривающая главным образом оплату поездок сотрудников секретариата в связи с планом работы). Другим видам деятельности по плану работы, которые должны были финансироваться в максимально возможной степени за счет целевых взносов или за счет дополнительного проектного финансирования, был присвоен приоритет 3.</w:t>
      </w:r>
    </w:p>
  </w:footnote>
  <w:footnote w:id="4">
    <w:p w14:paraId="49A99927" w14:textId="49AD4E07" w:rsidR="008F0FF4" w:rsidRPr="0092432D" w:rsidRDefault="008F0FF4" w:rsidP="00651826">
      <w:pPr>
        <w:pStyle w:val="FootnoteText"/>
      </w:pPr>
      <w:r>
        <w:tab/>
      </w:r>
      <w:r w:rsidRPr="00651826">
        <w:rPr>
          <w:rStyle w:val="FootnoteReference"/>
        </w:rPr>
        <w:footnoteRef/>
      </w:r>
      <w:r>
        <w:tab/>
        <w:t xml:space="preserve">С обновленной информацией о положении дел с ратификацией Конвенции можно ознакомиться по адресу: </w:t>
      </w:r>
      <w:hyperlink r:id="rId2" w:history="1">
        <w:r w:rsidRPr="00BE18F5">
          <w:rPr>
            <w:rStyle w:val="Hyperlink"/>
          </w:rPr>
          <w:t>https://treaties.un.org/Pages/ViewDetails.aspx?src=TREATY&amp;mtdsg_no=XXVII-4&amp;chapter=27&amp;clang=_en</w:t>
        </w:r>
      </w:hyperlink>
      <w:r>
        <w:t>.</w:t>
      </w:r>
      <w:bookmarkStart w:id="97" w:name="_Hlk32322825"/>
      <w:bookmarkEnd w:id="97"/>
    </w:p>
  </w:footnote>
  <w:footnote w:id="5">
    <w:p w14:paraId="0A65381A" w14:textId="4F0AAF7D" w:rsidR="008F0FF4" w:rsidRPr="0092432D" w:rsidRDefault="008F0FF4" w:rsidP="00651826">
      <w:pPr>
        <w:pStyle w:val="FootnoteText"/>
      </w:pPr>
      <w:r>
        <w:tab/>
      </w:r>
      <w:r w:rsidRPr="00651826">
        <w:rPr>
          <w:rStyle w:val="FootnoteReference"/>
        </w:rPr>
        <w:footnoteRef/>
      </w:r>
      <w:r>
        <w:tab/>
        <w:t xml:space="preserve">С обновленной информацией о положении дел с ратификацией Конвенции можно ознакомиться по адресу: </w:t>
      </w:r>
      <w:hyperlink r:id="rId3" w:history="1">
        <w:r w:rsidRPr="00BE18F5">
          <w:rPr>
            <w:rStyle w:val="Hyperlink"/>
          </w:rPr>
          <w:t>https://treaties.un.org/Pages/ViewDetails.aspx?src=TREATY&amp;mtdsg_no=XXVII-4-b&amp;chapter=27&amp;clang=_en</w:t>
        </w:r>
      </w:hyperlink>
      <w:r>
        <w:t>.</w:t>
      </w:r>
    </w:p>
  </w:footnote>
  <w:footnote w:id="6">
    <w:p w14:paraId="148848F3" w14:textId="60CAD788" w:rsidR="008F0FF4" w:rsidRPr="00E77FA5" w:rsidRDefault="008F0FF4" w:rsidP="00651826">
      <w:pPr>
        <w:pStyle w:val="FootnoteText"/>
        <w:rPr>
          <w:lang w:val="en-US"/>
        </w:rPr>
      </w:pPr>
      <w:r>
        <w:tab/>
      </w:r>
      <w:r w:rsidRPr="00651826">
        <w:rPr>
          <w:rStyle w:val="FootnoteReference"/>
        </w:rPr>
        <w:footnoteRef/>
      </w:r>
      <w:r w:rsidRPr="0092432D">
        <w:rPr>
          <w:lang w:val="en-US"/>
        </w:rPr>
        <w:tab/>
        <w:t>ECE/MP.EIA/2020/3</w:t>
      </w:r>
      <w:r w:rsidRPr="00CA56C1">
        <w:rPr>
          <w:lang w:val="en-US"/>
        </w:rPr>
        <w:t>-</w:t>
      </w:r>
      <w:r w:rsidRPr="0092432D">
        <w:rPr>
          <w:lang w:val="en-US"/>
        </w:rPr>
        <w:t xml:space="preserve">ECE/MP.EIA/SEA/2020/3. </w:t>
      </w:r>
    </w:p>
  </w:footnote>
  <w:footnote w:id="7">
    <w:p w14:paraId="4B63442E" w14:textId="0ED9F5B3" w:rsidR="008F0FF4" w:rsidRPr="00E77FA5" w:rsidRDefault="008F0FF4" w:rsidP="00651826">
      <w:pPr>
        <w:pStyle w:val="FootnoteText"/>
        <w:rPr>
          <w:lang w:val="en-US"/>
        </w:rPr>
      </w:pPr>
      <w:r w:rsidRPr="0092432D">
        <w:rPr>
          <w:lang w:val="en-US"/>
        </w:rPr>
        <w:tab/>
      </w:r>
      <w:r w:rsidRPr="00651826">
        <w:rPr>
          <w:rStyle w:val="FootnoteReference"/>
        </w:rPr>
        <w:footnoteRef/>
      </w:r>
      <w:r w:rsidRPr="0092432D">
        <w:rPr>
          <w:lang w:val="en-US"/>
        </w:rPr>
        <w:tab/>
      </w:r>
      <w:r>
        <w:t>См</w:t>
      </w:r>
      <w:r w:rsidRPr="0092432D">
        <w:rPr>
          <w:lang w:val="en-US"/>
        </w:rPr>
        <w:t>. ECE/MP.EIA/30/Add.1</w:t>
      </w:r>
      <w:r w:rsidRPr="00CA56C1">
        <w:rPr>
          <w:lang w:val="en-US"/>
        </w:rPr>
        <w:t>-</w:t>
      </w:r>
      <w:r w:rsidRPr="0092432D">
        <w:rPr>
          <w:lang w:val="en-US"/>
        </w:rPr>
        <w:t xml:space="preserve">ECE/MP.EIA/SEA/13/Add.1. </w:t>
      </w:r>
    </w:p>
  </w:footnote>
  <w:footnote w:id="8">
    <w:p w14:paraId="3A3B7180" w14:textId="77777777" w:rsidR="008F0FF4" w:rsidRPr="00E77FA5" w:rsidRDefault="008F0FF4" w:rsidP="00651826">
      <w:pPr>
        <w:pStyle w:val="FootnoteText"/>
        <w:rPr>
          <w:lang w:val="en-US"/>
        </w:rPr>
      </w:pPr>
      <w:r w:rsidRPr="0092432D">
        <w:rPr>
          <w:lang w:val="en-US"/>
        </w:rPr>
        <w:tab/>
      </w:r>
      <w:r w:rsidRPr="00651826">
        <w:rPr>
          <w:rStyle w:val="FootnoteReference"/>
        </w:rPr>
        <w:footnoteRef/>
      </w:r>
      <w:r w:rsidRPr="0092432D">
        <w:rPr>
          <w:lang w:val="en-US"/>
        </w:rPr>
        <w:tab/>
        <w:t xml:space="preserve">ECE/MP.EIA/2020/9. </w:t>
      </w:r>
    </w:p>
  </w:footnote>
  <w:footnote w:id="9">
    <w:p w14:paraId="157E1EB5" w14:textId="342E73DD" w:rsidR="008F0FF4" w:rsidRPr="00E77FA5" w:rsidRDefault="008F0FF4" w:rsidP="00651826">
      <w:pPr>
        <w:pStyle w:val="FootnoteText"/>
        <w:rPr>
          <w:lang w:val="en-US"/>
        </w:rPr>
      </w:pPr>
      <w:r w:rsidRPr="0092432D">
        <w:rPr>
          <w:lang w:val="en-US"/>
        </w:rPr>
        <w:tab/>
      </w:r>
      <w:r w:rsidRPr="00651826">
        <w:rPr>
          <w:rStyle w:val="FootnoteReference"/>
        </w:rPr>
        <w:footnoteRef/>
      </w:r>
      <w:r w:rsidRPr="0092432D">
        <w:rPr>
          <w:lang w:val="en-US"/>
        </w:rPr>
        <w:tab/>
      </w:r>
      <w:r>
        <w:t>См</w:t>
      </w:r>
      <w:r w:rsidRPr="0092432D">
        <w:rPr>
          <w:lang w:val="en-US"/>
        </w:rPr>
        <w:t>. ECE/MP.EIA/30/Add.2</w:t>
      </w:r>
      <w:r w:rsidRPr="00B4592D">
        <w:rPr>
          <w:lang w:val="en-US"/>
        </w:rPr>
        <w:t>-</w:t>
      </w:r>
      <w:r w:rsidRPr="0092432D">
        <w:rPr>
          <w:lang w:val="en-US"/>
        </w:rPr>
        <w:t xml:space="preserve">ECE/MP.EIA/SEA/13/Add.2. </w:t>
      </w:r>
    </w:p>
  </w:footnote>
  <w:footnote w:id="10">
    <w:p w14:paraId="226CCC1D" w14:textId="77777777" w:rsidR="008F0FF4" w:rsidRPr="00C12DB8" w:rsidRDefault="008F0FF4" w:rsidP="00651826">
      <w:pPr>
        <w:pStyle w:val="FootnoteText"/>
      </w:pPr>
      <w:r w:rsidRPr="0092432D">
        <w:rPr>
          <w:lang w:val="en-US"/>
        </w:rPr>
        <w:tab/>
      </w:r>
      <w:r w:rsidRPr="00651826">
        <w:rPr>
          <w:rStyle w:val="FootnoteReference"/>
        </w:rPr>
        <w:footnoteRef/>
      </w:r>
      <w:r>
        <w:tab/>
        <w:t xml:space="preserve">ECE/MP.EIA/WG.2/2020/7.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4E21" w14:textId="55A74257" w:rsidR="008F0FF4" w:rsidRPr="00D320B5" w:rsidRDefault="006D0D2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000EE">
      <w:t>ECE/MP.EIA/30/Add.1</w:t>
    </w:r>
    <w:r>
      <w:fldChar w:fldCharType="end"/>
    </w:r>
    <w:r w:rsidR="008F0FF4">
      <w:br/>
    </w:r>
    <w:r>
      <w:fldChar w:fldCharType="begin"/>
    </w:r>
    <w:r>
      <w:instrText xml:space="preserve"> KEYWORDS  \* MERGEFORMAT </w:instrText>
    </w:r>
    <w:r>
      <w:fldChar w:fldCharType="separate"/>
    </w:r>
    <w:r w:rsidR="009000EE">
      <w:t>ECE/MP.EIA/SEA/13/Add.1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7358" w14:textId="0844D114" w:rsidR="008F0FF4" w:rsidRPr="00D320B5" w:rsidRDefault="006D0D23" w:rsidP="00A770A4">
    <w:pPr>
      <w:pStyle w:val="Header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9000EE">
      <w:t>ECE/MP.EIA/30/Add.1</w:t>
    </w:r>
    <w:r>
      <w:fldChar w:fldCharType="end"/>
    </w:r>
    <w:r w:rsidR="008F0FF4">
      <w:br/>
    </w:r>
    <w:r>
      <w:fldChar w:fldCharType="begin"/>
    </w:r>
    <w:r>
      <w:instrText xml:space="preserve"> KEYWORDS  \* MERGEFORMAT </w:instrText>
    </w:r>
    <w:r>
      <w:fldChar w:fldCharType="separate"/>
    </w:r>
    <w:r w:rsidR="009000EE">
      <w:t>ECE/MP.EIA/SEA/13/Add.1</w:t>
    </w:r>
    <w:r>
      <w:fldChar w:fldCharType="end"/>
    </w:r>
  </w:p>
  <w:p w14:paraId="5A59A6E5" w14:textId="77777777" w:rsidR="008F0FF4" w:rsidRPr="00D320B5" w:rsidRDefault="008F0FF4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6356" w14:textId="5EA350D6" w:rsidR="00B93E34" w:rsidRPr="00B93E34" w:rsidRDefault="009000EE" w:rsidP="00B93E34">
    <w:pPr>
      <w:pStyle w:val="Header"/>
    </w:pPr>
    <w:fldSimple w:instr=" TITLE  \* MERGEFORMAT ">
      <w:r>
        <w:t>ECE/MP.EIA/30/Add.1</w:t>
      </w:r>
    </w:fldSimple>
    <w:r w:rsidR="00B93E34">
      <w:br/>
    </w:r>
    <w:fldSimple w:instr=" KEYWORDS  \* MERGEFORMAT ">
      <w:r>
        <w:t>ECE/MP.EIA/SEA/13/Add.1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BC02" w14:textId="4E286FA1" w:rsidR="00B93E34" w:rsidRPr="00B93E34" w:rsidRDefault="009000EE" w:rsidP="00B93E34">
    <w:pPr>
      <w:pStyle w:val="Header"/>
      <w:jc w:val="right"/>
    </w:pPr>
    <w:fldSimple w:instr=" TITLE  \* MERGEFORMAT ">
      <w:r>
        <w:t>ECE/MP.EIA/30/Add.1</w:t>
      </w:r>
    </w:fldSimple>
    <w:r w:rsidR="00B93E34">
      <w:br/>
    </w:r>
    <w:fldSimple w:instr=" KEYWORDS  \* MERGEFORMAT ">
      <w:r>
        <w:t>ECE/MP.EIA/SEA/13/Add.1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D065" w14:textId="78D46BDE" w:rsidR="008F0FF4" w:rsidRPr="00C36019" w:rsidRDefault="006D0D23" w:rsidP="00C360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000EE">
      <w:t>ECE/MP.EIA/30/Add.1</w:t>
    </w:r>
    <w:r>
      <w:fldChar w:fldCharType="end"/>
    </w:r>
    <w:r w:rsidR="008F0FF4">
      <w:br/>
    </w:r>
    <w:r>
      <w:fldChar w:fldCharType="begin"/>
    </w:r>
    <w:r>
      <w:instrText xml:space="preserve"> KEYWORDS  \* MERGEFORMAT </w:instrText>
    </w:r>
    <w:r>
      <w:fldChar w:fldCharType="separate"/>
    </w:r>
    <w:r w:rsidR="009000EE">
      <w:t>ECE/MP.EIA/SEA/13/Add.1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52B" w14:textId="41345B3A" w:rsidR="008F0FF4" w:rsidRPr="00C36019" w:rsidRDefault="006D0D23" w:rsidP="00C360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000EE">
      <w:t>ECE/MP.EIA/30/Add.1</w:t>
    </w:r>
    <w:r>
      <w:fldChar w:fldCharType="end"/>
    </w:r>
    <w:r w:rsidR="008F0FF4">
      <w:br/>
    </w:r>
    <w:r>
      <w:fldChar w:fldCharType="begin"/>
    </w:r>
    <w:r>
      <w:instrText xml:space="preserve"> KEYWORDS  \* MERGEFORMAT </w:instrText>
    </w:r>
    <w:r>
      <w:fldChar w:fldCharType="separate"/>
    </w:r>
    <w:r w:rsidR="009000EE">
      <w:t>ECE/MP.EIA/SEA/13/Add.1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CC1B" w14:textId="0096989A" w:rsidR="008F0FF4" w:rsidRPr="00A413F1" w:rsidRDefault="006D0D23" w:rsidP="00A413F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000EE">
      <w:t>ECE/MP.EIA/30/Add.1</w:t>
    </w:r>
    <w:r>
      <w:fldChar w:fldCharType="end"/>
    </w:r>
    <w:r w:rsidR="008F0FF4">
      <w:br/>
    </w:r>
    <w:r>
      <w:fldChar w:fldCharType="begin"/>
    </w:r>
    <w:r>
      <w:instrText xml:space="preserve"> KEYWORDS  \* MERGEFORMAT </w:instrText>
    </w:r>
    <w:r>
      <w:fldChar w:fldCharType="separate"/>
    </w:r>
    <w:r w:rsidR="009000EE">
      <w:t>ECE/MP.EIA/SEA/13/Add.1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F9D4" w14:textId="4D8B6C53" w:rsidR="008F0FF4" w:rsidRPr="00A413F1" w:rsidRDefault="006D0D23" w:rsidP="00A413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000EE">
      <w:t>ECE/MP.EIA/30/Add.1</w:t>
    </w:r>
    <w:r>
      <w:fldChar w:fldCharType="end"/>
    </w:r>
    <w:r w:rsidR="008F0FF4">
      <w:br/>
    </w:r>
    <w:r>
      <w:fldChar w:fldCharType="begin"/>
    </w:r>
    <w:r>
      <w:instrText xml:space="preserve"> KEYWORDS  \* MERGEFORMAT </w:instrText>
    </w:r>
    <w:r>
      <w:fldChar w:fldCharType="separate"/>
    </w:r>
    <w:r w:rsidR="009000EE">
      <w:t>ECE/MP.EIA/SEA/13/Add.1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1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B"/>
    <w:rsid w:val="000117AD"/>
    <w:rsid w:val="000151E5"/>
    <w:rsid w:val="00016C8C"/>
    <w:rsid w:val="00033EE1"/>
    <w:rsid w:val="00042B72"/>
    <w:rsid w:val="000519F9"/>
    <w:rsid w:val="000558BD"/>
    <w:rsid w:val="000939E7"/>
    <w:rsid w:val="000B57E7"/>
    <w:rsid w:val="000B6373"/>
    <w:rsid w:val="000E4E5B"/>
    <w:rsid w:val="000F09DF"/>
    <w:rsid w:val="000F61B2"/>
    <w:rsid w:val="001075E9"/>
    <w:rsid w:val="0014152F"/>
    <w:rsid w:val="00167F04"/>
    <w:rsid w:val="00180183"/>
    <w:rsid w:val="0018024D"/>
    <w:rsid w:val="0018616A"/>
    <w:rsid w:val="0018649F"/>
    <w:rsid w:val="00196389"/>
    <w:rsid w:val="001B3EF6"/>
    <w:rsid w:val="001C7A89"/>
    <w:rsid w:val="001D5B0C"/>
    <w:rsid w:val="001E7BBA"/>
    <w:rsid w:val="001F588E"/>
    <w:rsid w:val="0022471C"/>
    <w:rsid w:val="0025107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DC6"/>
    <w:rsid w:val="003B00E5"/>
    <w:rsid w:val="003E0B46"/>
    <w:rsid w:val="00407B78"/>
    <w:rsid w:val="00424203"/>
    <w:rsid w:val="00452493"/>
    <w:rsid w:val="00453318"/>
    <w:rsid w:val="00454AF2"/>
    <w:rsid w:val="00454E07"/>
    <w:rsid w:val="00462FB6"/>
    <w:rsid w:val="00472C5C"/>
    <w:rsid w:val="00485F8A"/>
    <w:rsid w:val="00497248"/>
    <w:rsid w:val="004B3778"/>
    <w:rsid w:val="004E05B7"/>
    <w:rsid w:val="0050108D"/>
    <w:rsid w:val="00513081"/>
    <w:rsid w:val="00517901"/>
    <w:rsid w:val="00520DCD"/>
    <w:rsid w:val="00526683"/>
    <w:rsid w:val="00526DB8"/>
    <w:rsid w:val="00532A8F"/>
    <w:rsid w:val="005639C1"/>
    <w:rsid w:val="005709E0"/>
    <w:rsid w:val="00572E19"/>
    <w:rsid w:val="00574C34"/>
    <w:rsid w:val="005961C8"/>
    <w:rsid w:val="005966F1"/>
    <w:rsid w:val="005A768D"/>
    <w:rsid w:val="005D6E9D"/>
    <w:rsid w:val="005D7914"/>
    <w:rsid w:val="005E2B41"/>
    <w:rsid w:val="005F0B42"/>
    <w:rsid w:val="00617A43"/>
    <w:rsid w:val="006345DB"/>
    <w:rsid w:val="00640F49"/>
    <w:rsid w:val="00651826"/>
    <w:rsid w:val="00680D03"/>
    <w:rsid w:val="00681A10"/>
    <w:rsid w:val="00697356"/>
    <w:rsid w:val="006A1ED8"/>
    <w:rsid w:val="006C2031"/>
    <w:rsid w:val="006D0D23"/>
    <w:rsid w:val="006D40F2"/>
    <w:rsid w:val="006D461A"/>
    <w:rsid w:val="006F35EE"/>
    <w:rsid w:val="007021FF"/>
    <w:rsid w:val="00712895"/>
    <w:rsid w:val="00734ACB"/>
    <w:rsid w:val="00755299"/>
    <w:rsid w:val="00757357"/>
    <w:rsid w:val="00764902"/>
    <w:rsid w:val="00782009"/>
    <w:rsid w:val="00792497"/>
    <w:rsid w:val="00806737"/>
    <w:rsid w:val="00810E96"/>
    <w:rsid w:val="00825F8D"/>
    <w:rsid w:val="00834B71"/>
    <w:rsid w:val="0086445C"/>
    <w:rsid w:val="00894693"/>
    <w:rsid w:val="00895987"/>
    <w:rsid w:val="008A08D7"/>
    <w:rsid w:val="008A37C8"/>
    <w:rsid w:val="008B6909"/>
    <w:rsid w:val="008D53B6"/>
    <w:rsid w:val="008F0FF4"/>
    <w:rsid w:val="008F7609"/>
    <w:rsid w:val="009000EE"/>
    <w:rsid w:val="00906890"/>
    <w:rsid w:val="00911BE4"/>
    <w:rsid w:val="00951972"/>
    <w:rsid w:val="009608F3"/>
    <w:rsid w:val="00965DFC"/>
    <w:rsid w:val="00987527"/>
    <w:rsid w:val="009A24AC"/>
    <w:rsid w:val="009C59D7"/>
    <w:rsid w:val="009C6FE6"/>
    <w:rsid w:val="009D7E7D"/>
    <w:rsid w:val="009E1ADF"/>
    <w:rsid w:val="00A14DA8"/>
    <w:rsid w:val="00A25693"/>
    <w:rsid w:val="00A312BC"/>
    <w:rsid w:val="00A413F1"/>
    <w:rsid w:val="00A770A4"/>
    <w:rsid w:val="00A84021"/>
    <w:rsid w:val="00A84D35"/>
    <w:rsid w:val="00A917B3"/>
    <w:rsid w:val="00AA21ED"/>
    <w:rsid w:val="00AB4B51"/>
    <w:rsid w:val="00AB6E36"/>
    <w:rsid w:val="00AC345A"/>
    <w:rsid w:val="00AC60BB"/>
    <w:rsid w:val="00AE69B9"/>
    <w:rsid w:val="00B10CC7"/>
    <w:rsid w:val="00B36DF7"/>
    <w:rsid w:val="00B4592D"/>
    <w:rsid w:val="00B46B84"/>
    <w:rsid w:val="00B5275A"/>
    <w:rsid w:val="00B539E7"/>
    <w:rsid w:val="00B62458"/>
    <w:rsid w:val="00B93E34"/>
    <w:rsid w:val="00BC18B2"/>
    <w:rsid w:val="00BD33EE"/>
    <w:rsid w:val="00BE1CC7"/>
    <w:rsid w:val="00C106D6"/>
    <w:rsid w:val="00C119AE"/>
    <w:rsid w:val="00C36019"/>
    <w:rsid w:val="00C406A5"/>
    <w:rsid w:val="00C60F0C"/>
    <w:rsid w:val="00C71E84"/>
    <w:rsid w:val="00C805C9"/>
    <w:rsid w:val="00C92939"/>
    <w:rsid w:val="00CA1679"/>
    <w:rsid w:val="00CA56C1"/>
    <w:rsid w:val="00CB151C"/>
    <w:rsid w:val="00CC10AC"/>
    <w:rsid w:val="00CC6D02"/>
    <w:rsid w:val="00CE5A1A"/>
    <w:rsid w:val="00CF55F6"/>
    <w:rsid w:val="00D320B5"/>
    <w:rsid w:val="00D33D63"/>
    <w:rsid w:val="00D5253A"/>
    <w:rsid w:val="00D54568"/>
    <w:rsid w:val="00D873A8"/>
    <w:rsid w:val="00D90028"/>
    <w:rsid w:val="00D90138"/>
    <w:rsid w:val="00D9145B"/>
    <w:rsid w:val="00DD78D1"/>
    <w:rsid w:val="00DE32CD"/>
    <w:rsid w:val="00DF5767"/>
    <w:rsid w:val="00DF71B9"/>
    <w:rsid w:val="00E0199F"/>
    <w:rsid w:val="00E12C5F"/>
    <w:rsid w:val="00E35974"/>
    <w:rsid w:val="00E73F76"/>
    <w:rsid w:val="00E77FA5"/>
    <w:rsid w:val="00E91EE2"/>
    <w:rsid w:val="00E97C22"/>
    <w:rsid w:val="00EA2C9F"/>
    <w:rsid w:val="00EA420E"/>
    <w:rsid w:val="00EB509E"/>
    <w:rsid w:val="00ED0BDA"/>
    <w:rsid w:val="00EE142A"/>
    <w:rsid w:val="00EE4BDF"/>
    <w:rsid w:val="00EF1360"/>
    <w:rsid w:val="00EF3220"/>
    <w:rsid w:val="00F2523A"/>
    <w:rsid w:val="00F332A7"/>
    <w:rsid w:val="00F43903"/>
    <w:rsid w:val="00F60675"/>
    <w:rsid w:val="00F609F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F0A9"/>
  <w15:docId w15:val="{60145801-8464-4232-9D94-57AEEE0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3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3"/>
      </w:numPr>
      <w:tabs>
        <w:tab w:val="clear" w:pos="1080"/>
      </w:tabs>
      <w:ind w:left="1440" w:hanging="3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3"/>
      </w:numPr>
      <w:tabs>
        <w:tab w:val="clear" w:pos="72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3"/>
      </w:numPr>
      <w:tabs>
        <w:tab w:val="clear" w:pos="864"/>
      </w:tabs>
      <w:spacing w:before="240" w:after="60"/>
      <w:ind w:left="2880" w:hanging="3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3"/>
      </w:numPr>
      <w:tabs>
        <w:tab w:val="clear" w:pos="1008"/>
      </w:tabs>
      <w:spacing w:before="240" w:after="6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3"/>
      </w:numPr>
      <w:tabs>
        <w:tab w:val="clear" w:pos="1152"/>
      </w:tabs>
      <w:spacing w:before="240" w:after="60"/>
      <w:ind w:left="4320" w:hanging="3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3"/>
      </w:numPr>
      <w:tabs>
        <w:tab w:val="clear" w:pos="1296"/>
      </w:tabs>
      <w:spacing w:before="240" w:after="60"/>
      <w:ind w:left="5040" w:hanging="3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3"/>
      </w:numPr>
      <w:tabs>
        <w:tab w:val="clear" w:pos="1440"/>
      </w:tabs>
      <w:spacing w:before="240" w:after="60"/>
      <w:ind w:left="5760" w:hanging="3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3"/>
      </w:numPr>
      <w:tabs>
        <w:tab w:val="clear" w:pos="1584"/>
      </w:tabs>
      <w:spacing w:before="240" w:after="60"/>
      <w:ind w:left="6480" w:hanging="3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320B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320B5"/>
    <w:rPr>
      <w:b/>
      <w:sz w:val="24"/>
      <w:lang w:val="ru-RU" w:eastAsia="ru-RU"/>
    </w:rPr>
  </w:style>
  <w:style w:type="numbering" w:customStyle="1" w:styleId="1ai1">
    <w:name w:val="1 / a / i1"/>
    <w:basedOn w:val="NoList"/>
    <w:next w:val="1ai"/>
    <w:semiHidden/>
    <w:rsid w:val="00D320B5"/>
    <w:pPr>
      <w:numPr>
        <w:numId w:val="22"/>
      </w:numPr>
    </w:pPr>
  </w:style>
  <w:style w:type="numbering" w:styleId="1ai">
    <w:name w:val="Outline List 1"/>
    <w:basedOn w:val="NoList"/>
    <w:semiHidden/>
    <w:unhideWhenUsed/>
    <w:rsid w:val="00D320B5"/>
  </w:style>
  <w:style w:type="numbering" w:customStyle="1" w:styleId="ArticleSection1">
    <w:name w:val="Article / Section1"/>
    <w:basedOn w:val="NoList"/>
    <w:next w:val="ArticleSection"/>
    <w:semiHidden/>
    <w:rsid w:val="00D320B5"/>
    <w:pPr>
      <w:numPr>
        <w:numId w:val="23"/>
      </w:numPr>
    </w:pPr>
  </w:style>
  <w:style w:type="numbering" w:styleId="ArticleSection">
    <w:name w:val="Outline List 3"/>
    <w:basedOn w:val="NoList"/>
    <w:semiHidden/>
    <w:unhideWhenUsed/>
    <w:rsid w:val="00D320B5"/>
  </w:style>
  <w:style w:type="character" w:customStyle="1" w:styleId="SingleTxtGChar">
    <w:name w:val="_ Single Txt_G Char"/>
    <w:link w:val="SingleTxtG"/>
    <w:rsid w:val="00D320B5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reaties.un.org/Pages/ViewDetails.aspx?src=TREATY&amp;mtdsg_no=XXVII-4-b&amp;chapter=27&amp;clang=_en" TargetMode="External"/><Relationship Id="rId2" Type="http://schemas.openxmlformats.org/officeDocument/2006/relationships/hyperlink" Target="https://treaties.un.org/Pages/ViewDetails.aspx?src=TREATY&amp;mtdsg_no=XXVII-4&amp;chapter=27&amp;clang=_en" TargetMode="External"/><Relationship Id="rId1" Type="http://schemas.openxmlformats.org/officeDocument/2006/relationships/hyperlink" Target="http://www.oecd.org/development/financing-sustainable-development/development-finance-standards/dacli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AD9B-3081-4AAB-A4D1-EADD831F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14747</Words>
  <Characters>83621</Characters>
  <Application>Microsoft Office Word</Application>
  <DocSecurity>0</DocSecurity>
  <Lines>1639</Lines>
  <Paragraphs>862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ECE/MP.EIA/30/Add.1</vt:lpstr>
      <vt:lpstr>A/</vt:lpstr>
      <vt:lpstr>A/</vt:lpstr>
    </vt:vector>
  </TitlesOfParts>
  <Company>DCM</Company>
  <LinksUpToDate>false</LinksUpToDate>
  <CharactersWithSpaces>97506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ECE/MP.EIA/30/Add.1</dc:title>
  <dc:creator>Anna BLAGODATSKIKH</dc:creator>
  <cp:keywords>ECE/MP.EIA/SEA/13/Add.1</cp:keywords>
  <cp:lastModifiedBy>Maricar De_La_Cruz</cp:lastModifiedBy>
  <cp:revision>2</cp:revision>
  <cp:lastPrinted>2021-04-14T15:39:00Z</cp:lastPrinted>
  <dcterms:created xsi:type="dcterms:W3CDTF">2021-08-26T16:29:00Z</dcterms:created>
  <dcterms:modified xsi:type="dcterms:W3CDTF">2021-08-26T16:29:00Z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