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005684" w14:paraId="219BEC63" w14:textId="77777777" w:rsidTr="00DF5712">
        <w:trPr>
          <w:trHeight w:hRule="exact" w:val="851"/>
        </w:trPr>
        <w:tc>
          <w:tcPr>
            <w:tcW w:w="1276" w:type="dxa"/>
            <w:tcBorders>
              <w:bottom w:val="single" w:sz="4" w:space="0" w:color="auto"/>
            </w:tcBorders>
          </w:tcPr>
          <w:p w14:paraId="12EFBD68" w14:textId="77777777" w:rsidR="00A14420" w:rsidRPr="00DB58B5" w:rsidRDefault="00A14420" w:rsidP="00447F9A"/>
        </w:tc>
        <w:tc>
          <w:tcPr>
            <w:tcW w:w="2268" w:type="dxa"/>
            <w:tcBorders>
              <w:bottom w:val="single" w:sz="4" w:space="0" w:color="auto"/>
            </w:tcBorders>
            <w:vAlign w:val="bottom"/>
          </w:tcPr>
          <w:p w14:paraId="1241F7F4" w14:textId="77777777" w:rsidR="00A14420" w:rsidRPr="00005684" w:rsidRDefault="00A14420" w:rsidP="00DF5712">
            <w:pPr>
              <w:spacing w:after="80" w:line="300" w:lineRule="exact"/>
              <w:rPr>
                <w:sz w:val="28"/>
              </w:rPr>
            </w:pPr>
            <w:r w:rsidRPr="00005684">
              <w:rPr>
                <w:sz w:val="28"/>
              </w:rPr>
              <w:t>Nations Unies</w:t>
            </w:r>
          </w:p>
        </w:tc>
        <w:tc>
          <w:tcPr>
            <w:tcW w:w="6095" w:type="dxa"/>
            <w:gridSpan w:val="2"/>
            <w:tcBorders>
              <w:bottom w:val="single" w:sz="4" w:space="0" w:color="auto"/>
            </w:tcBorders>
            <w:vAlign w:val="bottom"/>
          </w:tcPr>
          <w:p w14:paraId="07D215D3" w14:textId="1172528C" w:rsidR="00447F9A" w:rsidRPr="00005684" w:rsidRDefault="00447F9A" w:rsidP="00447F9A">
            <w:pPr>
              <w:jc w:val="right"/>
              <w:rPr>
                <w:lang w:val="es-ES"/>
              </w:rPr>
            </w:pPr>
            <w:r w:rsidRPr="00005684">
              <w:rPr>
                <w:sz w:val="40"/>
                <w:lang w:val="es-ES"/>
              </w:rPr>
              <w:t>ECE</w:t>
            </w:r>
            <w:r w:rsidRPr="00005684">
              <w:rPr>
                <w:lang w:val="es-ES"/>
              </w:rPr>
              <w:t>/MP.EIA/30−</w:t>
            </w:r>
            <w:r w:rsidRPr="00005684">
              <w:rPr>
                <w:sz w:val="40"/>
                <w:lang w:val="es-ES"/>
              </w:rPr>
              <w:t>ECE</w:t>
            </w:r>
            <w:r w:rsidRPr="00005684">
              <w:rPr>
                <w:lang w:val="es-ES"/>
              </w:rPr>
              <w:t>/MP.EIA/SEA/13</w:t>
            </w:r>
          </w:p>
        </w:tc>
      </w:tr>
      <w:tr w:rsidR="00A14420" w:rsidRPr="00005684" w14:paraId="078F3C4E" w14:textId="77777777" w:rsidTr="00DF5712">
        <w:trPr>
          <w:trHeight w:hRule="exact" w:val="2835"/>
        </w:trPr>
        <w:tc>
          <w:tcPr>
            <w:tcW w:w="1276" w:type="dxa"/>
            <w:tcBorders>
              <w:top w:val="single" w:sz="4" w:space="0" w:color="auto"/>
              <w:bottom w:val="single" w:sz="12" w:space="0" w:color="auto"/>
            </w:tcBorders>
          </w:tcPr>
          <w:p w14:paraId="75C8564C" w14:textId="77777777" w:rsidR="00A14420" w:rsidRPr="00005684" w:rsidRDefault="00A14420" w:rsidP="00DF5712">
            <w:pPr>
              <w:spacing w:before="120"/>
              <w:jc w:val="center"/>
            </w:pPr>
            <w:r w:rsidRPr="00005684">
              <w:rPr>
                <w:noProof/>
                <w:lang w:eastAsia="fr-CH"/>
              </w:rPr>
              <w:drawing>
                <wp:inline distT="0" distB="0" distL="0" distR="0" wp14:anchorId="38605A67" wp14:editId="6378FD4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A394A0" w14:textId="77777777" w:rsidR="00A14420" w:rsidRPr="00005684" w:rsidRDefault="00A14420" w:rsidP="00DF5712">
            <w:pPr>
              <w:spacing w:before="120" w:line="420" w:lineRule="exact"/>
              <w:rPr>
                <w:b/>
                <w:sz w:val="40"/>
                <w:szCs w:val="40"/>
              </w:rPr>
            </w:pPr>
            <w:r w:rsidRPr="00005684">
              <w:rPr>
                <w:b/>
                <w:sz w:val="40"/>
                <w:szCs w:val="40"/>
              </w:rPr>
              <w:t>Conseil économique et social</w:t>
            </w:r>
          </w:p>
        </w:tc>
        <w:tc>
          <w:tcPr>
            <w:tcW w:w="2835" w:type="dxa"/>
            <w:tcBorders>
              <w:top w:val="single" w:sz="4" w:space="0" w:color="auto"/>
              <w:bottom w:val="single" w:sz="12" w:space="0" w:color="auto"/>
            </w:tcBorders>
          </w:tcPr>
          <w:p w14:paraId="06A48FCA" w14:textId="77777777" w:rsidR="00A14420" w:rsidRPr="00005684" w:rsidRDefault="00447F9A" w:rsidP="00DF5712">
            <w:pPr>
              <w:spacing w:before="240"/>
            </w:pPr>
            <w:proofErr w:type="spellStart"/>
            <w:r w:rsidRPr="00005684">
              <w:t>Distr</w:t>
            </w:r>
            <w:proofErr w:type="spellEnd"/>
            <w:r w:rsidRPr="00005684">
              <w:t>. générale</w:t>
            </w:r>
          </w:p>
          <w:p w14:paraId="09881846" w14:textId="77777777" w:rsidR="00447F9A" w:rsidRPr="00005684" w:rsidRDefault="00447F9A" w:rsidP="00447F9A">
            <w:pPr>
              <w:spacing w:line="240" w:lineRule="exact"/>
            </w:pPr>
            <w:r w:rsidRPr="00005684">
              <w:t>11 février 2021</w:t>
            </w:r>
          </w:p>
          <w:p w14:paraId="53FC7C46" w14:textId="77777777" w:rsidR="00447F9A" w:rsidRPr="00005684" w:rsidRDefault="00447F9A" w:rsidP="00447F9A">
            <w:pPr>
              <w:spacing w:line="240" w:lineRule="exact"/>
            </w:pPr>
            <w:r w:rsidRPr="00005684">
              <w:t>Français</w:t>
            </w:r>
          </w:p>
          <w:p w14:paraId="1B899113" w14:textId="47CC0E26" w:rsidR="00447F9A" w:rsidRPr="00005684" w:rsidRDefault="00447F9A" w:rsidP="00447F9A">
            <w:pPr>
              <w:spacing w:line="240" w:lineRule="exact"/>
            </w:pPr>
            <w:r w:rsidRPr="00005684">
              <w:t>Original : anglais</w:t>
            </w:r>
          </w:p>
        </w:tc>
      </w:tr>
    </w:tbl>
    <w:p w14:paraId="1D092ADE" w14:textId="0AED6B46" w:rsidR="00C554CE" w:rsidRPr="00005684" w:rsidRDefault="00C554CE" w:rsidP="00C554CE">
      <w:pPr>
        <w:spacing w:before="120"/>
        <w:rPr>
          <w:b/>
          <w:sz w:val="28"/>
          <w:szCs w:val="28"/>
        </w:rPr>
      </w:pPr>
      <w:r w:rsidRPr="00005684">
        <w:rPr>
          <w:b/>
          <w:sz w:val="28"/>
          <w:szCs w:val="28"/>
        </w:rPr>
        <w:t>Commission économique pour l</w:t>
      </w:r>
      <w:r w:rsidR="00F51B2C" w:rsidRPr="00005684">
        <w:rPr>
          <w:b/>
          <w:sz w:val="28"/>
          <w:szCs w:val="28"/>
        </w:rPr>
        <w:t>’</w:t>
      </w:r>
      <w:r w:rsidRPr="00005684">
        <w:rPr>
          <w:b/>
          <w:sz w:val="28"/>
          <w:szCs w:val="28"/>
        </w:rPr>
        <w:t>Europe</w:t>
      </w:r>
    </w:p>
    <w:p w14:paraId="21675453" w14:textId="408A9772" w:rsidR="00447F9A" w:rsidRPr="00005684" w:rsidRDefault="00447F9A" w:rsidP="00C554CE">
      <w:pPr>
        <w:spacing w:before="120"/>
        <w:rPr>
          <w:sz w:val="28"/>
          <w:szCs w:val="28"/>
          <w:lang w:val="fr-FR"/>
        </w:rPr>
      </w:pPr>
      <w:r w:rsidRPr="00005684">
        <w:rPr>
          <w:sz w:val="28"/>
          <w:szCs w:val="28"/>
          <w:lang w:val="fr-FR"/>
        </w:rPr>
        <w:t>Réunion des Parties à la Convention sur</w:t>
      </w:r>
      <w:r w:rsidRPr="00005684">
        <w:rPr>
          <w:sz w:val="28"/>
          <w:szCs w:val="28"/>
          <w:lang w:val="fr-FR"/>
        </w:rPr>
        <w:br/>
        <w:t>l</w:t>
      </w:r>
      <w:r w:rsidR="00F51B2C" w:rsidRPr="00005684">
        <w:rPr>
          <w:sz w:val="28"/>
          <w:szCs w:val="28"/>
          <w:lang w:val="fr-FR"/>
        </w:rPr>
        <w:t>’</w:t>
      </w:r>
      <w:r w:rsidRPr="00005684">
        <w:rPr>
          <w:sz w:val="28"/>
          <w:szCs w:val="28"/>
          <w:lang w:val="fr-FR"/>
        </w:rPr>
        <w:t>évaluation de l</w:t>
      </w:r>
      <w:r w:rsidR="00F51B2C" w:rsidRPr="00005684">
        <w:rPr>
          <w:sz w:val="28"/>
          <w:szCs w:val="28"/>
          <w:lang w:val="fr-FR"/>
        </w:rPr>
        <w:t>’</w:t>
      </w:r>
      <w:r w:rsidRPr="00005684">
        <w:rPr>
          <w:sz w:val="28"/>
          <w:szCs w:val="28"/>
          <w:lang w:val="fr-FR"/>
        </w:rPr>
        <w:t>impact sur l</w:t>
      </w:r>
      <w:r w:rsidR="00F51B2C" w:rsidRPr="00005684">
        <w:rPr>
          <w:sz w:val="28"/>
          <w:szCs w:val="28"/>
          <w:lang w:val="fr-FR"/>
        </w:rPr>
        <w:t>’</w:t>
      </w:r>
      <w:r w:rsidRPr="00005684">
        <w:rPr>
          <w:sz w:val="28"/>
          <w:szCs w:val="28"/>
          <w:lang w:val="fr-FR"/>
        </w:rPr>
        <w:t>environnement</w:t>
      </w:r>
      <w:r w:rsidRPr="00005684">
        <w:rPr>
          <w:sz w:val="28"/>
          <w:szCs w:val="28"/>
          <w:lang w:val="fr-FR"/>
        </w:rPr>
        <w:br/>
        <w:t>dans un contexte transfrontière</w:t>
      </w:r>
    </w:p>
    <w:p w14:paraId="5FAE855D" w14:textId="1264CC91" w:rsidR="00447F9A" w:rsidRPr="00005684" w:rsidRDefault="00447F9A" w:rsidP="00C554CE">
      <w:pPr>
        <w:spacing w:before="120"/>
        <w:rPr>
          <w:b/>
        </w:rPr>
      </w:pPr>
      <w:r w:rsidRPr="00005684">
        <w:rPr>
          <w:b/>
        </w:rPr>
        <w:t>Huitième session</w:t>
      </w:r>
    </w:p>
    <w:p w14:paraId="42F33917" w14:textId="6D875A8B" w:rsidR="00447F9A" w:rsidRPr="00005684" w:rsidRDefault="00447F9A" w:rsidP="00447F9A">
      <w:pPr>
        <w:spacing w:before="120"/>
        <w:rPr>
          <w:bCs/>
          <w:sz w:val="28"/>
          <w:szCs w:val="28"/>
          <w:lang w:val="fr-FR"/>
        </w:rPr>
      </w:pPr>
      <w:r w:rsidRPr="00005684">
        <w:rPr>
          <w:bCs/>
          <w:sz w:val="28"/>
          <w:szCs w:val="28"/>
          <w:lang w:val="fr-FR"/>
        </w:rPr>
        <w:t>Réunion des Parties à la Convention sur</w:t>
      </w:r>
      <w:r w:rsidRPr="00005684">
        <w:rPr>
          <w:bCs/>
          <w:sz w:val="28"/>
          <w:szCs w:val="28"/>
          <w:lang w:val="fr-FR"/>
        </w:rPr>
        <w:br/>
        <w:t>l</w:t>
      </w:r>
      <w:r w:rsidR="00F51B2C" w:rsidRPr="00005684">
        <w:rPr>
          <w:bCs/>
          <w:sz w:val="28"/>
          <w:szCs w:val="28"/>
          <w:lang w:val="fr-FR"/>
        </w:rPr>
        <w:t>’</w:t>
      </w:r>
      <w:r w:rsidRPr="00005684">
        <w:rPr>
          <w:bCs/>
          <w:sz w:val="28"/>
          <w:szCs w:val="28"/>
          <w:lang w:val="fr-FR"/>
        </w:rPr>
        <w:t>évaluation de l</w:t>
      </w:r>
      <w:r w:rsidR="00F51B2C" w:rsidRPr="00005684">
        <w:rPr>
          <w:bCs/>
          <w:sz w:val="28"/>
          <w:szCs w:val="28"/>
          <w:lang w:val="fr-FR"/>
        </w:rPr>
        <w:t>’</w:t>
      </w:r>
      <w:r w:rsidRPr="00005684">
        <w:rPr>
          <w:bCs/>
          <w:sz w:val="28"/>
          <w:szCs w:val="28"/>
          <w:lang w:val="fr-FR"/>
        </w:rPr>
        <w:t>impact sur l</w:t>
      </w:r>
      <w:r w:rsidR="00F51B2C" w:rsidRPr="00005684">
        <w:rPr>
          <w:bCs/>
          <w:sz w:val="28"/>
          <w:szCs w:val="28"/>
          <w:lang w:val="fr-FR"/>
        </w:rPr>
        <w:t>’</w:t>
      </w:r>
      <w:r w:rsidRPr="00005684">
        <w:rPr>
          <w:bCs/>
          <w:sz w:val="28"/>
          <w:szCs w:val="28"/>
          <w:lang w:val="fr-FR"/>
        </w:rPr>
        <w:t xml:space="preserve">environnement </w:t>
      </w:r>
      <w:r w:rsidRPr="00005684">
        <w:rPr>
          <w:bCs/>
          <w:sz w:val="28"/>
          <w:szCs w:val="28"/>
          <w:lang w:val="fr-FR"/>
        </w:rPr>
        <w:br/>
        <w:t>dans un contexte transfrontière agissant comme</w:t>
      </w:r>
      <w:r w:rsidRPr="00005684">
        <w:rPr>
          <w:bCs/>
          <w:sz w:val="28"/>
          <w:szCs w:val="28"/>
          <w:lang w:val="fr-FR"/>
        </w:rPr>
        <w:br/>
        <w:t xml:space="preserve">réunion des Parties au Protocole relatif </w:t>
      </w:r>
      <w:r w:rsidRPr="00005684">
        <w:rPr>
          <w:bCs/>
          <w:sz w:val="28"/>
          <w:szCs w:val="28"/>
          <w:lang w:val="fr-FR"/>
        </w:rPr>
        <w:br/>
        <w:t>à l</w:t>
      </w:r>
      <w:r w:rsidR="00F51B2C" w:rsidRPr="00005684">
        <w:rPr>
          <w:bCs/>
          <w:sz w:val="28"/>
          <w:szCs w:val="28"/>
          <w:lang w:val="fr-FR"/>
        </w:rPr>
        <w:t>’</w:t>
      </w:r>
      <w:r w:rsidRPr="00005684">
        <w:rPr>
          <w:bCs/>
          <w:sz w:val="28"/>
          <w:szCs w:val="28"/>
          <w:lang w:val="fr-FR"/>
        </w:rPr>
        <w:t>évaluation stratégique environnementale</w:t>
      </w:r>
    </w:p>
    <w:p w14:paraId="07E1FD4D" w14:textId="77777777" w:rsidR="00447F9A" w:rsidRPr="00005684" w:rsidRDefault="00447F9A" w:rsidP="00447F9A">
      <w:pPr>
        <w:spacing w:before="120"/>
        <w:rPr>
          <w:b/>
          <w:lang w:val="fr-FR"/>
        </w:rPr>
      </w:pPr>
      <w:r w:rsidRPr="00005684">
        <w:rPr>
          <w:b/>
          <w:lang w:val="fr-FR"/>
        </w:rPr>
        <w:t>Quatrième session</w:t>
      </w:r>
    </w:p>
    <w:p w14:paraId="78EFFA09" w14:textId="074CF03E" w:rsidR="005F26E5" w:rsidRPr="00005684" w:rsidRDefault="00447F9A" w:rsidP="00447F9A">
      <w:pPr>
        <w:spacing w:before="120"/>
        <w:rPr>
          <w:lang w:val="fr-FR"/>
        </w:rPr>
      </w:pPr>
      <w:r w:rsidRPr="00005684">
        <w:rPr>
          <w:lang w:val="fr-FR"/>
        </w:rPr>
        <w:t>Vilnius (en ligne), 8-11 décembre 2020</w:t>
      </w:r>
    </w:p>
    <w:p w14:paraId="2DA92CF4" w14:textId="33277E7C" w:rsidR="00447F9A" w:rsidRPr="00005684" w:rsidRDefault="00447F9A" w:rsidP="00447F9A">
      <w:pPr>
        <w:pStyle w:val="HChG"/>
        <w:rPr>
          <w:lang w:val="fr-FR"/>
        </w:rPr>
      </w:pPr>
      <w:r w:rsidRPr="00005684">
        <w:rPr>
          <w:lang w:val="fr-FR"/>
        </w:rPr>
        <w:tab/>
      </w:r>
      <w:r w:rsidRPr="00005684">
        <w:rPr>
          <w:lang w:val="fr-FR"/>
        </w:rPr>
        <w:tab/>
        <w:t xml:space="preserve">Rapport de la Réunion des Parties à la Convention </w:t>
      </w:r>
      <w:r w:rsidRPr="00005684">
        <w:rPr>
          <w:lang w:val="fr-FR"/>
        </w:rPr>
        <w:br/>
        <w:t xml:space="preserve">sur sa huitième session et de la Réunion des Parties </w:t>
      </w:r>
      <w:r w:rsidRPr="00005684">
        <w:rPr>
          <w:lang w:val="fr-FR"/>
        </w:rPr>
        <w:br/>
        <w:t xml:space="preserve">à la Convention agissant comme réunion des Parties </w:t>
      </w:r>
      <w:r w:rsidRPr="00005684">
        <w:rPr>
          <w:lang w:val="fr-FR"/>
        </w:rPr>
        <w:br/>
        <w:t>au Protocole sur sa quatrième session</w:t>
      </w:r>
    </w:p>
    <w:p w14:paraId="0D2C2142" w14:textId="58E24AC0" w:rsidR="00447F9A" w:rsidRPr="00005684" w:rsidRDefault="00447F9A" w:rsidP="00447F9A">
      <w:pPr>
        <w:spacing w:after="120"/>
        <w:rPr>
          <w:sz w:val="28"/>
        </w:rPr>
      </w:pPr>
      <w:r w:rsidRPr="00005684">
        <w:rPr>
          <w:sz w:val="28"/>
        </w:rPr>
        <w:t>Table des matières</w:t>
      </w:r>
    </w:p>
    <w:p w14:paraId="7C5A86FB" w14:textId="3F6A1126" w:rsidR="00447F9A" w:rsidRPr="00005684" w:rsidRDefault="00447F9A" w:rsidP="00447F9A">
      <w:pPr>
        <w:tabs>
          <w:tab w:val="right" w:pos="9638"/>
        </w:tabs>
        <w:spacing w:after="120"/>
        <w:ind w:left="283"/>
        <w:rPr>
          <w:i/>
          <w:sz w:val="18"/>
        </w:rPr>
      </w:pPr>
      <w:r w:rsidRPr="00005684">
        <w:rPr>
          <w:i/>
          <w:sz w:val="18"/>
        </w:rPr>
        <w:tab/>
        <w:t>Page</w:t>
      </w:r>
    </w:p>
    <w:p w14:paraId="4A2109E4" w14:textId="12E9AC9D" w:rsidR="00447F9A" w:rsidRPr="00005684" w:rsidRDefault="00447F9A" w:rsidP="00447F9A">
      <w:pPr>
        <w:tabs>
          <w:tab w:val="right" w:pos="850"/>
          <w:tab w:val="right" w:leader="dot" w:pos="8787"/>
          <w:tab w:val="right" w:pos="9638"/>
        </w:tabs>
        <w:spacing w:after="120"/>
        <w:ind w:left="1134" w:hanging="1134"/>
      </w:pPr>
      <w:bookmarkStart w:id="0" w:name="_Hlk74040612"/>
      <w:r w:rsidRPr="00005684">
        <w:tab/>
        <w:t>I.</w:t>
      </w:r>
      <w:r w:rsidRPr="00005684">
        <w:tab/>
      </w:r>
      <w:r w:rsidR="00E17F0C" w:rsidRPr="00005684">
        <w:rPr>
          <w:lang w:val="fr-FR"/>
        </w:rPr>
        <w:t>Introduction</w:t>
      </w:r>
      <w:r w:rsidRPr="00005684">
        <w:tab/>
      </w:r>
      <w:r w:rsidRPr="00005684">
        <w:tab/>
      </w:r>
      <w:r w:rsidR="005031FB" w:rsidRPr="00005684">
        <w:t>3</w:t>
      </w:r>
    </w:p>
    <w:p w14:paraId="090BEDC9" w14:textId="298FB709" w:rsidR="00447F9A" w:rsidRPr="00005684" w:rsidRDefault="00447F9A" w:rsidP="00447F9A">
      <w:pPr>
        <w:tabs>
          <w:tab w:val="right" w:leader="dot" w:pos="8787"/>
          <w:tab w:val="right" w:pos="9638"/>
        </w:tabs>
        <w:spacing w:after="120"/>
        <w:ind w:left="1559" w:hanging="425"/>
      </w:pPr>
      <w:r w:rsidRPr="00005684">
        <w:t>A.</w:t>
      </w:r>
      <w:r w:rsidRPr="00005684">
        <w:tab/>
      </w:r>
      <w:r w:rsidR="00E17F0C" w:rsidRPr="00005684">
        <w:t>Participation</w:t>
      </w:r>
      <w:r w:rsidRPr="00005684">
        <w:tab/>
      </w:r>
      <w:r w:rsidRPr="00005684">
        <w:tab/>
      </w:r>
      <w:r w:rsidR="005031FB" w:rsidRPr="00005684">
        <w:t>3</w:t>
      </w:r>
    </w:p>
    <w:p w14:paraId="003363FA" w14:textId="096DB05C" w:rsidR="00447F9A" w:rsidRPr="00005684" w:rsidRDefault="00447F9A" w:rsidP="00447F9A">
      <w:pPr>
        <w:tabs>
          <w:tab w:val="right" w:leader="dot" w:pos="8787"/>
          <w:tab w:val="right" w:pos="9638"/>
        </w:tabs>
        <w:spacing w:after="120"/>
        <w:ind w:left="1559" w:hanging="425"/>
      </w:pPr>
      <w:r w:rsidRPr="00005684">
        <w:t>B.</w:t>
      </w:r>
      <w:r w:rsidRPr="00005684">
        <w:tab/>
      </w:r>
      <w:r w:rsidR="00E17F0C" w:rsidRPr="00005684">
        <w:rPr>
          <w:lang w:val="fr-FR"/>
        </w:rPr>
        <w:t>Questions d’organisation</w:t>
      </w:r>
      <w:r w:rsidRPr="00005684">
        <w:tab/>
      </w:r>
      <w:r w:rsidRPr="00005684">
        <w:tab/>
      </w:r>
      <w:r w:rsidR="005031FB" w:rsidRPr="00005684">
        <w:t>3</w:t>
      </w:r>
    </w:p>
    <w:p w14:paraId="3BE68A66" w14:textId="501375F7" w:rsidR="00447F9A" w:rsidRPr="00005684" w:rsidRDefault="00447F9A" w:rsidP="00447F9A">
      <w:pPr>
        <w:tabs>
          <w:tab w:val="right" w:pos="850"/>
          <w:tab w:val="right" w:leader="dot" w:pos="8787"/>
          <w:tab w:val="right" w:pos="9638"/>
        </w:tabs>
        <w:spacing w:after="120"/>
        <w:ind w:left="1134" w:hanging="1134"/>
      </w:pPr>
      <w:r w:rsidRPr="00005684">
        <w:tab/>
        <w:t>II.</w:t>
      </w:r>
      <w:r w:rsidRPr="00005684">
        <w:tab/>
      </w:r>
      <w:r w:rsidR="00E17F0C" w:rsidRPr="00005684">
        <w:rPr>
          <w:bCs/>
          <w:lang w:val="fr-FR"/>
        </w:rPr>
        <w:t>Questions en suspens</w:t>
      </w:r>
      <w:r w:rsidRPr="00005684">
        <w:tab/>
      </w:r>
      <w:r w:rsidRPr="00005684">
        <w:tab/>
      </w:r>
      <w:r w:rsidR="005031FB" w:rsidRPr="00005684">
        <w:t>5</w:t>
      </w:r>
    </w:p>
    <w:p w14:paraId="16582EB8" w14:textId="15A15595" w:rsidR="00447F9A" w:rsidRPr="00005684" w:rsidRDefault="00447F9A" w:rsidP="00447F9A">
      <w:pPr>
        <w:tabs>
          <w:tab w:val="right" w:leader="dot" w:pos="8787"/>
          <w:tab w:val="right" w:pos="9638"/>
        </w:tabs>
        <w:spacing w:after="120"/>
        <w:ind w:left="1559" w:hanging="425"/>
      </w:pPr>
      <w:r w:rsidRPr="00005684">
        <w:t>A.</w:t>
      </w:r>
      <w:r w:rsidRPr="00005684">
        <w:tab/>
      </w:r>
      <w:r w:rsidR="00E17F0C" w:rsidRPr="00005684">
        <w:rPr>
          <w:bCs/>
          <w:lang w:val="fr-FR"/>
        </w:rPr>
        <w:t>Questions en suspens relatives à la Convention et au Protocole</w:t>
      </w:r>
      <w:r w:rsidRPr="00005684">
        <w:rPr>
          <w:bCs/>
        </w:rPr>
        <w:tab/>
      </w:r>
      <w:r w:rsidRPr="00005684">
        <w:tab/>
      </w:r>
      <w:r w:rsidR="005031FB" w:rsidRPr="00005684">
        <w:t>5</w:t>
      </w:r>
    </w:p>
    <w:p w14:paraId="5004FD25" w14:textId="695CE83A" w:rsidR="00447F9A" w:rsidRPr="00005684" w:rsidRDefault="00447F9A" w:rsidP="00447F9A">
      <w:pPr>
        <w:tabs>
          <w:tab w:val="right" w:leader="dot" w:pos="8787"/>
          <w:tab w:val="right" w:pos="9638"/>
        </w:tabs>
        <w:spacing w:after="120"/>
        <w:ind w:left="1559" w:hanging="425"/>
      </w:pPr>
      <w:r w:rsidRPr="00005684">
        <w:t>B.</w:t>
      </w:r>
      <w:r w:rsidRPr="00005684">
        <w:tab/>
      </w:r>
      <w:r w:rsidR="00E17F0C" w:rsidRPr="00005684">
        <w:rPr>
          <w:bCs/>
          <w:lang w:val="fr-FR"/>
        </w:rPr>
        <w:t>Questions en suspens relatives à la Convention</w:t>
      </w:r>
      <w:r w:rsidRPr="00005684">
        <w:rPr>
          <w:bCs/>
        </w:rPr>
        <w:tab/>
      </w:r>
      <w:r w:rsidRPr="00005684">
        <w:tab/>
      </w:r>
      <w:r w:rsidR="005031FB" w:rsidRPr="00005684">
        <w:t>7</w:t>
      </w:r>
    </w:p>
    <w:p w14:paraId="703BC00D" w14:textId="2C45F4A1" w:rsidR="00447F9A" w:rsidRPr="00005684" w:rsidRDefault="00447F9A" w:rsidP="00447F9A">
      <w:pPr>
        <w:tabs>
          <w:tab w:val="right" w:leader="dot" w:pos="8787"/>
          <w:tab w:val="right" w:pos="9638"/>
        </w:tabs>
        <w:spacing w:after="120"/>
        <w:ind w:left="1559" w:hanging="425"/>
      </w:pPr>
      <w:r w:rsidRPr="00005684">
        <w:t>C.</w:t>
      </w:r>
      <w:r w:rsidRPr="00005684">
        <w:rPr>
          <w:bCs/>
        </w:rPr>
        <w:tab/>
      </w:r>
      <w:r w:rsidR="00E17F0C" w:rsidRPr="00005684">
        <w:rPr>
          <w:bCs/>
          <w:lang w:val="fr-FR"/>
        </w:rPr>
        <w:t>Questions en suspens concernant le Protocole</w:t>
      </w:r>
      <w:r w:rsidRPr="00005684">
        <w:tab/>
      </w:r>
      <w:r w:rsidRPr="00005684">
        <w:tab/>
      </w:r>
      <w:r w:rsidR="005031FB" w:rsidRPr="00005684">
        <w:t>8</w:t>
      </w:r>
    </w:p>
    <w:p w14:paraId="032D1191" w14:textId="12C68C1F" w:rsidR="00447F9A" w:rsidRPr="00005684" w:rsidRDefault="00447F9A" w:rsidP="00447F9A">
      <w:pPr>
        <w:tabs>
          <w:tab w:val="right" w:pos="850"/>
          <w:tab w:val="right" w:leader="dot" w:pos="8787"/>
          <w:tab w:val="right" w:pos="9638"/>
        </w:tabs>
        <w:spacing w:after="120"/>
        <w:ind w:left="1134" w:hanging="1134"/>
      </w:pPr>
      <w:r w:rsidRPr="00005684">
        <w:tab/>
        <w:t>III.</w:t>
      </w:r>
      <w:r w:rsidRPr="00005684">
        <w:tab/>
      </w:r>
      <w:r w:rsidR="00E17F0C" w:rsidRPr="00005684">
        <w:rPr>
          <w:bCs/>
          <w:lang w:val="fr-FR"/>
        </w:rPr>
        <w:t>Examen du plan de travail</w:t>
      </w:r>
      <w:r w:rsidRPr="00005684">
        <w:tab/>
      </w:r>
      <w:r w:rsidRPr="00005684">
        <w:tab/>
      </w:r>
      <w:r w:rsidR="005031FB" w:rsidRPr="00005684">
        <w:t>8</w:t>
      </w:r>
    </w:p>
    <w:p w14:paraId="73079681" w14:textId="65FA4D9D" w:rsidR="00447F9A" w:rsidRPr="00005684" w:rsidRDefault="00447F9A" w:rsidP="00447F9A">
      <w:pPr>
        <w:tabs>
          <w:tab w:val="right" w:leader="dot" w:pos="8787"/>
          <w:tab w:val="right" w:pos="9638"/>
        </w:tabs>
        <w:spacing w:after="120"/>
        <w:ind w:left="1559" w:hanging="425"/>
      </w:pPr>
      <w:r w:rsidRPr="00005684">
        <w:t>A.</w:t>
      </w:r>
      <w:r w:rsidRPr="00005684">
        <w:tab/>
      </w:r>
      <w:r w:rsidR="00E17F0C" w:rsidRPr="00005684">
        <w:rPr>
          <w:bCs/>
          <w:lang w:val="fr-FR"/>
        </w:rPr>
        <w:t>Respect des dispositions et application de la Convention et du Protocole</w:t>
      </w:r>
      <w:r w:rsidRPr="00005684">
        <w:tab/>
      </w:r>
      <w:r w:rsidRPr="00005684">
        <w:tab/>
      </w:r>
      <w:r w:rsidR="005031FB" w:rsidRPr="00005684">
        <w:t>8</w:t>
      </w:r>
    </w:p>
    <w:p w14:paraId="0525C0DD" w14:textId="4E805D65" w:rsidR="00447F9A" w:rsidRPr="00005684" w:rsidRDefault="00447F9A" w:rsidP="00447F9A">
      <w:pPr>
        <w:tabs>
          <w:tab w:val="right" w:leader="dot" w:pos="8787"/>
          <w:tab w:val="right" w:pos="9638"/>
        </w:tabs>
        <w:spacing w:after="120"/>
        <w:ind w:left="1559" w:hanging="425"/>
      </w:pPr>
      <w:r w:rsidRPr="00005684">
        <w:t>B.</w:t>
      </w:r>
      <w:r w:rsidRPr="00005684">
        <w:tab/>
      </w:r>
      <w:r w:rsidR="00E17F0C" w:rsidRPr="00005684">
        <w:rPr>
          <w:bCs/>
          <w:lang w:val="fr-FR"/>
        </w:rPr>
        <w:t>Coopération et renforcement des capacités au niveau sous-régional</w:t>
      </w:r>
      <w:r w:rsidRPr="00005684">
        <w:rPr>
          <w:bCs/>
        </w:rPr>
        <w:tab/>
      </w:r>
      <w:r w:rsidRPr="00005684">
        <w:tab/>
      </w:r>
      <w:r w:rsidR="005031FB" w:rsidRPr="00005684">
        <w:t>9</w:t>
      </w:r>
    </w:p>
    <w:p w14:paraId="14649B5B" w14:textId="2D8BD1F8" w:rsidR="00447F9A" w:rsidRPr="00005684" w:rsidRDefault="00447F9A" w:rsidP="00447F9A">
      <w:pPr>
        <w:tabs>
          <w:tab w:val="right" w:leader="dot" w:pos="8787"/>
          <w:tab w:val="right" w:pos="9638"/>
        </w:tabs>
        <w:spacing w:after="120"/>
        <w:ind w:left="1559" w:hanging="425"/>
      </w:pPr>
      <w:r w:rsidRPr="00005684">
        <w:t>C.</w:t>
      </w:r>
      <w:r w:rsidRPr="00005684">
        <w:tab/>
      </w:r>
      <w:r w:rsidR="00E17F0C" w:rsidRPr="00005684">
        <w:rPr>
          <w:bCs/>
          <w:lang w:val="fr-FR"/>
        </w:rPr>
        <w:t>Promotion de la ratification et de l’application du Protocole et de la Convention</w:t>
      </w:r>
      <w:r w:rsidRPr="00005684">
        <w:tab/>
      </w:r>
      <w:r w:rsidRPr="00005684">
        <w:tab/>
      </w:r>
      <w:r w:rsidR="005031FB" w:rsidRPr="00005684">
        <w:t>9</w:t>
      </w:r>
    </w:p>
    <w:p w14:paraId="6F6352FF" w14:textId="5388B681" w:rsidR="00447F9A" w:rsidRPr="00005684" w:rsidRDefault="00447F9A" w:rsidP="00447F9A">
      <w:pPr>
        <w:tabs>
          <w:tab w:val="right" w:pos="850"/>
          <w:tab w:val="right" w:leader="dot" w:pos="8787"/>
          <w:tab w:val="right" w:pos="9638"/>
        </w:tabs>
        <w:spacing w:after="120"/>
        <w:ind w:left="1134" w:hanging="1134"/>
        <w:rPr>
          <w:bCs/>
        </w:rPr>
      </w:pPr>
      <w:r w:rsidRPr="00005684">
        <w:tab/>
        <w:t>IV.</w:t>
      </w:r>
      <w:r w:rsidRPr="00005684">
        <w:tab/>
      </w:r>
      <w:r w:rsidR="00E17F0C" w:rsidRPr="00005684">
        <w:rPr>
          <w:bCs/>
          <w:lang w:val="fr-FR"/>
        </w:rPr>
        <w:t>Cérémonie d’ouverture du débat de haut niveau</w:t>
      </w:r>
      <w:r w:rsidRPr="00005684">
        <w:rPr>
          <w:bCs/>
        </w:rPr>
        <w:tab/>
      </w:r>
      <w:r w:rsidRPr="00005684">
        <w:rPr>
          <w:bCs/>
        </w:rPr>
        <w:tab/>
      </w:r>
      <w:r w:rsidR="005031FB" w:rsidRPr="00005684">
        <w:rPr>
          <w:bCs/>
        </w:rPr>
        <w:t>10</w:t>
      </w:r>
    </w:p>
    <w:p w14:paraId="5073F872" w14:textId="0D35F1FC" w:rsidR="00447F9A" w:rsidRPr="00005684" w:rsidRDefault="00447F9A" w:rsidP="009F2D0C">
      <w:pPr>
        <w:keepNext/>
        <w:tabs>
          <w:tab w:val="right" w:pos="850"/>
          <w:tab w:val="right" w:leader="dot" w:pos="8787"/>
          <w:tab w:val="right" w:pos="9638"/>
        </w:tabs>
        <w:spacing w:after="120"/>
        <w:ind w:left="1134" w:hanging="1134"/>
      </w:pPr>
      <w:r w:rsidRPr="00005684">
        <w:rPr>
          <w:bCs/>
        </w:rPr>
        <w:lastRenderedPageBreak/>
        <w:tab/>
        <w:t>V.</w:t>
      </w:r>
      <w:r w:rsidRPr="00005684">
        <w:rPr>
          <w:bCs/>
        </w:rPr>
        <w:tab/>
      </w:r>
      <w:r w:rsidR="00E17F0C" w:rsidRPr="00005684">
        <w:rPr>
          <w:bCs/>
          <w:lang w:val="fr-FR"/>
        </w:rPr>
        <w:t>Manifestation de haut niveau pour la célébration du trentième anniversaire de la Convention</w:t>
      </w:r>
      <w:r w:rsidRPr="00005684">
        <w:rPr>
          <w:bCs/>
        </w:rPr>
        <w:tab/>
      </w:r>
      <w:r w:rsidRPr="00005684">
        <w:tab/>
      </w:r>
      <w:r w:rsidR="005031FB" w:rsidRPr="00005684">
        <w:t>10</w:t>
      </w:r>
    </w:p>
    <w:p w14:paraId="1556FDB4" w14:textId="7E146C2A" w:rsidR="00447F9A" w:rsidRPr="00005684" w:rsidRDefault="00447F9A" w:rsidP="00447F9A">
      <w:pPr>
        <w:tabs>
          <w:tab w:val="right" w:pos="850"/>
          <w:tab w:val="right" w:leader="dot" w:pos="8787"/>
          <w:tab w:val="right" w:pos="9638"/>
        </w:tabs>
        <w:spacing w:after="120"/>
        <w:ind w:left="1134" w:hanging="1134"/>
        <w:rPr>
          <w:bCs/>
        </w:rPr>
      </w:pPr>
      <w:r w:rsidRPr="00005684">
        <w:tab/>
        <w:t>VI.</w:t>
      </w:r>
      <w:r w:rsidRPr="00005684">
        <w:tab/>
      </w:r>
      <w:r w:rsidR="00E17F0C" w:rsidRPr="00005684">
        <w:rPr>
          <w:bCs/>
          <w:lang w:val="fr-FR"/>
        </w:rPr>
        <w:t>Déclarations de ministres et de représentants de haut niveau</w:t>
      </w:r>
      <w:r w:rsidRPr="00005684">
        <w:rPr>
          <w:bCs/>
        </w:rPr>
        <w:tab/>
      </w:r>
      <w:r w:rsidRPr="00005684">
        <w:rPr>
          <w:bCs/>
        </w:rPr>
        <w:tab/>
      </w:r>
      <w:r w:rsidR="005031FB" w:rsidRPr="00005684">
        <w:rPr>
          <w:bCs/>
        </w:rPr>
        <w:t>12</w:t>
      </w:r>
    </w:p>
    <w:p w14:paraId="454F8D1A" w14:textId="7221C18B" w:rsidR="00447F9A" w:rsidRPr="00005684" w:rsidRDefault="00447F9A" w:rsidP="00447F9A">
      <w:pPr>
        <w:tabs>
          <w:tab w:val="right" w:pos="850"/>
          <w:tab w:val="right" w:leader="dot" w:pos="8787"/>
          <w:tab w:val="right" w:pos="9638"/>
        </w:tabs>
        <w:spacing w:after="120"/>
        <w:ind w:left="1134" w:hanging="1134"/>
        <w:rPr>
          <w:bCs/>
        </w:rPr>
      </w:pPr>
      <w:r w:rsidRPr="00005684">
        <w:rPr>
          <w:bCs/>
        </w:rPr>
        <w:tab/>
        <w:t>VII.</w:t>
      </w:r>
      <w:r w:rsidRPr="00005684">
        <w:rPr>
          <w:bCs/>
        </w:rPr>
        <w:tab/>
      </w:r>
      <w:r w:rsidR="00E17F0C" w:rsidRPr="00005684">
        <w:rPr>
          <w:bCs/>
          <w:lang w:val="fr-FR"/>
        </w:rPr>
        <w:t>Adoption des décisions et de la déclaration de Vilnius</w:t>
      </w:r>
      <w:r w:rsidRPr="00005684">
        <w:rPr>
          <w:bCs/>
        </w:rPr>
        <w:tab/>
      </w:r>
      <w:r w:rsidRPr="00005684">
        <w:rPr>
          <w:bCs/>
        </w:rPr>
        <w:tab/>
      </w:r>
      <w:r w:rsidR="005031FB" w:rsidRPr="00005684">
        <w:rPr>
          <w:bCs/>
        </w:rPr>
        <w:t>12</w:t>
      </w:r>
    </w:p>
    <w:p w14:paraId="17E4E674" w14:textId="0012D25E" w:rsidR="00447F9A" w:rsidRPr="00005684" w:rsidRDefault="00447F9A" w:rsidP="00447F9A">
      <w:pPr>
        <w:tabs>
          <w:tab w:val="right" w:pos="850"/>
          <w:tab w:val="right" w:leader="dot" w:pos="8787"/>
          <w:tab w:val="right" w:pos="9638"/>
        </w:tabs>
        <w:spacing w:after="120"/>
        <w:ind w:left="1134" w:hanging="1134"/>
        <w:rPr>
          <w:bCs/>
        </w:rPr>
      </w:pPr>
      <w:r w:rsidRPr="00005684">
        <w:rPr>
          <w:bCs/>
        </w:rPr>
        <w:tab/>
        <w:t>VIII.</w:t>
      </w:r>
      <w:r w:rsidRPr="00005684">
        <w:rPr>
          <w:bCs/>
        </w:rPr>
        <w:tab/>
      </w:r>
      <w:r w:rsidR="00E17F0C" w:rsidRPr="00005684">
        <w:rPr>
          <w:bCs/>
          <w:lang w:val="fr-FR"/>
        </w:rPr>
        <w:t>Élection du Bureau pour la prochaine période intersessions</w:t>
      </w:r>
      <w:r w:rsidRPr="00005684">
        <w:rPr>
          <w:bCs/>
        </w:rPr>
        <w:tab/>
      </w:r>
      <w:r w:rsidRPr="00005684">
        <w:rPr>
          <w:bCs/>
        </w:rPr>
        <w:tab/>
      </w:r>
      <w:r w:rsidR="005031FB" w:rsidRPr="00005684">
        <w:rPr>
          <w:bCs/>
        </w:rPr>
        <w:t>12</w:t>
      </w:r>
    </w:p>
    <w:p w14:paraId="4369B8F9" w14:textId="10E842E5" w:rsidR="00447F9A" w:rsidRPr="00005684" w:rsidRDefault="00447F9A" w:rsidP="00447F9A">
      <w:pPr>
        <w:tabs>
          <w:tab w:val="right" w:pos="850"/>
          <w:tab w:val="right" w:leader="dot" w:pos="8787"/>
          <w:tab w:val="right" w:pos="9638"/>
        </w:tabs>
        <w:spacing w:after="120"/>
        <w:ind w:left="1134" w:hanging="1134"/>
        <w:rPr>
          <w:bCs/>
        </w:rPr>
      </w:pPr>
      <w:r w:rsidRPr="00005684">
        <w:rPr>
          <w:bCs/>
        </w:rPr>
        <w:tab/>
        <w:t>IX.</w:t>
      </w:r>
      <w:r w:rsidRPr="00005684">
        <w:rPr>
          <w:bCs/>
        </w:rPr>
        <w:tab/>
      </w:r>
      <w:r w:rsidR="00E17F0C" w:rsidRPr="00005684">
        <w:rPr>
          <w:bCs/>
          <w:lang w:val="fr-FR"/>
        </w:rPr>
        <w:t>Date et lieu des prochaines sessions</w:t>
      </w:r>
      <w:r w:rsidRPr="00005684">
        <w:rPr>
          <w:bCs/>
        </w:rPr>
        <w:tab/>
      </w:r>
      <w:r w:rsidRPr="00005684">
        <w:rPr>
          <w:bCs/>
        </w:rPr>
        <w:tab/>
      </w:r>
      <w:r w:rsidR="005031FB" w:rsidRPr="00005684">
        <w:rPr>
          <w:bCs/>
        </w:rPr>
        <w:t>13</w:t>
      </w:r>
    </w:p>
    <w:p w14:paraId="15311A9C" w14:textId="73AC2EFF" w:rsidR="00447F9A" w:rsidRPr="00005684" w:rsidRDefault="00447F9A" w:rsidP="00447F9A">
      <w:pPr>
        <w:tabs>
          <w:tab w:val="right" w:pos="850"/>
          <w:tab w:val="right" w:leader="dot" w:pos="8787"/>
          <w:tab w:val="right" w:pos="9638"/>
        </w:tabs>
        <w:spacing w:after="120"/>
        <w:ind w:left="1134" w:hanging="1134"/>
        <w:rPr>
          <w:bCs/>
        </w:rPr>
      </w:pPr>
      <w:r w:rsidRPr="00005684">
        <w:rPr>
          <w:bCs/>
        </w:rPr>
        <w:tab/>
        <w:t>X.</w:t>
      </w:r>
      <w:r w:rsidRPr="00005684">
        <w:rPr>
          <w:bCs/>
        </w:rPr>
        <w:tab/>
      </w:r>
      <w:r w:rsidR="00E17F0C" w:rsidRPr="00005684">
        <w:rPr>
          <w:bCs/>
          <w:lang w:val="fr-FR"/>
        </w:rPr>
        <w:t>Clôture de la session</w:t>
      </w:r>
      <w:r w:rsidRPr="00005684">
        <w:rPr>
          <w:bCs/>
        </w:rPr>
        <w:tab/>
      </w:r>
      <w:r w:rsidRPr="00005684">
        <w:rPr>
          <w:bCs/>
        </w:rPr>
        <w:tab/>
      </w:r>
      <w:r w:rsidR="005031FB" w:rsidRPr="00005684">
        <w:rPr>
          <w:bCs/>
        </w:rPr>
        <w:t>13</w:t>
      </w:r>
    </w:p>
    <w:p w14:paraId="4CCCB4AF" w14:textId="305521EB" w:rsidR="00447F9A" w:rsidRPr="00005684" w:rsidRDefault="00447F9A" w:rsidP="00447F9A">
      <w:pPr>
        <w:tabs>
          <w:tab w:val="right" w:pos="850"/>
        </w:tabs>
        <w:spacing w:after="120"/>
        <w:rPr>
          <w:bCs/>
        </w:rPr>
      </w:pPr>
      <w:r w:rsidRPr="00005684">
        <w:rPr>
          <w:bCs/>
        </w:rPr>
        <w:tab/>
        <w:t>Annexe I</w:t>
      </w:r>
    </w:p>
    <w:p w14:paraId="003C3DFC" w14:textId="05B11A45" w:rsidR="00447F9A" w:rsidRPr="00005684" w:rsidRDefault="00447F9A" w:rsidP="00447F9A">
      <w:pPr>
        <w:tabs>
          <w:tab w:val="right" w:pos="850"/>
          <w:tab w:val="right" w:leader="dot" w:pos="8787"/>
          <w:tab w:val="right" w:pos="9638"/>
        </w:tabs>
        <w:spacing w:after="120"/>
        <w:ind w:left="1134" w:hanging="1134"/>
      </w:pPr>
      <w:r w:rsidRPr="00005684">
        <w:tab/>
      </w:r>
      <w:r w:rsidRPr="00005684">
        <w:tab/>
      </w:r>
      <w:r w:rsidR="00E17F0C" w:rsidRPr="00005684">
        <w:rPr>
          <w:rFonts w:ascii="Times New Roman Gras" w:hAnsi="Times New Roman Gras"/>
          <w:spacing w:val="-2"/>
          <w:lang w:val="fr-FR"/>
        </w:rPr>
        <w:t>Contributions annoncées au budget pour la période 2021-2023</w:t>
      </w:r>
      <w:r w:rsidRPr="00005684">
        <w:tab/>
      </w:r>
      <w:r w:rsidR="005031FB" w:rsidRPr="00005684">
        <w:tab/>
        <w:t>14</w:t>
      </w:r>
    </w:p>
    <w:p w14:paraId="13CDA145" w14:textId="0C5937C1" w:rsidR="00447F9A" w:rsidRPr="00005684" w:rsidRDefault="00447F9A" w:rsidP="00447F9A">
      <w:pPr>
        <w:tabs>
          <w:tab w:val="right" w:pos="850"/>
        </w:tabs>
        <w:spacing w:after="120"/>
      </w:pPr>
      <w:r w:rsidRPr="00005684">
        <w:tab/>
        <w:t>Annexe II</w:t>
      </w:r>
    </w:p>
    <w:p w14:paraId="52B098B3" w14:textId="52489CB9" w:rsidR="00447F9A" w:rsidRPr="00005684" w:rsidRDefault="00447F9A" w:rsidP="00447F9A">
      <w:pPr>
        <w:tabs>
          <w:tab w:val="right" w:pos="850"/>
          <w:tab w:val="right" w:leader="dot" w:pos="8787"/>
          <w:tab w:val="right" w:pos="9638"/>
        </w:tabs>
        <w:spacing w:after="120"/>
        <w:ind w:left="1134" w:hanging="1134"/>
      </w:pPr>
      <w:r w:rsidRPr="00005684">
        <w:tab/>
      </w:r>
      <w:r w:rsidRPr="00005684">
        <w:tab/>
      </w:r>
      <w:r w:rsidR="00E17F0C" w:rsidRPr="00005684">
        <w:rPr>
          <w:lang w:val="fr-FR"/>
        </w:rPr>
        <w:t xml:space="preserve">Bureau des Réunions des Parties à la Convention sur l’évaluation de l’impact sur </w:t>
      </w:r>
      <w:r w:rsidR="00E17F0C" w:rsidRPr="00005684">
        <w:rPr>
          <w:lang w:val="fr-FR"/>
        </w:rPr>
        <w:br/>
        <w:t xml:space="preserve">l’environnement dans un contexte transfrontière et au Protocole relatif à l’évaluation </w:t>
      </w:r>
      <w:r w:rsidR="00E17F0C" w:rsidRPr="00005684">
        <w:rPr>
          <w:lang w:val="fr-FR"/>
        </w:rPr>
        <w:br/>
        <w:t xml:space="preserve">stratégique environnementale : critères régissant l’élection des membres et directives </w:t>
      </w:r>
      <w:r w:rsidR="00E17F0C" w:rsidRPr="00005684">
        <w:rPr>
          <w:lang w:val="fr-FR"/>
        </w:rPr>
        <w:br/>
        <w:t>concernant les tâches à effectuer et les procédures à suivre</w:t>
      </w:r>
      <w:r w:rsidRPr="00005684">
        <w:tab/>
      </w:r>
      <w:r w:rsidR="005031FB" w:rsidRPr="00005684">
        <w:tab/>
        <w:t>18</w:t>
      </w:r>
    </w:p>
    <w:bookmarkEnd w:id="0"/>
    <w:p w14:paraId="7D1C22B6" w14:textId="77777777" w:rsidR="00447F9A" w:rsidRPr="00005684" w:rsidRDefault="00447F9A" w:rsidP="00F51B2C">
      <w:pPr>
        <w:pStyle w:val="HChG"/>
        <w:rPr>
          <w:lang w:val="fr-FR"/>
        </w:rPr>
      </w:pPr>
      <w:r w:rsidRPr="00005684">
        <w:br w:type="page"/>
      </w:r>
      <w:r w:rsidRPr="00005684">
        <w:rPr>
          <w:lang w:val="fr-FR"/>
        </w:rPr>
        <w:tab/>
        <w:t>I.</w:t>
      </w:r>
      <w:r w:rsidRPr="00005684">
        <w:rPr>
          <w:lang w:val="fr-FR"/>
        </w:rPr>
        <w:tab/>
        <w:t>Introduction</w:t>
      </w:r>
    </w:p>
    <w:p w14:paraId="3B6C89B1" w14:textId="0BD5B670" w:rsidR="00447F9A" w:rsidRPr="00005684" w:rsidRDefault="00F51B2C" w:rsidP="00F51B2C">
      <w:pPr>
        <w:pStyle w:val="SingleTxtG"/>
        <w:rPr>
          <w:lang w:val="fr-FR"/>
        </w:rPr>
      </w:pPr>
      <w:r w:rsidRPr="00005684">
        <w:rPr>
          <w:lang w:val="fr-FR"/>
        </w:rPr>
        <w:t>1.</w:t>
      </w:r>
      <w:r w:rsidRPr="00005684">
        <w:rPr>
          <w:lang w:val="fr-FR"/>
        </w:rPr>
        <w:tab/>
      </w:r>
      <w:r w:rsidR="00447F9A" w:rsidRPr="00005684">
        <w:rPr>
          <w:lang w:val="fr-FR"/>
        </w:rPr>
        <w:t>La huitième session de la Réunion des Parties à la Convention sur l</w:t>
      </w:r>
      <w:r w:rsidRPr="00005684">
        <w:rPr>
          <w:lang w:val="fr-FR"/>
        </w:rPr>
        <w:t>’</w:t>
      </w:r>
      <w:r w:rsidR="00447F9A" w:rsidRPr="00005684">
        <w:rPr>
          <w:lang w:val="fr-FR"/>
        </w:rPr>
        <w:t>évaluation de l</w:t>
      </w:r>
      <w:r w:rsidRPr="00005684">
        <w:rPr>
          <w:lang w:val="fr-FR"/>
        </w:rPr>
        <w:t>’</w:t>
      </w:r>
      <w:r w:rsidR="00447F9A" w:rsidRPr="00005684">
        <w:rPr>
          <w:lang w:val="fr-FR"/>
        </w:rPr>
        <w:t>impact sur l</w:t>
      </w:r>
      <w:r w:rsidRPr="00005684">
        <w:rPr>
          <w:lang w:val="fr-FR"/>
        </w:rPr>
        <w:t>’</w:t>
      </w:r>
      <w:r w:rsidR="00447F9A" w:rsidRPr="00005684">
        <w:rPr>
          <w:lang w:val="fr-FR"/>
        </w:rPr>
        <w:t>environnement dans un contexte transfrontière (Convention d</w:t>
      </w:r>
      <w:r w:rsidRPr="00005684">
        <w:rPr>
          <w:lang w:val="fr-FR"/>
        </w:rPr>
        <w:t>’</w:t>
      </w:r>
      <w:r w:rsidR="00447F9A" w:rsidRPr="00005684">
        <w:rPr>
          <w:lang w:val="fr-FR"/>
        </w:rPr>
        <w:t>Espoo) et la quatrième session de la Réunion des Parties à la Convention agissant comme réunion des Parties au Protocole relatif à l</w:t>
      </w:r>
      <w:r w:rsidRPr="00005684">
        <w:rPr>
          <w:lang w:val="fr-FR"/>
        </w:rPr>
        <w:t>’</w:t>
      </w:r>
      <w:r w:rsidR="00447F9A" w:rsidRPr="00005684">
        <w:rPr>
          <w:lang w:val="fr-FR"/>
        </w:rPr>
        <w:t>évaluation stratégique environnementale (Réunion des Parties au Protocole) se sont tenues du 8 au 11 décembre 2020. Les deux sessions, qui devaient initialement se dérouler à Vilnius à l</w:t>
      </w:r>
      <w:r w:rsidRPr="00005684">
        <w:rPr>
          <w:lang w:val="fr-FR"/>
        </w:rPr>
        <w:t>’</w:t>
      </w:r>
      <w:r w:rsidR="00447F9A" w:rsidRPr="00005684">
        <w:rPr>
          <w:lang w:val="fr-FR"/>
        </w:rPr>
        <w:t>invitation du Gouvernement lituanien, se sont déroulées à distance en raison des restrictions dues à la pandémie de maladie à coronavirus 2019 (COVID</w:t>
      </w:r>
      <w:r w:rsidR="00ED3771" w:rsidRPr="00005684">
        <w:rPr>
          <w:lang w:val="fr-FR"/>
        </w:rPr>
        <w:noBreakHyphen/>
      </w:r>
      <w:r w:rsidR="00447F9A" w:rsidRPr="00005684">
        <w:rPr>
          <w:lang w:val="fr-FR"/>
        </w:rPr>
        <w:t>19) applicables aux réunions en présentiel et aux voyages. Le portail en ligne et les services d</w:t>
      </w:r>
      <w:r w:rsidRPr="00005684">
        <w:rPr>
          <w:lang w:val="fr-FR"/>
        </w:rPr>
        <w:t>’</w:t>
      </w:r>
      <w:r w:rsidR="00447F9A" w:rsidRPr="00005684">
        <w:rPr>
          <w:lang w:val="fr-FR"/>
        </w:rPr>
        <w:t>interprétation ont été fournis par le Gouvernement lituanien.</w:t>
      </w:r>
    </w:p>
    <w:p w14:paraId="4DEB2297" w14:textId="4A733491" w:rsidR="00447F9A" w:rsidRPr="00005684" w:rsidRDefault="00F51B2C" w:rsidP="00F51B2C">
      <w:pPr>
        <w:pStyle w:val="SingleTxtG"/>
        <w:rPr>
          <w:lang w:val="fr-FR"/>
        </w:rPr>
      </w:pPr>
      <w:r w:rsidRPr="00005684">
        <w:rPr>
          <w:lang w:val="fr-FR"/>
        </w:rPr>
        <w:t>2.</w:t>
      </w:r>
      <w:r w:rsidRPr="00005684">
        <w:rPr>
          <w:lang w:val="fr-FR"/>
        </w:rPr>
        <w:tab/>
      </w:r>
      <w:r w:rsidR="00447F9A" w:rsidRPr="00005684">
        <w:rPr>
          <w:lang w:val="fr-FR"/>
        </w:rPr>
        <w:t>Les Réunions des Parties à la Convention et au Protocole ont tenu des réunions ensemble et séparément pendant toute la durée des sessions. Le présent rapport contient une synthèse des travaux des deux sessions. Par Réunions des Parties, il faut comprendre la réunion de ces deux organes en session conjointe. Pour des raisons d</w:t>
      </w:r>
      <w:r w:rsidRPr="00005684">
        <w:rPr>
          <w:lang w:val="fr-FR"/>
        </w:rPr>
        <w:t>’</w:t>
      </w:r>
      <w:r w:rsidR="00447F9A" w:rsidRPr="00005684">
        <w:rPr>
          <w:lang w:val="fr-FR"/>
        </w:rPr>
        <w:t>ordre pratique, les décisions adoptées à ces sessions seront publiées dans des additifs au présent rapport.</w:t>
      </w:r>
    </w:p>
    <w:p w14:paraId="509AEC25" w14:textId="1C6ED0C4" w:rsidR="00447F9A" w:rsidRPr="00005684" w:rsidRDefault="00F51B2C" w:rsidP="00F51B2C">
      <w:pPr>
        <w:pStyle w:val="H1G"/>
        <w:rPr>
          <w:lang w:val="fr-FR"/>
        </w:rPr>
      </w:pPr>
      <w:r w:rsidRPr="00005684">
        <w:rPr>
          <w:lang w:val="fr-FR"/>
        </w:rPr>
        <w:tab/>
      </w:r>
      <w:r w:rsidR="00447F9A" w:rsidRPr="00005684">
        <w:rPr>
          <w:lang w:val="fr-FR"/>
        </w:rPr>
        <w:t>A</w:t>
      </w:r>
      <w:r w:rsidRPr="00005684">
        <w:rPr>
          <w:lang w:val="fr-FR"/>
        </w:rPr>
        <w:t>.</w:t>
      </w:r>
      <w:r w:rsidR="00447F9A" w:rsidRPr="00005684">
        <w:rPr>
          <w:lang w:val="fr-FR"/>
        </w:rPr>
        <w:tab/>
      </w:r>
      <w:r w:rsidR="00447F9A" w:rsidRPr="00005684">
        <w:t>Participation</w:t>
      </w:r>
    </w:p>
    <w:p w14:paraId="626239DB" w14:textId="484E65B0" w:rsidR="00447F9A" w:rsidRPr="00005684" w:rsidRDefault="00F51B2C" w:rsidP="00F51B2C">
      <w:pPr>
        <w:pStyle w:val="SingleTxtG"/>
        <w:rPr>
          <w:lang w:val="fr-FR"/>
        </w:rPr>
      </w:pPr>
      <w:r w:rsidRPr="00005684">
        <w:rPr>
          <w:lang w:val="fr-FR"/>
        </w:rPr>
        <w:t>3.</w:t>
      </w:r>
      <w:r w:rsidRPr="00005684">
        <w:rPr>
          <w:lang w:val="fr-FR"/>
        </w:rPr>
        <w:tab/>
      </w:r>
      <w:r w:rsidR="00447F9A" w:rsidRPr="00005684">
        <w:rPr>
          <w:lang w:val="fr-FR"/>
        </w:rPr>
        <w:t>Ont participé à la session les délégations des Parties à la Convention et au Protocole énoncées ci-après, ainsi que d</w:t>
      </w:r>
      <w:r w:rsidRPr="00005684">
        <w:rPr>
          <w:lang w:val="fr-FR"/>
        </w:rPr>
        <w:t>’</w:t>
      </w:r>
      <w:r w:rsidR="00447F9A" w:rsidRPr="00005684">
        <w:rPr>
          <w:lang w:val="fr-FR"/>
        </w:rPr>
        <w:t>autres États membres de la Commission économique pour l</w:t>
      </w:r>
      <w:r w:rsidRPr="00005684">
        <w:rPr>
          <w:lang w:val="fr-FR"/>
        </w:rPr>
        <w:t>’</w:t>
      </w:r>
      <w:r w:rsidR="00447F9A" w:rsidRPr="00005684">
        <w:rPr>
          <w:lang w:val="fr-FR"/>
        </w:rPr>
        <w:t>Europe (CEE) : Allemagne, Arménie, Autriche, Azerbaïdjan, Bélarus, Belgique, Bulgarie, Canada, Croatie, Danemark, Espagne, Estonie, Fédération de Russie, Finlande, France, Géorgie, Grèce, Hongrie, Irlande, Italie, Kazakhstan, Lettonie, Lituanie, Luxembourg, Malte, Monténégro, Norvège, Ouzbékistan, Pays-Bas, Pologne, Portugal, République de Moldova, Roumanie, Royaume-Uni de Grande-Bretagne et d</w:t>
      </w:r>
      <w:r w:rsidRPr="00005684">
        <w:rPr>
          <w:lang w:val="fr-FR"/>
        </w:rPr>
        <w:t>’</w:t>
      </w:r>
      <w:r w:rsidR="00447F9A" w:rsidRPr="00005684">
        <w:rPr>
          <w:lang w:val="fr-FR"/>
        </w:rPr>
        <w:t>Irlande du Nord, Slovaquie, Slovénie, Suède, Suisse, Tchéquie et Ukraine. L</w:t>
      </w:r>
      <w:r w:rsidRPr="00005684">
        <w:rPr>
          <w:lang w:val="fr-FR"/>
        </w:rPr>
        <w:t>’</w:t>
      </w:r>
      <w:r w:rsidR="00447F9A" w:rsidRPr="00005684">
        <w:rPr>
          <w:lang w:val="fr-FR"/>
        </w:rPr>
        <w:t>Union européenne (UE) était représentée par la Commission européenne. Des déclarations ont été faites au nom de l</w:t>
      </w:r>
      <w:r w:rsidRPr="00005684">
        <w:rPr>
          <w:lang w:val="fr-FR"/>
        </w:rPr>
        <w:t>’</w:t>
      </w:r>
      <w:r w:rsidR="00447F9A" w:rsidRPr="00005684">
        <w:rPr>
          <w:lang w:val="fr-FR"/>
        </w:rPr>
        <w:t>UE et de ses États membres par l</w:t>
      </w:r>
      <w:r w:rsidRPr="00005684">
        <w:rPr>
          <w:lang w:val="fr-FR"/>
        </w:rPr>
        <w:t>’</w:t>
      </w:r>
      <w:r w:rsidR="00447F9A" w:rsidRPr="00005684">
        <w:rPr>
          <w:lang w:val="fr-FR"/>
        </w:rPr>
        <w:t>Allemagne, qui assurait la présidence du Conseil de l</w:t>
      </w:r>
      <w:r w:rsidRPr="00005684">
        <w:rPr>
          <w:lang w:val="fr-FR"/>
        </w:rPr>
        <w:t>’</w:t>
      </w:r>
      <w:r w:rsidR="00447F9A" w:rsidRPr="00005684">
        <w:rPr>
          <w:lang w:val="fr-FR"/>
        </w:rPr>
        <w:t>UE pendant le second semestre de 2020, et par la Commission européenne.</w:t>
      </w:r>
    </w:p>
    <w:p w14:paraId="6D526E68" w14:textId="2A2D5FCA" w:rsidR="00447F9A" w:rsidRPr="00005684" w:rsidRDefault="00447F9A" w:rsidP="00F51B2C">
      <w:pPr>
        <w:pStyle w:val="SingleTxtG"/>
        <w:rPr>
          <w:lang w:val="fr-FR"/>
        </w:rPr>
      </w:pPr>
      <w:r w:rsidRPr="00005684">
        <w:rPr>
          <w:lang w:val="fr-FR"/>
        </w:rPr>
        <w:t>4.</w:t>
      </w:r>
      <w:r w:rsidRPr="00005684">
        <w:rPr>
          <w:lang w:val="fr-FR"/>
        </w:rPr>
        <w:tab/>
        <w:t>Des représentants du secrétariat de la CEE ont assisté à la session, de même que des représentants des entités des Nations Unies suivantes : Agence internationale de l</w:t>
      </w:r>
      <w:r w:rsidR="00F51B2C" w:rsidRPr="00005684">
        <w:rPr>
          <w:lang w:val="fr-FR"/>
        </w:rPr>
        <w:t>’</w:t>
      </w:r>
      <w:r w:rsidRPr="00005684">
        <w:rPr>
          <w:lang w:val="fr-FR"/>
        </w:rPr>
        <w:t>énergie atomique (AIEA)</w:t>
      </w:r>
      <w:r w:rsidR="003D6A4E" w:rsidRPr="00005684">
        <w:rPr>
          <w:lang w:val="fr-FR"/>
        </w:rPr>
        <w:t xml:space="preserve"> ;</w:t>
      </w:r>
      <w:r w:rsidRPr="00005684">
        <w:rPr>
          <w:lang w:val="fr-FR"/>
        </w:rPr>
        <w:t xml:space="preserve"> Organisation mondiale de la Santé (OMS)</w:t>
      </w:r>
      <w:r w:rsidR="00EE50F0" w:rsidRPr="00005684">
        <w:rPr>
          <w:lang w:val="fr-FR"/>
        </w:rPr>
        <w:t> ; Programme des Nations Unies pour l’environnement (PNUE)</w:t>
      </w:r>
      <w:r w:rsidRPr="00005684">
        <w:rPr>
          <w:lang w:val="fr-FR"/>
        </w:rPr>
        <w:t xml:space="preserve">. Étaient également représentées les organisations </w:t>
      </w:r>
      <w:proofErr w:type="spellStart"/>
      <w:r w:rsidRPr="00005684">
        <w:rPr>
          <w:lang w:val="fr-FR"/>
        </w:rPr>
        <w:t>intergouvernementales</w:t>
      </w:r>
      <w:proofErr w:type="spellEnd"/>
      <w:r w:rsidRPr="00005684">
        <w:rPr>
          <w:lang w:val="fr-FR"/>
        </w:rPr>
        <w:t xml:space="preserve"> suivantes : Organisation pour la sécurité et la coopération en Europe (OSCE) ; Organisation de coopération et de développement économiques (OCDE) et son Agence pour l</w:t>
      </w:r>
      <w:r w:rsidR="00F51B2C" w:rsidRPr="00005684">
        <w:rPr>
          <w:lang w:val="fr-FR"/>
        </w:rPr>
        <w:t>’</w:t>
      </w:r>
      <w:r w:rsidRPr="00005684">
        <w:rPr>
          <w:lang w:val="fr-FR"/>
        </w:rPr>
        <w:t>énergie nucléaire (AEN). La Banque européenne d</w:t>
      </w:r>
      <w:r w:rsidR="00F51B2C" w:rsidRPr="00005684">
        <w:rPr>
          <w:lang w:val="fr-FR"/>
        </w:rPr>
        <w:t>’</w:t>
      </w:r>
      <w:r w:rsidRPr="00005684">
        <w:rPr>
          <w:lang w:val="fr-FR"/>
        </w:rPr>
        <w:t xml:space="preserve">investissement (BEI) était aussi représentée. Des représentants des organisations non gouvernementales (ONG) ci-après ont assisté à la session : </w:t>
      </w:r>
      <w:proofErr w:type="spellStart"/>
      <w:r w:rsidRPr="00005684">
        <w:rPr>
          <w:lang w:val="fr-FR"/>
        </w:rPr>
        <w:t>Caucasus</w:t>
      </w:r>
      <w:proofErr w:type="spellEnd"/>
      <w:r w:rsidRPr="00005684">
        <w:rPr>
          <w:lang w:val="fr-FR"/>
        </w:rPr>
        <w:t xml:space="preserve"> </w:t>
      </w:r>
      <w:proofErr w:type="spellStart"/>
      <w:r w:rsidRPr="00005684">
        <w:rPr>
          <w:lang w:val="fr-FR"/>
        </w:rPr>
        <w:t>Environmental</w:t>
      </w:r>
      <w:proofErr w:type="spellEnd"/>
      <w:r w:rsidRPr="00005684">
        <w:rPr>
          <w:lang w:val="fr-FR"/>
        </w:rPr>
        <w:t xml:space="preserve"> NGO Network</w:t>
      </w:r>
      <w:r w:rsidR="003D6A4E" w:rsidRPr="00005684">
        <w:rPr>
          <w:lang w:val="fr-FR"/>
        </w:rPr>
        <w:t xml:space="preserve"> ;</w:t>
      </w:r>
      <w:r w:rsidRPr="00005684">
        <w:rPr>
          <w:lang w:val="fr-FR"/>
        </w:rPr>
        <w:t xml:space="preserve"> </w:t>
      </w:r>
      <w:proofErr w:type="spellStart"/>
      <w:r w:rsidRPr="00005684">
        <w:rPr>
          <w:lang w:val="fr-FR"/>
        </w:rPr>
        <w:t>Ecohome</w:t>
      </w:r>
      <w:proofErr w:type="spellEnd"/>
      <w:r w:rsidRPr="00005684">
        <w:rPr>
          <w:lang w:val="fr-FR"/>
        </w:rPr>
        <w:t xml:space="preserve"> (Bélarus)</w:t>
      </w:r>
      <w:r w:rsidR="003D6A4E" w:rsidRPr="00005684">
        <w:rPr>
          <w:lang w:val="fr-FR"/>
        </w:rPr>
        <w:t xml:space="preserve"> ;</w:t>
      </w:r>
      <w:r w:rsidRPr="00005684">
        <w:rPr>
          <w:lang w:val="fr-FR"/>
        </w:rPr>
        <w:t xml:space="preserve"> FORATOM ; Amis de la Terre-Europe (Belgique)</w:t>
      </w:r>
      <w:r w:rsidR="003D6A4E" w:rsidRPr="00005684">
        <w:rPr>
          <w:lang w:val="fr-FR"/>
        </w:rPr>
        <w:t xml:space="preserve"> ;</w:t>
      </w:r>
      <w:r w:rsidRPr="00005684">
        <w:rPr>
          <w:lang w:val="fr-FR"/>
        </w:rPr>
        <w:t xml:space="preserve"> Greenpeace International ; Green </w:t>
      </w:r>
      <w:proofErr w:type="spellStart"/>
      <w:r w:rsidRPr="00005684">
        <w:rPr>
          <w:lang w:val="fr-FR"/>
        </w:rPr>
        <w:t>Women</w:t>
      </w:r>
      <w:proofErr w:type="spellEnd"/>
      <w:r w:rsidRPr="00005684">
        <w:rPr>
          <w:lang w:val="fr-FR"/>
        </w:rPr>
        <w:t xml:space="preserve"> </w:t>
      </w:r>
      <w:proofErr w:type="spellStart"/>
      <w:r w:rsidRPr="00005684">
        <w:rPr>
          <w:lang w:val="fr-FR"/>
        </w:rPr>
        <w:t>Analytical</w:t>
      </w:r>
      <w:proofErr w:type="spellEnd"/>
      <w:r w:rsidRPr="00005684">
        <w:rPr>
          <w:lang w:val="fr-FR"/>
        </w:rPr>
        <w:t xml:space="preserve"> </w:t>
      </w:r>
      <w:proofErr w:type="spellStart"/>
      <w:r w:rsidRPr="00005684">
        <w:rPr>
          <w:lang w:val="fr-FR"/>
        </w:rPr>
        <w:t>Environmental</w:t>
      </w:r>
      <w:proofErr w:type="spellEnd"/>
      <w:r w:rsidRPr="00005684">
        <w:rPr>
          <w:lang w:val="fr-FR"/>
        </w:rPr>
        <w:t xml:space="preserve"> Agency (Kazakhstan)</w:t>
      </w:r>
      <w:r w:rsidR="003D6A4E" w:rsidRPr="00005684">
        <w:rPr>
          <w:lang w:val="fr-FR"/>
        </w:rPr>
        <w:t xml:space="preserve"> ;</w:t>
      </w:r>
      <w:r w:rsidRPr="00005684">
        <w:rPr>
          <w:lang w:val="fr-FR"/>
        </w:rPr>
        <w:t xml:space="preserve"> </w:t>
      </w:r>
      <w:proofErr w:type="spellStart"/>
      <w:r w:rsidRPr="00005684">
        <w:rPr>
          <w:lang w:val="fr-FR"/>
        </w:rPr>
        <w:t>Guta</w:t>
      </w:r>
      <w:proofErr w:type="spellEnd"/>
      <w:r w:rsidRPr="00005684">
        <w:rPr>
          <w:lang w:val="fr-FR"/>
        </w:rPr>
        <w:t xml:space="preserve"> </w:t>
      </w:r>
      <w:proofErr w:type="spellStart"/>
      <w:r w:rsidRPr="00005684">
        <w:rPr>
          <w:lang w:val="fr-FR"/>
        </w:rPr>
        <w:t>Environmental</w:t>
      </w:r>
      <w:proofErr w:type="spellEnd"/>
      <w:r w:rsidRPr="00005684">
        <w:rPr>
          <w:lang w:val="fr-FR"/>
        </w:rPr>
        <w:t xml:space="preserve"> Law Association (Hongrie)</w:t>
      </w:r>
      <w:r w:rsidR="003D6A4E" w:rsidRPr="00005684">
        <w:rPr>
          <w:lang w:val="fr-FR"/>
        </w:rPr>
        <w:t xml:space="preserve"> ;</w:t>
      </w:r>
      <w:r w:rsidRPr="00005684">
        <w:rPr>
          <w:lang w:val="fr-FR"/>
        </w:rPr>
        <w:t xml:space="preserve"> Independent </w:t>
      </w:r>
      <w:proofErr w:type="spellStart"/>
      <w:r w:rsidRPr="00005684">
        <w:rPr>
          <w:lang w:val="fr-FR"/>
        </w:rPr>
        <w:t>Ecological</w:t>
      </w:r>
      <w:proofErr w:type="spellEnd"/>
      <w:r w:rsidRPr="00005684">
        <w:rPr>
          <w:lang w:val="fr-FR"/>
        </w:rPr>
        <w:t xml:space="preserve"> Expertise (Kirghizistan)</w:t>
      </w:r>
      <w:r w:rsidR="003D6A4E" w:rsidRPr="00005684">
        <w:rPr>
          <w:lang w:val="fr-FR"/>
        </w:rPr>
        <w:t xml:space="preserve"> ;</w:t>
      </w:r>
      <w:r w:rsidRPr="00005684">
        <w:rPr>
          <w:lang w:val="fr-FR"/>
        </w:rPr>
        <w:t xml:space="preserve"> International Association for Impact </w:t>
      </w:r>
      <w:proofErr w:type="spellStart"/>
      <w:r w:rsidRPr="00005684">
        <w:rPr>
          <w:lang w:val="fr-FR"/>
        </w:rPr>
        <w:t>Assessment</w:t>
      </w:r>
      <w:proofErr w:type="spellEnd"/>
      <w:r w:rsidR="003D6A4E" w:rsidRPr="00005684">
        <w:rPr>
          <w:lang w:val="fr-FR"/>
        </w:rPr>
        <w:t xml:space="preserve"> ;</w:t>
      </w:r>
      <w:r w:rsidRPr="00005684">
        <w:rPr>
          <w:lang w:val="fr-FR"/>
        </w:rPr>
        <w:t xml:space="preserve"> </w:t>
      </w:r>
      <w:proofErr w:type="spellStart"/>
      <w:r w:rsidRPr="00005684">
        <w:rPr>
          <w:lang w:val="fr-FR"/>
        </w:rPr>
        <w:t>Nuclear</w:t>
      </w:r>
      <w:proofErr w:type="spellEnd"/>
      <w:r w:rsidRPr="00005684">
        <w:rPr>
          <w:lang w:val="fr-FR"/>
        </w:rPr>
        <w:t xml:space="preserve"> </w:t>
      </w:r>
      <w:proofErr w:type="spellStart"/>
      <w:r w:rsidRPr="00005684">
        <w:rPr>
          <w:lang w:val="fr-FR"/>
        </w:rPr>
        <w:t>Transparency</w:t>
      </w:r>
      <w:proofErr w:type="spellEnd"/>
      <w:r w:rsidRPr="00005684">
        <w:rPr>
          <w:lang w:val="fr-FR"/>
        </w:rPr>
        <w:t xml:space="preserve"> Watch</w:t>
      </w:r>
      <w:r w:rsidR="003D6A4E" w:rsidRPr="00005684">
        <w:rPr>
          <w:lang w:val="fr-FR"/>
        </w:rPr>
        <w:t xml:space="preserve"> ;</w:t>
      </w:r>
      <w:r w:rsidRPr="00005684">
        <w:rPr>
          <w:lang w:val="fr-FR"/>
        </w:rPr>
        <w:t xml:space="preserve"> Society and </w:t>
      </w:r>
      <w:proofErr w:type="spellStart"/>
      <w:r w:rsidRPr="00005684">
        <w:rPr>
          <w:lang w:val="fr-FR"/>
        </w:rPr>
        <w:t>Environment</w:t>
      </w:r>
      <w:proofErr w:type="spellEnd"/>
      <w:r w:rsidRPr="00005684">
        <w:rPr>
          <w:lang w:val="fr-FR"/>
        </w:rPr>
        <w:t xml:space="preserve"> (Ukraine)</w:t>
      </w:r>
      <w:r w:rsidR="003D6A4E" w:rsidRPr="00005684">
        <w:rPr>
          <w:lang w:val="fr-FR"/>
        </w:rPr>
        <w:t xml:space="preserve"> ;</w:t>
      </w:r>
      <w:r w:rsidRPr="00005684">
        <w:rPr>
          <w:lang w:val="fr-FR"/>
        </w:rPr>
        <w:t xml:space="preserve"> World </w:t>
      </w:r>
      <w:proofErr w:type="spellStart"/>
      <w:r w:rsidRPr="00005684">
        <w:rPr>
          <w:lang w:val="fr-FR"/>
        </w:rPr>
        <w:t>Nuclear</w:t>
      </w:r>
      <w:proofErr w:type="spellEnd"/>
      <w:r w:rsidRPr="00005684">
        <w:rPr>
          <w:lang w:val="fr-FR"/>
        </w:rPr>
        <w:t xml:space="preserve"> Association (Royaume-Uni de Grande-Bretagne et d</w:t>
      </w:r>
      <w:r w:rsidR="00F51B2C" w:rsidRPr="00005684">
        <w:rPr>
          <w:lang w:val="fr-FR"/>
        </w:rPr>
        <w:t>’</w:t>
      </w:r>
      <w:r w:rsidRPr="00005684">
        <w:rPr>
          <w:lang w:val="fr-FR"/>
        </w:rPr>
        <w:t>Irlande du Nord)</w:t>
      </w:r>
      <w:r w:rsidR="003D6A4E" w:rsidRPr="00005684">
        <w:rPr>
          <w:lang w:val="fr-FR"/>
        </w:rPr>
        <w:t xml:space="preserve"> ;</w:t>
      </w:r>
      <w:r w:rsidRPr="00005684">
        <w:rPr>
          <w:lang w:val="fr-FR"/>
        </w:rPr>
        <w:t xml:space="preserve"> </w:t>
      </w:r>
      <w:proofErr w:type="spellStart"/>
      <w:r w:rsidRPr="00005684">
        <w:rPr>
          <w:lang w:val="fr-FR"/>
        </w:rPr>
        <w:t>Ökobüro</w:t>
      </w:r>
      <w:proofErr w:type="spellEnd"/>
      <w:r w:rsidRPr="00005684">
        <w:rPr>
          <w:lang w:val="fr-FR"/>
        </w:rPr>
        <w:t xml:space="preserve"> (Autriche). En outre, des chercheurs de l</w:t>
      </w:r>
      <w:r w:rsidR="00F51B2C" w:rsidRPr="00005684">
        <w:rPr>
          <w:lang w:val="fr-FR"/>
        </w:rPr>
        <w:t>’</w:t>
      </w:r>
      <w:r w:rsidRPr="00005684">
        <w:rPr>
          <w:lang w:val="fr-FR"/>
        </w:rPr>
        <w:t>Université de Hokkaido (Japon) et de l</w:t>
      </w:r>
      <w:r w:rsidR="00F51B2C" w:rsidRPr="00005684">
        <w:rPr>
          <w:lang w:val="fr-FR"/>
        </w:rPr>
        <w:t>’</w:t>
      </w:r>
      <w:r w:rsidRPr="00005684">
        <w:rPr>
          <w:lang w:val="fr-FR"/>
        </w:rPr>
        <w:t>Université nationale de Singapour étaient présents.</w:t>
      </w:r>
    </w:p>
    <w:p w14:paraId="0E62828C" w14:textId="5B570F8B" w:rsidR="00447F9A" w:rsidRPr="00005684" w:rsidRDefault="00447F9A" w:rsidP="00F51B2C">
      <w:pPr>
        <w:pStyle w:val="H1G"/>
        <w:rPr>
          <w:lang w:val="fr-FR"/>
        </w:rPr>
      </w:pPr>
      <w:r w:rsidRPr="00005684">
        <w:rPr>
          <w:lang w:val="fr-FR"/>
        </w:rPr>
        <w:tab/>
        <w:t>B.</w:t>
      </w:r>
      <w:r w:rsidRPr="00005684">
        <w:rPr>
          <w:lang w:val="fr-FR"/>
        </w:rPr>
        <w:tab/>
        <w:t>Questions d</w:t>
      </w:r>
      <w:r w:rsidR="00F51B2C" w:rsidRPr="00005684">
        <w:rPr>
          <w:lang w:val="fr-FR"/>
        </w:rPr>
        <w:t>’</w:t>
      </w:r>
      <w:r w:rsidRPr="00005684">
        <w:rPr>
          <w:lang w:val="fr-FR"/>
        </w:rPr>
        <w:t>organisation</w:t>
      </w:r>
    </w:p>
    <w:p w14:paraId="7436E496" w14:textId="54BE3D14" w:rsidR="00447F9A" w:rsidRPr="00005684" w:rsidRDefault="00447F9A" w:rsidP="00F51B2C">
      <w:pPr>
        <w:pStyle w:val="SingleTxtG"/>
        <w:rPr>
          <w:lang w:val="fr-FR"/>
        </w:rPr>
      </w:pPr>
      <w:r w:rsidRPr="00005684">
        <w:rPr>
          <w:lang w:val="fr-FR"/>
        </w:rPr>
        <w:t>5.</w:t>
      </w:r>
      <w:r w:rsidRPr="00005684">
        <w:rPr>
          <w:lang w:val="fr-FR"/>
        </w:rPr>
        <w:tab/>
        <w:t>Le Président du Bureau, M.</w:t>
      </w:r>
      <w:r w:rsidR="00F51B2C" w:rsidRPr="00005684">
        <w:rPr>
          <w:lang w:val="fr-FR"/>
        </w:rPr>
        <w:t> </w:t>
      </w:r>
      <w:r w:rsidRPr="00005684">
        <w:rPr>
          <w:lang w:val="fr-FR"/>
        </w:rPr>
        <w:t xml:space="preserve">George </w:t>
      </w:r>
      <w:proofErr w:type="spellStart"/>
      <w:r w:rsidRPr="00005684">
        <w:rPr>
          <w:lang w:val="fr-FR"/>
        </w:rPr>
        <w:t>Kremlis</w:t>
      </w:r>
      <w:proofErr w:type="spellEnd"/>
      <w:r w:rsidRPr="00005684">
        <w:rPr>
          <w:lang w:val="fr-FR"/>
        </w:rPr>
        <w:t>, a ouvert la session. Le Secrétaire de la Convention et du Protocole a informé les délégations que le Groupe de travail de l</w:t>
      </w:r>
      <w:r w:rsidR="00F51B2C" w:rsidRPr="00005684">
        <w:rPr>
          <w:lang w:val="fr-FR"/>
        </w:rPr>
        <w:t>’</w:t>
      </w:r>
      <w:r w:rsidRPr="00005684">
        <w:rPr>
          <w:lang w:val="fr-FR"/>
        </w:rPr>
        <w:t>évaluation de l</w:t>
      </w:r>
      <w:r w:rsidR="00F51B2C" w:rsidRPr="00005684">
        <w:rPr>
          <w:lang w:val="fr-FR"/>
        </w:rPr>
        <w:t>’</w:t>
      </w:r>
      <w:r w:rsidRPr="00005684">
        <w:rPr>
          <w:lang w:val="fr-FR"/>
        </w:rPr>
        <w:t>impact sur l</w:t>
      </w:r>
      <w:r w:rsidR="00F51B2C" w:rsidRPr="00005684">
        <w:rPr>
          <w:lang w:val="fr-FR"/>
        </w:rPr>
        <w:t>’</w:t>
      </w:r>
      <w:r w:rsidRPr="00005684">
        <w:rPr>
          <w:lang w:val="fr-FR"/>
        </w:rPr>
        <w:t>environnement et de l</w:t>
      </w:r>
      <w:r w:rsidR="00F51B2C" w:rsidRPr="00005684">
        <w:rPr>
          <w:lang w:val="fr-FR"/>
        </w:rPr>
        <w:t>’</w:t>
      </w:r>
      <w:r w:rsidRPr="00005684">
        <w:rPr>
          <w:lang w:val="fr-FR"/>
        </w:rPr>
        <w:t>évaluation stratégique environnementale (Groupe de travail de l</w:t>
      </w:r>
      <w:r w:rsidR="00F51B2C" w:rsidRPr="00005684">
        <w:rPr>
          <w:lang w:val="fr-FR"/>
        </w:rPr>
        <w:t>’</w:t>
      </w:r>
      <w:r w:rsidRPr="00005684">
        <w:rPr>
          <w:lang w:val="fr-FR"/>
        </w:rPr>
        <w:t>EIE et de l</w:t>
      </w:r>
      <w:r w:rsidR="00F51B2C" w:rsidRPr="00005684">
        <w:rPr>
          <w:lang w:val="fr-FR"/>
        </w:rPr>
        <w:t>’</w:t>
      </w:r>
      <w:r w:rsidRPr="00005684">
        <w:rPr>
          <w:lang w:val="fr-FR"/>
        </w:rPr>
        <w:t>ESE), ainsi que le Bureau, avaient recommandé que M.</w:t>
      </w:r>
      <w:r w:rsidR="00F51B2C" w:rsidRPr="00005684">
        <w:rPr>
          <w:lang w:val="fr-FR"/>
        </w:rPr>
        <w:t> </w:t>
      </w:r>
      <w:proofErr w:type="spellStart"/>
      <w:r w:rsidRPr="00005684">
        <w:rPr>
          <w:lang w:val="fr-FR"/>
        </w:rPr>
        <w:t>Kremlis</w:t>
      </w:r>
      <w:proofErr w:type="spellEnd"/>
      <w:r w:rsidRPr="00005684">
        <w:rPr>
          <w:lang w:val="fr-FR"/>
        </w:rPr>
        <w:t xml:space="preserve"> soit élu à la présidence du débat général des sessions. En conséquence, les Réunions des Parties ont élu M.</w:t>
      </w:r>
      <w:r w:rsidR="00110059" w:rsidRPr="00005684">
        <w:rPr>
          <w:lang w:val="fr-FR"/>
        </w:rPr>
        <w:t> </w:t>
      </w:r>
      <w:proofErr w:type="spellStart"/>
      <w:r w:rsidRPr="00005684">
        <w:rPr>
          <w:lang w:val="fr-FR"/>
        </w:rPr>
        <w:t>Kremlis</w:t>
      </w:r>
      <w:proofErr w:type="spellEnd"/>
      <w:r w:rsidRPr="00005684">
        <w:rPr>
          <w:lang w:val="fr-FR"/>
        </w:rPr>
        <w:t>.</w:t>
      </w:r>
    </w:p>
    <w:p w14:paraId="78EC4361" w14:textId="4A07F0A0" w:rsidR="00447F9A" w:rsidRPr="00005684" w:rsidRDefault="00447F9A" w:rsidP="00447F9A">
      <w:pPr>
        <w:pStyle w:val="SingleTxtG"/>
        <w:rPr>
          <w:lang w:val="fr-FR"/>
        </w:rPr>
      </w:pPr>
      <w:r w:rsidRPr="00005684">
        <w:rPr>
          <w:lang w:val="fr-FR"/>
        </w:rPr>
        <w:t>6.</w:t>
      </w:r>
      <w:r w:rsidRPr="00005684">
        <w:rPr>
          <w:lang w:val="fr-FR"/>
        </w:rPr>
        <w:tab/>
        <w:t>Le Ministre de l</w:t>
      </w:r>
      <w:r w:rsidR="00F51B2C" w:rsidRPr="00005684">
        <w:rPr>
          <w:lang w:val="fr-FR"/>
        </w:rPr>
        <w:t>’</w:t>
      </w:r>
      <w:r w:rsidRPr="00005684">
        <w:rPr>
          <w:lang w:val="fr-FR"/>
        </w:rPr>
        <w:t>environnement par intérim de la Lituanie, M.</w:t>
      </w:r>
      <w:r w:rsidR="00110059" w:rsidRPr="00005684">
        <w:rPr>
          <w:lang w:val="fr-FR"/>
        </w:rPr>
        <w:t> </w:t>
      </w:r>
      <w:proofErr w:type="spellStart"/>
      <w:r w:rsidRPr="00005684">
        <w:rPr>
          <w:lang w:val="fr-FR"/>
        </w:rPr>
        <w:t>Kęstutis</w:t>
      </w:r>
      <w:proofErr w:type="spellEnd"/>
      <w:r w:rsidRPr="00005684">
        <w:rPr>
          <w:lang w:val="fr-FR"/>
        </w:rPr>
        <w:t xml:space="preserve"> </w:t>
      </w:r>
      <w:proofErr w:type="spellStart"/>
      <w:r w:rsidRPr="00005684">
        <w:rPr>
          <w:lang w:val="fr-FR"/>
        </w:rPr>
        <w:t>Mažeika</w:t>
      </w:r>
      <w:proofErr w:type="spellEnd"/>
      <w:r w:rsidRPr="00005684">
        <w:rPr>
          <w:lang w:val="fr-FR"/>
        </w:rPr>
        <w:t>, a souhaité la bienvenue aux représentants.</w:t>
      </w:r>
    </w:p>
    <w:p w14:paraId="1AE1C7DE" w14:textId="3CE84A4B" w:rsidR="00447F9A" w:rsidRPr="00005684" w:rsidRDefault="00447F9A" w:rsidP="00447F9A">
      <w:pPr>
        <w:pStyle w:val="SingleTxtG"/>
        <w:rPr>
          <w:lang w:val="fr-FR"/>
        </w:rPr>
      </w:pPr>
      <w:r w:rsidRPr="00005684">
        <w:rPr>
          <w:lang w:val="fr-FR"/>
        </w:rPr>
        <w:t>7.</w:t>
      </w:r>
      <w:r w:rsidRPr="00005684">
        <w:rPr>
          <w:lang w:val="fr-FR"/>
        </w:rPr>
        <w:tab/>
        <w:t>Les Réunions des Parties ont adopté leur ordre du jour (ECE/MP.EIA/29</w:t>
      </w:r>
      <w:r w:rsidR="00110059" w:rsidRPr="00005684">
        <w:rPr>
          <w:lang w:val="fr-FR"/>
        </w:rPr>
        <w:noBreakHyphen/>
      </w:r>
      <w:r w:rsidRPr="00005684">
        <w:rPr>
          <w:lang w:val="fr-FR"/>
        </w:rPr>
        <w:t>ECE/MP.EIA/SEA/12)</w:t>
      </w:r>
      <w:r w:rsidRPr="00005684">
        <w:rPr>
          <w:rStyle w:val="Appelnotedebasdep"/>
        </w:rPr>
        <w:footnoteReference w:id="2"/>
      </w:r>
      <w:r w:rsidRPr="00005684">
        <w:rPr>
          <w:lang w:val="fr-FR"/>
        </w:rPr>
        <w:t>, élaboré par le secrétariat en accord avec le Bureau et le Groupe de travail de l</w:t>
      </w:r>
      <w:r w:rsidR="00F51B2C" w:rsidRPr="00005684">
        <w:rPr>
          <w:lang w:val="fr-FR"/>
        </w:rPr>
        <w:t>’</w:t>
      </w:r>
      <w:r w:rsidRPr="00005684">
        <w:rPr>
          <w:lang w:val="fr-FR"/>
        </w:rPr>
        <w:t>EIE et de l</w:t>
      </w:r>
      <w:r w:rsidR="00F51B2C" w:rsidRPr="00005684">
        <w:rPr>
          <w:lang w:val="fr-FR"/>
        </w:rPr>
        <w:t>’</w:t>
      </w:r>
      <w:r w:rsidRPr="00005684">
        <w:rPr>
          <w:lang w:val="fr-FR"/>
        </w:rPr>
        <w:t>ESE.</w:t>
      </w:r>
    </w:p>
    <w:p w14:paraId="62BD4B37" w14:textId="760769EB" w:rsidR="00447F9A" w:rsidRPr="00005684" w:rsidRDefault="00447F9A" w:rsidP="00447F9A">
      <w:pPr>
        <w:pStyle w:val="SingleTxtG"/>
        <w:rPr>
          <w:lang w:val="fr-FR"/>
        </w:rPr>
      </w:pPr>
      <w:r w:rsidRPr="00005684">
        <w:rPr>
          <w:lang w:val="fr-FR"/>
        </w:rPr>
        <w:t>8.</w:t>
      </w:r>
      <w:r w:rsidRPr="00005684">
        <w:rPr>
          <w:lang w:val="fr-FR"/>
        </w:rPr>
        <w:tab/>
        <w:t>Les Réunions des Parties ont accusé réception de la note informelle sur les questions de procédure concernant les réunions avec participation à distance en cas de circonstances extraordinaires, élaborée par le Bureau avec l</w:t>
      </w:r>
      <w:r w:rsidR="00F51B2C" w:rsidRPr="00005684">
        <w:rPr>
          <w:lang w:val="fr-FR"/>
        </w:rPr>
        <w:t>’</w:t>
      </w:r>
      <w:r w:rsidRPr="00005684">
        <w:rPr>
          <w:lang w:val="fr-FR"/>
        </w:rPr>
        <w:t>appui du secrétariat et en consultation avec la Section des traités du Bureau des affaires juridiques</w:t>
      </w:r>
      <w:r w:rsidRPr="00005684">
        <w:rPr>
          <w:rStyle w:val="Appelnotedebasdep"/>
        </w:rPr>
        <w:footnoteReference w:id="3"/>
      </w:r>
      <w:r w:rsidRPr="00005684">
        <w:rPr>
          <w:lang w:val="fr-FR"/>
        </w:rPr>
        <w:t>. Pour donner suite à la proposition de la délégation de l</w:t>
      </w:r>
      <w:r w:rsidR="00F51B2C" w:rsidRPr="00005684">
        <w:rPr>
          <w:lang w:val="fr-FR"/>
        </w:rPr>
        <w:t>’</w:t>
      </w:r>
      <w:r w:rsidRPr="00005684">
        <w:rPr>
          <w:lang w:val="fr-FR"/>
        </w:rPr>
        <w:t>Union européenne, les Parties ont décidé que des éclaircissements supplémentaires sur les procédures applicables aux réunions avec participation à distance seraient éventuellement intégrés au plan de travail pour 2021-2023.</w:t>
      </w:r>
    </w:p>
    <w:p w14:paraId="12FB6655" w14:textId="256072C7" w:rsidR="00447F9A" w:rsidRPr="00005684" w:rsidRDefault="00447F9A" w:rsidP="00447F9A">
      <w:pPr>
        <w:pStyle w:val="SingleTxtG"/>
        <w:rPr>
          <w:lang w:val="fr-FR"/>
        </w:rPr>
      </w:pPr>
      <w:r w:rsidRPr="00005684">
        <w:rPr>
          <w:lang w:val="fr-FR"/>
        </w:rPr>
        <w:t>9.</w:t>
      </w:r>
      <w:r w:rsidRPr="00005684">
        <w:rPr>
          <w:lang w:val="fr-FR"/>
        </w:rPr>
        <w:tab/>
        <w:t>Les Réunions des Parties ont pris note du rapport informel du Président concernant la vérification des pouvoirs des représentants des Parties assistant aux sessions. En raison de problèmes logistiques et de retard des services postaux dus à l</w:t>
      </w:r>
      <w:r w:rsidR="00F51B2C" w:rsidRPr="00005684">
        <w:rPr>
          <w:lang w:val="fr-FR"/>
        </w:rPr>
        <w:t>’</w:t>
      </w:r>
      <w:r w:rsidRPr="00005684">
        <w:rPr>
          <w:lang w:val="fr-FR"/>
        </w:rPr>
        <w:t>épidémie de COVID-19, les Réunions des Parties ont décidé qu</w:t>
      </w:r>
      <w:r w:rsidR="00F51B2C" w:rsidRPr="00005684">
        <w:rPr>
          <w:lang w:val="fr-FR"/>
        </w:rPr>
        <w:t>’</w:t>
      </w:r>
      <w:r w:rsidRPr="00005684">
        <w:rPr>
          <w:lang w:val="fr-FR"/>
        </w:rPr>
        <w:t>à titre exceptionnel, les copies de pouvoirs valides seraient aussi acceptées, à condition que le document original soit communiqué au secrétariat dans les meilleurs délais. Le Président a indiqué que 37 des 45 Parties à la Convention étaient présentes et qu</w:t>
      </w:r>
      <w:r w:rsidR="00F51B2C" w:rsidRPr="00005684">
        <w:rPr>
          <w:lang w:val="fr-FR"/>
        </w:rPr>
        <w:t>’</w:t>
      </w:r>
      <w:r w:rsidRPr="00005684">
        <w:rPr>
          <w:lang w:val="fr-FR"/>
        </w:rPr>
        <w:t>une seule n</w:t>
      </w:r>
      <w:r w:rsidR="00F51B2C" w:rsidRPr="00005684">
        <w:rPr>
          <w:lang w:val="fr-FR"/>
        </w:rPr>
        <w:t>’</w:t>
      </w:r>
      <w:r w:rsidRPr="00005684">
        <w:rPr>
          <w:lang w:val="fr-FR"/>
        </w:rPr>
        <w:t>était pas dotée de pouvoirs. Sur les 33 Parties au Protocole, 26</w:t>
      </w:r>
      <w:r w:rsidR="00110059" w:rsidRPr="00005684">
        <w:rPr>
          <w:lang w:val="fr-FR"/>
        </w:rPr>
        <w:t> </w:t>
      </w:r>
      <w:r w:rsidRPr="00005684">
        <w:rPr>
          <w:lang w:val="fr-FR"/>
        </w:rPr>
        <w:t>étaient présentes et toutes étaient dotées de pouvoirs.</w:t>
      </w:r>
    </w:p>
    <w:p w14:paraId="51918D31" w14:textId="22E13ADA" w:rsidR="00447F9A" w:rsidRPr="00005684" w:rsidRDefault="00447F9A" w:rsidP="00447F9A">
      <w:pPr>
        <w:pStyle w:val="SingleTxtG"/>
        <w:rPr>
          <w:lang w:val="fr-FR"/>
        </w:rPr>
      </w:pPr>
      <w:r w:rsidRPr="00005684">
        <w:rPr>
          <w:lang w:val="fr-FR"/>
        </w:rPr>
        <w:t>10.</w:t>
      </w:r>
      <w:r w:rsidRPr="00005684">
        <w:rPr>
          <w:lang w:val="fr-FR"/>
        </w:rPr>
        <w:tab/>
        <w:t>Le secrétariat a rendu compte de l</w:t>
      </w:r>
      <w:r w:rsidR="00F51B2C" w:rsidRPr="00005684">
        <w:rPr>
          <w:lang w:val="fr-FR"/>
        </w:rPr>
        <w:t>’</w:t>
      </w:r>
      <w:r w:rsidRPr="00005684">
        <w:rPr>
          <w:lang w:val="fr-FR"/>
        </w:rPr>
        <w:t>état des ratifications de la Convention, de ses deux amendements et du Protocole. Les Réunions des Parties ont pris note des procédures de ratification en cours dans des pays et du fait que le Royaume-Uni de Grande</w:t>
      </w:r>
      <w:r w:rsidR="002F0517" w:rsidRPr="00005684">
        <w:rPr>
          <w:lang w:val="fr-FR"/>
        </w:rPr>
        <w:noBreakHyphen/>
      </w:r>
      <w:r w:rsidRPr="00005684">
        <w:rPr>
          <w:lang w:val="fr-FR"/>
        </w:rPr>
        <w:t>Bretagne et d</w:t>
      </w:r>
      <w:r w:rsidR="00F51B2C" w:rsidRPr="00005684">
        <w:rPr>
          <w:lang w:val="fr-FR"/>
        </w:rPr>
        <w:t>’</w:t>
      </w:r>
      <w:r w:rsidRPr="00005684">
        <w:rPr>
          <w:lang w:val="fr-FR"/>
        </w:rPr>
        <w:t xml:space="preserve">Irlande du Nord </w:t>
      </w:r>
      <w:r w:rsidR="00110059" w:rsidRPr="00005684">
        <w:rPr>
          <w:lang w:val="fr-FR"/>
        </w:rPr>
        <w:t>et l’Ukraine a</w:t>
      </w:r>
      <w:r w:rsidRPr="00005684">
        <w:rPr>
          <w:lang w:val="fr-FR"/>
        </w:rPr>
        <w:t>vaient le plus avancé dans la ratification du premier amendement. Toutefois, elles ont constaté avec préoccupation qu</w:t>
      </w:r>
      <w:r w:rsidR="00F51B2C" w:rsidRPr="00005684">
        <w:rPr>
          <w:lang w:val="fr-FR"/>
        </w:rPr>
        <w:t>’</w:t>
      </w:r>
      <w:r w:rsidRPr="00005684">
        <w:rPr>
          <w:lang w:val="fr-FR"/>
        </w:rPr>
        <w:t>il manquait encore cinq</w:t>
      </w:r>
      <w:r w:rsidR="002F0517" w:rsidRPr="00005684">
        <w:rPr>
          <w:lang w:val="fr-FR"/>
        </w:rPr>
        <w:t> </w:t>
      </w:r>
      <w:r w:rsidRPr="00005684">
        <w:rPr>
          <w:lang w:val="fr-FR"/>
        </w:rPr>
        <w:t>ratifications pour que le premier amendement, qui permettrait aux États non membres de la CEE d</w:t>
      </w:r>
      <w:r w:rsidR="00F51B2C" w:rsidRPr="00005684">
        <w:rPr>
          <w:lang w:val="fr-FR"/>
        </w:rPr>
        <w:t>’</w:t>
      </w:r>
      <w:r w:rsidRPr="00005684">
        <w:rPr>
          <w:lang w:val="fr-FR"/>
        </w:rPr>
        <w:t>adhérer à la Convention, prenne effet. Elles ont donc engagé l</w:t>
      </w:r>
      <w:r w:rsidR="00F51B2C" w:rsidRPr="00005684">
        <w:rPr>
          <w:lang w:val="fr-FR"/>
        </w:rPr>
        <w:t>’</w:t>
      </w:r>
      <w:r w:rsidRPr="00005684">
        <w:rPr>
          <w:lang w:val="fr-FR"/>
        </w:rPr>
        <w:t>Arménie, la Belgique, la Macédoine du Nord, le Royaume-Uni de Grande-Bretagne et d</w:t>
      </w:r>
      <w:r w:rsidR="00F51B2C" w:rsidRPr="00005684">
        <w:rPr>
          <w:lang w:val="fr-FR"/>
        </w:rPr>
        <w:t>’</w:t>
      </w:r>
      <w:r w:rsidRPr="00005684">
        <w:rPr>
          <w:lang w:val="fr-FR"/>
        </w:rPr>
        <w:t>Irlande du Nord et l</w:t>
      </w:r>
      <w:r w:rsidR="00F51B2C" w:rsidRPr="00005684">
        <w:rPr>
          <w:lang w:val="fr-FR"/>
        </w:rPr>
        <w:t>’</w:t>
      </w:r>
      <w:r w:rsidRPr="00005684">
        <w:rPr>
          <w:lang w:val="fr-FR"/>
        </w:rPr>
        <w:t>Ukraine à faire tout leur possible pour ratifier au plus vite cet amendement pendant la prochaine période intersessions. En outre, elles ont engagé toutes les Parties qui ne l</w:t>
      </w:r>
      <w:r w:rsidR="00F51B2C" w:rsidRPr="00005684">
        <w:rPr>
          <w:lang w:val="fr-FR"/>
        </w:rPr>
        <w:t>’</w:t>
      </w:r>
      <w:r w:rsidRPr="00005684">
        <w:rPr>
          <w:lang w:val="fr-FR"/>
        </w:rPr>
        <w:t>avaient pas encore fait (à savoir l</w:t>
      </w:r>
      <w:r w:rsidR="00F51B2C" w:rsidRPr="00005684">
        <w:rPr>
          <w:lang w:val="fr-FR"/>
        </w:rPr>
        <w:t>’</w:t>
      </w:r>
      <w:r w:rsidRPr="00005684">
        <w:rPr>
          <w:lang w:val="fr-FR"/>
        </w:rPr>
        <w:t>Arménie, le Bélarus, la Bosnie-Herzégovine, l</w:t>
      </w:r>
      <w:r w:rsidR="00F51B2C" w:rsidRPr="00005684">
        <w:rPr>
          <w:lang w:val="fr-FR"/>
        </w:rPr>
        <w:t>’</w:t>
      </w:r>
      <w:r w:rsidRPr="00005684">
        <w:rPr>
          <w:lang w:val="fr-FR"/>
        </w:rPr>
        <w:t>Irlande, le Kazakhstan, le Kirghizistan, la Macédoine du Nord, le Royaume-Uni de Grande-Bretagne et d</w:t>
      </w:r>
      <w:r w:rsidR="00F51B2C" w:rsidRPr="00005684">
        <w:rPr>
          <w:lang w:val="fr-FR"/>
        </w:rPr>
        <w:t>’</w:t>
      </w:r>
      <w:r w:rsidRPr="00005684">
        <w:rPr>
          <w:lang w:val="fr-FR"/>
        </w:rPr>
        <w:t>Irlande du Nord et l</w:t>
      </w:r>
      <w:r w:rsidR="00F51B2C" w:rsidRPr="00005684">
        <w:rPr>
          <w:lang w:val="fr-FR"/>
        </w:rPr>
        <w:t>’</w:t>
      </w:r>
      <w:r w:rsidRPr="00005684">
        <w:rPr>
          <w:lang w:val="fr-FR"/>
        </w:rPr>
        <w:t>Ukraine) à ratifier le deuxième amendement pour garantir une application uniforme de la Convention par toutes ses Parties. Enfin, les Réunions des Parties ont exhorté les signataires du Protocole ne l</w:t>
      </w:r>
      <w:r w:rsidR="00F51B2C" w:rsidRPr="00005684">
        <w:rPr>
          <w:lang w:val="fr-FR"/>
        </w:rPr>
        <w:t>’</w:t>
      </w:r>
      <w:r w:rsidRPr="00005684">
        <w:rPr>
          <w:lang w:val="fr-FR"/>
        </w:rPr>
        <w:t>ayant pas encore fait (à savoir la Belgique, la France, la Géorgie, la Grèce, l</w:t>
      </w:r>
      <w:r w:rsidR="00F51B2C" w:rsidRPr="00005684">
        <w:rPr>
          <w:lang w:val="fr-FR"/>
        </w:rPr>
        <w:t>’</w:t>
      </w:r>
      <w:r w:rsidRPr="00005684">
        <w:rPr>
          <w:lang w:val="fr-FR"/>
        </w:rPr>
        <w:t>Irlande et le Royaume-Uni de Grande-Bretagne et d</w:t>
      </w:r>
      <w:r w:rsidR="00F51B2C" w:rsidRPr="00005684">
        <w:rPr>
          <w:lang w:val="fr-FR"/>
        </w:rPr>
        <w:t>’</w:t>
      </w:r>
      <w:r w:rsidRPr="00005684">
        <w:rPr>
          <w:lang w:val="fr-FR"/>
        </w:rPr>
        <w:t>Irlande du Nord) à ratifier cet instrument et encouragé les pays recevant une aide technique de préadhésion dans le domaine de l</w:t>
      </w:r>
      <w:r w:rsidR="00F51B2C" w:rsidRPr="00005684">
        <w:rPr>
          <w:lang w:val="fr-FR"/>
        </w:rPr>
        <w:t>’</w:t>
      </w:r>
      <w:r w:rsidRPr="00005684">
        <w:rPr>
          <w:lang w:val="fr-FR"/>
        </w:rPr>
        <w:t>évaluation stratégique environnementale à y</w:t>
      </w:r>
      <w:r w:rsidR="002F0517" w:rsidRPr="00005684">
        <w:rPr>
          <w:lang w:val="fr-FR"/>
        </w:rPr>
        <w:t> </w:t>
      </w:r>
      <w:r w:rsidRPr="00005684">
        <w:rPr>
          <w:lang w:val="fr-FR"/>
        </w:rPr>
        <w:t>adhérer. La Grèce a indiqué qu</w:t>
      </w:r>
      <w:r w:rsidR="00F51B2C" w:rsidRPr="00005684">
        <w:rPr>
          <w:lang w:val="fr-FR"/>
        </w:rPr>
        <w:t>’</w:t>
      </w:r>
      <w:r w:rsidRPr="00005684">
        <w:rPr>
          <w:lang w:val="fr-FR"/>
        </w:rPr>
        <w:t>elle envisageait de ratifier le Protocole, ainsi que l</w:t>
      </w:r>
      <w:r w:rsidR="00F51B2C" w:rsidRPr="00005684">
        <w:rPr>
          <w:lang w:val="fr-FR"/>
        </w:rPr>
        <w:t>’</w:t>
      </w:r>
      <w:r w:rsidRPr="00005684">
        <w:rPr>
          <w:lang w:val="fr-FR"/>
        </w:rPr>
        <w:t>accord multilatéral conclu en 2008 par les pays d</w:t>
      </w:r>
      <w:r w:rsidR="00F51B2C" w:rsidRPr="00005684">
        <w:rPr>
          <w:lang w:val="fr-FR"/>
        </w:rPr>
        <w:t>’</w:t>
      </w:r>
      <w:r w:rsidRPr="00005684">
        <w:rPr>
          <w:lang w:val="fr-FR"/>
        </w:rPr>
        <w:t>Europe du Sud-Est aux fins de l</w:t>
      </w:r>
      <w:r w:rsidR="00F51B2C" w:rsidRPr="00005684">
        <w:rPr>
          <w:lang w:val="fr-FR"/>
        </w:rPr>
        <w:t>’</w:t>
      </w:r>
      <w:r w:rsidRPr="00005684">
        <w:rPr>
          <w:lang w:val="fr-FR"/>
        </w:rPr>
        <w:t>application de la Convention sur l</w:t>
      </w:r>
      <w:r w:rsidR="00F51B2C" w:rsidRPr="00005684">
        <w:rPr>
          <w:lang w:val="fr-FR"/>
        </w:rPr>
        <w:t>’</w:t>
      </w:r>
      <w:r w:rsidRPr="00005684">
        <w:rPr>
          <w:lang w:val="fr-FR"/>
        </w:rPr>
        <w:t>évaluation de l</w:t>
      </w:r>
      <w:r w:rsidR="00F51B2C" w:rsidRPr="00005684">
        <w:rPr>
          <w:lang w:val="fr-FR"/>
        </w:rPr>
        <w:t>’</w:t>
      </w:r>
      <w:r w:rsidRPr="00005684">
        <w:rPr>
          <w:lang w:val="fr-FR"/>
        </w:rPr>
        <w:t>impact sur l</w:t>
      </w:r>
      <w:r w:rsidR="00F51B2C" w:rsidRPr="00005684">
        <w:rPr>
          <w:lang w:val="fr-FR"/>
        </w:rPr>
        <w:t>’</w:t>
      </w:r>
      <w:r w:rsidRPr="00005684">
        <w:rPr>
          <w:lang w:val="fr-FR"/>
        </w:rPr>
        <w:t>environnement dans un contexte transfrontière (Accord de Bucarest). Les Réunions des Parties ont aussi invité la Bosnie-Herzégovine et la Croatie à adhérer à l</w:t>
      </w:r>
      <w:r w:rsidR="00F51B2C" w:rsidRPr="00005684">
        <w:rPr>
          <w:lang w:val="fr-FR"/>
        </w:rPr>
        <w:t>’</w:t>
      </w:r>
      <w:r w:rsidRPr="00005684">
        <w:rPr>
          <w:lang w:val="fr-FR"/>
        </w:rPr>
        <w:t>Accord de Bucarest ou à le ratifier. Toutes les Parties concernées ont été invitées à décrire au Bureau et au Groupe de travail à la prochaine réunion, prévue en 2021, l</w:t>
      </w:r>
      <w:r w:rsidR="00F51B2C" w:rsidRPr="00005684">
        <w:rPr>
          <w:lang w:val="fr-FR"/>
        </w:rPr>
        <w:t>’</w:t>
      </w:r>
      <w:r w:rsidRPr="00005684">
        <w:rPr>
          <w:lang w:val="fr-FR"/>
        </w:rPr>
        <w:t>état d</w:t>
      </w:r>
      <w:r w:rsidR="00F51B2C" w:rsidRPr="00005684">
        <w:rPr>
          <w:lang w:val="fr-FR"/>
        </w:rPr>
        <w:t>’</w:t>
      </w:r>
      <w:r w:rsidRPr="00005684">
        <w:rPr>
          <w:lang w:val="fr-FR"/>
        </w:rPr>
        <w:t>avancement des mesures prises.</w:t>
      </w:r>
    </w:p>
    <w:p w14:paraId="57E2611F" w14:textId="77777777" w:rsidR="00447F9A" w:rsidRPr="00005684" w:rsidRDefault="00447F9A" w:rsidP="00110059">
      <w:pPr>
        <w:pStyle w:val="HChG"/>
        <w:rPr>
          <w:lang w:val="fr-FR"/>
        </w:rPr>
      </w:pPr>
      <w:r w:rsidRPr="00005684">
        <w:rPr>
          <w:lang w:val="fr-FR"/>
        </w:rPr>
        <w:tab/>
        <w:t>II.</w:t>
      </w:r>
      <w:r w:rsidRPr="00005684">
        <w:rPr>
          <w:lang w:val="fr-FR"/>
        </w:rPr>
        <w:tab/>
        <w:t>Questions en suspens</w:t>
      </w:r>
    </w:p>
    <w:p w14:paraId="22B4D7AD" w14:textId="12A08843" w:rsidR="00447F9A" w:rsidRPr="00005684" w:rsidRDefault="00447F9A" w:rsidP="00447F9A">
      <w:pPr>
        <w:pStyle w:val="SingleTxtG"/>
        <w:rPr>
          <w:lang w:val="fr-FR"/>
        </w:rPr>
      </w:pPr>
      <w:r w:rsidRPr="00005684">
        <w:rPr>
          <w:lang w:val="fr-FR"/>
        </w:rPr>
        <w:t>11.</w:t>
      </w:r>
      <w:r w:rsidRPr="00005684">
        <w:rPr>
          <w:lang w:val="fr-FR"/>
        </w:rPr>
        <w:tab/>
        <w:t>Les Réunions des Parties à la Convention et au Protocole ont examiné les questions en suspens dont traitent les paragraphes 12 à 27 ci-dessous, et se sont prononcées à leur sujet avant de les transmettre pour adoption au débat de haut niveau. Avant les sessions, les propositions d</w:t>
      </w:r>
      <w:r w:rsidR="00F51B2C" w:rsidRPr="00005684">
        <w:rPr>
          <w:lang w:val="fr-FR"/>
        </w:rPr>
        <w:t>’</w:t>
      </w:r>
      <w:r w:rsidRPr="00005684">
        <w:rPr>
          <w:lang w:val="fr-FR"/>
        </w:rPr>
        <w:t>amendements aux projets de documents communiquées au secrétariat par les Parties avaient été mises à la disposition des participants inscrits. Pendant les sessions, le secrétariat les a rassemblées et affichées à l</w:t>
      </w:r>
      <w:r w:rsidR="00F51B2C" w:rsidRPr="00005684">
        <w:rPr>
          <w:lang w:val="fr-FR"/>
        </w:rPr>
        <w:t>’</w:t>
      </w:r>
      <w:r w:rsidRPr="00005684">
        <w:rPr>
          <w:lang w:val="fr-FR"/>
        </w:rPr>
        <w:t>écran. À l</w:t>
      </w:r>
      <w:r w:rsidR="00F51B2C" w:rsidRPr="00005684">
        <w:rPr>
          <w:lang w:val="fr-FR"/>
        </w:rPr>
        <w:t>’</w:t>
      </w:r>
      <w:r w:rsidRPr="00005684">
        <w:rPr>
          <w:lang w:val="fr-FR"/>
        </w:rPr>
        <w:t>issue des débats, le secrétariat a publié sur la page Web consacrée aux sessions la version définitive et approuvée (en mode de suivi des modifications) des projets de décisions et des documents afin que les Parties puissent éventuellement les soumettre à un nouvel examen avant de les adopter. Les Réunions des Parties se sont félicitées du fait que la plupart des propositions d</w:t>
      </w:r>
      <w:r w:rsidR="00F51B2C" w:rsidRPr="00005684">
        <w:rPr>
          <w:lang w:val="fr-FR"/>
        </w:rPr>
        <w:t>’</w:t>
      </w:r>
      <w:r w:rsidRPr="00005684">
        <w:rPr>
          <w:lang w:val="fr-FR"/>
        </w:rPr>
        <w:t>amendement avaient été disponibles longtemps avant les sessions, car cela avait considérablement facilité la préparation des travaux et l</w:t>
      </w:r>
      <w:r w:rsidR="00F51B2C" w:rsidRPr="00005684">
        <w:rPr>
          <w:lang w:val="fr-FR"/>
        </w:rPr>
        <w:t>’</w:t>
      </w:r>
      <w:r w:rsidRPr="00005684">
        <w:rPr>
          <w:lang w:val="fr-FR"/>
        </w:rPr>
        <w:t>obtention d</w:t>
      </w:r>
      <w:r w:rsidR="00F51B2C" w:rsidRPr="00005684">
        <w:rPr>
          <w:lang w:val="fr-FR"/>
        </w:rPr>
        <w:t>’</w:t>
      </w:r>
      <w:r w:rsidRPr="00005684">
        <w:rPr>
          <w:lang w:val="fr-FR"/>
        </w:rPr>
        <w:t>un consensus sur les questions en suspens.</w:t>
      </w:r>
    </w:p>
    <w:p w14:paraId="0EC2D387" w14:textId="7F575CB1" w:rsidR="00447F9A" w:rsidRPr="00005684" w:rsidRDefault="00447F9A" w:rsidP="00110059">
      <w:pPr>
        <w:pStyle w:val="H1G"/>
        <w:rPr>
          <w:lang w:val="fr-FR"/>
        </w:rPr>
      </w:pPr>
      <w:r w:rsidRPr="00005684">
        <w:rPr>
          <w:lang w:val="fr-FR"/>
        </w:rPr>
        <w:tab/>
      </w:r>
      <w:bookmarkStart w:id="1" w:name="_Hlk60823270"/>
      <w:r w:rsidRPr="00005684">
        <w:rPr>
          <w:lang w:val="fr-FR"/>
        </w:rPr>
        <w:t>A.</w:t>
      </w:r>
      <w:r w:rsidRPr="00005684">
        <w:rPr>
          <w:lang w:val="fr-FR"/>
        </w:rPr>
        <w:tab/>
        <w:t>Questions en suspens relatives à la Convention et au Protocole</w:t>
      </w:r>
    </w:p>
    <w:bookmarkEnd w:id="1"/>
    <w:p w14:paraId="6339A70D" w14:textId="72ACCA29" w:rsidR="00447F9A" w:rsidRPr="00005684" w:rsidRDefault="00447F9A" w:rsidP="00110059">
      <w:pPr>
        <w:pStyle w:val="H23G"/>
        <w:rPr>
          <w:lang w:val="fr-FR"/>
        </w:rPr>
      </w:pPr>
      <w:r w:rsidRPr="00005684">
        <w:rPr>
          <w:lang w:val="fr-FR"/>
        </w:rPr>
        <w:tab/>
        <w:t>1.</w:t>
      </w:r>
      <w:r w:rsidRPr="00005684">
        <w:rPr>
          <w:lang w:val="fr-FR"/>
        </w:rPr>
        <w:tab/>
        <w:t>Dispositions financières pour la période 2021</w:t>
      </w:r>
      <w:r w:rsidR="00110059" w:rsidRPr="00005684">
        <w:rPr>
          <w:lang w:val="fr-FR"/>
        </w:rPr>
        <w:t>-</w:t>
      </w:r>
      <w:r w:rsidRPr="00005684">
        <w:rPr>
          <w:lang w:val="fr-FR"/>
        </w:rPr>
        <w:t>2023</w:t>
      </w:r>
    </w:p>
    <w:p w14:paraId="35CA82BA" w14:textId="7B2A787F" w:rsidR="00447F9A" w:rsidRPr="00005684" w:rsidRDefault="00447F9A" w:rsidP="00447F9A">
      <w:pPr>
        <w:pStyle w:val="SingleTxtG"/>
        <w:rPr>
          <w:lang w:val="fr-FR"/>
        </w:rPr>
      </w:pPr>
      <w:r w:rsidRPr="00005684">
        <w:rPr>
          <w:lang w:val="fr-FR"/>
        </w:rPr>
        <w:t>12.</w:t>
      </w:r>
      <w:r w:rsidRPr="00005684">
        <w:rPr>
          <w:lang w:val="fr-FR"/>
        </w:rPr>
        <w:tab/>
        <w:t>Le secrétariat a présenté le projet de rapport sur le budget et les dispositions financières pour la période 2017</w:t>
      </w:r>
      <w:r w:rsidR="00110059" w:rsidRPr="00005684">
        <w:rPr>
          <w:lang w:val="fr-FR"/>
        </w:rPr>
        <w:t>-</w:t>
      </w:r>
      <w:r w:rsidRPr="00005684">
        <w:rPr>
          <w:lang w:val="fr-FR"/>
        </w:rPr>
        <w:t>2020 (ECE/MP.EIA/2020/2</w:t>
      </w:r>
      <w:r w:rsidR="00110059" w:rsidRPr="00005684">
        <w:rPr>
          <w:lang w:val="fr-FR"/>
        </w:rPr>
        <w:t>-</w:t>
      </w:r>
      <w:r w:rsidRPr="00005684">
        <w:rPr>
          <w:lang w:val="fr-FR"/>
        </w:rPr>
        <w:t>ECE/MP.EIA/SEA/2020/2), ainsi que des informations sur les récentes contributions au fonds d</w:t>
      </w:r>
      <w:r w:rsidR="00F51B2C" w:rsidRPr="00005684">
        <w:rPr>
          <w:lang w:val="fr-FR"/>
        </w:rPr>
        <w:t>’</w:t>
      </w:r>
      <w:r w:rsidRPr="00005684">
        <w:rPr>
          <w:lang w:val="fr-FR"/>
        </w:rPr>
        <w:t>affectation spéciale de la Convention et du Protocole (ECE/MP.EIA/2020/INF.4).</w:t>
      </w:r>
    </w:p>
    <w:p w14:paraId="3505EDB7" w14:textId="452971AB" w:rsidR="00447F9A" w:rsidRPr="00005684" w:rsidRDefault="00447F9A" w:rsidP="00447F9A">
      <w:pPr>
        <w:pStyle w:val="SingleTxtG"/>
        <w:rPr>
          <w:lang w:val="fr-FR"/>
        </w:rPr>
      </w:pPr>
      <w:r w:rsidRPr="00005684">
        <w:rPr>
          <w:lang w:val="fr-FR"/>
        </w:rPr>
        <w:t>13.</w:t>
      </w:r>
      <w:r w:rsidRPr="00005684">
        <w:rPr>
          <w:lang w:val="fr-FR"/>
        </w:rPr>
        <w:tab/>
        <w:t>Les Réunions des Parties ont constaté qu</w:t>
      </w:r>
      <w:r w:rsidR="00F51B2C" w:rsidRPr="00005684">
        <w:rPr>
          <w:lang w:val="fr-FR"/>
        </w:rPr>
        <w:t>’</w:t>
      </w:r>
      <w:r w:rsidRPr="00005684">
        <w:rPr>
          <w:lang w:val="fr-FR"/>
        </w:rPr>
        <w:t>au cours de la période 2017-2020, les contributions avaient continué à être insuffisantes, imprévisibles et inégalement réparties, ce qui menaçait la viabilité des activités. Trois Parties fournissaient 60</w:t>
      </w:r>
      <w:r w:rsidR="00110059" w:rsidRPr="00005684">
        <w:rPr>
          <w:lang w:val="fr-FR"/>
        </w:rPr>
        <w:t> </w:t>
      </w:r>
      <w:r w:rsidRPr="00005684">
        <w:rPr>
          <w:lang w:val="fr-FR"/>
        </w:rPr>
        <w:t>% du total des contributions et 12 Parties ne versaient aucune contribution. Les Réunions se sont félicitées du fait que plusieurs Parties avaient fourni un financement supplémentaire pour combler le déficit de financement découlant de la prolongation de six mois de la période intersessions, jusqu</w:t>
      </w:r>
      <w:r w:rsidR="00F51B2C" w:rsidRPr="00005684">
        <w:rPr>
          <w:lang w:val="fr-FR"/>
        </w:rPr>
        <w:t>’</w:t>
      </w:r>
      <w:r w:rsidRPr="00005684">
        <w:rPr>
          <w:lang w:val="fr-FR"/>
        </w:rPr>
        <w:t>en décembre 2020, qui n</w:t>
      </w:r>
      <w:r w:rsidR="00F51B2C" w:rsidRPr="00005684">
        <w:rPr>
          <w:lang w:val="fr-FR"/>
        </w:rPr>
        <w:t>’</w:t>
      </w:r>
      <w:r w:rsidRPr="00005684">
        <w:rPr>
          <w:lang w:val="fr-FR"/>
        </w:rPr>
        <w:t>était pas prévue au budget. Elles ont aussi pris note du fait qu</w:t>
      </w:r>
      <w:r w:rsidR="00F51B2C" w:rsidRPr="00005684">
        <w:rPr>
          <w:lang w:val="fr-FR"/>
        </w:rPr>
        <w:t>’</w:t>
      </w:r>
      <w:r w:rsidRPr="00005684">
        <w:rPr>
          <w:lang w:val="fr-FR"/>
        </w:rPr>
        <w:t>à la fin de septembre 2020, le fonds d</w:t>
      </w:r>
      <w:r w:rsidR="00F51B2C" w:rsidRPr="00005684">
        <w:rPr>
          <w:lang w:val="fr-FR"/>
        </w:rPr>
        <w:t>’</w:t>
      </w:r>
      <w:r w:rsidRPr="00005684">
        <w:rPr>
          <w:lang w:val="fr-FR"/>
        </w:rPr>
        <w:t>affectation spéciale présentait un solde positif principalement dû aux montants non dépensés pour la prise en charge des voyages de participants, les réunions s</w:t>
      </w:r>
      <w:r w:rsidR="00F51B2C" w:rsidRPr="00005684">
        <w:rPr>
          <w:lang w:val="fr-FR"/>
        </w:rPr>
        <w:t>’</w:t>
      </w:r>
      <w:r w:rsidRPr="00005684">
        <w:rPr>
          <w:lang w:val="fr-FR"/>
        </w:rPr>
        <w:t>étant tenues en ligne. Elles se sont félicitées de la manière dont le fonds d</w:t>
      </w:r>
      <w:r w:rsidR="00F51B2C" w:rsidRPr="00005684">
        <w:rPr>
          <w:lang w:val="fr-FR"/>
        </w:rPr>
        <w:t>’</w:t>
      </w:r>
      <w:r w:rsidRPr="00005684">
        <w:rPr>
          <w:lang w:val="fr-FR"/>
        </w:rPr>
        <w:t>affectation spéciale avait été utilisé et ont chargé le secrétariat d</w:t>
      </w:r>
      <w:r w:rsidR="00F51B2C" w:rsidRPr="00005684">
        <w:rPr>
          <w:lang w:val="fr-FR"/>
        </w:rPr>
        <w:t>’</w:t>
      </w:r>
      <w:r w:rsidRPr="00005684">
        <w:rPr>
          <w:lang w:val="fr-FR"/>
        </w:rPr>
        <w:t>établir, en concertation avec le Bureau, la version finale du rapport financier en y intégrant les données allant jusqu</w:t>
      </w:r>
      <w:r w:rsidR="00F51B2C" w:rsidRPr="00005684">
        <w:rPr>
          <w:lang w:val="fr-FR"/>
        </w:rPr>
        <w:t>’</w:t>
      </w:r>
      <w:r w:rsidRPr="00005684">
        <w:rPr>
          <w:lang w:val="fr-FR"/>
        </w:rPr>
        <w:t>à la fin de 2020.</w:t>
      </w:r>
    </w:p>
    <w:p w14:paraId="3F7D5EA5" w14:textId="4E8C5363" w:rsidR="00447F9A" w:rsidRPr="00005684" w:rsidRDefault="00447F9A" w:rsidP="00447F9A">
      <w:pPr>
        <w:pStyle w:val="SingleTxtG"/>
        <w:rPr>
          <w:lang w:val="fr-FR"/>
        </w:rPr>
      </w:pPr>
      <w:r w:rsidRPr="00005684">
        <w:rPr>
          <w:lang w:val="fr-FR"/>
        </w:rPr>
        <w:t>14.</w:t>
      </w:r>
      <w:r w:rsidRPr="00005684">
        <w:rPr>
          <w:lang w:val="fr-FR"/>
        </w:rPr>
        <w:tab/>
        <w:t>Les Réunions des Parties ont remercié les délégations des contributions qu</w:t>
      </w:r>
      <w:r w:rsidR="00F51B2C" w:rsidRPr="00005684">
        <w:rPr>
          <w:lang w:val="fr-FR"/>
        </w:rPr>
        <w:t>’</w:t>
      </w:r>
      <w:r w:rsidRPr="00005684">
        <w:rPr>
          <w:lang w:val="fr-FR"/>
        </w:rPr>
        <w:t>elles ont annoncées avant les sessions pour le financement de la mise en œuvre du plan de travail pour la période intersessions 2021-2023 (voir l</w:t>
      </w:r>
      <w:r w:rsidR="00F51B2C" w:rsidRPr="00005684">
        <w:rPr>
          <w:lang w:val="fr-FR"/>
        </w:rPr>
        <w:t>’</w:t>
      </w:r>
      <w:r w:rsidRPr="00005684">
        <w:rPr>
          <w:lang w:val="fr-FR"/>
        </w:rPr>
        <w:t>annexe I ci-dessous) et se sont félicitées de l</w:t>
      </w:r>
      <w:r w:rsidR="00F51B2C" w:rsidRPr="00005684">
        <w:rPr>
          <w:lang w:val="fr-FR"/>
        </w:rPr>
        <w:t>’</w:t>
      </w:r>
      <w:r w:rsidRPr="00005684">
        <w:rPr>
          <w:lang w:val="fr-FR"/>
        </w:rPr>
        <w:t>importante augmentation des contributions annoncées, en particulier par l</w:t>
      </w:r>
      <w:r w:rsidR="00F51B2C" w:rsidRPr="00005684">
        <w:rPr>
          <w:lang w:val="fr-FR"/>
        </w:rPr>
        <w:t>’</w:t>
      </w:r>
      <w:r w:rsidRPr="00005684">
        <w:rPr>
          <w:lang w:val="fr-FR"/>
        </w:rPr>
        <w:t>Italie, mais aussi l</w:t>
      </w:r>
      <w:r w:rsidR="00F51B2C" w:rsidRPr="00005684">
        <w:rPr>
          <w:lang w:val="fr-FR"/>
        </w:rPr>
        <w:t>’</w:t>
      </w:r>
      <w:r w:rsidRPr="00005684">
        <w:rPr>
          <w:lang w:val="fr-FR"/>
        </w:rPr>
        <w:t>Union européenne et quelques autres Parties. Toutefois, elles ont regretté que le montant total des contributions annoncées soit resté très insuffisant pour fournir les ressources nécessaires à la mise en œuvre du plan de travail (le déficit s</w:t>
      </w:r>
      <w:r w:rsidR="00F51B2C" w:rsidRPr="00005684">
        <w:rPr>
          <w:lang w:val="fr-FR"/>
        </w:rPr>
        <w:t>’</w:t>
      </w:r>
      <w:r w:rsidRPr="00005684">
        <w:rPr>
          <w:lang w:val="fr-FR"/>
        </w:rPr>
        <w:t>élevant à plus de 320</w:t>
      </w:r>
      <w:r w:rsidR="00110059" w:rsidRPr="00005684">
        <w:rPr>
          <w:lang w:val="fr-FR"/>
        </w:rPr>
        <w:t> </w:t>
      </w:r>
      <w:r w:rsidRPr="00005684">
        <w:rPr>
          <w:lang w:val="fr-FR"/>
        </w:rPr>
        <w:t>000</w:t>
      </w:r>
      <w:r w:rsidR="00110059" w:rsidRPr="00005684">
        <w:rPr>
          <w:lang w:val="fr-FR"/>
        </w:rPr>
        <w:t> </w:t>
      </w:r>
      <w:r w:rsidRPr="00005684">
        <w:rPr>
          <w:lang w:val="fr-FR"/>
        </w:rPr>
        <w:t>dollars). Tout en remerciant la Norvège du solide soutien qu</w:t>
      </w:r>
      <w:r w:rsidR="00F51B2C" w:rsidRPr="00005684">
        <w:rPr>
          <w:lang w:val="fr-FR"/>
        </w:rPr>
        <w:t>’</w:t>
      </w:r>
      <w:r w:rsidRPr="00005684">
        <w:rPr>
          <w:lang w:val="fr-FR"/>
        </w:rPr>
        <w:t>elle leur apportait depuis de nombreuses années, les Réunions ont pris note du fait que ce pays avait mis fin au versement d</w:t>
      </w:r>
      <w:r w:rsidR="00F51B2C" w:rsidRPr="00005684">
        <w:rPr>
          <w:lang w:val="fr-FR"/>
        </w:rPr>
        <w:t>’</w:t>
      </w:r>
      <w:r w:rsidRPr="00005684">
        <w:rPr>
          <w:lang w:val="fr-FR"/>
        </w:rPr>
        <w:t>une importante subvention qui, depuis 2012, représentait 25</w:t>
      </w:r>
      <w:r w:rsidR="00110059" w:rsidRPr="00005684">
        <w:rPr>
          <w:lang w:val="fr-FR"/>
        </w:rPr>
        <w:t> </w:t>
      </w:r>
      <w:r w:rsidRPr="00005684">
        <w:rPr>
          <w:lang w:val="fr-FR"/>
        </w:rPr>
        <w:t>% des recettes du fonds d</w:t>
      </w:r>
      <w:r w:rsidR="00F51B2C" w:rsidRPr="00005684">
        <w:rPr>
          <w:lang w:val="fr-FR"/>
        </w:rPr>
        <w:t>’</w:t>
      </w:r>
      <w:r w:rsidRPr="00005684">
        <w:rPr>
          <w:lang w:val="fr-FR"/>
        </w:rPr>
        <w:t>affectation spéciale. Afin que ce déficit puisse être comblé, les Réunions ont exhorté les Parties ne l</w:t>
      </w:r>
      <w:r w:rsidR="00F51B2C" w:rsidRPr="00005684">
        <w:rPr>
          <w:lang w:val="fr-FR"/>
        </w:rPr>
        <w:t>’</w:t>
      </w:r>
      <w:r w:rsidRPr="00005684">
        <w:rPr>
          <w:lang w:val="fr-FR"/>
        </w:rPr>
        <w:t>ayant pas encore fait à communiquer leur annonce de contributions avant la mi-janvier ou à verser des contributions non annoncées pendant la période intersessions.</w:t>
      </w:r>
    </w:p>
    <w:p w14:paraId="47A4BFA0" w14:textId="383BF6A1" w:rsidR="00447F9A" w:rsidRPr="00005684" w:rsidRDefault="00447F9A" w:rsidP="00447F9A">
      <w:pPr>
        <w:pStyle w:val="SingleTxtG"/>
        <w:rPr>
          <w:bCs/>
          <w:lang w:val="fr-FR"/>
        </w:rPr>
      </w:pPr>
      <w:r w:rsidRPr="00005684">
        <w:rPr>
          <w:lang w:val="fr-FR"/>
        </w:rPr>
        <w:t>15.</w:t>
      </w:r>
      <w:r w:rsidRPr="00005684">
        <w:rPr>
          <w:lang w:val="fr-FR"/>
        </w:rPr>
        <w:tab/>
        <w:t>Les Réunions des Parties ont ensuite examiné et approuvé le projet de décision VIII/1</w:t>
      </w:r>
      <w:r w:rsidR="00D85BFA" w:rsidRPr="00005684">
        <w:rPr>
          <w:lang w:val="fr-FR"/>
        </w:rPr>
        <w:noBreakHyphen/>
      </w:r>
      <w:r w:rsidRPr="00005684">
        <w:rPr>
          <w:lang w:val="fr-FR"/>
        </w:rPr>
        <w:t>IV/1 révisé sur les dispositions financières pour la période 2021</w:t>
      </w:r>
      <w:r w:rsidR="00110059" w:rsidRPr="00005684">
        <w:rPr>
          <w:lang w:val="fr-FR"/>
        </w:rPr>
        <w:t>-</w:t>
      </w:r>
      <w:r w:rsidRPr="00005684">
        <w:rPr>
          <w:lang w:val="fr-FR"/>
        </w:rPr>
        <w:t>2023 (ECE/MP.EIA/2020/1</w:t>
      </w:r>
      <w:r w:rsidR="00110059" w:rsidRPr="00005684">
        <w:rPr>
          <w:lang w:val="fr-FR"/>
        </w:rPr>
        <w:t>-</w:t>
      </w:r>
      <w:r w:rsidRPr="00005684">
        <w:rPr>
          <w:lang w:val="fr-FR"/>
        </w:rPr>
        <w:t>ECE/MP.EIA/SEA/2020/1). Cette décision prévoit la création d</w:t>
      </w:r>
      <w:r w:rsidR="00F51B2C" w:rsidRPr="00005684">
        <w:rPr>
          <w:lang w:val="fr-FR"/>
        </w:rPr>
        <w:t>’</w:t>
      </w:r>
      <w:r w:rsidRPr="00005684">
        <w:rPr>
          <w:lang w:val="fr-FR"/>
        </w:rPr>
        <w:t>un dispositif financier destiné à financer les plans de travail adoptés, selon lequel toutes les Parties sont tenues de contribuer aux coûts qui ne sont pas couverts par le budget ordinaire de l</w:t>
      </w:r>
      <w:r w:rsidR="00F51B2C" w:rsidRPr="00005684">
        <w:rPr>
          <w:lang w:val="fr-FR"/>
        </w:rPr>
        <w:t>’</w:t>
      </w:r>
      <w:r w:rsidRPr="00005684">
        <w:rPr>
          <w:lang w:val="fr-FR"/>
        </w:rPr>
        <w:t>Organisation des Nations Unies.</w:t>
      </w:r>
    </w:p>
    <w:p w14:paraId="1658353E" w14:textId="77777777" w:rsidR="00447F9A" w:rsidRPr="00005684" w:rsidRDefault="00447F9A" w:rsidP="00110059">
      <w:pPr>
        <w:pStyle w:val="H23G"/>
        <w:rPr>
          <w:lang w:val="fr-FR"/>
        </w:rPr>
      </w:pPr>
      <w:r w:rsidRPr="00005684">
        <w:rPr>
          <w:lang w:val="fr-FR"/>
        </w:rPr>
        <w:tab/>
        <w:t>2.</w:t>
      </w:r>
      <w:r w:rsidRPr="00005684">
        <w:rPr>
          <w:lang w:val="fr-FR"/>
        </w:rPr>
        <w:tab/>
        <w:t>Adoption du plan de travail</w:t>
      </w:r>
    </w:p>
    <w:p w14:paraId="50FF5660" w14:textId="6F714824" w:rsidR="00447F9A" w:rsidRPr="00005684" w:rsidRDefault="00447F9A" w:rsidP="00447F9A">
      <w:pPr>
        <w:pStyle w:val="SingleTxtG"/>
        <w:rPr>
          <w:lang w:val="fr-FR"/>
        </w:rPr>
      </w:pPr>
      <w:r w:rsidRPr="00005684">
        <w:rPr>
          <w:lang w:val="fr-FR"/>
        </w:rPr>
        <w:t>16.</w:t>
      </w:r>
      <w:r w:rsidRPr="00005684">
        <w:rPr>
          <w:lang w:val="fr-FR"/>
        </w:rPr>
        <w:tab/>
        <w:t>Les Réunions des Parties ont examiné et révisé le projet de décision VIII/2-IV/2 relatif à l</w:t>
      </w:r>
      <w:r w:rsidR="00F51B2C" w:rsidRPr="00005684">
        <w:rPr>
          <w:lang w:val="fr-FR"/>
        </w:rPr>
        <w:t>’</w:t>
      </w:r>
      <w:r w:rsidRPr="00005684">
        <w:rPr>
          <w:lang w:val="fr-FR"/>
        </w:rPr>
        <w:t>adoption du plan de travail pour la mise en œuvre de la Convention et de son Protocole pour la période 2021-2023, des annexes I et II du plan de travail, qui portent respectivement sur les activités prévues au titre du plan et les besoins en ressources correspondants, ainsi que de son annexe III, où sont énumérées les activités supplémentaires qui pourraient être mises en œuvre sous réserve que des fonds soient disponibles (ECE/MP.EIA/2020/1</w:t>
      </w:r>
      <w:r w:rsidR="00110059" w:rsidRPr="00005684">
        <w:rPr>
          <w:lang w:val="fr-FR"/>
        </w:rPr>
        <w:t>-</w:t>
      </w:r>
      <w:r w:rsidRPr="00005684">
        <w:rPr>
          <w:lang w:val="fr-FR"/>
        </w:rPr>
        <w:t>ECE/MP.EIA/SEA/2020/1). Les contributions annoncées par les Parties étant insuffisantes pour financer toutes les activités énumérées à l</w:t>
      </w:r>
      <w:r w:rsidR="00F51B2C" w:rsidRPr="00005684">
        <w:rPr>
          <w:lang w:val="fr-FR"/>
        </w:rPr>
        <w:t>’</w:t>
      </w:r>
      <w:r w:rsidRPr="00005684">
        <w:rPr>
          <w:lang w:val="fr-FR"/>
        </w:rPr>
        <w:t>annexe I, la tenue de plusieurs de ces activités, notamment le financement des frais de voyage des participants remplissant les conditions requises, a été subordonnée à la mise à disposition par les Parties de contributions supplémentaires non annoncées d</w:t>
      </w:r>
      <w:r w:rsidR="00F51B2C" w:rsidRPr="00005684">
        <w:rPr>
          <w:lang w:val="fr-FR"/>
        </w:rPr>
        <w:t>’</w:t>
      </w:r>
      <w:r w:rsidRPr="00005684">
        <w:rPr>
          <w:lang w:val="fr-FR"/>
        </w:rPr>
        <w:t>un montant suffisant.</w:t>
      </w:r>
    </w:p>
    <w:p w14:paraId="6EA18C52" w14:textId="1F5CF3DD" w:rsidR="00447F9A" w:rsidRPr="00005684" w:rsidRDefault="00447F9A" w:rsidP="00447F9A">
      <w:pPr>
        <w:pStyle w:val="SingleTxtG"/>
        <w:rPr>
          <w:lang w:val="fr-FR"/>
        </w:rPr>
      </w:pPr>
      <w:r w:rsidRPr="00005684">
        <w:rPr>
          <w:lang w:val="fr-FR"/>
        </w:rPr>
        <w:t>17.</w:t>
      </w:r>
      <w:r w:rsidRPr="00005684">
        <w:rPr>
          <w:lang w:val="fr-FR"/>
        </w:rPr>
        <w:tab/>
        <w:t>Les Réunions des Parties sont convenues qu</w:t>
      </w:r>
      <w:r w:rsidR="00F51B2C" w:rsidRPr="00005684">
        <w:rPr>
          <w:lang w:val="fr-FR"/>
        </w:rPr>
        <w:t>’</w:t>
      </w:r>
      <w:r w:rsidRPr="00005684">
        <w:rPr>
          <w:lang w:val="fr-FR"/>
        </w:rPr>
        <w:t>à l</w:t>
      </w:r>
      <w:r w:rsidR="00F51B2C" w:rsidRPr="00005684">
        <w:rPr>
          <w:lang w:val="fr-FR"/>
        </w:rPr>
        <w:t>’</w:t>
      </w:r>
      <w:r w:rsidRPr="00005684">
        <w:rPr>
          <w:lang w:val="fr-FR"/>
        </w:rPr>
        <w:t>occasion des réunions du Groupe de travail ou des prochaines sessions des Réunions des Parties, plusieurs ateliers ou séminaires thématiques seraient organisés par les pays et organisations chefs de file qui se porteraient volontaires. Pendant les sessions, les év</w:t>
      </w:r>
      <w:r w:rsidR="00110059" w:rsidRPr="00005684">
        <w:rPr>
          <w:lang w:val="fr-FR"/>
        </w:rPr>
        <w:t>é</w:t>
      </w:r>
      <w:r w:rsidRPr="00005684">
        <w:rPr>
          <w:lang w:val="fr-FR"/>
        </w:rPr>
        <w:t>nements ci-après ont été ajoutés à la liste des manifestations thématiques de la prochaine période intersessions :</w:t>
      </w:r>
    </w:p>
    <w:p w14:paraId="469111C3" w14:textId="6444F20E" w:rsidR="00447F9A" w:rsidRPr="00005684" w:rsidRDefault="00447F9A" w:rsidP="00110059">
      <w:pPr>
        <w:pStyle w:val="SingleTxtG"/>
        <w:ind w:firstLine="567"/>
        <w:rPr>
          <w:lang w:val="fr-FR"/>
        </w:rPr>
      </w:pPr>
      <w:r w:rsidRPr="00005684">
        <w:rPr>
          <w:lang w:val="fr-FR"/>
        </w:rPr>
        <w:t>a)</w:t>
      </w:r>
      <w:r w:rsidRPr="00005684">
        <w:rPr>
          <w:lang w:val="fr-FR"/>
        </w:rPr>
        <w:tab/>
        <w:t>Un séminaire sur l</w:t>
      </w:r>
      <w:r w:rsidR="00F51B2C" w:rsidRPr="00005684">
        <w:rPr>
          <w:lang w:val="fr-FR"/>
        </w:rPr>
        <w:t>’</w:t>
      </w:r>
      <w:r w:rsidRPr="00005684">
        <w:rPr>
          <w:lang w:val="fr-FR"/>
        </w:rPr>
        <w:t>examen des solutions de rechange et la justification des modalités retenues pour les activités proposées dans le dossier d</w:t>
      </w:r>
      <w:r w:rsidR="00F51B2C" w:rsidRPr="00005684">
        <w:rPr>
          <w:lang w:val="fr-FR"/>
        </w:rPr>
        <w:t>’</w:t>
      </w:r>
      <w:r w:rsidRPr="00005684">
        <w:rPr>
          <w:lang w:val="fr-FR"/>
        </w:rPr>
        <w:t>évaluation de l</w:t>
      </w:r>
      <w:r w:rsidR="00F51B2C" w:rsidRPr="00005684">
        <w:rPr>
          <w:lang w:val="fr-FR"/>
        </w:rPr>
        <w:t>’</w:t>
      </w:r>
      <w:r w:rsidRPr="00005684">
        <w:rPr>
          <w:lang w:val="fr-FR"/>
        </w:rPr>
        <w:t>impact sur l</w:t>
      </w:r>
      <w:r w:rsidR="00F51B2C" w:rsidRPr="00005684">
        <w:rPr>
          <w:lang w:val="fr-FR"/>
        </w:rPr>
        <w:t>’</w:t>
      </w:r>
      <w:r w:rsidRPr="00005684">
        <w:rPr>
          <w:lang w:val="fr-FR"/>
        </w:rPr>
        <w:t>environnement, qui serait organisé par le Bélarus, le secrétariat et les Parties intéressées, éventuellement avec un financement du programme de l</w:t>
      </w:r>
      <w:r w:rsidR="00F51B2C" w:rsidRPr="00005684">
        <w:rPr>
          <w:lang w:val="fr-FR"/>
        </w:rPr>
        <w:t>’</w:t>
      </w:r>
      <w:r w:rsidRPr="00005684">
        <w:rPr>
          <w:lang w:val="fr-FR"/>
        </w:rPr>
        <w:t>Union européenne pour l</w:t>
      </w:r>
      <w:r w:rsidR="00F51B2C" w:rsidRPr="00005684">
        <w:rPr>
          <w:lang w:val="fr-FR"/>
        </w:rPr>
        <w:t>’</w:t>
      </w:r>
      <w:r w:rsidRPr="00005684">
        <w:rPr>
          <w:lang w:val="fr-FR"/>
        </w:rPr>
        <w:t>environnement (EU4Environment) dont on attendait confirmation. À la suite du débat concernant la proposition de la délégation bélarussienne d</w:t>
      </w:r>
      <w:r w:rsidR="00F51B2C" w:rsidRPr="00005684">
        <w:rPr>
          <w:lang w:val="fr-FR"/>
        </w:rPr>
        <w:t>’</w:t>
      </w:r>
      <w:r w:rsidRPr="00005684">
        <w:rPr>
          <w:lang w:val="fr-FR"/>
        </w:rPr>
        <w:t>élaborer des directives sur ce point, et d</w:t>
      </w:r>
      <w:r w:rsidR="00F51B2C" w:rsidRPr="00005684">
        <w:rPr>
          <w:lang w:val="fr-FR"/>
        </w:rPr>
        <w:t>’</w:t>
      </w:r>
      <w:r w:rsidRPr="00005684">
        <w:rPr>
          <w:lang w:val="fr-FR"/>
        </w:rPr>
        <w:t>une proposition de la délégation de l</w:t>
      </w:r>
      <w:r w:rsidR="00F51B2C" w:rsidRPr="00005684">
        <w:rPr>
          <w:lang w:val="fr-FR"/>
        </w:rPr>
        <w:t>’</w:t>
      </w:r>
      <w:r w:rsidRPr="00005684">
        <w:rPr>
          <w:lang w:val="fr-FR"/>
        </w:rPr>
        <w:t>Union européenne, les Réunions des Parties ont approuvé la tenue du séminaire</w:t>
      </w:r>
      <w:r w:rsidRPr="00005684">
        <w:rPr>
          <w:rStyle w:val="Appelnotedebasdep"/>
        </w:rPr>
        <w:footnoteReference w:id="4"/>
      </w:r>
      <w:r w:rsidRPr="00005684">
        <w:rPr>
          <w:lang w:val="fr-FR"/>
        </w:rPr>
        <w:t> ;</w:t>
      </w:r>
    </w:p>
    <w:p w14:paraId="466335F0" w14:textId="67E97C1F" w:rsidR="00447F9A" w:rsidRPr="00005684" w:rsidRDefault="00447F9A" w:rsidP="00110059">
      <w:pPr>
        <w:pStyle w:val="SingleTxtG"/>
        <w:ind w:firstLine="567"/>
        <w:rPr>
          <w:lang w:val="fr-FR"/>
        </w:rPr>
      </w:pPr>
      <w:r w:rsidRPr="00005684">
        <w:rPr>
          <w:lang w:val="fr-FR"/>
        </w:rPr>
        <w:t>b)</w:t>
      </w:r>
      <w:r w:rsidRPr="00005684">
        <w:rPr>
          <w:lang w:val="fr-FR"/>
        </w:rPr>
        <w:tab/>
        <w:t>Un séminaire/atelier visant à promouvoir l</w:t>
      </w:r>
      <w:r w:rsidR="00F51B2C" w:rsidRPr="00005684">
        <w:rPr>
          <w:lang w:val="fr-FR"/>
        </w:rPr>
        <w:t>’</w:t>
      </w:r>
      <w:r w:rsidRPr="00005684">
        <w:rPr>
          <w:lang w:val="fr-FR"/>
        </w:rPr>
        <w:t>application de l</w:t>
      </w:r>
      <w:r w:rsidR="00F51B2C" w:rsidRPr="00005684">
        <w:rPr>
          <w:lang w:val="fr-FR"/>
        </w:rPr>
        <w:t>’</w:t>
      </w:r>
      <w:r w:rsidRPr="00005684">
        <w:rPr>
          <w:lang w:val="fr-FR"/>
        </w:rPr>
        <w:t>évaluation stratégique environnementale dans la coopération au développement, qui serait organisé par l</w:t>
      </w:r>
      <w:r w:rsidR="00F51B2C" w:rsidRPr="00005684">
        <w:rPr>
          <w:lang w:val="fr-FR"/>
        </w:rPr>
        <w:t>’</w:t>
      </w:r>
      <w:r w:rsidRPr="00005684">
        <w:rPr>
          <w:lang w:val="fr-FR"/>
        </w:rPr>
        <w:t>Italie et d</w:t>
      </w:r>
      <w:r w:rsidR="00F51B2C" w:rsidRPr="00005684">
        <w:rPr>
          <w:lang w:val="fr-FR"/>
        </w:rPr>
        <w:t>’</w:t>
      </w:r>
      <w:r w:rsidRPr="00005684">
        <w:rPr>
          <w:lang w:val="fr-FR"/>
        </w:rPr>
        <w:t>autres Parties intéressées avec l</w:t>
      </w:r>
      <w:r w:rsidR="00F51B2C" w:rsidRPr="00005684">
        <w:rPr>
          <w:lang w:val="fr-FR"/>
        </w:rPr>
        <w:t>’</w:t>
      </w:r>
      <w:r w:rsidRPr="00005684">
        <w:rPr>
          <w:lang w:val="fr-FR"/>
        </w:rPr>
        <w:t>appui du secrétariat.</w:t>
      </w:r>
    </w:p>
    <w:p w14:paraId="671918B1" w14:textId="26DCFDC8" w:rsidR="00447F9A" w:rsidRPr="00005684" w:rsidRDefault="00447F9A" w:rsidP="00110059">
      <w:pPr>
        <w:pStyle w:val="H23G"/>
        <w:rPr>
          <w:lang w:val="fr-FR"/>
        </w:rPr>
      </w:pPr>
      <w:r w:rsidRPr="00005684">
        <w:rPr>
          <w:lang w:val="fr-FR"/>
        </w:rPr>
        <w:tab/>
        <w:t>3.</w:t>
      </w:r>
      <w:r w:rsidRPr="00005684">
        <w:rPr>
          <w:lang w:val="fr-FR"/>
        </w:rPr>
        <w:tab/>
        <w:t>Stratégie à long terme et plan d</w:t>
      </w:r>
      <w:r w:rsidR="00F51B2C" w:rsidRPr="00005684">
        <w:rPr>
          <w:lang w:val="fr-FR"/>
        </w:rPr>
        <w:t>’</w:t>
      </w:r>
      <w:r w:rsidRPr="00005684">
        <w:rPr>
          <w:lang w:val="fr-FR"/>
        </w:rPr>
        <w:t>action pour la Convention et le Protocole</w:t>
      </w:r>
    </w:p>
    <w:p w14:paraId="48D53CB4" w14:textId="0543A930" w:rsidR="00447F9A" w:rsidRPr="00005684" w:rsidRDefault="00447F9A" w:rsidP="00447F9A">
      <w:pPr>
        <w:pStyle w:val="SingleTxtG"/>
        <w:rPr>
          <w:lang w:val="fr-FR"/>
        </w:rPr>
      </w:pPr>
      <w:r w:rsidRPr="00005684">
        <w:rPr>
          <w:lang w:val="fr-FR"/>
        </w:rPr>
        <w:t>18.</w:t>
      </w:r>
      <w:r w:rsidRPr="00005684">
        <w:rPr>
          <w:lang w:val="fr-FR"/>
        </w:rPr>
        <w:tab/>
      </w:r>
      <w:r w:rsidRPr="00005684">
        <w:rPr>
          <w:spacing w:val="-2"/>
          <w:lang w:val="fr-FR"/>
        </w:rPr>
        <w:t>Les Réunions des Parties ont examiné le projet de stratégie à long terme et le plan d</w:t>
      </w:r>
      <w:r w:rsidR="00F51B2C" w:rsidRPr="00005684">
        <w:rPr>
          <w:spacing w:val="-2"/>
          <w:lang w:val="fr-FR"/>
        </w:rPr>
        <w:t>’</w:t>
      </w:r>
      <w:r w:rsidRPr="00005684">
        <w:rPr>
          <w:spacing w:val="-2"/>
          <w:lang w:val="fr-FR"/>
        </w:rPr>
        <w:t>action pour la Convention et le Protocole (ECE/MP.EIA/2020/3</w:t>
      </w:r>
      <w:r w:rsidR="00D85BFA" w:rsidRPr="00005684">
        <w:rPr>
          <w:spacing w:val="-2"/>
          <w:lang w:val="fr-FR"/>
        </w:rPr>
        <w:t>-</w:t>
      </w:r>
      <w:r w:rsidRPr="00005684">
        <w:rPr>
          <w:spacing w:val="-2"/>
          <w:lang w:val="fr-FR"/>
        </w:rPr>
        <w:t>ECE/MP.EIA/SEA/2020/3)</w:t>
      </w:r>
      <w:r w:rsidRPr="00005684">
        <w:rPr>
          <w:lang w:val="fr-FR"/>
        </w:rPr>
        <w:t xml:space="preserve"> se prolongeant jusqu</w:t>
      </w:r>
      <w:r w:rsidR="00F51B2C" w:rsidRPr="00005684">
        <w:rPr>
          <w:lang w:val="fr-FR"/>
        </w:rPr>
        <w:t>’</w:t>
      </w:r>
      <w:r w:rsidRPr="00005684">
        <w:rPr>
          <w:lang w:val="fr-FR"/>
        </w:rPr>
        <w:t>en 2030 et en ont établi la version définitive. Le secrétariat a décrit les modifications de forme et les changements de format qu</w:t>
      </w:r>
      <w:r w:rsidR="00F51B2C" w:rsidRPr="00005684">
        <w:rPr>
          <w:lang w:val="fr-FR"/>
        </w:rPr>
        <w:t>’</w:t>
      </w:r>
      <w:r w:rsidRPr="00005684">
        <w:rPr>
          <w:lang w:val="fr-FR"/>
        </w:rPr>
        <w:t>il fallait apporter au document avant de le publier. Les Parties ont pris note de ces informations.</w:t>
      </w:r>
    </w:p>
    <w:p w14:paraId="3786AFA4" w14:textId="77777777" w:rsidR="00447F9A" w:rsidRPr="00005684" w:rsidRDefault="00447F9A" w:rsidP="00110059">
      <w:pPr>
        <w:pStyle w:val="H23G"/>
        <w:rPr>
          <w:lang w:val="fr-FR"/>
        </w:rPr>
      </w:pPr>
      <w:r w:rsidRPr="00005684">
        <w:rPr>
          <w:lang w:val="fr-FR"/>
        </w:rPr>
        <w:tab/>
        <w:t>4.</w:t>
      </w:r>
      <w:r w:rsidRPr="00005684">
        <w:rPr>
          <w:lang w:val="fr-FR"/>
        </w:rPr>
        <w:tab/>
      </w:r>
      <w:r w:rsidRPr="00005684">
        <w:rPr>
          <w:lang w:val="fr-FR"/>
        </w:rPr>
        <w:tab/>
        <w:t>Déclaration</w:t>
      </w:r>
    </w:p>
    <w:p w14:paraId="450CEFC8" w14:textId="273A5DDD" w:rsidR="00447F9A" w:rsidRPr="00005684" w:rsidRDefault="00447F9A" w:rsidP="00447F9A">
      <w:pPr>
        <w:pStyle w:val="SingleTxtG"/>
        <w:rPr>
          <w:bCs/>
          <w:lang w:val="fr-FR"/>
        </w:rPr>
      </w:pPr>
      <w:r w:rsidRPr="00005684">
        <w:rPr>
          <w:lang w:val="fr-FR"/>
        </w:rPr>
        <w:t>19.</w:t>
      </w:r>
      <w:r w:rsidRPr="00005684">
        <w:rPr>
          <w:lang w:val="fr-FR"/>
        </w:rPr>
        <w:tab/>
        <w:t>Les Réunions des Parties ont approuvé une version révisée du projet de déclaration de Vilnius (ECE/MP.EIA/2020/5</w:t>
      </w:r>
      <w:r w:rsidR="00110059" w:rsidRPr="00005684">
        <w:rPr>
          <w:lang w:val="fr-FR"/>
        </w:rPr>
        <w:t>-</w:t>
      </w:r>
      <w:r w:rsidRPr="00005684">
        <w:rPr>
          <w:lang w:val="fr-FR"/>
        </w:rPr>
        <w:t>ECE/MP.EIA/SEA/2020/5). Le représentant de l</w:t>
      </w:r>
      <w:r w:rsidR="00F51B2C" w:rsidRPr="00005684">
        <w:rPr>
          <w:lang w:val="fr-FR"/>
        </w:rPr>
        <w:t>’</w:t>
      </w:r>
      <w:r w:rsidRPr="00005684">
        <w:rPr>
          <w:lang w:val="fr-FR"/>
        </w:rPr>
        <w:t>OMS a souligné qu</w:t>
      </w:r>
      <w:r w:rsidR="00F51B2C" w:rsidRPr="00005684">
        <w:rPr>
          <w:lang w:val="fr-FR"/>
        </w:rPr>
        <w:t>’</w:t>
      </w:r>
      <w:r w:rsidRPr="00005684">
        <w:rPr>
          <w:lang w:val="fr-FR"/>
        </w:rPr>
        <w:t>il importait d</w:t>
      </w:r>
      <w:r w:rsidR="00F51B2C" w:rsidRPr="00005684">
        <w:rPr>
          <w:lang w:val="fr-FR"/>
        </w:rPr>
        <w:t>’</w:t>
      </w:r>
      <w:r w:rsidRPr="00005684">
        <w:rPr>
          <w:lang w:val="fr-FR"/>
        </w:rPr>
        <w:t>élaborer la version définitive des lignes directrices sur l</w:t>
      </w:r>
      <w:r w:rsidR="00F51B2C" w:rsidRPr="00005684">
        <w:rPr>
          <w:lang w:val="fr-FR"/>
        </w:rPr>
        <w:t>’</w:t>
      </w:r>
      <w:r w:rsidRPr="00005684">
        <w:rPr>
          <w:lang w:val="fr-FR"/>
        </w:rPr>
        <w:t xml:space="preserve">évaluation des impacts sur la santé dans les évaluations environnementales stratégiques (Guidance on </w:t>
      </w:r>
      <w:proofErr w:type="spellStart"/>
      <w:r w:rsidRPr="00005684">
        <w:rPr>
          <w:lang w:val="fr-FR"/>
        </w:rPr>
        <w:t>Assessing</w:t>
      </w:r>
      <w:proofErr w:type="spellEnd"/>
      <w:r w:rsidRPr="00005684">
        <w:rPr>
          <w:lang w:val="fr-FR"/>
        </w:rPr>
        <w:t xml:space="preserve"> </w:t>
      </w:r>
      <w:proofErr w:type="spellStart"/>
      <w:r w:rsidRPr="00005684">
        <w:rPr>
          <w:lang w:val="fr-FR"/>
        </w:rPr>
        <w:t>Health</w:t>
      </w:r>
      <w:proofErr w:type="spellEnd"/>
      <w:r w:rsidRPr="00005684">
        <w:rPr>
          <w:lang w:val="fr-FR"/>
        </w:rPr>
        <w:t xml:space="preserve"> Impacts in Strategic </w:t>
      </w:r>
      <w:proofErr w:type="spellStart"/>
      <w:r w:rsidRPr="00005684">
        <w:rPr>
          <w:lang w:val="fr-FR"/>
        </w:rPr>
        <w:t>Environmental</w:t>
      </w:r>
      <w:proofErr w:type="spellEnd"/>
      <w:r w:rsidRPr="00005684">
        <w:rPr>
          <w:lang w:val="fr-FR"/>
        </w:rPr>
        <w:t xml:space="preserve"> </w:t>
      </w:r>
      <w:proofErr w:type="spellStart"/>
      <w:r w:rsidRPr="00005684">
        <w:rPr>
          <w:lang w:val="fr-FR"/>
        </w:rPr>
        <w:t>Assessment</w:t>
      </w:r>
      <w:proofErr w:type="spellEnd"/>
      <w:r w:rsidRPr="00005684">
        <w:rPr>
          <w:lang w:val="fr-FR"/>
        </w:rPr>
        <w:t>) et que cela constituait une priorité compte tenu de la pandémie en cours, entre autres facteurs (voir aussi par. 33).</w:t>
      </w:r>
    </w:p>
    <w:p w14:paraId="1C57B741" w14:textId="77777777" w:rsidR="00447F9A" w:rsidRPr="00005684" w:rsidRDefault="00447F9A" w:rsidP="00110059">
      <w:pPr>
        <w:pStyle w:val="H23G"/>
        <w:rPr>
          <w:lang w:val="fr-FR"/>
        </w:rPr>
      </w:pPr>
      <w:r w:rsidRPr="00005684">
        <w:rPr>
          <w:lang w:val="fr-FR"/>
        </w:rPr>
        <w:tab/>
        <w:t>5.</w:t>
      </w:r>
      <w:r w:rsidRPr="00005684">
        <w:rPr>
          <w:lang w:val="fr-FR"/>
        </w:rPr>
        <w:tab/>
        <w:t>Désignation des membres du Bureau</w:t>
      </w:r>
    </w:p>
    <w:p w14:paraId="6C1E0C28" w14:textId="559AB662" w:rsidR="00447F9A" w:rsidRPr="00005684" w:rsidRDefault="00447F9A" w:rsidP="00447F9A">
      <w:pPr>
        <w:pStyle w:val="SingleTxtG"/>
        <w:rPr>
          <w:lang w:val="fr-FR"/>
        </w:rPr>
      </w:pPr>
      <w:r w:rsidRPr="00005684">
        <w:rPr>
          <w:lang w:val="fr-FR"/>
        </w:rPr>
        <w:t>20.</w:t>
      </w:r>
      <w:r w:rsidRPr="00005684">
        <w:rPr>
          <w:lang w:val="fr-FR"/>
        </w:rPr>
        <w:tab/>
        <w:t>Le secrétariat a présenté un document comprenant une liste informelle des candidats proposés comme membres du Bureau, du Groupe de travail et du Comité d</w:t>
      </w:r>
      <w:r w:rsidR="00F51B2C" w:rsidRPr="00005684">
        <w:rPr>
          <w:lang w:val="fr-FR"/>
        </w:rPr>
        <w:t>’</w:t>
      </w:r>
      <w:r w:rsidRPr="00005684">
        <w:rPr>
          <w:lang w:val="fr-FR"/>
        </w:rPr>
        <w:t>application, ainsi qu</w:t>
      </w:r>
      <w:r w:rsidR="00F51B2C" w:rsidRPr="00005684">
        <w:rPr>
          <w:lang w:val="fr-FR"/>
        </w:rPr>
        <w:t>’</w:t>
      </w:r>
      <w:r w:rsidRPr="00005684">
        <w:rPr>
          <w:lang w:val="fr-FR"/>
        </w:rPr>
        <w:t>une description des critères à remplir pour l</w:t>
      </w:r>
      <w:r w:rsidR="00F51B2C" w:rsidRPr="00005684">
        <w:rPr>
          <w:lang w:val="fr-FR"/>
        </w:rPr>
        <w:t>’</w:t>
      </w:r>
      <w:r w:rsidRPr="00005684">
        <w:rPr>
          <w:lang w:val="fr-FR"/>
        </w:rPr>
        <w:t>élection des membres du Bureau et d</w:t>
      </w:r>
      <w:r w:rsidR="00F51B2C" w:rsidRPr="00005684">
        <w:rPr>
          <w:lang w:val="fr-FR"/>
        </w:rPr>
        <w:t>’</w:t>
      </w:r>
      <w:r w:rsidRPr="00005684">
        <w:rPr>
          <w:lang w:val="fr-FR"/>
        </w:rPr>
        <w:t>autres procédures à suivre concernant ses fonctions et tâches (ECE/MP.EIA/2020/INF.6). La liste a été modifiée pendant la session pour tenir compte de la nomination de deux suppléantes chargées des questions concernant le Protocole : par la Slovénie, d</w:t>
      </w:r>
      <w:r w:rsidR="00F51B2C" w:rsidRPr="00005684">
        <w:rPr>
          <w:lang w:val="fr-FR"/>
        </w:rPr>
        <w:t>’</w:t>
      </w:r>
      <w:r w:rsidRPr="00005684">
        <w:rPr>
          <w:lang w:val="fr-FR"/>
        </w:rPr>
        <w:t>une suppléante au Président du Bureau (nommé par la Grèce) et, par l</w:t>
      </w:r>
      <w:r w:rsidR="00F51B2C" w:rsidRPr="00005684">
        <w:rPr>
          <w:lang w:val="fr-FR"/>
        </w:rPr>
        <w:t>’</w:t>
      </w:r>
      <w:r w:rsidRPr="00005684">
        <w:rPr>
          <w:lang w:val="fr-FR"/>
        </w:rPr>
        <w:t>Ukraine, d</w:t>
      </w:r>
      <w:r w:rsidR="00F51B2C" w:rsidRPr="00005684">
        <w:rPr>
          <w:lang w:val="fr-FR"/>
        </w:rPr>
        <w:t>’</w:t>
      </w:r>
      <w:r w:rsidRPr="00005684">
        <w:rPr>
          <w:lang w:val="fr-FR"/>
        </w:rPr>
        <w:t>une suppléante à la membre du Bureau nommée par la Suisse. Le texte proposé sur les critères à remplir et les procédures à suivre a été approuvé sans amendement.</w:t>
      </w:r>
    </w:p>
    <w:p w14:paraId="57C548AD" w14:textId="77777777" w:rsidR="00447F9A" w:rsidRPr="00005684" w:rsidRDefault="00447F9A" w:rsidP="00110059">
      <w:pPr>
        <w:pStyle w:val="H1G"/>
        <w:rPr>
          <w:lang w:val="fr-FR"/>
        </w:rPr>
      </w:pPr>
      <w:r w:rsidRPr="00005684">
        <w:rPr>
          <w:lang w:val="fr-FR"/>
        </w:rPr>
        <w:tab/>
        <w:t>B.</w:t>
      </w:r>
      <w:r w:rsidRPr="00005684">
        <w:rPr>
          <w:lang w:val="fr-FR"/>
        </w:rPr>
        <w:tab/>
      </w:r>
      <w:r w:rsidRPr="00005684">
        <w:rPr>
          <w:lang w:val="fr-FR"/>
        </w:rPr>
        <w:tab/>
        <w:t>Questions en suspens relatives à la Convention</w:t>
      </w:r>
    </w:p>
    <w:p w14:paraId="4681EF49" w14:textId="77777777" w:rsidR="00447F9A" w:rsidRPr="00005684" w:rsidRDefault="00447F9A" w:rsidP="00110059">
      <w:pPr>
        <w:pStyle w:val="H23G"/>
        <w:rPr>
          <w:lang w:val="fr-FR"/>
        </w:rPr>
      </w:pPr>
      <w:r w:rsidRPr="00005684">
        <w:rPr>
          <w:lang w:val="fr-FR"/>
        </w:rPr>
        <w:tab/>
        <w:t>1.</w:t>
      </w:r>
      <w:r w:rsidRPr="00005684">
        <w:rPr>
          <w:lang w:val="fr-FR"/>
        </w:rPr>
        <w:tab/>
      </w:r>
      <w:bookmarkStart w:id="2" w:name="_Hlk60823382"/>
      <w:r w:rsidRPr="00005684">
        <w:rPr>
          <w:lang w:val="fr-FR"/>
        </w:rPr>
        <w:t>Examen du respect des dispositions de la Convention</w:t>
      </w:r>
    </w:p>
    <w:p w14:paraId="01C5A694" w14:textId="04BF0BFE" w:rsidR="00447F9A" w:rsidRPr="00005684" w:rsidRDefault="00447F9A" w:rsidP="00447F9A">
      <w:pPr>
        <w:pStyle w:val="SingleTxtG"/>
        <w:rPr>
          <w:lang w:val="fr-FR"/>
        </w:rPr>
      </w:pPr>
      <w:bookmarkStart w:id="3" w:name="_Hlk890741"/>
      <w:bookmarkStart w:id="4" w:name="_Hlk890635"/>
      <w:bookmarkStart w:id="5" w:name="_Hlk60822745"/>
      <w:bookmarkEnd w:id="2"/>
      <w:r w:rsidRPr="00005684">
        <w:rPr>
          <w:lang w:val="fr-FR"/>
        </w:rPr>
        <w:t>21.</w:t>
      </w:r>
      <w:bookmarkStart w:id="6" w:name="_Hlk890653"/>
      <w:r w:rsidRPr="00005684">
        <w:rPr>
          <w:lang w:val="fr-FR"/>
        </w:rPr>
        <w:tab/>
      </w:r>
      <w:bookmarkEnd w:id="3"/>
      <w:bookmarkEnd w:id="6"/>
      <w:r w:rsidRPr="00005684">
        <w:rPr>
          <w:lang w:val="fr-FR"/>
        </w:rPr>
        <w:t>Le Président du Comité d</w:t>
      </w:r>
      <w:r w:rsidR="00F51B2C" w:rsidRPr="00005684">
        <w:rPr>
          <w:lang w:val="fr-FR"/>
        </w:rPr>
        <w:t>’</w:t>
      </w:r>
      <w:r w:rsidRPr="00005684">
        <w:rPr>
          <w:lang w:val="fr-FR"/>
        </w:rPr>
        <w:t>application, M.</w:t>
      </w:r>
      <w:r w:rsidR="00110059" w:rsidRPr="00005684">
        <w:rPr>
          <w:lang w:val="fr-FR"/>
        </w:rPr>
        <w:t> </w:t>
      </w:r>
      <w:proofErr w:type="spellStart"/>
      <w:r w:rsidRPr="00005684">
        <w:rPr>
          <w:lang w:val="fr-FR"/>
        </w:rPr>
        <w:t>Romas</w:t>
      </w:r>
      <w:proofErr w:type="spellEnd"/>
      <w:r w:rsidRPr="00005684">
        <w:rPr>
          <w:lang w:val="fr-FR"/>
        </w:rPr>
        <w:t xml:space="preserve"> </w:t>
      </w:r>
      <w:proofErr w:type="spellStart"/>
      <w:r w:rsidRPr="00005684">
        <w:rPr>
          <w:lang w:val="fr-FR"/>
        </w:rPr>
        <w:t>Švedas</w:t>
      </w:r>
      <w:proofErr w:type="spellEnd"/>
      <w:r w:rsidRPr="00005684">
        <w:rPr>
          <w:lang w:val="fr-FR"/>
        </w:rPr>
        <w:t xml:space="preserve"> (Lituanie), a présenté le projet de décision VIII/4 sur les questions générales concernant le respect des dispositions de la Convention (ECE/MP.EIA/2020/10) et les projets de décision </w:t>
      </w:r>
      <w:bookmarkStart w:id="7" w:name="_Hlk62233609"/>
      <w:r w:rsidRPr="00005684">
        <w:rPr>
          <w:lang w:val="fr-FR"/>
        </w:rPr>
        <w:t>VIII/4</w:t>
      </w:r>
      <w:bookmarkEnd w:id="7"/>
      <w:r w:rsidRPr="00005684">
        <w:rPr>
          <w:lang w:val="fr-FR"/>
        </w:rPr>
        <w:t xml:space="preserve">a, b, d et e (figurant respectivement dans les documents ECE/MP.EIA/2020/11, ECE/MP.EIA/2020/12, ECE/MP.EIA/2020/14 et ECE/MP.EIA/2020/15), relatifs au respect des dispositions par certains pays. La </w:t>
      </w:r>
      <w:r w:rsidR="00410D0A" w:rsidRPr="00005684">
        <w:rPr>
          <w:lang w:val="fr-FR"/>
        </w:rPr>
        <w:t>P</w:t>
      </w:r>
      <w:r w:rsidRPr="00005684">
        <w:rPr>
          <w:lang w:val="fr-FR"/>
        </w:rPr>
        <w:t xml:space="preserve">remière Vice-Présidente du Comité, Maria do </w:t>
      </w:r>
      <w:proofErr w:type="spellStart"/>
      <w:r w:rsidRPr="00005684">
        <w:rPr>
          <w:lang w:val="fr-FR"/>
        </w:rPr>
        <w:t>Carmo</w:t>
      </w:r>
      <w:proofErr w:type="spellEnd"/>
      <w:r w:rsidRPr="00005684">
        <w:rPr>
          <w:lang w:val="fr-FR"/>
        </w:rPr>
        <w:t xml:space="preserve"> </w:t>
      </w:r>
      <w:proofErr w:type="spellStart"/>
      <w:r w:rsidRPr="00005684">
        <w:rPr>
          <w:lang w:val="fr-FR"/>
        </w:rPr>
        <w:t>Figueira</w:t>
      </w:r>
      <w:proofErr w:type="spellEnd"/>
      <w:r w:rsidRPr="00005684">
        <w:rPr>
          <w:lang w:val="fr-FR"/>
        </w:rPr>
        <w:t xml:space="preserve"> (Portugal), a présenté le projet de décision VIII/4c </w:t>
      </w:r>
      <w:bookmarkStart w:id="8" w:name="_Hlk68188336"/>
      <w:r w:rsidRPr="00005684">
        <w:rPr>
          <w:lang w:val="fr-FR"/>
        </w:rPr>
        <w:t xml:space="preserve">relatif au </w:t>
      </w:r>
      <w:bookmarkEnd w:id="8"/>
      <w:r w:rsidRPr="00005684">
        <w:rPr>
          <w:lang w:val="fr-FR"/>
        </w:rPr>
        <w:t xml:space="preserve">respect par le Bélarus </w:t>
      </w:r>
      <w:bookmarkStart w:id="9" w:name="_Hlk67649717"/>
      <w:r w:rsidRPr="00005684">
        <w:rPr>
          <w:lang w:val="fr-FR"/>
        </w:rPr>
        <w:t>des obligations qui lui incombent en vertu de la Convention</w:t>
      </w:r>
      <w:bookmarkEnd w:id="9"/>
      <w:r w:rsidRPr="00005684">
        <w:rPr>
          <w:lang w:val="fr-FR"/>
        </w:rPr>
        <w:t xml:space="preserve"> pour ce qui est de la centrale nucléaire bélarussienne d</w:t>
      </w:r>
      <w:r w:rsidR="00F51B2C" w:rsidRPr="00005684">
        <w:rPr>
          <w:lang w:val="fr-FR"/>
        </w:rPr>
        <w:t>’</w:t>
      </w:r>
      <w:proofErr w:type="spellStart"/>
      <w:r w:rsidRPr="00005684">
        <w:rPr>
          <w:lang w:val="fr-FR"/>
        </w:rPr>
        <w:t>Ostrovets</w:t>
      </w:r>
      <w:proofErr w:type="spellEnd"/>
      <w:r w:rsidRPr="00005684">
        <w:rPr>
          <w:lang w:val="fr-FR"/>
        </w:rPr>
        <w:t xml:space="preserve"> (ECE/MP.EIA/2020/13). Ils ont expliqué que le Comité avait établi la version définitive des projets de décision pour que la Réunion des Parties les examine à sa quarante</w:t>
      </w:r>
      <w:r w:rsidR="00410D0A" w:rsidRPr="00005684">
        <w:rPr>
          <w:lang w:val="fr-FR"/>
        </w:rPr>
        <w:noBreakHyphen/>
      </w:r>
      <w:r w:rsidRPr="00005684">
        <w:rPr>
          <w:lang w:val="fr-FR"/>
        </w:rPr>
        <w:t>huitième session (Genève, 1</w:t>
      </w:r>
      <w:r w:rsidRPr="00005684">
        <w:rPr>
          <w:vertAlign w:val="superscript"/>
          <w:lang w:val="fr-FR"/>
        </w:rPr>
        <w:t>er</w:t>
      </w:r>
      <w:r w:rsidRPr="00005684">
        <w:rPr>
          <w:lang w:val="fr-FR"/>
        </w:rPr>
        <w:t>-4</w:t>
      </w:r>
      <w:r w:rsidR="00110059" w:rsidRPr="00005684">
        <w:rPr>
          <w:lang w:val="fr-FR"/>
        </w:rPr>
        <w:t> </w:t>
      </w:r>
      <w:r w:rsidRPr="00005684">
        <w:rPr>
          <w:lang w:val="fr-FR"/>
        </w:rPr>
        <w:t>septembre 2020), en tenant éventuellement compte des informations et observations supplémentaires communiquées par les Parties avant, pendant et après la neuvième réunion du Groupe de travail (Genève, 24-26 août 2020)</w:t>
      </w:r>
      <w:bookmarkEnd w:id="4"/>
      <w:r w:rsidRPr="00005684">
        <w:rPr>
          <w:lang w:val="fr-FR"/>
        </w:rPr>
        <w:t>.</w:t>
      </w:r>
    </w:p>
    <w:bookmarkEnd w:id="5"/>
    <w:p w14:paraId="16943431" w14:textId="5A0559D0" w:rsidR="00447F9A" w:rsidRPr="00005684" w:rsidRDefault="00447F9A" w:rsidP="00447F9A">
      <w:pPr>
        <w:pStyle w:val="SingleTxtG"/>
        <w:rPr>
          <w:lang w:val="fr-FR"/>
        </w:rPr>
      </w:pPr>
      <w:r w:rsidRPr="00005684">
        <w:rPr>
          <w:lang w:val="fr-FR"/>
        </w:rPr>
        <w:t>22.</w:t>
      </w:r>
      <w:r w:rsidRPr="00005684">
        <w:rPr>
          <w:lang w:val="fr-FR"/>
        </w:rPr>
        <w:tab/>
        <w:t>La Réunion des Parties à la Convention a d</w:t>
      </w:r>
      <w:r w:rsidR="00F51B2C" w:rsidRPr="00005684">
        <w:rPr>
          <w:lang w:val="fr-FR"/>
        </w:rPr>
        <w:t>’</w:t>
      </w:r>
      <w:r w:rsidRPr="00005684">
        <w:rPr>
          <w:lang w:val="fr-FR"/>
        </w:rPr>
        <w:t>abord examiné les projets de décision concernant un seul pays et délibéré à leur sujet, puis a examiné le projet de décision VIII/4 relatif aux questions générales concernant le respect des dispositions de la Convention. Les projets de décisions VIII/4a à c relatifs au respect par l</w:t>
      </w:r>
      <w:r w:rsidR="00F51B2C" w:rsidRPr="00005684">
        <w:rPr>
          <w:lang w:val="fr-FR"/>
        </w:rPr>
        <w:t>’</w:t>
      </w:r>
      <w:r w:rsidRPr="00005684">
        <w:rPr>
          <w:lang w:val="fr-FR"/>
        </w:rPr>
        <w:t>Arménie, l</w:t>
      </w:r>
      <w:r w:rsidR="00F51B2C" w:rsidRPr="00005684">
        <w:rPr>
          <w:lang w:val="fr-FR"/>
        </w:rPr>
        <w:t>’</w:t>
      </w:r>
      <w:r w:rsidRPr="00005684">
        <w:rPr>
          <w:lang w:val="fr-FR"/>
        </w:rPr>
        <w:t>Azerbaïdjan et le Bélarus des obligations qui leur incombent en vertu de la Convention ont été adoptés sans modification. Les Parties se sont mises d</w:t>
      </w:r>
      <w:r w:rsidR="00F51B2C" w:rsidRPr="00005684">
        <w:rPr>
          <w:lang w:val="fr-FR"/>
        </w:rPr>
        <w:t>’</w:t>
      </w:r>
      <w:r w:rsidRPr="00005684">
        <w:rPr>
          <w:lang w:val="fr-FR"/>
        </w:rPr>
        <w:t>accord sur une version révisée des autres projets de décision (projet de décision VIII/4, relatif aux questions générales, et projets de décision VIII/4d et e concernant le respect par l</w:t>
      </w:r>
      <w:r w:rsidR="00F51B2C" w:rsidRPr="00005684">
        <w:rPr>
          <w:lang w:val="fr-FR"/>
        </w:rPr>
        <w:t>’</w:t>
      </w:r>
      <w:r w:rsidRPr="00005684">
        <w:rPr>
          <w:lang w:val="fr-FR"/>
        </w:rPr>
        <w:t>Ukraine des obligations qui lui incombent en vertu de la Convention).</w:t>
      </w:r>
    </w:p>
    <w:p w14:paraId="4EA2E6A9" w14:textId="0BBFC795" w:rsidR="00447F9A" w:rsidRPr="00005684" w:rsidRDefault="00447F9A" w:rsidP="00110059">
      <w:pPr>
        <w:pStyle w:val="H23G"/>
        <w:rPr>
          <w:lang w:val="fr-FR"/>
        </w:rPr>
      </w:pPr>
      <w:r w:rsidRPr="00005684">
        <w:rPr>
          <w:lang w:val="fr-FR"/>
        </w:rPr>
        <w:tab/>
        <w:t>2.</w:t>
      </w:r>
      <w:r w:rsidRPr="00005684">
        <w:rPr>
          <w:lang w:val="fr-FR"/>
        </w:rPr>
        <w:tab/>
        <w:t>Applicabilité de la Convention s</w:t>
      </w:r>
      <w:r w:rsidR="00F51B2C" w:rsidRPr="00005684">
        <w:rPr>
          <w:lang w:val="fr-FR"/>
        </w:rPr>
        <w:t>’</w:t>
      </w:r>
      <w:r w:rsidRPr="00005684">
        <w:rPr>
          <w:lang w:val="fr-FR"/>
        </w:rPr>
        <w:t xml:space="preserve">agissant de la prolongation de la durée de vie </w:t>
      </w:r>
      <w:r w:rsidR="00110059" w:rsidRPr="00005684">
        <w:rPr>
          <w:lang w:val="fr-FR"/>
        </w:rPr>
        <w:br/>
      </w:r>
      <w:r w:rsidRPr="00005684">
        <w:rPr>
          <w:lang w:val="fr-FR"/>
        </w:rPr>
        <w:t>des centrales nucléaires</w:t>
      </w:r>
    </w:p>
    <w:p w14:paraId="5A77CE57" w14:textId="5A971501" w:rsidR="00447F9A" w:rsidRPr="00005684" w:rsidRDefault="00447F9A" w:rsidP="00447F9A">
      <w:pPr>
        <w:pStyle w:val="SingleTxtG"/>
        <w:rPr>
          <w:lang w:val="fr-FR"/>
        </w:rPr>
      </w:pPr>
      <w:r w:rsidRPr="00005684">
        <w:rPr>
          <w:lang w:val="fr-FR"/>
        </w:rPr>
        <w:t>23.</w:t>
      </w:r>
      <w:r w:rsidRPr="00005684">
        <w:rPr>
          <w:lang w:val="fr-FR"/>
        </w:rPr>
        <w:tab/>
        <w:t>Les représentants de l</w:t>
      </w:r>
      <w:r w:rsidR="00F51B2C" w:rsidRPr="00005684">
        <w:rPr>
          <w:lang w:val="fr-FR"/>
        </w:rPr>
        <w:t>’</w:t>
      </w:r>
      <w:r w:rsidRPr="00005684">
        <w:rPr>
          <w:lang w:val="fr-FR"/>
        </w:rPr>
        <w:t>Allemagne et du Royaume-Uni de Grande-Bretagne et d</w:t>
      </w:r>
      <w:r w:rsidR="00F51B2C" w:rsidRPr="00005684">
        <w:rPr>
          <w:lang w:val="fr-FR"/>
        </w:rPr>
        <w:t>’</w:t>
      </w:r>
      <w:r w:rsidRPr="00005684">
        <w:rPr>
          <w:lang w:val="fr-FR"/>
        </w:rPr>
        <w:t>Irlande du Nord ont résumé les travaux préparatoires pour le projet de lignes directrices sur l</w:t>
      </w:r>
      <w:r w:rsidR="00F51B2C" w:rsidRPr="00005684">
        <w:rPr>
          <w:lang w:val="fr-FR"/>
        </w:rPr>
        <w:t>’</w:t>
      </w:r>
      <w:r w:rsidRPr="00005684">
        <w:rPr>
          <w:lang w:val="fr-FR"/>
        </w:rPr>
        <w:t>applicabilité de la Convention s</w:t>
      </w:r>
      <w:r w:rsidR="00F51B2C" w:rsidRPr="00005684">
        <w:rPr>
          <w:lang w:val="fr-FR"/>
        </w:rPr>
        <w:t>’</w:t>
      </w:r>
      <w:r w:rsidRPr="00005684">
        <w:rPr>
          <w:lang w:val="fr-FR"/>
        </w:rPr>
        <w:t>agissant de la prolongation de la durée de vie des centrales nucléaires (ECE/MP.EIA/2020/9), menés pendant la période intersessions par un groupe de travail spécial qu</w:t>
      </w:r>
      <w:r w:rsidR="00F51B2C" w:rsidRPr="00005684">
        <w:rPr>
          <w:lang w:val="fr-FR"/>
        </w:rPr>
        <w:t>’</w:t>
      </w:r>
      <w:r w:rsidRPr="00005684">
        <w:rPr>
          <w:lang w:val="fr-FR"/>
        </w:rPr>
        <w:t>ils présidaient conjointement. Les Coprésidents ont souligné l</w:t>
      </w:r>
      <w:r w:rsidR="00F51B2C" w:rsidRPr="00005684">
        <w:rPr>
          <w:lang w:val="fr-FR"/>
        </w:rPr>
        <w:t>’</w:t>
      </w:r>
      <w:r w:rsidRPr="00005684">
        <w:rPr>
          <w:lang w:val="fr-FR"/>
        </w:rPr>
        <w:t>ampleur des efforts qui avaient été faits et des difficultés qu</w:t>
      </w:r>
      <w:r w:rsidR="00F51B2C" w:rsidRPr="00005684">
        <w:rPr>
          <w:lang w:val="fr-FR"/>
        </w:rPr>
        <w:t>’</w:t>
      </w:r>
      <w:r w:rsidRPr="00005684">
        <w:rPr>
          <w:lang w:val="fr-FR"/>
        </w:rPr>
        <w:t>il avait fallu surmonter pour élaborer un projet pouvant être validé, compte tenu des divergences entre les Parties sur le sujet examiné et des effets de la pandémie, et cité les quelques questions en suspens que le groupe de travail spécial avait laissées à l</w:t>
      </w:r>
      <w:r w:rsidR="00F51B2C" w:rsidRPr="00005684">
        <w:rPr>
          <w:lang w:val="fr-FR"/>
        </w:rPr>
        <w:t>’</w:t>
      </w:r>
      <w:r w:rsidRPr="00005684">
        <w:rPr>
          <w:lang w:val="fr-FR"/>
        </w:rPr>
        <w:t>appréciation des Réunions des Parties. La Réunion des Parties à la Convention s</w:t>
      </w:r>
      <w:r w:rsidR="00F51B2C" w:rsidRPr="00005684">
        <w:rPr>
          <w:lang w:val="fr-FR"/>
        </w:rPr>
        <w:t>’</w:t>
      </w:r>
      <w:r w:rsidRPr="00005684">
        <w:rPr>
          <w:lang w:val="fr-FR"/>
        </w:rPr>
        <w:t>est félicitée du travail considérable que le groupe de travail spécial avait accompli en rédigeant les lignes directrices, a souligné le rôle clef des Coprésidents à cet égard et a réaffirmé qu</w:t>
      </w:r>
      <w:r w:rsidR="00F51B2C" w:rsidRPr="00005684">
        <w:rPr>
          <w:lang w:val="fr-FR"/>
        </w:rPr>
        <w:t>’</w:t>
      </w:r>
      <w:r w:rsidRPr="00005684">
        <w:rPr>
          <w:lang w:val="fr-FR"/>
        </w:rPr>
        <w:t xml:space="preserve">il était urgent de disposer </w:t>
      </w:r>
      <w:bookmarkStart w:id="10" w:name="_Hlk68249542"/>
      <w:r w:rsidRPr="00005684">
        <w:rPr>
          <w:lang w:val="fr-FR"/>
        </w:rPr>
        <w:t>de lignes directrices</w:t>
      </w:r>
      <w:bookmarkEnd w:id="10"/>
      <w:r w:rsidRPr="00005684">
        <w:rPr>
          <w:lang w:val="fr-FR"/>
        </w:rPr>
        <w:t>. Elle a approuvé une version définitive du projet de lignes directrices fondée sur les propositions de compromis de la délégation de l</w:t>
      </w:r>
      <w:r w:rsidR="00F51B2C" w:rsidRPr="00005684">
        <w:rPr>
          <w:lang w:val="fr-FR"/>
        </w:rPr>
        <w:t>’</w:t>
      </w:r>
      <w:r w:rsidRPr="00005684">
        <w:rPr>
          <w:lang w:val="fr-FR"/>
        </w:rPr>
        <w:t>Union européenne, qui avaient été distribuées aux participants inscrits avant les sessions. Après avoir approuvé les lignes directrices dans le cadre du débat de haut niveau, les Réunions des Parties ont prié le secrétariat d</w:t>
      </w:r>
      <w:r w:rsidR="00F51B2C" w:rsidRPr="00005684">
        <w:rPr>
          <w:lang w:val="fr-FR"/>
        </w:rPr>
        <w:t>’</w:t>
      </w:r>
      <w:r w:rsidRPr="00005684">
        <w:rPr>
          <w:lang w:val="fr-FR"/>
        </w:rPr>
        <w:t>en assurer la publication.</w:t>
      </w:r>
    </w:p>
    <w:p w14:paraId="4133BD7E" w14:textId="37798D09" w:rsidR="00447F9A" w:rsidRPr="00005684" w:rsidRDefault="00447F9A" w:rsidP="00447F9A">
      <w:pPr>
        <w:pStyle w:val="SingleTxtG"/>
        <w:rPr>
          <w:lang w:val="fr-FR"/>
        </w:rPr>
      </w:pPr>
      <w:r w:rsidRPr="00005684">
        <w:rPr>
          <w:lang w:val="fr-FR"/>
        </w:rPr>
        <w:t>24.</w:t>
      </w:r>
      <w:r w:rsidRPr="00005684">
        <w:rPr>
          <w:lang w:val="fr-FR"/>
        </w:rPr>
        <w:tab/>
        <w:t>Les Réunions des Parties ont aussi examiné le projet de décision révisé VIII/6 concernant l</w:t>
      </w:r>
      <w:r w:rsidR="00F51B2C" w:rsidRPr="00005684">
        <w:rPr>
          <w:lang w:val="fr-FR"/>
        </w:rPr>
        <w:t>’</w:t>
      </w:r>
      <w:r w:rsidRPr="00005684">
        <w:rPr>
          <w:lang w:val="fr-FR"/>
        </w:rPr>
        <w:t>applicabilité de la Convention s</w:t>
      </w:r>
      <w:r w:rsidR="00F51B2C" w:rsidRPr="00005684">
        <w:rPr>
          <w:lang w:val="fr-FR"/>
        </w:rPr>
        <w:t>’</w:t>
      </w:r>
      <w:r w:rsidRPr="00005684">
        <w:rPr>
          <w:lang w:val="fr-FR"/>
        </w:rPr>
        <w:t>agissant de la prolongation de la durée de vie des centrales nucléaires (ECE/MP.EIA/2020/7) et l</w:t>
      </w:r>
      <w:r w:rsidR="00F51B2C" w:rsidRPr="00005684">
        <w:rPr>
          <w:lang w:val="fr-FR"/>
        </w:rPr>
        <w:t>’</w:t>
      </w:r>
      <w:r w:rsidRPr="00005684">
        <w:rPr>
          <w:lang w:val="fr-FR"/>
        </w:rPr>
        <w:t>ont approuvé.</w:t>
      </w:r>
    </w:p>
    <w:p w14:paraId="78F95519" w14:textId="4D245A0D" w:rsidR="00447F9A" w:rsidRPr="00005684" w:rsidRDefault="00447F9A" w:rsidP="00110059">
      <w:pPr>
        <w:pStyle w:val="H23G"/>
        <w:rPr>
          <w:lang w:val="fr-FR"/>
        </w:rPr>
      </w:pPr>
      <w:r w:rsidRPr="00005684">
        <w:rPr>
          <w:lang w:val="fr-FR"/>
        </w:rPr>
        <w:tab/>
        <w:t>3.</w:t>
      </w:r>
      <w:r w:rsidRPr="00005684">
        <w:rPr>
          <w:lang w:val="fr-FR"/>
        </w:rPr>
        <w:tab/>
        <w:t>Établissement de rapports et examen de l</w:t>
      </w:r>
      <w:r w:rsidR="00F51B2C" w:rsidRPr="00005684">
        <w:rPr>
          <w:lang w:val="fr-FR"/>
        </w:rPr>
        <w:t>’</w:t>
      </w:r>
      <w:r w:rsidRPr="00005684">
        <w:rPr>
          <w:lang w:val="fr-FR"/>
        </w:rPr>
        <w:t>application de la Convention</w:t>
      </w:r>
    </w:p>
    <w:p w14:paraId="1042A77B" w14:textId="36A515A1" w:rsidR="00447F9A" w:rsidRPr="00005684" w:rsidRDefault="00447F9A" w:rsidP="00447F9A">
      <w:pPr>
        <w:pStyle w:val="SingleTxtG"/>
        <w:rPr>
          <w:lang w:val="fr-FR"/>
        </w:rPr>
      </w:pPr>
      <w:r w:rsidRPr="00005684">
        <w:rPr>
          <w:lang w:val="fr-FR"/>
        </w:rPr>
        <w:t>25.</w:t>
      </w:r>
      <w:r w:rsidRPr="00005684">
        <w:rPr>
          <w:lang w:val="fr-FR"/>
        </w:rPr>
        <w:tab/>
      </w:r>
      <w:bookmarkStart w:id="11" w:name="_Hlk62488044"/>
      <w:r w:rsidRPr="00005684">
        <w:rPr>
          <w:lang w:val="fr-FR"/>
        </w:rPr>
        <w:t>Le secrétariat a présenté le projet de décision VIII/5 sur l</w:t>
      </w:r>
      <w:r w:rsidR="00F51B2C" w:rsidRPr="00005684">
        <w:rPr>
          <w:lang w:val="fr-FR"/>
        </w:rPr>
        <w:t>’</w:t>
      </w:r>
      <w:r w:rsidRPr="00005684">
        <w:rPr>
          <w:lang w:val="fr-FR"/>
        </w:rPr>
        <w:t>établissement de rapports et l</w:t>
      </w:r>
      <w:r w:rsidR="00F51B2C" w:rsidRPr="00005684">
        <w:rPr>
          <w:lang w:val="fr-FR"/>
        </w:rPr>
        <w:t>’</w:t>
      </w:r>
      <w:r w:rsidRPr="00005684">
        <w:rPr>
          <w:lang w:val="fr-FR"/>
        </w:rPr>
        <w:t>examen de l</w:t>
      </w:r>
      <w:r w:rsidR="00F51B2C" w:rsidRPr="00005684">
        <w:rPr>
          <w:lang w:val="fr-FR"/>
        </w:rPr>
        <w:t>’</w:t>
      </w:r>
      <w:r w:rsidRPr="00005684">
        <w:rPr>
          <w:lang w:val="fr-FR"/>
        </w:rPr>
        <w:t>application de la Convention (ECE/MP.EIA/2020/7),</w:t>
      </w:r>
      <w:bookmarkStart w:id="12" w:name="_Hlk68190550"/>
      <w:r w:rsidRPr="00005684">
        <w:rPr>
          <w:lang w:val="fr-FR"/>
        </w:rPr>
        <w:t xml:space="preserve"> dans lequel figurent les conclusions tirées du projet de rapport sur le sixième examen de l</w:t>
      </w:r>
      <w:r w:rsidR="00F51B2C" w:rsidRPr="00005684">
        <w:rPr>
          <w:lang w:val="fr-FR"/>
        </w:rPr>
        <w:t>’</w:t>
      </w:r>
      <w:r w:rsidRPr="00005684">
        <w:rPr>
          <w:lang w:val="fr-FR"/>
        </w:rPr>
        <w:t xml:space="preserve">application de la Convention approuvées par le Groupe de travail à sa précédente réunion </w:t>
      </w:r>
      <w:bookmarkEnd w:id="12"/>
      <w:r w:rsidRPr="00005684">
        <w:rPr>
          <w:lang w:val="fr-FR"/>
        </w:rPr>
        <w:t xml:space="preserve">(ECE/MP.EIA/2020/8). </w:t>
      </w:r>
      <w:bookmarkEnd w:id="11"/>
      <w:r w:rsidRPr="00005684">
        <w:rPr>
          <w:lang w:val="fr-FR"/>
        </w:rPr>
        <w:t>La Réunion des Parties a établi le texte définitif du projet de décision en tenant compte des révisions proposées par la délégation de l</w:t>
      </w:r>
      <w:r w:rsidR="00F51B2C" w:rsidRPr="00005684">
        <w:rPr>
          <w:lang w:val="fr-FR"/>
        </w:rPr>
        <w:t>’</w:t>
      </w:r>
      <w:r w:rsidRPr="00005684">
        <w:rPr>
          <w:lang w:val="fr-FR"/>
        </w:rPr>
        <w:t>Union européenne</w:t>
      </w:r>
      <w:r w:rsidR="00110059" w:rsidRPr="00005684">
        <w:rPr>
          <w:lang w:val="fr-FR"/>
        </w:rPr>
        <w:t>.</w:t>
      </w:r>
    </w:p>
    <w:p w14:paraId="681FD5D9" w14:textId="77777777" w:rsidR="00447F9A" w:rsidRPr="00005684" w:rsidRDefault="00447F9A" w:rsidP="00110059">
      <w:pPr>
        <w:pStyle w:val="H1G"/>
        <w:rPr>
          <w:lang w:val="fr-FR"/>
        </w:rPr>
      </w:pPr>
      <w:r w:rsidRPr="00005684">
        <w:rPr>
          <w:lang w:val="fr-FR"/>
        </w:rPr>
        <w:tab/>
        <w:t>C.</w:t>
      </w:r>
      <w:r w:rsidRPr="00005684">
        <w:rPr>
          <w:lang w:val="fr-FR"/>
        </w:rPr>
        <w:tab/>
        <w:t>Questions en suspens concernant le Protocole</w:t>
      </w:r>
    </w:p>
    <w:p w14:paraId="285BE091" w14:textId="6A1B9893" w:rsidR="00447F9A" w:rsidRPr="00005684" w:rsidRDefault="00447F9A" w:rsidP="00110059">
      <w:pPr>
        <w:pStyle w:val="H23G"/>
        <w:rPr>
          <w:lang w:val="fr-FR"/>
        </w:rPr>
      </w:pPr>
      <w:r w:rsidRPr="00005684">
        <w:rPr>
          <w:lang w:val="fr-FR"/>
        </w:rPr>
        <w:tab/>
        <w:t>1.</w:t>
      </w:r>
      <w:r w:rsidRPr="00005684">
        <w:rPr>
          <w:lang w:val="fr-FR"/>
        </w:rPr>
        <w:tab/>
        <w:t>Examen de l</w:t>
      </w:r>
      <w:r w:rsidR="00F51B2C" w:rsidRPr="00005684">
        <w:rPr>
          <w:lang w:val="fr-FR"/>
        </w:rPr>
        <w:t>’</w:t>
      </w:r>
      <w:r w:rsidRPr="00005684">
        <w:rPr>
          <w:lang w:val="fr-FR"/>
        </w:rPr>
        <w:t>application du Protocole</w:t>
      </w:r>
    </w:p>
    <w:p w14:paraId="67C2E261" w14:textId="096E432C" w:rsidR="00447F9A" w:rsidRPr="00005684" w:rsidRDefault="00447F9A" w:rsidP="00447F9A">
      <w:pPr>
        <w:pStyle w:val="SingleTxtG"/>
        <w:rPr>
          <w:lang w:val="fr-FR"/>
        </w:rPr>
      </w:pPr>
      <w:r w:rsidRPr="00005684">
        <w:rPr>
          <w:lang w:val="fr-FR"/>
        </w:rPr>
        <w:t>26.</w:t>
      </w:r>
      <w:r w:rsidRPr="00005684">
        <w:rPr>
          <w:lang w:val="fr-FR"/>
        </w:rPr>
        <w:tab/>
        <w:t>Le Président du Comité d</w:t>
      </w:r>
      <w:r w:rsidR="00F51B2C" w:rsidRPr="00005684">
        <w:rPr>
          <w:lang w:val="fr-FR"/>
        </w:rPr>
        <w:t>’</w:t>
      </w:r>
      <w:r w:rsidRPr="00005684">
        <w:rPr>
          <w:lang w:val="fr-FR"/>
        </w:rPr>
        <w:t>application a présenté le projet de décision IV/4 sur les questions générales concernant le respect des dispositions du Protocole (ECE/MP.EIA/SEA/2020/9). La Réunion des Parties au Protocole a décidé de transmettre le projet de décision au débat de haut niveau sans le modifier.</w:t>
      </w:r>
    </w:p>
    <w:p w14:paraId="3A739CEC" w14:textId="786F0F4A" w:rsidR="00447F9A" w:rsidRPr="00005684" w:rsidRDefault="00447F9A" w:rsidP="00110059">
      <w:pPr>
        <w:pStyle w:val="H23G"/>
        <w:rPr>
          <w:lang w:val="fr-FR"/>
        </w:rPr>
      </w:pPr>
      <w:r w:rsidRPr="00005684">
        <w:rPr>
          <w:lang w:val="fr-FR"/>
        </w:rPr>
        <w:tab/>
        <w:t>2.</w:t>
      </w:r>
      <w:r w:rsidRPr="00005684">
        <w:rPr>
          <w:lang w:val="fr-FR"/>
        </w:rPr>
        <w:tab/>
        <w:t>Établissement de rapports et examen de l</w:t>
      </w:r>
      <w:r w:rsidR="00F51B2C" w:rsidRPr="00005684">
        <w:rPr>
          <w:lang w:val="fr-FR"/>
        </w:rPr>
        <w:t>’</w:t>
      </w:r>
      <w:r w:rsidRPr="00005684">
        <w:rPr>
          <w:lang w:val="fr-FR"/>
        </w:rPr>
        <w:t>application du Protocole</w:t>
      </w:r>
    </w:p>
    <w:p w14:paraId="0057E2FA" w14:textId="6613A00F" w:rsidR="00447F9A" w:rsidRPr="00005684" w:rsidRDefault="00447F9A" w:rsidP="00447F9A">
      <w:pPr>
        <w:pStyle w:val="SingleTxtG"/>
        <w:rPr>
          <w:bCs/>
          <w:lang w:val="fr-FR"/>
        </w:rPr>
      </w:pPr>
      <w:r w:rsidRPr="00005684">
        <w:rPr>
          <w:lang w:val="fr-FR"/>
        </w:rPr>
        <w:t>27.</w:t>
      </w:r>
      <w:r w:rsidRPr="00005684">
        <w:rPr>
          <w:lang w:val="fr-FR"/>
        </w:rPr>
        <w:tab/>
        <w:t>Le secrétariat a présenté le projet de décision IV/5 sur l</w:t>
      </w:r>
      <w:r w:rsidR="00F51B2C" w:rsidRPr="00005684">
        <w:rPr>
          <w:lang w:val="fr-FR"/>
        </w:rPr>
        <w:t>’</w:t>
      </w:r>
      <w:r w:rsidRPr="00005684">
        <w:rPr>
          <w:lang w:val="fr-FR"/>
        </w:rPr>
        <w:t>établissement de rapports et l</w:t>
      </w:r>
      <w:r w:rsidR="00F51B2C" w:rsidRPr="00005684">
        <w:rPr>
          <w:lang w:val="fr-FR"/>
        </w:rPr>
        <w:t>’</w:t>
      </w:r>
      <w:r w:rsidRPr="00005684">
        <w:rPr>
          <w:lang w:val="fr-FR"/>
        </w:rPr>
        <w:t>examen de l</w:t>
      </w:r>
      <w:r w:rsidR="00F51B2C" w:rsidRPr="00005684">
        <w:rPr>
          <w:lang w:val="fr-FR"/>
        </w:rPr>
        <w:t>’</w:t>
      </w:r>
      <w:r w:rsidRPr="00005684">
        <w:rPr>
          <w:lang w:val="fr-FR"/>
        </w:rPr>
        <w:t>application du Protocole (ECE/MP.EIA/SEA/2020/7), dans lequel figurent les conclusions tirées du projet de troisième examen de l</w:t>
      </w:r>
      <w:r w:rsidR="00F51B2C" w:rsidRPr="00005684">
        <w:rPr>
          <w:lang w:val="fr-FR"/>
        </w:rPr>
        <w:t>’</w:t>
      </w:r>
      <w:r w:rsidRPr="00005684">
        <w:rPr>
          <w:lang w:val="fr-FR"/>
        </w:rPr>
        <w:t>application du Protocole approuvées par le Groupe de travail à sa précédente réunion (ECE/MP.EIA/SEA/2020/8).</w:t>
      </w:r>
    </w:p>
    <w:p w14:paraId="46AB511C" w14:textId="77777777" w:rsidR="00447F9A" w:rsidRPr="00005684" w:rsidRDefault="00447F9A" w:rsidP="00110059">
      <w:pPr>
        <w:pStyle w:val="HChG"/>
        <w:rPr>
          <w:lang w:val="fr-FR"/>
        </w:rPr>
      </w:pPr>
      <w:r w:rsidRPr="00005684">
        <w:rPr>
          <w:lang w:val="fr-FR"/>
        </w:rPr>
        <w:tab/>
        <w:t>III.</w:t>
      </w:r>
      <w:r w:rsidRPr="00005684">
        <w:rPr>
          <w:lang w:val="fr-FR"/>
        </w:rPr>
        <w:tab/>
        <w:t>Examen du plan de travail</w:t>
      </w:r>
    </w:p>
    <w:p w14:paraId="3553732B" w14:textId="031C11F3" w:rsidR="00447F9A" w:rsidRPr="00005684" w:rsidRDefault="00447F9A" w:rsidP="00447F9A">
      <w:pPr>
        <w:pStyle w:val="SingleTxtG"/>
        <w:rPr>
          <w:lang w:val="fr-FR"/>
        </w:rPr>
      </w:pPr>
      <w:r w:rsidRPr="00005684">
        <w:rPr>
          <w:lang w:val="fr-FR"/>
        </w:rPr>
        <w:t>28.</w:t>
      </w:r>
      <w:r w:rsidRPr="00005684">
        <w:rPr>
          <w:lang w:val="fr-FR"/>
        </w:rPr>
        <w:tab/>
      </w:r>
      <w:bookmarkStart w:id="13" w:name="_Hlk74040327"/>
      <w:r w:rsidRPr="00005684">
        <w:rPr>
          <w:lang w:val="fr-FR"/>
        </w:rPr>
        <w:t xml:space="preserve">Les Réunions des Parties ont examiné les progrès réalisés </w:t>
      </w:r>
      <w:r w:rsidR="00005684" w:rsidRPr="00005684">
        <w:rPr>
          <w:lang w:val="fr-FR"/>
        </w:rPr>
        <w:t xml:space="preserve">dernièrement </w:t>
      </w:r>
      <w:r w:rsidRPr="00005684">
        <w:rPr>
          <w:lang w:val="fr-FR"/>
        </w:rPr>
        <w:t>dans l</w:t>
      </w:r>
      <w:r w:rsidR="00F51B2C" w:rsidRPr="00005684">
        <w:rPr>
          <w:lang w:val="fr-FR"/>
        </w:rPr>
        <w:t>’</w:t>
      </w:r>
      <w:r w:rsidRPr="00005684">
        <w:rPr>
          <w:lang w:val="fr-FR"/>
        </w:rPr>
        <w:t>exécution du plan de travail pour l</w:t>
      </w:r>
      <w:r w:rsidR="00F51B2C" w:rsidRPr="00005684">
        <w:rPr>
          <w:lang w:val="fr-FR"/>
        </w:rPr>
        <w:t>’</w:t>
      </w:r>
      <w:r w:rsidRPr="00005684">
        <w:rPr>
          <w:lang w:val="fr-FR"/>
        </w:rPr>
        <w:t>application de la Convention et du Protocole au cours de la période 2017-2020</w:t>
      </w:r>
      <w:bookmarkEnd w:id="13"/>
      <w:r w:rsidRPr="00005684">
        <w:rPr>
          <w:lang w:val="fr-FR"/>
        </w:rPr>
        <w:t xml:space="preserve"> (voir ECE/MP.EIA/23/Add.1</w:t>
      </w:r>
      <w:r w:rsidR="00271D98" w:rsidRPr="00005684">
        <w:rPr>
          <w:lang w:val="fr-FR"/>
        </w:rPr>
        <w:t>-</w:t>
      </w:r>
      <w:r w:rsidRPr="00005684">
        <w:rPr>
          <w:lang w:val="fr-FR"/>
        </w:rPr>
        <w:t>ECE/MP.EIA/SEA/7/Add.1, décision VII/3</w:t>
      </w:r>
      <w:r w:rsidR="00110059" w:rsidRPr="00005684">
        <w:rPr>
          <w:lang w:val="fr-FR"/>
        </w:rPr>
        <w:t>-</w:t>
      </w:r>
      <w:r w:rsidRPr="00005684">
        <w:rPr>
          <w:lang w:val="fr-FR"/>
        </w:rPr>
        <w:t>III/3, annexe I), présentés dans le document informel ECE/MP.EIA/2020/INF.5. Le secrétariat a souligné qu</w:t>
      </w:r>
      <w:r w:rsidR="00F51B2C" w:rsidRPr="00005684">
        <w:rPr>
          <w:lang w:val="fr-FR"/>
        </w:rPr>
        <w:t>’</w:t>
      </w:r>
      <w:r w:rsidRPr="00005684">
        <w:rPr>
          <w:lang w:val="fr-FR"/>
        </w:rPr>
        <w:t>en dépit des difficultés liées à la pandémie, toutes les réunions officielles avaient eu lieu et environ 75</w:t>
      </w:r>
      <w:r w:rsidR="006E25CC" w:rsidRPr="00005684">
        <w:rPr>
          <w:lang w:val="fr-FR"/>
        </w:rPr>
        <w:t> </w:t>
      </w:r>
      <w:r w:rsidRPr="00005684">
        <w:rPr>
          <w:lang w:val="fr-FR"/>
        </w:rPr>
        <w:t>% des activités du plan de travail (dont 100</w:t>
      </w:r>
      <w:r w:rsidR="006E25CC" w:rsidRPr="00005684">
        <w:rPr>
          <w:lang w:val="fr-FR"/>
        </w:rPr>
        <w:t> </w:t>
      </w:r>
      <w:r w:rsidRPr="00005684">
        <w:rPr>
          <w:lang w:val="fr-FR"/>
        </w:rPr>
        <w:t>% des activités relevant de la priorité 1) avaient été exécutées, et que, 15</w:t>
      </w:r>
      <w:r w:rsidR="006E25CC" w:rsidRPr="00005684">
        <w:rPr>
          <w:lang w:val="fr-FR"/>
        </w:rPr>
        <w:t> </w:t>
      </w:r>
      <w:r w:rsidRPr="00005684">
        <w:rPr>
          <w:lang w:val="fr-FR"/>
        </w:rPr>
        <w:t>% de ces activités étant en cours d</w:t>
      </w:r>
      <w:r w:rsidR="00F51B2C" w:rsidRPr="00005684">
        <w:rPr>
          <w:lang w:val="fr-FR"/>
        </w:rPr>
        <w:t>’</w:t>
      </w:r>
      <w:r w:rsidRPr="00005684">
        <w:rPr>
          <w:lang w:val="fr-FR"/>
        </w:rPr>
        <w:t>exécution, le taux d</w:t>
      </w:r>
      <w:r w:rsidR="00F51B2C" w:rsidRPr="00005684">
        <w:rPr>
          <w:lang w:val="fr-FR"/>
        </w:rPr>
        <w:t>’</w:t>
      </w:r>
      <w:r w:rsidRPr="00005684">
        <w:rPr>
          <w:lang w:val="fr-FR"/>
        </w:rPr>
        <w:t>exécution total était de 90</w:t>
      </w:r>
      <w:r w:rsidR="006E25CC" w:rsidRPr="00005684">
        <w:rPr>
          <w:lang w:val="fr-FR"/>
        </w:rPr>
        <w:t> </w:t>
      </w:r>
      <w:r w:rsidRPr="00005684">
        <w:rPr>
          <w:lang w:val="fr-FR"/>
        </w:rPr>
        <w:t>%. En outre, plusieurs activités supplémentaires liées au plan de travail avaient été menées à bien au cours de la période.</w:t>
      </w:r>
    </w:p>
    <w:p w14:paraId="5D76123C" w14:textId="77777777" w:rsidR="00447F9A" w:rsidRPr="00005684" w:rsidRDefault="00447F9A" w:rsidP="006E25CC">
      <w:pPr>
        <w:pStyle w:val="H1G"/>
        <w:rPr>
          <w:lang w:val="fr-FR"/>
        </w:rPr>
      </w:pPr>
      <w:r w:rsidRPr="00005684">
        <w:rPr>
          <w:lang w:val="fr-FR"/>
        </w:rPr>
        <w:tab/>
        <w:t>A.</w:t>
      </w:r>
      <w:r w:rsidRPr="00005684">
        <w:rPr>
          <w:lang w:val="fr-FR"/>
        </w:rPr>
        <w:tab/>
        <w:t>Respect des dispositions et application de la Convention et du Protocole</w:t>
      </w:r>
    </w:p>
    <w:p w14:paraId="15A66AEE" w14:textId="07B94D8D" w:rsidR="00447F9A" w:rsidRPr="00005684" w:rsidRDefault="00447F9A" w:rsidP="00447F9A">
      <w:pPr>
        <w:pStyle w:val="SingleTxtG"/>
        <w:rPr>
          <w:lang w:val="fr-FR"/>
        </w:rPr>
      </w:pPr>
      <w:r w:rsidRPr="00005684">
        <w:rPr>
          <w:lang w:val="fr-FR"/>
        </w:rPr>
        <w:t>29.</w:t>
      </w:r>
      <w:r w:rsidRPr="00005684">
        <w:rPr>
          <w:lang w:val="fr-FR"/>
        </w:rPr>
        <w:tab/>
        <w:t>Le Président du Comité d</w:t>
      </w:r>
      <w:r w:rsidR="00F51B2C" w:rsidRPr="00005684">
        <w:rPr>
          <w:lang w:val="fr-FR"/>
        </w:rPr>
        <w:t>’</w:t>
      </w:r>
      <w:r w:rsidRPr="00005684">
        <w:rPr>
          <w:lang w:val="fr-FR"/>
        </w:rPr>
        <w:t>application a rendu compte des activités menées par cet organe depuis les précédentes sessions des Réunions des Parties, tenues en juin 2017 (ECE/MP.EIA/2020/4</w:t>
      </w:r>
      <w:r w:rsidR="00271D98" w:rsidRPr="00005684">
        <w:rPr>
          <w:lang w:val="fr-FR"/>
        </w:rPr>
        <w:t>-</w:t>
      </w:r>
      <w:r w:rsidRPr="00005684">
        <w:rPr>
          <w:lang w:val="fr-FR"/>
        </w:rPr>
        <w:t>ECE/MP.EIA/SEA/2020/4). Il a souligné que la révision demandée, en amont des sessions intermédiaires des Réunions des Parties (Genève, 2-5</w:t>
      </w:r>
      <w:r w:rsidR="006E25CC" w:rsidRPr="00005684">
        <w:rPr>
          <w:lang w:val="fr-FR"/>
        </w:rPr>
        <w:t> </w:t>
      </w:r>
      <w:r w:rsidRPr="00005684">
        <w:rPr>
          <w:lang w:val="fr-FR"/>
        </w:rPr>
        <w:t>février 2019), du projet de décision VII/2 sur l</w:t>
      </w:r>
      <w:r w:rsidR="00F51B2C" w:rsidRPr="00005684">
        <w:rPr>
          <w:lang w:val="fr-FR"/>
        </w:rPr>
        <w:t>’</w:t>
      </w:r>
      <w:r w:rsidRPr="00005684">
        <w:rPr>
          <w:lang w:val="fr-FR"/>
        </w:rPr>
        <w:t>examen du respect des dispositions de la Convention (ECE/MP.EIA/2017/8) avait considérablement retardé l</w:t>
      </w:r>
      <w:r w:rsidR="00F51B2C" w:rsidRPr="00005684">
        <w:rPr>
          <w:lang w:val="fr-FR"/>
        </w:rPr>
        <w:t>’</w:t>
      </w:r>
      <w:r w:rsidRPr="00005684">
        <w:rPr>
          <w:lang w:val="fr-FR"/>
        </w:rPr>
        <w:t>examen de nombreuses questions en suspens et de nouveaux problèmes en matière de respect des dispositions. En outre, l</w:t>
      </w:r>
      <w:r w:rsidR="00F51B2C" w:rsidRPr="00005684">
        <w:rPr>
          <w:lang w:val="fr-FR"/>
        </w:rPr>
        <w:t>’</w:t>
      </w:r>
      <w:r w:rsidRPr="00005684">
        <w:rPr>
          <w:lang w:val="fr-FR"/>
        </w:rPr>
        <w:t>élaboration d</w:t>
      </w:r>
      <w:r w:rsidR="00F51B2C" w:rsidRPr="00005684">
        <w:rPr>
          <w:lang w:val="fr-FR"/>
        </w:rPr>
        <w:t>’</w:t>
      </w:r>
      <w:r w:rsidRPr="00005684">
        <w:rPr>
          <w:lang w:val="fr-FR"/>
        </w:rPr>
        <w:t>orientations sur la prolongation de la durée de vie des centrales nucléaires n</w:t>
      </w:r>
      <w:r w:rsidR="00F51B2C" w:rsidRPr="00005684">
        <w:rPr>
          <w:lang w:val="fr-FR"/>
        </w:rPr>
        <w:t>’</w:t>
      </w:r>
      <w:r w:rsidRPr="00005684">
        <w:rPr>
          <w:lang w:val="fr-FR"/>
        </w:rPr>
        <w:t>étant pas achevée, le Comité n</w:t>
      </w:r>
      <w:r w:rsidR="00F51B2C" w:rsidRPr="00005684">
        <w:rPr>
          <w:lang w:val="fr-FR"/>
        </w:rPr>
        <w:t>’</w:t>
      </w:r>
      <w:r w:rsidRPr="00005684">
        <w:rPr>
          <w:lang w:val="fr-FR"/>
        </w:rPr>
        <w:t>avait pas pu conclure ses délibérations sur les cas s</w:t>
      </w:r>
      <w:r w:rsidR="00F51B2C" w:rsidRPr="00005684">
        <w:rPr>
          <w:lang w:val="fr-FR"/>
        </w:rPr>
        <w:t>’</w:t>
      </w:r>
      <w:r w:rsidRPr="00005684">
        <w:rPr>
          <w:lang w:val="fr-FR"/>
        </w:rPr>
        <w:t>y rapportant. Pour faire face à sa charge de travail considérable, le Comité a examiné les moyens d</w:t>
      </w:r>
      <w:r w:rsidR="00F51B2C" w:rsidRPr="00005684">
        <w:rPr>
          <w:lang w:val="fr-FR"/>
        </w:rPr>
        <w:t>’</w:t>
      </w:r>
      <w:r w:rsidRPr="00005684">
        <w:rPr>
          <w:lang w:val="fr-FR"/>
        </w:rPr>
        <w:t>améliorer l</w:t>
      </w:r>
      <w:r w:rsidR="00F51B2C" w:rsidRPr="00005684">
        <w:rPr>
          <w:lang w:val="fr-FR"/>
        </w:rPr>
        <w:t>’</w:t>
      </w:r>
      <w:r w:rsidRPr="00005684">
        <w:rPr>
          <w:lang w:val="fr-FR"/>
        </w:rPr>
        <w:t>efficacité de ses méthodes de travail ; a prolongé ses sessions d</w:t>
      </w:r>
      <w:r w:rsidR="00F51B2C" w:rsidRPr="00005684">
        <w:rPr>
          <w:lang w:val="fr-FR"/>
        </w:rPr>
        <w:t>’</w:t>
      </w:r>
      <w:r w:rsidRPr="00005684">
        <w:rPr>
          <w:lang w:val="fr-FR"/>
        </w:rPr>
        <w:t>un jour</w:t>
      </w:r>
      <w:r w:rsidR="00E17F0C" w:rsidRPr="00005684">
        <w:rPr>
          <w:lang w:val="fr-FR"/>
        </w:rPr>
        <w:t> </w:t>
      </w:r>
      <w:r w:rsidRPr="00005684">
        <w:rPr>
          <w:lang w:val="fr-FR"/>
        </w:rPr>
        <w:t>; et a tenu une session supplémentaire (1</w:t>
      </w:r>
      <w:r w:rsidRPr="00005684">
        <w:rPr>
          <w:vertAlign w:val="superscript"/>
          <w:lang w:val="fr-FR"/>
        </w:rPr>
        <w:t>er</w:t>
      </w:r>
      <w:r w:rsidR="006E25CC" w:rsidRPr="00005684">
        <w:rPr>
          <w:lang w:val="fr-FR"/>
        </w:rPr>
        <w:t>-4 </w:t>
      </w:r>
      <w:r w:rsidRPr="00005684">
        <w:rPr>
          <w:lang w:val="fr-FR"/>
        </w:rPr>
        <w:t>septembre 2020), ainsi que plusieurs réunions informelles et consultations entre les sessions. En 2020, en raison de la pandémie, les sessions du Comité se sont tenues en ligne, sans interprétation. La Réunion des Parties a pris note de l</w:t>
      </w:r>
      <w:r w:rsidR="00F51B2C" w:rsidRPr="00005684">
        <w:rPr>
          <w:lang w:val="fr-FR"/>
        </w:rPr>
        <w:t>’</w:t>
      </w:r>
      <w:r w:rsidRPr="00005684">
        <w:rPr>
          <w:lang w:val="fr-FR"/>
        </w:rPr>
        <w:t>information et remercié le Comité d</w:t>
      </w:r>
      <w:r w:rsidR="00F51B2C" w:rsidRPr="00005684">
        <w:rPr>
          <w:lang w:val="fr-FR"/>
        </w:rPr>
        <w:t>’</w:t>
      </w:r>
      <w:r w:rsidRPr="00005684">
        <w:rPr>
          <w:lang w:val="fr-FR"/>
        </w:rPr>
        <w:t>avoir mené des efforts considérables et accompli un travail important.</w:t>
      </w:r>
    </w:p>
    <w:p w14:paraId="2C60EBDA" w14:textId="4C432914" w:rsidR="00447F9A" w:rsidRPr="00005684" w:rsidRDefault="00447F9A" w:rsidP="00447F9A">
      <w:pPr>
        <w:pStyle w:val="SingleTxtG"/>
        <w:rPr>
          <w:lang w:val="fr-FR"/>
        </w:rPr>
      </w:pPr>
      <w:r w:rsidRPr="00005684">
        <w:rPr>
          <w:lang w:val="fr-FR"/>
        </w:rPr>
        <w:t>30.</w:t>
      </w:r>
      <w:r w:rsidRPr="00005684">
        <w:rPr>
          <w:lang w:val="fr-FR"/>
        </w:rPr>
        <w:tab/>
        <w:t>Les Réunions des Parties ont pris note des résultats de l</w:t>
      </w:r>
      <w:r w:rsidR="00F51B2C" w:rsidRPr="00005684">
        <w:rPr>
          <w:lang w:val="fr-FR"/>
        </w:rPr>
        <w:t>’</w:t>
      </w:r>
      <w:r w:rsidRPr="00005684">
        <w:rPr>
          <w:lang w:val="fr-FR"/>
        </w:rPr>
        <w:t>aide juridique fournie par le secrétariat aux pays ci-après pour leur faciliter l</w:t>
      </w:r>
      <w:r w:rsidR="00F51B2C" w:rsidRPr="00005684">
        <w:rPr>
          <w:lang w:val="fr-FR"/>
        </w:rPr>
        <w:t>’</w:t>
      </w:r>
      <w:r w:rsidRPr="00005684">
        <w:rPr>
          <w:lang w:val="fr-FR"/>
        </w:rPr>
        <w:t>élaboration ou la modification d</w:t>
      </w:r>
      <w:r w:rsidR="00F51B2C" w:rsidRPr="00005684">
        <w:rPr>
          <w:lang w:val="fr-FR"/>
        </w:rPr>
        <w:t>’</w:t>
      </w:r>
      <w:r w:rsidRPr="00005684">
        <w:rPr>
          <w:lang w:val="fr-FR"/>
        </w:rPr>
        <w:t>une législation nationale visant la mise en œuvre de la Convention ou du Protocole</w:t>
      </w:r>
      <w:r w:rsidR="00271D98" w:rsidRPr="00005684">
        <w:rPr>
          <w:lang w:val="fr-FR"/>
        </w:rPr>
        <w:t> </w:t>
      </w:r>
      <w:r w:rsidRPr="00005684">
        <w:rPr>
          <w:lang w:val="fr-FR"/>
        </w:rPr>
        <w:t>:</w:t>
      </w:r>
    </w:p>
    <w:p w14:paraId="1D44D74D" w14:textId="599845FE" w:rsidR="00447F9A" w:rsidRPr="00005684" w:rsidRDefault="00447F9A" w:rsidP="006E25CC">
      <w:pPr>
        <w:pStyle w:val="SingleTxtG"/>
        <w:ind w:firstLine="567"/>
        <w:rPr>
          <w:lang w:val="fr-FR"/>
        </w:rPr>
      </w:pPr>
      <w:r w:rsidRPr="00005684">
        <w:rPr>
          <w:lang w:val="fr-FR"/>
        </w:rPr>
        <w:t>a)</w:t>
      </w:r>
      <w:r w:rsidRPr="00005684">
        <w:rPr>
          <w:lang w:val="fr-FR"/>
        </w:rPr>
        <w:tab/>
        <w:t>Arménie, Azerbaïdjan et République de Moldova, avec l</w:t>
      </w:r>
      <w:r w:rsidR="00F51B2C" w:rsidRPr="00005684">
        <w:rPr>
          <w:lang w:val="fr-FR"/>
        </w:rPr>
        <w:t>’</w:t>
      </w:r>
      <w:r w:rsidRPr="00005684">
        <w:rPr>
          <w:lang w:val="fr-FR"/>
        </w:rPr>
        <w:t>appui financier du programme EU4Environment</w:t>
      </w:r>
      <w:r w:rsidR="00271D98" w:rsidRPr="00005684">
        <w:rPr>
          <w:lang w:val="fr-FR"/>
        </w:rPr>
        <w:t> </w:t>
      </w:r>
      <w:r w:rsidRPr="00005684">
        <w:rPr>
          <w:lang w:val="fr-FR"/>
        </w:rPr>
        <w:t>;</w:t>
      </w:r>
    </w:p>
    <w:p w14:paraId="750454ED" w14:textId="45E05ADF" w:rsidR="00447F9A" w:rsidRPr="00005684" w:rsidRDefault="00447F9A" w:rsidP="006E25CC">
      <w:pPr>
        <w:pStyle w:val="SingleTxtG"/>
        <w:ind w:firstLine="567"/>
        <w:rPr>
          <w:lang w:val="fr-FR"/>
        </w:rPr>
      </w:pPr>
      <w:r w:rsidRPr="00005684">
        <w:rPr>
          <w:lang w:val="fr-FR"/>
        </w:rPr>
        <w:t>b)</w:t>
      </w:r>
      <w:r w:rsidRPr="00005684">
        <w:rPr>
          <w:lang w:val="fr-FR"/>
        </w:rPr>
        <w:tab/>
        <w:t>Kazakhstan, avec l</w:t>
      </w:r>
      <w:r w:rsidR="00F51B2C" w:rsidRPr="00005684">
        <w:rPr>
          <w:lang w:val="fr-FR"/>
        </w:rPr>
        <w:t>’</w:t>
      </w:r>
      <w:r w:rsidRPr="00005684">
        <w:rPr>
          <w:lang w:val="fr-FR"/>
        </w:rPr>
        <w:t>appui financier de la Suisse et en coopération avec l</w:t>
      </w:r>
      <w:r w:rsidR="00F51B2C" w:rsidRPr="00005684">
        <w:rPr>
          <w:lang w:val="fr-FR"/>
        </w:rPr>
        <w:t>’</w:t>
      </w:r>
      <w:r w:rsidRPr="00005684">
        <w:rPr>
          <w:lang w:val="fr-FR"/>
        </w:rPr>
        <w:t>OSCE</w:t>
      </w:r>
      <w:r w:rsidR="00E17F0C" w:rsidRPr="00005684">
        <w:rPr>
          <w:lang w:val="fr-FR"/>
        </w:rPr>
        <w:t> </w:t>
      </w:r>
      <w:r w:rsidRPr="00005684">
        <w:rPr>
          <w:lang w:val="fr-FR"/>
        </w:rPr>
        <w:t>;</w:t>
      </w:r>
    </w:p>
    <w:p w14:paraId="423AEB87" w14:textId="22316B59" w:rsidR="00447F9A" w:rsidRPr="00005684" w:rsidRDefault="00447F9A" w:rsidP="006E25CC">
      <w:pPr>
        <w:pStyle w:val="SingleTxtG"/>
        <w:ind w:firstLine="567"/>
        <w:rPr>
          <w:lang w:val="fr-FR"/>
        </w:rPr>
      </w:pPr>
      <w:r w:rsidRPr="00005684">
        <w:rPr>
          <w:lang w:val="fr-FR"/>
        </w:rPr>
        <w:t>c)</w:t>
      </w:r>
      <w:r w:rsidRPr="00005684">
        <w:rPr>
          <w:lang w:val="fr-FR"/>
        </w:rPr>
        <w:tab/>
        <w:t>Tadjikistan et Ouzbékistan , avec l</w:t>
      </w:r>
      <w:r w:rsidR="00F51B2C" w:rsidRPr="00005684">
        <w:rPr>
          <w:lang w:val="fr-FR"/>
        </w:rPr>
        <w:t>’</w:t>
      </w:r>
      <w:r w:rsidRPr="00005684">
        <w:rPr>
          <w:lang w:val="fr-FR"/>
        </w:rPr>
        <w:t>appui financier de l</w:t>
      </w:r>
      <w:r w:rsidR="00F51B2C" w:rsidRPr="00005684">
        <w:rPr>
          <w:lang w:val="fr-FR"/>
        </w:rPr>
        <w:t>’</w:t>
      </w:r>
      <w:r w:rsidRPr="00005684">
        <w:rPr>
          <w:lang w:val="fr-FR"/>
        </w:rPr>
        <w:t>Allemagne, de la Suisse et de l</w:t>
      </w:r>
      <w:r w:rsidR="00F51B2C" w:rsidRPr="00005684">
        <w:rPr>
          <w:lang w:val="fr-FR"/>
        </w:rPr>
        <w:t>’</w:t>
      </w:r>
      <w:r w:rsidRPr="00005684">
        <w:rPr>
          <w:lang w:val="fr-FR"/>
        </w:rPr>
        <w:t>OSCE.</w:t>
      </w:r>
    </w:p>
    <w:p w14:paraId="696A7561" w14:textId="0CE9B4DF" w:rsidR="00447F9A" w:rsidRPr="00005684" w:rsidRDefault="00447F9A" w:rsidP="006E25CC">
      <w:pPr>
        <w:pStyle w:val="H1G"/>
        <w:rPr>
          <w:lang w:val="fr-FR"/>
        </w:rPr>
      </w:pPr>
      <w:r w:rsidRPr="00005684">
        <w:rPr>
          <w:lang w:val="fr-FR"/>
        </w:rPr>
        <w:tab/>
        <w:t>B.</w:t>
      </w:r>
      <w:r w:rsidRPr="00005684">
        <w:rPr>
          <w:lang w:val="fr-FR"/>
        </w:rPr>
        <w:tab/>
        <w:t>Coopération et renforcement des capacités au niveau sous-régional</w:t>
      </w:r>
    </w:p>
    <w:p w14:paraId="3425F430" w14:textId="41C20E25" w:rsidR="00447F9A" w:rsidRPr="00005684" w:rsidRDefault="00447F9A" w:rsidP="00447F9A">
      <w:pPr>
        <w:pStyle w:val="SingleTxtG"/>
        <w:rPr>
          <w:lang w:val="fr-FR"/>
        </w:rPr>
      </w:pPr>
      <w:r w:rsidRPr="00005684">
        <w:rPr>
          <w:lang w:val="fr-FR"/>
        </w:rPr>
        <w:t>31.</w:t>
      </w:r>
      <w:r w:rsidRPr="00005684">
        <w:rPr>
          <w:lang w:val="fr-FR"/>
        </w:rPr>
        <w:tab/>
        <w:t>Les Réunions des Parties ont pris note des informations fournies par :</w:t>
      </w:r>
    </w:p>
    <w:p w14:paraId="2F15A922" w14:textId="1970AC1B" w:rsidR="00447F9A" w:rsidRPr="00005684" w:rsidRDefault="00447F9A" w:rsidP="006E25CC">
      <w:pPr>
        <w:pStyle w:val="SingleTxtG"/>
        <w:ind w:firstLine="567"/>
        <w:rPr>
          <w:lang w:val="fr-FR"/>
        </w:rPr>
      </w:pPr>
      <w:r w:rsidRPr="00005684">
        <w:rPr>
          <w:lang w:val="fr-FR"/>
        </w:rPr>
        <w:t>a)</w:t>
      </w:r>
      <w:r w:rsidRPr="00005684">
        <w:rPr>
          <w:lang w:val="fr-FR"/>
        </w:rPr>
        <w:tab/>
        <w:t>Le secrétariat et les pays concernés, au sujet d</w:t>
      </w:r>
      <w:r w:rsidR="00F51B2C" w:rsidRPr="00005684">
        <w:rPr>
          <w:lang w:val="fr-FR"/>
        </w:rPr>
        <w:t>’</w:t>
      </w:r>
      <w:r w:rsidRPr="00005684">
        <w:rPr>
          <w:lang w:val="fr-FR"/>
        </w:rPr>
        <w:t>un séminaire sous-régional sur l</w:t>
      </w:r>
      <w:r w:rsidR="00F51B2C" w:rsidRPr="00005684">
        <w:rPr>
          <w:lang w:val="fr-FR"/>
        </w:rPr>
        <w:t>’</w:t>
      </w:r>
      <w:r w:rsidRPr="00005684">
        <w:rPr>
          <w:lang w:val="fr-FR"/>
        </w:rPr>
        <w:t>application pratique de l</w:t>
      </w:r>
      <w:r w:rsidR="00F51B2C" w:rsidRPr="00005684">
        <w:rPr>
          <w:lang w:val="fr-FR"/>
        </w:rPr>
        <w:t>’</w:t>
      </w:r>
      <w:r w:rsidRPr="00005684">
        <w:rPr>
          <w:lang w:val="fr-FR"/>
        </w:rPr>
        <w:t>évaluation environnementale stratégique et de l</w:t>
      </w:r>
      <w:r w:rsidR="00F51B2C" w:rsidRPr="00005684">
        <w:rPr>
          <w:lang w:val="fr-FR"/>
        </w:rPr>
        <w:t>’</w:t>
      </w:r>
      <w:r w:rsidRPr="00005684">
        <w:rPr>
          <w:lang w:val="fr-FR"/>
        </w:rPr>
        <w:t>évaluation de l</w:t>
      </w:r>
      <w:r w:rsidR="00F51B2C" w:rsidRPr="00005684">
        <w:rPr>
          <w:lang w:val="fr-FR"/>
        </w:rPr>
        <w:t>’</w:t>
      </w:r>
      <w:r w:rsidRPr="00005684">
        <w:rPr>
          <w:lang w:val="fr-FR"/>
        </w:rPr>
        <w:t>impact transfrontière sur l</w:t>
      </w:r>
      <w:r w:rsidR="00F51B2C" w:rsidRPr="00005684">
        <w:rPr>
          <w:lang w:val="fr-FR"/>
        </w:rPr>
        <w:t>’</w:t>
      </w:r>
      <w:r w:rsidRPr="00005684">
        <w:rPr>
          <w:lang w:val="fr-FR"/>
        </w:rPr>
        <w:t>environnement en Arménie, en Azerbaïdjan, au Bélarus, en Géorgie, en République de Moldova et en Ukraine, qui s</w:t>
      </w:r>
      <w:r w:rsidR="00F51B2C" w:rsidRPr="00005684">
        <w:rPr>
          <w:lang w:val="fr-FR"/>
        </w:rPr>
        <w:t>’</w:t>
      </w:r>
      <w:r w:rsidRPr="00005684">
        <w:rPr>
          <w:lang w:val="fr-FR"/>
        </w:rPr>
        <w:t>était tenu en ligne les 26 et 27</w:t>
      </w:r>
      <w:r w:rsidR="00271D98" w:rsidRPr="00005684">
        <w:rPr>
          <w:lang w:val="fr-FR"/>
        </w:rPr>
        <w:t> </w:t>
      </w:r>
      <w:r w:rsidRPr="00005684">
        <w:rPr>
          <w:lang w:val="fr-FR"/>
        </w:rPr>
        <w:t>octobre 2020 et avait bénéficié d</w:t>
      </w:r>
      <w:r w:rsidR="00F51B2C" w:rsidRPr="00005684">
        <w:rPr>
          <w:lang w:val="fr-FR"/>
        </w:rPr>
        <w:t>’</w:t>
      </w:r>
      <w:r w:rsidRPr="00005684">
        <w:rPr>
          <w:lang w:val="fr-FR"/>
        </w:rPr>
        <w:t>un appui financier du programme EU4Environment</w:t>
      </w:r>
      <w:r w:rsidR="00271D98" w:rsidRPr="00005684">
        <w:rPr>
          <w:lang w:val="fr-FR"/>
        </w:rPr>
        <w:t> </w:t>
      </w:r>
      <w:r w:rsidRPr="00005684">
        <w:rPr>
          <w:lang w:val="fr-FR"/>
        </w:rPr>
        <w:t>;</w:t>
      </w:r>
    </w:p>
    <w:p w14:paraId="6D065311" w14:textId="65AF588F" w:rsidR="00447F9A" w:rsidRPr="00005684" w:rsidRDefault="00447F9A" w:rsidP="006E25CC">
      <w:pPr>
        <w:pStyle w:val="SingleTxtG"/>
        <w:ind w:firstLine="567"/>
        <w:rPr>
          <w:lang w:val="fr-FR"/>
        </w:rPr>
      </w:pPr>
      <w:r w:rsidRPr="00005684">
        <w:rPr>
          <w:lang w:val="fr-FR"/>
        </w:rPr>
        <w:t>b)</w:t>
      </w:r>
      <w:r w:rsidRPr="00005684">
        <w:rPr>
          <w:lang w:val="fr-FR"/>
        </w:rPr>
        <w:tab/>
        <w:t>Le Danemark, sur un atelier sous-régional pour la zone de la mer Baltique, organisé par ce pays avec la Finlande et la Suède, et tenu en ligne le 27</w:t>
      </w:r>
      <w:r w:rsidR="00271D98" w:rsidRPr="00005684">
        <w:rPr>
          <w:lang w:val="fr-FR"/>
        </w:rPr>
        <w:t> </w:t>
      </w:r>
      <w:r w:rsidRPr="00005684">
        <w:rPr>
          <w:lang w:val="fr-FR"/>
        </w:rPr>
        <w:t>octobre 2020</w:t>
      </w:r>
      <w:r w:rsidR="00271D98" w:rsidRPr="00005684">
        <w:rPr>
          <w:lang w:val="fr-FR"/>
        </w:rPr>
        <w:t> </w:t>
      </w:r>
      <w:r w:rsidRPr="00005684">
        <w:rPr>
          <w:lang w:val="fr-FR"/>
        </w:rPr>
        <w:t>;</w:t>
      </w:r>
    </w:p>
    <w:p w14:paraId="26ADAB96" w14:textId="49F2B8C7" w:rsidR="00447F9A" w:rsidRPr="00005684" w:rsidRDefault="00447F9A" w:rsidP="006E25CC">
      <w:pPr>
        <w:pStyle w:val="SingleTxtG"/>
        <w:ind w:firstLine="567"/>
        <w:rPr>
          <w:lang w:val="fr-FR"/>
        </w:rPr>
      </w:pPr>
      <w:r w:rsidRPr="00005684">
        <w:rPr>
          <w:lang w:val="fr-FR"/>
        </w:rPr>
        <w:t>c)</w:t>
      </w:r>
      <w:r w:rsidRPr="00005684">
        <w:rPr>
          <w:lang w:val="fr-FR"/>
        </w:rPr>
        <w:tab/>
        <w:t>L</w:t>
      </w:r>
      <w:r w:rsidR="00F51B2C" w:rsidRPr="00005684">
        <w:rPr>
          <w:lang w:val="fr-FR"/>
        </w:rPr>
        <w:t>’</w:t>
      </w:r>
      <w:r w:rsidRPr="00005684">
        <w:rPr>
          <w:lang w:val="fr-FR"/>
        </w:rPr>
        <w:t>OSCE et les pays concernés, au sujet de la mise en œuvre d</w:t>
      </w:r>
      <w:r w:rsidR="00F51B2C" w:rsidRPr="00005684">
        <w:rPr>
          <w:lang w:val="fr-FR"/>
        </w:rPr>
        <w:t>’</w:t>
      </w:r>
      <w:r w:rsidRPr="00005684">
        <w:rPr>
          <w:lang w:val="fr-FR"/>
        </w:rPr>
        <w:t>un projet conjoint OSCE/CEE intitulé «</w:t>
      </w:r>
      <w:r w:rsidR="00271D98" w:rsidRPr="00005684">
        <w:rPr>
          <w:lang w:val="fr-FR"/>
        </w:rPr>
        <w:t> </w:t>
      </w:r>
      <w:r w:rsidRPr="00005684">
        <w:rPr>
          <w:lang w:val="fr-FR"/>
        </w:rPr>
        <w:t>Renforcement des capacités nationales et régionales et de la coopération en matière d</w:t>
      </w:r>
      <w:r w:rsidR="00F51B2C" w:rsidRPr="00005684">
        <w:rPr>
          <w:lang w:val="fr-FR"/>
        </w:rPr>
        <w:t>’</w:t>
      </w:r>
      <w:r w:rsidRPr="00005684">
        <w:rPr>
          <w:lang w:val="fr-FR"/>
        </w:rPr>
        <w:t>évaluation environnementale stratégique en Asie centrale, visant notamment à faire face aux changements climatiques</w:t>
      </w:r>
      <w:r w:rsidR="00271D98" w:rsidRPr="00005684">
        <w:rPr>
          <w:lang w:val="fr-FR"/>
        </w:rPr>
        <w:t> </w:t>
      </w:r>
      <w:r w:rsidRPr="00005684">
        <w:rPr>
          <w:lang w:val="fr-FR"/>
        </w:rPr>
        <w:t>», financé par l</w:t>
      </w:r>
      <w:r w:rsidR="00F51B2C" w:rsidRPr="00005684">
        <w:rPr>
          <w:lang w:val="fr-FR"/>
        </w:rPr>
        <w:t>’</w:t>
      </w:r>
      <w:r w:rsidRPr="00005684">
        <w:rPr>
          <w:lang w:val="fr-FR"/>
        </w:rPr>
        <w:t>Allemagne, la Suisse et la CEE.</w:t>
      </w:r>
    </w:p>
    <w:p w14:paraId="6F9C6F6F" w14:textId="6BB9863B" w:rsidR="00447F9A" w:rsidRPr="00005684" w:rsidRDefault="00447F9A" w:rsidP="006E25CC">
      <w:pPr>
        <w:pStyle w:val="H1G"/>
        <w:rPr>
          <w:lang w:val="fr-FR"/>
        </w:rPr>
      </w:pPr>
      <w:r w:rsidRPr="00005684">
        <w:rPr>
          <w:lang w:val="fr-FR"/>
        </w:rPr>
        <w:tab/>
        <w:t>C.</w:t>
      </w:r>
      <w:r w:rsidRPr="00005684">
        <w:rPr>
          <w:lang w:val="fr-FR"/>
        </w:rPr>
        <w:tab/>
        <w:t>Promotion de la ratification et de l</w:t>
      </w:r>
      <w:r w:rsidR="00F51B2C" w:rsidRPr="00005684">
        <w:rPr>
          <w:lang w:val="fr-FR"/>
        </w:rPr>
        <w:t>’</w:t>
      </w:r>
      <w:r w:rsidRPr="00005684">
        <w:rPr>
          <w:lang w:val="fr-FR"/>
        </w:rPr>
        <w:t xml:space="preserve">application du Protocole </w:t>
      </w:r>
      <w:r w:rsidR="006E25CC" w:rsidRPr="00005684">
        <w:rPr>
          <w:lang w:val="fr-FR"/>
        </w:rPr>
        <w:br/>
      </w:r>
      <w:r w:rsidRPr="00005684">
        <w:rPr>
          <w:lang w:val="fr-FR"/>
        </w:rPr>
        <w:t>et de la Convention</w:t>
      </w:r>
    </w:p>
    <w:p w14:paraId="5F6BDC46" w14:textId="32EACF91" w:rsidR="00447F9A" w:rsidRPr="00005684" w:rsidRDefault="00447F9A" w:rsidP="00447F9A">
      <w:pPr>
        <w:pStyle w:val="SingleTxtG"/>
        <w:rPr>
          <w:lang w:val="fr-FR"/>
        </w:rPr>
      </w:pPr>
      <w:r w:rsidRPr="00005684">
        <w:rPr>
          <w:lang w:val="fr-FR"/>
        </w:rPr>
        <w:t>32.</w:t>
      </w:r>
      <w:r w:rsidRPr="00005684">
        <w:rPr>
          <w:lang w:val="fr-FR"/>
        </w:rPr>
        <w:tab/>
        <w:t>Le secrétariat a indiqué que l</w:t>
      </w:r>
      <w:r w:rsidR="00F51B2C" w:rsidRPr="00005684">
        <w:rPr>
          <w:lang w:val="fr-FR"/>
        </w:rPr>
        <w:t>’</w:t>
      </w:r>
      <w:r w:rsidRPr="00005684">
        <w:rPr>
          <w:lang w:val="fr-FR"/>
        </w:rPr>
        <w:t xml:space="preserve">International Association for Impact </w:t>
      </w:r>
      <w:proofErr w:type="spellStart"/>
      <w:r w:rsidRPr="00005684">
        <w:rPr>
          <w:lang w:val="fr-FR"/>
        </w:rPr>
        <w:t>Assessment</w:t>
      </w:r>
      <w:proofErr w:type="spellEnd"/>
      <w:r w:rsidRPr="00005684">
        <w:rPr>
          <w:lang w:val="fr-FR"/>
        </w:rPr>
        <w:t xml:space="preserve"> avait publié une brochure d</w:t>
      </w:r>
      <w:r w:rsidR="00F51B2C" w:rsidRPr="00005684">
        <w:rPr>
          <w:lang w:val="fr-FR"/>
        </w:rPr>
        <w:t>’</w:t>
      </w:r>
      <w:r w:rsidRPr="00005684">
        <w:rPr>
          <w:lang w:val="fr-FR"/>
        </w:rPr>
        <w:t>information de deux pages de la série « </w:t>
      </w:r>
      <w:proofErr w:type="spellStart"/>
      <w:r w:rsidRPr="00005684">
        <w:rPr>
          <w:lang w:val="fr-FR"/>
        </w:rPr>
        <w:t>FasTips</w:t>
      </w:r>
      <w:proofErr w:type="spellEnd"/>
      <w:r w:rsidRPr="00005684">
        <w:rPr>
          <w:lang w:val="fr-FR"/>
        </w:rPr>
        <w:t> » sur la Convention</w:t>
      </w:r>
      <w:r w:rsidRPr="00005684">
        <w:rPr>
          <w:rStyle w:val="Appelnotedebasdep"/>
        </w:rPr>
        <w:footnoteReference w:id="5"/>
      </w:r>
      <w:r w:rsidRPr="00005684">
        <w:rPr>
          <w:lang w:val="fr-FR"/>
        </w:rPr>
        <w:t>, élaborée par le secrétariat et approuvée par le Groupe de travail à sa huitième réunion (Genève, 26-28 novembre 2019) (ECE/MP.EIA/WG.2/2019/2, par. 37), après l</w:t>
      </w:r>
      <w:r w:rsidR="00F51B2C" w:rsidRPr="00005684">
        <w:rPr>
          <w:lang w:val="fr-FR"/>
        </w:rPr>
        <w:t>’</w:t>
      </w:r>
      <w:r w:rsidRPr="00005684">
        <w:rPr>
          <w:lang w:val="fr-FR"/>
        </w:rPr>
        <w:t>ajout d</w:t>
      </w:r>
      <w:r w:rsidR="00F51B2C" w:rsidRPr="00005684">
        <w:rPr>
          <w:lang w:val="fr-FR"/>
        </w:rPr>
        <w:t>’</w:t>
      </w:r>
      <w:r w:rsidRPr="00005684">
        <w:rPr>
          <w:lang w:val="fr-FR"/>
        </w:rPr>
        <w:t>une référence au Protocole dans le texte. Le projet de brochure «</w:t>
      </w:r>
      <w:r w:rsidR="00271D98" w:rsidRPr="00005684">
        <w:rPr>
          <w:lang w:val="fr-FR"/>
        </w:rPr>
        <w:t> </w:t>
      </w:r>
      <w:proofErr w:type="spellStart"/>
      <w:r w:rsidRPr="00005684">
        <w:rPr>
          <w:lang w:val="fr-FR"/>
        </w:rPr>
        <w:t>FasTips</w:t>
      </w:r>
      <w:proofErr w:type="spellEnd"/>
      <w:r w:rsidR="00271D98" w:rsidRPr="00005684">
        <w:rPr>
          <w:lang w:val="fr-FR"/>
        </w:rPr>
        <w:t> </w:t>
      </w:r>
      <w:r w:rsidRPr="00005684">
        <w:rPr>
          <w:lang w:val="fr-FR"/>
        </w:rPr>
        <w:t>» sur le Protocole élaboré par le Groupe de travail n</w:t>
      </w:r>
      <w:r w:rsidR="00F51B2C" w:rsidRPr="00005684">
        <w:rPr>
          <w:lang w:val="fr-FR"/>
        </w:rPr>
        <w:t>’</w:t>
      </w:r>
      <w:r w:rsidRPr="00005684">
        <w:rPr>
          <w:lang w:val="fr-FR"/>
        </w:rPr>
        <w:t>avait pas été publié, car il avait été considéré comme trop axé sur la procédure. Un représentant de l</w:t>
      </w:r>
      <w:r w:rsidR="00F51B2C" w:rsidRPr="00005684">
        <w:rPr>
          <w:lang w:val="fr-FR"/>
        </w:rPr>
        <w:t>’</w:t>
      </w:r>
      <w:r w:rsidRPr="00005684">
        <w:rPr>
          <w:lang w:val="fr-FR"/>
        </w:rPr>
        <w:t xml:space="preserve">International Association for Impact </w:t>
      </w:r>
      <w:proofErr w:type="spellStart"/>
      <w:r w:rsidRPr="00005684">
        <w:rPr>
          <w:lang w:val="fr-FR"/>
        </w:rPr>
        <w:t>Assessment</w:t>
      </w:r>
      <w:proofErr w:type="spellEnd"/>
      <w:r w:rsidRPr="00005684">
        <w:rPr>
          <w:lang w:val="fr-FR"/>
        </w:rPr>
        <w:t xml:space="preserve"> a fait le bilan des </w:t>
      </w:r>
      <w:proofErr w:type="spellStart"/>
      <w:r w:rsidRPr="00005684">
        <w:rPr>
          <w:lang w:val="fr-FR"/>
        </w:rPr>
        <w:t>FasTips</w:t>
      </w:r>
      <w:proofErr w:type="spellEnd"/>
      <w:r w:rsidRPr="00005684">
        <w:rPr>
          <w:lang w:val="fr-FR"/>
        </w:rPr>
        <w:t xml:space="preserve"> publiées récemment et à paraître.</w:t>
      </w:r>
    </w:p>
    <w:p w14:paraId="47EE5973" w14:textId="0865BF07" w:rsidR="00447F9A" w:rsidRPr="00005684" w:rsidRDefault="00447F9A" w:rsidP="00447F9A">
      <w:pPr>
        <w:pStyle w:val="SingleTxtG"/>
        <w:rPr>
          <w:lang w:val="fr-FR"/>
        </w:rPr>
      </w:pPr>
      <w:r w:rsidRPr="00005684">
        <w:rPr>
          <w:lang w:val="fr-FR"/>
        </w:rPr>
        <w:t>33.</w:t>
      </w:r>
      <w:r w:rsidRPr="00005684">
        <w:rPr>
          <w:lang w:val="fr-FR"/>
        </w:rPr>
        <w:tab/>
        <w:t>Le Président a regretté que le projet de lignes directrices sur l</w:t>
      </w:r>
      <w:r w:rsidR="00F51B2C" w:rsidRPr="00005684">
        <w:rPr>
          <w:lang w:val="fr-FR"/>
        </w:rPr>
        <w:t>’</w:t>
      </w:r>
      <w:r w:rsidRPr="00005684">
        <w:rPr>
          <w:lang w:val="fr-FR"/>
        </w:rPr>
        <w:t>évaluation des impacts sur la santé dans les évaluations environnementales stratégiques, élaboré grâce à un financement de la Banque européenne d</w:t>
      </w:r>
      <w:r w:rsidR="00F51B2C" w:rsidRPr="00005684">
        <w:rPr>
          <w:lang w:val="fr-FR"/>
        </w:rPr>
        <w:t>’</w:t>
      </w:r>
      <w:r w:rsidRPr="00005684">
        <w:rPr>
          <w:lang w:val="fr-FR"/>
        </w:rPr>
        <w:t>investissement, n</w:t>
      </w:r>
      <w:r w:rsidR="00F51B2C" w:rsidRPr="00005684">
        <w:rPr>
          <w:lang w:val="fr-FR"/>
        </w:rPr>
        <w:t>’</w:t>
      </w:r>
      <w:r w:rsidRPr="00005684">
        <w:rPr>
          <w:lang w:val="fr-FR"/>
        </w:rPr>
        <w:t>ait pas été soumis à l</w:t>
      </w:r>
      <w:r w:rsidR="00F51B2C" w:rsidRPr="00005684">
        <w:rPr>
          <w:lang w:val="fr-FR"/>
        </w:rPr>
        <w:t>’</w:t>
      </w:r>
      <w:r w:rsidRPr="00005684">
        <w:rPr>
          <w:lang w:val="fr-FR"/>
        </w:rPr>
        <w:t>examen de la Réunion des Parties au Protocole. À la précédente réunion du Groupe de travail, la délégation de l</w:t>
      </w:r>
      <w:r w:rsidR="00F51B2C" w:rsidRPr="00005684">
        <w:rPr>
          <w:lang w:val="fr-FR"/>
        </w:rPr>
        <w:t>’</w:t>
      </w:r>
      <w:r w:rsidRPr="00005684">
        <w:rPr>
          <w:lang w:val="fr-FR"/>
        </w:rPr>
        <w:t>Union européenne avait estimé qu</w:t>
      </w:r>
      <w:r w:rsidR="00F51B2C" w:rsidRPr="00005684">
        <w:rPr>
          <w:lang w:val="fr-FR"/>
        </w:rPr>
        <w:t>’</w:t>
      </w:r>
      <w:r w:rsidRPr="00005684">
        <w:rPr>
          <w:lang w:val="fr-FR"/>
        </w:rPr>
        <w:t>il fallait réviser le projet de document. Or</w:t>
      </w:r>
      <w:r w:rsidR="00271D98" w:rsidRPr="00005684">
        <w:rPr>
          <w:lang w:val="fr-FR"/>
        </w:rPr>
        <w:t> </w:t>
      </w:r>
      <w:r w:rsidRPr="00005684">
        <w:rPr>
          <w:lang w:val="fr-FR"/>
        </w:rPr>
        <w:t>aucune proposition concrète n</w:t>
      </w:r>
      <w:r w:rsidR="00F51B2C" w:rsidRPr="00005684">
        <w:rPr>
          <w:lang w:val="fr-FR"/>
        </w:rPr>
        <w:t>’</w:t>
      </w:r>
      <w:r w:rsidRPr="00005684">
        <w:rPr>
          <w:lang w:val="fr-FR"/>
        </w:rPr>
        <w:t>avait été avancée en vue d</w:t>
      </w:r>
      <w:r w:rsidR="00F51B2C" w:rsidRPr="00005684">
        <w:rPr>
          <w:lang w:val="fr-FR"/>
        </w:rPr>
        <w:t>’</w:t>
      </w:r>
      <w:r w:rsidRPr="00005684">
        <w:rPr>
          <w:lang w:val="fr-FR"/>
        </w:rPr>
        <w:t>en établir la version définitive. La délégation de l</w:t>
      </w:r>
      <w:r w:rsidR="00F51B2C" w:rsidRPr="00005684">
        <w:rPr>
          <w:lang w:val="fr-FR"/>
        </w:rPr>
        <w:t>’</w:t>
      </w:r>
      <w:r w:rsidRPr="00005684">
        <w:rPr>
          <w:lang w:val="fr-FR"/>
        </w:rPr>
        <w:t>OMS, estimant qu</w:t>
      </w:r>
      <w:r w:rsidR="00F51B2C" w:rsidRPr="00005684">
        <w:rPr>
          <w:lang w:val="fr-FR"/>
        </w:rPr>
        <w:t>’</w:t>
      </w:r>
      <w:r w:rsidRPr="00005684">
        <w:rPr>
          <w:lang w:val="fr-FR"/>
        </w:rPr>
        <w:t>il était urgent de publier ces lignes directrices, notamment pour favoriser un redressement sain après la pandémie, a rappelé que son organisation avait proposé son aide pour la poursuite des travaux sur ce thème. La Réunion des Parties au Protocole a invité les Parties à participer à l</w:t>
      </w:r>
      <w:r w:rsidR="00F51B2C" w:rsidRPr="00005684">
        <w:rPr>
          <w:lang w:val="fr-FR"/>
        </w:rPr>
        <w:t>’</w:t>
      </w:r>
      <w:r w:rsidRPr="00005684">
        <w:rPr>
          <w:lang w:val="fr-FR"/>
        </w:rPr>
        <w:t>élaboration de la version finale du projet de lignes directrices en contribuant des compétences spécialisées. Il était prévu que le Bureau et le Groupe de travail examinent la suite à donner à ces travaux pendant leurs réunions de 2021.</w:t>
      </w:r>
    </w:p>
    <w:p w14:paraId="1DEA5976" w14:textId="221FDCAC" w:rsidR="00447F9A" w:rsidRPr="00005684" w:rsidRDefault="00447F9A" w:rsidP="006E25CC">
      <w:pPr>
        <w:pStyle w:val="HChG"/>
        <w:rPr>
          <w:lang w:val="fr-FR"/>
        </w:rPr>
      </w:pPr>
      <w:r w:rsidRPr="00005684">
        <w:rPr>
          <w:lang w:val="fr-FR"/>
        </w:rPr>
        <w:tab/>
      </w:r>
      <w:bookmarkStart w:id="14" w:name="_Hlk60823650"/>
      <w:r w:rsidRPr="00005684">
        <w:rPr>
          <w:lang w:val="fr-FR"/>
        </w:rPr>
        <w:t>IV.</w:t>
      </w:r>
      <w:bookmarkEnd w:id="14"/>
      <w:r w:rsidRPr="00005684">
        <w:rPr>
          <w:lang w:val="fr-FR"/>
        </w:rPr>
        <w:tab/>
        <w:t>Cérémonie d</w:t>
      </w:r>
      <w:r w:rsidR="00F51B2C" w:rsidRPr="00005684">
        <w:rPr>
          <w:lang w:val="fr-FR"/>
        </w:rPr>
        <w:t>’</w:t>
      </w:r>
      <w:r w:rsidRPr="00005684">
        <w:rPr>
          <w:lang w:val="fr-FR"/>
        </w:rPr>
        <w:t>ouverture du débat de haut niveau</w:t>
      </w:r>
    </w:p>
    <w:p w14:paraId="4276BEB0" w14:textId="41238E0D" w:rsidR="00447F9A" w:rsidRPr="00005684" w:rsidRDefault="00447F9A" w:rsidP="00447F9A">
      <w:pPr>
        <w:pStyle w:val="SingleTxtG"/>
        <w:rPr>
          <w:lang w:val="fr-FR"/>
        </w:rPr>
      </w:pPr>
      <w:r w:rsidRPr="00005684">
        <w:rPr>
          <w:lang w:val="fr-FR"/>
        </w:rPr>
        <w:t>34.</w:t>
      </w:r>
      <w:r w:rsidRPr="00005684">
        <w:rPr>
          <w:lang w:val="fr-FR"/>
        </w:rPr>
        <w:tab/>
        <w:t xml:space="preserve">Le Président du débat général a informé les Réunions des Parties que le Bureau avait recommandé que </w:t>
      </w:r>
      <w:r w:rsidR="006E25CC" w:rsidRPr="00005684">
        <w:rPr>
          <w:lang w:val="fr-FR"/>
        </w:rPr>
        <w:t>M</w:t>
      </w:r>
      <w:r w:rsidR="006E25CC" w:rsidRPr="00005684">
        <w:rPr>
          <w:vertAlign w:val="superscript"/>
          <w:lang w:val="fr-FR"/>
        </w:rPr>
        <w:t>me</w:t>
      </w:r>
      <w:r w:rsidR="006E25CC" w:rsidRPr="00005684">
        <w:rPr>
          <w:lang w:val="fr-FR"/>
        </w:rPr>
        <w:t> </w:t>
      </w:r>
      <w:r w:rsidRPr="00005684">
        <w:rPr>
          <w:lang w:val="fr-FR"/>
        </w:rPr>
        <w:t xml:space="preserve">Krista </w:t>
      </w:r>
      <w:proofErr w:type="spellStart"/>
      <w:r w:rsidRPr="00005684">
        <w:rPr>
          <w:lang w:val="fr-FR"/>
        </w:rPr>
        <w:t>Mikkonen</w:t>
      </w:r>
      <w:proofErr w:type="spellEnd"/>
      <w:r w:rsidRPr="00005684">
        <w:rPr>
          <w:lang w:val="fr-FR"/>
        </w:rPr>
        <w:t>, Ministre finlandaise de l</w:t>
      </w:r>
      <w:r w:rsidR="00F51B2C" w:rsidRPr="00005684">
        <w:rPr>
          <w:lang w:val="fr-FR"/>
        </w:rPr>
        <w:t>’</w:t>
      </w:r>
      <w:r w:rsidRPr="00005684">
        <w:rPr>
          <w:lang w:val="fr-FR"/>
        </w:rPr>
        <w:t>environnement et des changements climatiques, soit élue à la présidence du débat conjoint de haut niveau des Réunions des Parties à la Convention et au Protocole. Les Réunions des Parties ont élu M</w:t>
      </w:r>
      <w:r w:rsidRPr="00005684">
        <w:rPr>
          <w:vertAlign w:val="superscript"/>
          <w:lang w:val="fr-FR"/>
        </w:rPr>
        <w:t>me</w:t>
      </w:r>
      <w:r w:rsidR="006E25CC" w:rsidRPr="00005684">
        <w:rPr>
          <w:lang w:val="fr-FR"/>
        </w:rPr>
        <w:t> </w:t>
      </w:r>
      <w:proofErr w:type="spellStart"/>
      <w:r w:rsidRPr="00005684">
        <w:rPr>
          <w:lang w:val="fr-FR"/>
        </w:rPr>
        <w:t>Mikkonen</w:t>
      </w:r>
      <w:proofErr w:type="spellEnd"/>
      <w:r w:rsidRPr="00005684">
        <w:rPr>
          <w:lang w:val="fr-FR"/>
        </w:rPr>
        <w:t xml:space="preserve"> Présidente du débat de haut niveau des Réunions des Parties.</w:t>
      </w:r>
    </w:p>
    <w:p w14:paraId="607E2FF7" w14:textId="66E93672" w:rsidR="00447F9A" w:rsidRPr="00005684" w:rsidRDefault="00447F9A" w:rsidP="00447F9A">
      <w:pPr>
        <w:pStyle w:val="SingleTxtG"/>
        <w:rPr>
          <w:lang w:val="fr-FR"/>
        </w:rPr>
      </w:pPr>
      <w:r w:rsidRPr="00005684">
        <w:rPr>
          <w:lang w:val="fr-FR"/>
        </w:rPr>
        <w:t>35.</w:t>
      </w:r>
      <w:r w:rsidRPr="00005684">
        <w:rPr>
          <w:lang w:val="fr-FR"/>
        </w:rPr>
        <w:tab/>
        <w:t>Après sa déclaration d</w:t>
      </w:r>
      <w:r w:rsidR="00F51B2C" w:rsidRPr="00005684">
        <w:rPr>
          <w:lang w:val="fr-FR"/>
        </w:rPr>
        <w:t>’</w:t>
      </w:r>
      <w:r w:rsidRPr="00005684">
        <w:rPr>
          <w:lang w:val="fr-FR"/>
        </w:rPr>
        <w:t>ouverture, la Présidente du débat de haut niveau a donné la parole à la Première Ministre de la République de Lituanie,</w:t>
      </w:r>
      <w:r w:rsidR="007D3A2B" w:rsidRPr="00005684">
        <w:rPr>
          <w:lang w:val="fr-FR"/>
        </w:rPr>
        <w:t xml:space="preserve"> </w:t>
      </w:r>
      <w:r w:rsidR="006E25CC" w:rsidRPr="00005684">
        <w:rPr>
          <w:lang w:val="fr-FR"/>
        </w:rPr>
        <w:t>M</w:t>
      </w:r>
      <w:r w:rsidR="006E25CC" w:rsidRPr="00005684">
        <w:rPr>
          <w:vertAlign w:val="superscript"/>
          <w:lang w:val="fr-FR"/>
        </w:rPr>
        <w:t>me</w:t>
      </w:r>
      <w:r w:rsidR="006E25CC" w:rsidRPr="00005684">
        <w:rPr>
          <w:lang w:val="fr-FR"/>
        </w:rPr>
        <w:t> </w:t>
      </w:r>
      <w:bookmarkStart w:id="15" w:name="_Hlk74040455"/>
      <w:proofErr w:type="spellStart"/>
      <w:r w:rsidRPr="00005684">
        <w:rPr>
          <w:lang w:val="fr-FR"/>
        </w:rPr>
        <w:t>Ingrida</w:t>
      </w:r>
      <w:proofErr w:type="spellEnd"/>
      <w:r w:rsidRPr="00005684">
        <w:rPr>
          <w:lang w:val="fr-FR"/>
        </w:rPr>
        <w:t xml:space="preserve"> </w:t>
      </w:r>
      <w:proofErr w:type="spellStart"/>
      <w:r w:rsidRPr="00005684">
        <w:rPr>
          <w:lang w:val="fr-FR"/>
        </w:rPr>
        <w:t>Šimonytė</w:t>
      </w:r>
      <w:bookmarkEnd w:id="15"/>
      <w:proofErr w:type="spellEnd"/>
      <w:r w:rsidRPr="00005684">
        <w:rPr>
          <w:lang w:val="fr-FR"/>
        </w:rPr>
        <w:t>, et à la Secrétaire exécutive de la CEE, qui ont également fait des déclarations liminaires.</w:t>
      </w:r>
    </w:p>
    <w:p w14:paraId="64030240" w14:textId="1041C973" w:rsidR="00447F9A" w:rsidRPr="00005684" w:rsidRDefault="00447F9A" w:rsidP="006E25CC">
      <w:pPr>
        <w:pStyle w:val="HChG"/>
        <w:rPr>
          <w:lang w:val="fr-FR"/>
        </w:rPr>
      </w:pPr>
      <w:r w:rsidRPr="00005684">
        <w:rPr>
          <w:lang w:val="fr-FR"/>
        </w:rPr>
        <w:tab/>
        <w:t>V.</w:t>
      </w:r>
      <w:r w:rsidRPr="00005684">
        <w:rPr>
          <w:lang w:val="fr-FR"/>
        </w:rPr>
        <w:tab/>
      </w:r>
      <w:bookmarkStart w:id="16" w:name="_Hlk68204571"/>
      <w:r w:rsidRPr="00005684">
        <w:rPr>
          <w:lang w:val="fr-FR"/>
        </w:rPr>
        <w:t>Manifestation de haut niveau</w:t>
      </w:r>
      <w:bookmarkEnd w:id="16"/>
      <w:r w:rsidRPr="00005684">
        <w:rPr>
          <w:lang w:val="fr-FR"/>
        </w:rPr>
        <w:t xml:space="preserve"> pour la célébration </w:t>
      </w:r>
      <w:r w:rsidR="006E25CC" w:rsidRPr="00005684">
        <w:rPr>
          <w:lang w:val="fr-FR"/>
        </w:rPr>
        <w:br/>
      </w:r>
      <w:r w:rsidRPr="00005684">
        <w:rPr>
          <w:lang w:val="fr-FR"/>
        </w:rPr>
        <w:t>du trentième anniversaire de la Convention</w:t>
      </w:r>
    </w:p>
    <w:p w14:paraId="627A4430" w14:textId="315FA017" w:rsidR="00447F9A" w:rsidRPr="00005684" w:rsidRDefault="00447F9A" w:rsidP="00447F9A">
      <w:pPr>
        <w:pStyle w:val="SingleTxtG"/>
        <w:rPr>
          <w:lang w:val="fr-FR"/>
        </w:rPr>
      </w:pPr>
      <w:r w:rsidRPr="00005684">
        <w:rPr>
          <w:lang w:val="fr-FR"/>
        </w:rPr>
        <w:t>36.</w:t>
      </w:r>
      <w:r w:rsidRPr="00005684">
        <w:rPr>
          <w:lang w:val="fr-FR"/>
        </w:rPr>
        <w:tab/>
        <w:t>Les Réunions des Parties ont célébré le trentième anniversaire de l</w:t>
      </w:r>
      <w:r w:rsidR="00F51B2C" w:rsidRPr="00005684">
        <w:rPr>
          <w:lang w:val="fr-FR"/>
        </w:rPr>
        <w:t>’</w:t>
      </w:r>
      <w:r w:rsidRPr="00005684">
        <w:rPr>
          <w:lang w:val="fr-FR"/>
        </w:rPr>
        <w:t>adoption de la Convention au cours d</w:t>
      </w:r>
      <w:r w:rsidR="00F51B2C" w:rsidRPr="00005684">
        <w:rPr>
          <w:lang w:val="fr-FR"/>
        </w:rPr>
        <w:t>’</w:t>
      </w:r>
      <w:r w:rsidRPr="00005684">
        <w:rPr>
          <w:lang w:val="fr-FR"/>
        </w:rPr>
        <w:t>une manifestation de haut niveau organisée par le secrétariat et animée par la Présidente du débat de haut niveau.</w:t>
      </w:r>
    </w:p>
    <w:p w14:paraId="0796D7B5" w14:textId="3C8D5DBC" w:rsidR="00447F9A" w:rsidRPr="00005684" w:rsidRDefault="00447F9A" w:rsidP="00447F9A">
      <w:pPr>
        <w:pStyle w:val="SingleTxtG"/>
        <w:rPr>
          <w:lang w:val="fr-FR"/>
        </w:rPr>
      </w:pPr>
      <w:r w:rsidRPr="00005684">
        <w:rPr>
          <w:lang w:val="fr-FR"/>
        </w:rPr>
        <w:t>37.</w:t>
      </w:r>
      <w:r w:rsidRPr="00005684">
        <w:rPr>
          <w:lang w:val="fr-FR"/>
        </w:rPr>
        <w:tab/>
        <w:t>La manifestation de haut niveau a été ouverte par une déclaration du Secrétaire général des Nations Unies, lue par la Secrétaire exécutive de la CEE. Une vidéo sur la Convention produite par le secrétariat grâce à un financement du programme EU4Environment a ensuite été diffusée.</w:t>
      </w:r>
    </w:p>
    <w:p w14:paraId="40DDEE4E" w14:textId="7EC8F8B3" w:rsidR="00447F9A" w:rsidRPr="00005684" w:rsidRDefault="00447F9A" w:rsidP="00447F9A">
      <w:pPr>
        <w:pStyle w:val="SingleTxtG"/>
        <w:rPr>
          <w:lang w:val="fr-FR"/>
        </w:rPr>
      </w:pPr>
      <w:r w:rsidRPr="00005684">
        <w:rPr>
          <w:lang w:val="fr-FR"/>
        </w:rPr>
        <w:t>38.</w:t>
      </w:r>
      <w:r w:rsidRPr="00005684">
        <w:rPr>
          <w:lang w:val="fr-FR"/>
        </w:rPr>
        <w:tab/>
        <w:t>Au cours d</w:t>
      </w:r>
      <w:r w:rsidR="00F51B2C" w:rsidRPr="00005684">
        <w:rPr>
          <w:lang w:val="fr-FR"/>
        </w:rPr>
        <w:t>’</w:t>
      </w:r>
      <w:r w:rsidRPr="00005684">
        <w:rPr>
          <w:lang w:val="fr-FR"/>
        </w:rPr>
        <w:t>une table ronde (décrite ci-dessous) sur la Convention, l</w:t>
      </w:r>
      <w:r w:rsidR="00F51B2C" w:rsidRPr="00005684">
        <w:rPr>
          <w:lang w:val="fr-FR"/>
        </w:rPr>
        <w:t>’</w:t>
      </w:r>
      <w:r w:rsidRPr="00005684">
        <w:rPr>
          <w:lang w:val="fr-FR"/>
        </w:rPr>
        <w:t>animateur et les orateurs invités sont revenus sur les origines de cet instrument et ont souligné les points forts de la Convention et les réalisations obtenues grâce à cet instrument au cours des dernières décennies, et décrit leur conception de l</w:t>
      </w:r>
      <w:r w:rsidR="00F51B2C" w:rsidRPr="00005684">
        <w:rPr>
          <w:lang w:val="fr-FR"/>
        </w:rPr>
        <w:t>’</w:t>
      </w:r>
      <w:r w:rsidRPr="00005684">
        <w:rPr>
          <w:lang w:val="fr-FR"/>
        </w:rPr>
        <w:t>avenir de la Convention</w:t>
      </w:r>
      <w:r w:rsidR="007D3A2B" w:rsidRPr="00005684">
        <w:rPr>
          <w:lang w:val="fr-FR"/>
        </w:rPr>
        <w:t> </w:t>
      </w:r>
      <w:r w:rsidRPr="00005684">
        <w:rPr>
          <w:lang w:val="fr-FR"/>
        </w:rPr>
        <w:t>:</w:t>
      </w:r>
    </w:p>
    <w:p w14:paraId="1D0BFEFB" w14:textId="32DCC737" w:rsidR="00447F9A" w:rsidRPr="00005684" w:rsidRDefault="00447F9A" w:rsidP="006E25CC">
      <w:pPr>
        <w:pStyle w:val="SingleTxtG"/>
        <w:ind w:firstLine="567"/>
        <w:rPr>
          <w:lang w:val="fr-FR"/>
        </w:rPr>
      </w:pPr>
      <w:r w:rsidRPr="00005684">
        <w:rPr>
          <w:lang w:val="fr-FR"/>
        </w:rPr>
        <w:t>a)</w:t>
      </w:r>
      <w:r w:rsidRPr="00005684">
        <w:rPr>
          <w:lang w:val="fr-FR"/>
        </w:rPr>
        <w:tab/>
        <w:t xml:space="preserve">La Présidente du débat de haut niveau a constaté avec satisfaction que la </w:t>
      </w:r>
      <w:r w:rsidR="006E25CC" w:rsidRPr="00005684">
        <w:rPr>
          <w:lang w:val="fr-FR"/>
        </w:rPr>
        <w:t>« </w:t>
      </w:r>
      <w:r w:rsidRPr="00005684">
        <w:rPr>
          <w:lang w:val="fr-FR"/>
        </w:rPr>
        <w:t>famille d</w:t>
      </w:r>
      <w:r w:rsidR="00F51B2C" w:rsidRPr="00005684">
        <w:rPr>
          <w:lang w:val="fr-FR"/>
        </w:rPr>
        <w:t>’</w:t>
      </w:r>
      <w:r w:rsidRPr="00005684">
        <w:rPr>
          <w:lang w:val="fr-FR"/>
        </w:rPr>
        <w:t>Espoo</w:t>
      </w:r>
      <w:r w:rsidR="006E25CC" w:rsidRPr="00005684">
        <w:rPr>
          <w:lang w:val="fr-FR"/>
        </w:rPr>
        <w:t> »</w:t>
      </w:r>
      <w:r w:rsidRPr="00005684">
        <w:rPr>
          <w:lang w:val="fr-FR"/>
        </w:rPr>
        <w:t xml:space="preserve"> s</w:t>
      </w:r>
      <w:r w:rsidR="00F51B2C" w:rsidRPr="00005684">
        <w:rPr>
          <w:lang w:val="fr-FR"/>
        </w:rPr>
        <w:t>’</w:t>
      </w:r>
      <w:r w:rsidRPr="00005684">
        <w:rPr>
          <w:lang w:val="fr-FR"/>
        </w:rPr>
        <w:t>était agrandie depuis la cérémonie de signature de la Convention à Espoo (Finlande) en février 1991 et comptait à présent 45 Parties, ce nombre devant augmenter encore avec l</w:t>
      </w:r>
      <w:r w:rsidR="00F51B2C" w:rsidRPr="00005684">
        <w:rPr>
          <w:lang w:val="fr-FR"/>
        </w:rPr>
        <w:t>’</w:t>
      </w:r>
      <w:r w:rsidRPr="00005684">
        <w:rPr>
          <w:lang w:val="fr-FR"/>
        </w:rPr>
        <w:t>ouverture future de la Convention aux États n</w:t>
      </w:r>
      <w:r w:rsidR="00F51B2C" w:rsidRPr="00005684">
        <w:rPr>
          <w:lang w:val="fr-FR"/>
        </w:rPr>
        <w:t>’</w:t>
      </w:r>
      <w:r w:rsidRPr="00005684">
        <w:rPr>
          <w:lang w:val="fr-FR"/>
        </w:rPr>
        <w:t>appartenant pas à la région de la CEE. Elle a souligné qu</w:t>
      </w:r>
      <w:r w:rsidR="00F51B2C" w:rsidRPr="00005684">
        <w:rPr>
          <w:lang w:val="fr-FR"/>
        </w:rPr>
        <w:t>’</w:t>
      </w:r>
      <w:r w:rsidRPr="00005684">
        <w:rPr>
          <w:lang w:val="fr-FR"/>
        </w:rPr>
        <w:t xml:space="preserve">en </w:t>
      </w:r>
      <w:r w:rsidR="006E25CC" w:rsidRPr="00005684">
        <w:rPr>
          <w:lang w:val="fr-FR"/>
        </w:rPr>
        <w:t>trente</w:t>
      </w:r>
      <w:r w:rsidRPr="00005684">
        <w:rPr>
          <w:lang w:val="fr-FR"/>
        </w:rPr>
        <w:t xml:space="preserve"> ans d</w:t>
      </w:r>
      <w:r w:rsidR="00F51B2C" w:rsidRPr="00005684">
        <w:rPr>
          <w:lang w:val="fr-FR"/>
        </w:rPr>
        <w:t>’</w:t>
      </w:r>
      <w:r w:rsidRPr="00005684">
        <w:rPr>
          <w:lang w:val="fr-FR"/>
        </w:rPr>
        <w:t>existence, la Convention avait prouvé quotidiennement qu</w:t>
      </w:r>
      <w:r w:rsidR="00F51B2C" w:rsidRPr="00005684">
        <w:rPr>
          <w:lang w:val="fr-FR"/>
        </w:rPr>
        <w:t>’</w:t>
      </w:r>
      <w:r w:rsidRPr="00005684">
        <w:rPr>
          <w:lang w:val="fr-FR"/>
        </w:rPr>
        <w:t xml:space="preserve">elle était une </w:t>
      </w:r>
      <w:proofErr w:type="spellStart"/>
      <w:r w:rsidRPr="00005684">
        <w:rPr>
          <w:lang w:val="fr-FR"/>
        </w:rPr>
        <w:t>plateforme</w:t>
      </w:r>
      <w:proofErr w:type="spellEnd"/>
      <w:r w:rsidRPr="00005684">
        <w:rPr>
          <w:lang w:val="fr-FR"/>
        </w:rPr>
        <w:t xml:space="preserve"> importante et fonctionnelle qui permettait la tenue de consultations </w:t>
      </w:r>
      <w:proofErr w:type="spellStart"/>
      <w:r w:rsidRPr="00005684">
        <w:rPr>
          <w:lang w:val="fr-FR"/>
        </w:rPr>
        <w:t>intergouvernementales</w:t>
      </w:r>
      <w:proofErr w:type="spellEnd"/>
      <w:r w:rsidRPr="00005684">
        <w:rPr>
          <w:lang w:val="fr-FR"/>
        </w:rPr>
        <w:t xml:space="preserve"> sur un large éventail de projets ayant des incidences environnementales transfrontières. La Présidente a considéré que les trois facteurs clefs pour que la Convention ait un avenir fructueux étaient la participation active des Parties aux organes de ce traité et aux activités inscrites dans le plan de travail ; la coopération régionale </w:t>
      </w:r>
      <w:r w:rsidR="006E25CC" w:rsidRPr="00005684">
        <w:rPr>
          <w:lang w:val="fr-FR"/>
        </w:rPr>
        <w:t>−</w:t>
      </w:r>
      <w:r w:rsidRPr="00005684">
        <w:rPr>
          <w:lang w:val="fr-FR"/>
        </w:rPr>
        <w:t xml:space="preserve"> qu</w:t>
      </w:r>
      <w:r w:rsidR="00F51B2C" w:rsidRPr="00005684">
        <w:rPr>
          <w:lang w:val="fr-FR"/>
        </w:rPr>
        <w:t>’</w:t>
      </w:r>
      <w:r w:rsidRPr="00005684">
        <w:rPr>
          <w:lang w:val="fr-FR"/>
        </w:rPr>
        <w:t>elle a proposé d</w:t>
      </w:r>
      <w:r w:rsidR="00F51B2C" w:rsidRPr="00005684">
        <w:rPr>
          <w:lang w:val="fr-FR"/>
        </w:rPr>
        <w:t>’</w:t>
      </w:r>
      <w:r w:rsidRPr="00005684">
        <w:rPr>
          <w:lang w:val="fr-FR"/>
        </w:rPr>
        <w:t>étendre aux pays de l</w:t>
      </w:r>
      <w:r w:rsidR="00F51B2C" w:rsidRPr="00005684">
        <w:rPr>
          <w:lang w:val="fr-FR"/>
        </w:rPr>
        <w:t>’</w:t>
      </w:r>
      <w:r w:rsidRPr="00005684">
        <w:rPr>
          <w:lang w:val="fr-FR"/>
        </w:rPr>
        <w:t>Arctique ; et le partage de la responsabilité d</w:t>
      </w:r>
      <w:r w:rsidR="00F51B2C" w:rsidRPr="00005684">
        <w:rPr>
          <w:lang w:val="fr-FR"/>
        </w:rPr>
        <w:t>’</w:t>
      </w:r>
      <w:r w:rsidRPr="00005684">
        <w:rPr>
          <w:lang w:val="fr-FR"/>
        </w:rPr>
        <w:t>un financement stable et suffisant ;</w:t>
      </w:r>
    </w:p>
    <w:p w14:paraId="70419216" w14:textId="55033F12" w:rsidR="00447F9A" w:rsidRPr="00005684" w:rsidRDefault="00447F9A" w:rsidP="006E25CC">
      <w:pPr>
        <w:pStyle w:val="SingleTxtG"/>
        <w:ind w:firstLine="567"/>
        <w:rPr>
          <w:lang w:val="fr-FR"/>
        </w:rPr>
      </w:pPr>
      <w:r w:rsidRPr="00005684">
        <w:rPr>
          <w:lang w:val="fr-FR"/>
        </w:rPr>
        <w:t>b)</w:t>
      </w:r>
      <w:r w:rsidRPr="00005684">
        <w:rPr>
          <w:lang w:val="fr-FR"/>
        </w:rPr>
        <w:tab/>
        <w:t>Selon M.</w:t>
      </w:r>
      <w:r w:rsidR="006E25CC" w:rsidRPr="00005684">
        <w:rPr>
          <w:lang w:val="fr-FR"/>
        </w:rPr>
        <w:t> </w:t>
      </w:r>
      <w:r w:rsidRPr="00005684">
        <w:rPr>
          <w:lang w:val="fr-FR"/>
        </w:rPr>
        <w:t xml:space="preserve">Robert Connelly (Connelly </w:t>
      </w:r>
      <w:proofErr w:type="spellStart"/>
      <w:r w:rsidRPr="00005684">
        <w:rPr>
          <w:lang w:val="fr-FR"/>
        </w:rPr>
        <w:t>Environmental</w:t>
      </w:r>
      <w:proofErr w:type="spellEnd"/>
      <w:r w:rsidRPr="00005684">
        <w:rPr>
          <w:lang w:val="fr-FR"/>
        </w:rPr>
        <w:t xml:space="preserve"> </w:t>
      </w:r>
      <w:proofErr w:type="spellStart"/>
      <w:r w:rsidRPr="00005684">
        <w:rPr>
          <w:lang w:val="fr-FR"/>
        </w:rPr>
        <w:t>Assessment</w:t>
      </w:r>
      <w:proofErr w:type="spellEnd"/>
      <w:r w:rsidRPr="00005684">
        <w:rPr>
          <w:lang w:val="fr-FR"/>
        </w:rPr>
        <w:t xml:space="preserve"> Consulting, </w:t>
      </w:r>
      <w:proofErr w:type="spellStart"/>
      <w:r w:rsidRPr="00005684">
        <w:rPr>
          <w:lang w:val="fr-FR"/>
        </w:rPr>
        <w:t>Incorporated</w:t>
      </w:r>
      <w:proofErr w:type="spellEnd"/>
      <w:r w:rsidRPr="00005684">
        <w:rPr>
          <w:lang w:val="fr-FR"/>
        </w:rPr>
        <w:t xml:space="preserve"> (Canada)), qui a été surnommé </w:t>
      </w:r>
      <w:r w:rsidR="006E25CC" w:rsidRPr="00005684">
        <w:rPr>
          <w:lang w:val="fr-FR"/>
        </w:rPr>
        <w:t>« </w:t>
      </w:r>
      <w:r w:rsidRPr="00005684">
        <w:rPr>
          <w:lang w:val="fr-FR"/>
        </w:rPr>
        <w:t>le père de la Convention d</w:t>
      </w:r>
      <w:r w:rsidR="00F51B2C" w:rsidRPr="00005684">
        <w:rPr>
          <w:lang w:val="fr-FR"/>
        </w:rPr>
        <w:t>’</w:t>
      </w:r>
      <w:r w:rsidRPr="00005684">
        <w:rPr>
          <w:lang w:val="fr-FR"/>
        </w:rPr>
        <w:t>Espoo</w:t>
      </w:r>
      <w:r w:rsidR="006E25CC" w:rsidRPr="00005684">
        <w:rPr>
          <w:lang w:val="fr-FR"/>
        </w:rPr>
        <w:t> »</w:t>
      </w:r>
      <w:r w:rsidRPr="00005684">
        <w:rPr>
          <w:lang w:val="fr-FR"/>
        </w:rPr>
        <w:t>, la Convention était aussi nécessaire aujourd</w:t>
      </w:r>
      <w:r w:rsidR="00F51B2C" w:rsidRPr="00005684">
        <w:rPr>
          <w:lang w:val="fr-FR"/>
        </w:rPr>
        <w:t>’</w:t>
      </w:r>
      <w:r w:rsidRPr="00005684">
        <w:rPr>
          <w:lang w:val="fr-FR"/>
        </w:rPr>
        <w:t>hui qu</w:t>
      </w:r>
      <w:r w:rsidR="00F51B2C" w:rsidRPr="00005684">
        <w:rPr>
          <w:lang w:val="fr-FR"/>
        </w:rPr>
        <w:t>’</w:t>
      </w:r>
      <w:r w:rsidRPr="00005684">
        <w:rPr>
          <w:lang w:val="fr-FR"/>
        </w:rPr>
        <w:t>à l</w:t>
      </w:r>
      <w:r w:rsidR="00F51B2C" w:rsidRPr="00005684">
        <w:rPr>
          <w:lang w:val="fr-FR"/>
        </w:rPr>
        <w:t>’</w:t>
      </w:r>
      <w:r w:rsidRPr="00005684">
        <w:rPr>
          <w:lang w:val="fr-FR"/>
        </w:rPr>
        <w:t>époque de son élaboration. M.</w:t>
      </w:r>
      <w:r w:rsidR="006E25CC" w:rsidRPr="00005684">
        <w:rPr>
          <w:lang w:val="fr-FR"/>
        </w:rPr>
        <w:t> </w:t>
      </w:r>
      <w:r w:rsidRPr="00005684">
        <w:rPr>
          <w:lang w:val="fr-FR"/>
        </w:rPr>
        <w:t>Connelly a estimé que la mise en œuvre de la Convention avait manifestement permis de réaliser les avantages globaux envisagés au moment de sa rédaction, et il a recommandé aux Parties d</w:t>
      </w:r>
      <w:r w:rsidR="00F51B2C" w:rsidRPr="00005684">
        <w:rPr>
          <w:lang w:val="fr-FR"/>
        </w:rPr>
        <w:t>’</w:t>
      </w:r>
      <w:r w:rsidRPr="00005684">
        <w:rPr>
          <w:lang w:val="fr-FR"/>
        </w:rPr>
        <w:t>enregistrer plus systématiquement leurs réussites, notamment celles liées au développement durable, l</w:t>
      </w:r>
      <w:r w:rsidR="00F51B2C" w:rsidRPr="00005684">
        <w:rPr>
          <w:lang w:val="fr-FR"/>
        </w:rPr>
        <w:t>’</w:t>
      </w:r>
      <w:r w:rsidRPr="00005684">
        <w:rPr>
          <w:lang w:val="fr-FR"/>
        </w:rPr>
        <w:t>un des objectifs généraux de la Convention ;</w:t>
      </w:r>
    </w:p>
    <w:p w14:paraId="1E8E4AF5" w14:textId="7E8F1E83" w:rsidR="00447F9A" w:rsidRPr="00005684" w:rsidRDefault="00447F9A" w:rsidP="006E25CC">
      <w:pPr>
        <w:pStyle w:val="SingleTxtG"/>
        <w:ind w:firstLine="567"/>
        <w:rPr>
          <w:lang w:val="fr-FR"/>
        </w:rPr>
      </w:pPr>
      <w:r w:rsidRPr="00005684">
        <w:rPr>
          <w:lang w:val="fr-FR"/>
        </w:rPr>
        <w:t>c)</w:t>
      </w:r>
      <w:r w:rsidRPr="00005684">
        <w:rPr>
          <w:lang w:val="fr-FR"/>
        </w:rPr>
        <w:tab/>
        <w:t>M.</w:t>
      </w:r>
      <w:r w:rsidR="006E25CC" w:rsidRPr="00005684">
        <w:rPr>
          <w:lang w:val="fr-FR"/>
        </w:rPr>
        <w:t> </w:t>
      </w:r>
      <w:proofErr w:type="spellStart"/>
      <w:r w:rsidRPr="00005684">
        <w:rPr>
          <w:lang w:val="fr-FR"/>
        </w:rPr>
        <w:t>Vitalijus</w:t>
      </w:r>
      <w:proofErr w:type="spellEnd"/>
      <w:r w:rsidRPr="00005684">
        <w:rPr>
          <w:lang w:val="fr-FR"/>
        </w:rPr>
        <w:t xml:space="preserve"> </w:t>
      </w:r>
      <w:proofErr w:type="spellStart"/>
      <w:r w:rsidRPr="00005684">
        <w:rPr>
          <w:lang w:val="fr-FR"/>
        </w:rPr>
        <w:t>Auglys</w:t>
      </w:r>
      <w:proofErr w:type="spellEnd"/>
      <w:r w:rsidRPr="00005684">
        <w:rPr>
          <w:lang w:val="fr-FR"/>
        </w:rPr>
        <w:t xml:space="preserve"> (Lituanie) a décrit les importantes mesures prises par son pays pour appliquer activement la Convention, aussi bien en tant que Partie d</w:t>
      </w:r>
      <w:r w:rsidR="00F51B2C" w:rsidRPr="00005684">
        <w:rPr>
          <w:lang w:val="fr-FR"/>
        </w:rPr>
        <w:t>’</w:t>
      </w:r>
      <w:r w:rsidRPr="00005684">
        <w:rPr>
          <w:lang w:val="fr-FR"/>
        </w:rPr>
        <w:t>origine qu</w:t>
      </w:r>
      <w:r w:rsidR="00F51B2C" w:rsidRPr="00005684">
        <w:rPr>
          <w:lang w:val="fr-FR"/>
        </w:rPr>
        <w:t>’</w:t>
      </w:r>
      <w:r w:rsidRPr="00005684">
        <w:rPr>
          <w:lang w:val="fr-FR"/>
        </w:rPr>
        <w:t>en tant que Partie touchée. Il a souligné l</w:t>
      </w:r>
      <w:r w:rsidR="00F51B2C" w:rsidRPr="00005684">
        <w:rPr>
          <w:lang w:val="fr-FR"/>
        </w:rPr>
        <w:t>’</w:t>
      </w:r>
      <w:r w:rsidRPr="00005684">
        <w:rPr>
          <w:lang w:val="fr-FR"/>
        </w:rPr>
        <w:t>importance de l</w:t>
      </w:r>
      <w:r w:rsidR="00F51B2C" w:rsidRPr="00005684">
        <w:rPr>
          <w:lang w:val="fr-FR"/>
        </w:rPr>
        <w:t>’</w:t>
      </w:r>
      <w:r w:rsidRPr="00005684">
        <w:rPr>
          <w:lang w:val="fr-FR"/>
        </w:rPr>
        <w:t>application de la Convention, en particulier aux activités liées à l</w:t>
      </w:r>
      <w:r w:rsidR="00F51B2C" w:rsidRPr="00005684">
        <w:rPr>
          <w:lang w:val="fr-FR"/>
        </w:rPr>
        <w:t>’</w:t>
      </w:r>
      <w:r w:rsidRPr="00005684">
        <w:rPr>
          <w:lang w:val="fr-FR"/>
        </w:rPr>
        <w:t>énergie nucléaire, et mis en exergue les avantages qui en découlaient et la valeur ajoutée qu</w:t>
      </w:r>
      <w:r w:rsidR="00F51B2C" w:rsidRPr="00005684">
        <w:rPr>
          <w:lang w:val="fr-FR"/>
        </w:rPr>
        <w:t>’</w:t>
      </w:r>
      <w:r w:rsidRPr="00005684">
        <w:rPr>
          <w:lang w:val="fr-FR"/>
        </w:rPr>
        <w:t>elle créait pour les projets et leurs promoteurs ;</w:t>
      </w:r>
    </w:p>
    <w:p w14:paraId="53DE614F" w14:textId="7EF9E48F" w:rsidR="00447F9A" w:rsidRPr="00005684" w:rsidRDefault="00447F9A" w:rsidP="006E25CC">
      <w:pPr>
        <w:pStyle w:val="SingleTxtG"/>
        <w:ind w:firstLine="567"/>
        <w:rPr>
          <w:spacing w:val="-1"/>
          <w:lang w:val="fr-FR"/>
        </w:rPr>
      </w:pPr>
      <w:r w:rsidRPr="00005684">
        <w:rPr>
          <w:spacing w:val="-1"/>
          <w:lang w:val="fr-FR"/>
        </w:rPr>
        <w:t>d)</w:t>
      </w:r>
      <w:r w:rsidRPr="00005684">
        <w:rPr>
          <w:spacing w:val="-1"/>
          <w:lang w:val="fr-FR"/>
        </w:rPr>
        <w:tab/>
        <w:t>M</w:t>
      </w:r>
      <w:r w:rsidRPr="00005684">
        <w:rPr>
          <w:spacing w:val="-1"/>
          <w:vertAlign w:val="superscript"/>
          <w:lang w:val="fr-FR"/>
        </w:rPr>
        <w:t>me</w:t>
      </w:r>
      <w:r w:rsidR="006E25CC" w:rsidRPr="00005684">
        <w:rPr>
          <w:spacing w:val="-1"/>
          <w:lang w:val="fr-FR"/>
        </w:rPr>
        <w:t> </w:t>
      </w:r>
      <w:r w:rsidRPr="00005684">
        <w:rPr>
          <w:spacing w:val="-1"/>
          <w:lang w:val="fr-FR"/>
        </w:rPr>
        <w:t>Martine Rohn (Suisse) a souligné qu</w:t>
      </w:r>
      <w:r w:rsidR="00F51B2C" w:rsidRPr="00005684">
        <w:rPr>
          <w:spacing w:val="-1"/>
          <w:lang w:val="fr-FR"/>
        </w:rPr>
        <w:t>’</w:t>
      </w:r>
      <w:r w:rsidRPr="00005684">
        <w:rPr>
          <w:spacing w:val="-1"/>
          <w:lang w:val="fr-FR"/>
        </w:rPr>
        <w:t>au cours des précédentes décennies, la Convention avait favorisé la coopération internationale, amélioré la gouvernance environnementale et rendu la prise de décisions plus transparente. Elle a souligné l</w:t>
      </w:r>
      <w:r w:rsidR="00F51B2C" w:rsidRPr="00005684">
        <w:rPr>
          <w:spacing w:val="-1"/>
          <w:lang w:val="fr-FR"/>
        </w:rPr>
        <w:t>’</w:t>
      </w:r>
      <w:r w:rsidRPr="00005684">
        <w:rPr>
          <w:spacing w:val="-1"/>
          <w:lang w:val="fr-FR"/>
        </w:rPr>
        <w:t>importance actuelle et future de cet instrument, notamment pour le relèvement après la pandémie, la réalisation des objectifs de développement durable et des objectifs liés aux changements climatiques, l</w:t>
      </w:r>
      <w:r w:rsidR="00F51B2C" w:rsidRPr="00005684">
        <w:rPr>
          <w:spacing w:val="-1"/>
          <w:lang w:val="fr-FR"/>
        </w:rPr>
        <w:t>’</w:t>
      </w:r>
      <w:r w:rsidRPr="00005684">
        <w:rPr>
          <w:spacing w:val="-1"/>
          <w:lang w:val="fr-FR"/>
        </w:rPr>
        <w:t>orientation des investissements publics vers des projets d</w:t>
      </w:r>
      <w:r w:rsidR="00F51B2C" w:rsidRPr="00005684">
        <w:rPr>
          <w:spacing w:val="-1"/>
          <w:lang w:val="fr-FR"/>
        </w:rPr>
        <w:t>’</w:t>
      </w:r>
      <w:r w:rsidRPr="00005684">
        <w:rPr>
          <w:spacing w:val="-1"/>
          <w:lang w:val="fr-FR"/>
        </w:rPr>
        <w:t>infrastructures durables et, éventuellement, l</w:t>
      </w:r>
      <w:r w:rsidR="00F51B2C" w:rsidRPr="00005684">
        <w:rPr>
          <w:spacing w:val="-1"/>
          <w:lang w:val="fr-FR"/>
        </w:rPr>
        <w:t>’</w:t>
      </w:r>
      <w:r w:rsidRPr="00005684">
        <w:rPr>
          <w:spacing w:val="-1"/>
          <w:lang w:val="fr-FR"/>
        </w:rPr>
        <w:t xml:space="preserve">amélioration de la gouvernance des ressources minérales. </w:t>
      </w:r>
      <w:r w:rsidR="006E25CC" w:rsidRPr="00005684">
        <w:rPr>
          <w:spacing w:val="-1"/>
          <w:lang w:val="fr-FR"/>
        </w:rPr>
        <w:t>M</w:t>
      </w:r>
      <w:r w:rsidR="006E25CC" w:rsidRPr="00005684">
        <w:rPr>
          <w:spacing w:val="-1"/>
          <w:vertAlign w:val="superscript"/>
          <w:lang w:val="fr-FR"/>
        </w:rPr>
        <w:t>me</w:t>
      </w:r>
      <w:r w:rsidR="006E25CC" w:rsidRPr="00005684">
        <w:rPr>
          <w:spacing w:val="-1"/>
          <w:lang w:val="fr-FR"/>
        </w:rPr>
        <w:t> </w:t>
      </w:r>
      <w:r w:rsidRPr="00005684">
        <w:rPr>
          <w:spacing w:val="-1"/>
          <w:lang w:val="fr-FR"/>
        </w:rPr>
        <w:t>Rohn a souligné que la Suisse avait systématiquement encouragé la mise en œuvre de la Convention dans toute la région de la CEE et continuerait de le faire, et elle a espéré que les pays extérieurs à la région de la CEE pourraient bientôt adhérer à ce traité ;</w:t>
      </w:r>
    </w:p>
    <w:p w14:paraId="1547F868" w14:textId="5A4ACE54" w:rsidR="00447F9A" w:rsidRPr="00005684" w:rsidRDefault="00447F9A" w:rsidP="006E25CC">
      <w:pPr>
        <w:pStyle w:val="SingleTxtG"/>
        <w:ind w:firstLine="567"/>
        <w:rPr>
          <w:lang w:val="fr-FR"/>
        </w:rPr>
      </w:pPr>
      <w:r w:rsidRPr="00005684">
        <w:rPr>
          <w:lang w:val="fr-FR"/>
        </w:rPr>
        <w:t>e)</w:t>
      </w:r>
      <w:r w:rsidRPr="00005684">
        <w:rPr>
          <w:lang w:val="fr-FR"/>
        </w:rPr>
        <w:tab/>
      </w:r>
      <w:r w:rsidR="006E25CC" w:rsidRPr="00005684">
        <w:rPr>
          <w:lang w:val="fr-FR"/>
        </w:rPr>
        <w:t>M</w:t>
      </w:r>
      <w:r w:rsidR="006E25CC" w:rsidRPr="00005684">
        <w:rPr>
          <w:vertAlign w:val="superscript"/>
          <w:lang w:val="fr-FR"/>
        </w:rPr>
        <w:t>me</w:t>
      </w:r>
      <w:r w:rsidR="006E25CC" w:rsidRPr="00005684">
        <w:rPr>
          <w:lang w:val="fr-FR"/>
        </w:rPr>
        <w:t> </w:t>
      </w:r>
      <w:r w:rsidRPr="00005684">
        <w:rPr>
          <w:lang w:val="fr-FR"/>
        </w:rPr>
        <w:t xml:space="preserve">Nino </w:t>
      </w:r>
      <w:proofErr w:type="spellStart"/>
      <w:r w:rsidRPr="00005684">
        <w:rPr>
          <w:lang w:val="fr-FR"/>
        </w:rPr>
        <w:t>Tandilashvili</w:t>
      </w:r>
      <w:proofErr w:type="spellEnd"/>
      <w:r w:rsidRPr="00005684">
        <w:rPr>
          <w:lang w:val="fr-FR"/>
        </w:rPr>
        <w:t xml:space="preserve"> (Géorgie) a informé la réunion de l</w:t>
      </w:r>
      <w:r w:rsidR="00F51B2C" w:rsidRPr="00005684">
        <w:rPr>
          <w:lang w:val="fr-FR"/>
        </w:rPr>
        <w:t>’</w:t>
      </w:r>
      <w:r w:rsidRPr="00005684">
        <w:rPr>
          <w:lang w:val="fr-FR"/>
        </w:rPr>
        <w:t>adoption par son pays d</w:t>
      </w:r>
      <w:r w:rsidR="00F51B2C" w:rsidRPr="00005684">
        <w:rPr>
          <w:lang w:val="fr-FR"/>
        </w:rPr>
        <w:t>’</w:t>
      </w:r>
      <w:r w:rsidRPr="00005684">
        <w:rPr>
          <w:lang w:val="fr-FR"/>
        </w:rPr>
        <w:t>une législation pleinement conforme à la Convention qui avait considérablement amélioré la participation du public à la prise de décisions. Elle a remercié la CEE et l</w:t>
      </w:r>
      <w:r w:rsidR="00F51B2C" w:rsidRPr="00005684">
        <w:rPr>
          <w:lang w:val="fr-FR"/>
        </w:rPr>
        <w:t>’</w:t>
      </w:r>
      <w:r w:rsidRPr="00005684">
        <w:rPr>
          <w:lang w:val="fr-FR"/>
        </w:rPr>
        <w:t>Union européenne d</w:t>
      </w:r>
      <w:r w:rsidR="00F51B2C" w:rsidRPr="00005684">
        <w:rPr>
          <w:lang w:val="fr-FR"/>
        </w:rPr>
        <w:t>’</w:t>
      </w:r>
      <w:r w:rsidRPr="00005684">
        <w:rPr>
          <w:lang w:val="fr-FR"/>
        </w:rPr>
        <w:t>avoir appuyé les réformes juridiques entreprises par son pays. Elle a aussi souligné le rôle important de la Convention dans la promotion de l</w:t>
      </w:r>
      <w:r w:rsidR="00F51B2C" w:rsidRPr="00005684">
        <w:rPr>
          <w:lang w:val="fr-FR"/>
        </w:rPr>
        <w:t>’</w:t>
      </w:r>
      <w:r w:rsidRPr="00005684">
        <w:rPr>
          <w:lang w:val="fr-FR"/>
        </w:rPr>
        <w:t>échange d</w:t>
      </w:r>
      <w:r w:rsidR="00F51B2C" w:rsidRPr="00005684">
        <w:rPr>
          <w:lang w:val="fr-FR"/>
        </w:rPr>
        <w:t>’</w:t>
      </w:r>
      <w:r w:rsidRPr="00005684">
        <w:rPr>
          <w:lang w:val="fr-FR"/>
        </w:rPr>
        <w:t>informations sur les questions environnementales et dans l</w:t>
      </w:r>
      <w:r w:rsidR="00F51B2C" w:rsidRPr="00005684">
        <w:rPr>
          <w:lang w:val="fr-FR"/>
        </w:rPr>
        <w:t>’</w:t>
      </w:r>
      <w:r w:rsidRPr="00005684">
        <w:rPr>
          <w:lang w:val="fr-FR"/>
        </w:rPr>
        <w:t xml:space="preserve">amélioration du dialogue </w:t>
      </w:r>
      <w:proofErr w:type="spellStart"/>
      <w:r w:rsidRPr="00005684">
        <w:rPr>
          <w:lang w:val="fr-FR"/>
        </w:rPr>
        <w:t>intergouvernemental</w:t>
      </w:r>
      <w:proofErr w:type="spellEnd"/>
      <w:r w:rsidRPr="00005684">
        <w:rPr>
          <w:lang w:val="fr-FR"/>
        </w:rPr>
        <w:t xml:space="preserve"> tendant à la mise en place d</w:t>
      </w:r>
      <w:r w:rsidR="00F51B2C" w:rsidRPr="00005684">
        <w:rPr>
          <w:lang w:val="fr-FR"/>
        </w:rPr>
        <w:t>’</w:t>
      </w:r>
      <w:r w:rsidRPr="00005684">
        <w:rPr>
          <w:lang w:val="fr-FR"/>
        </w:rPr>
        <w:t>un processus décisionnel international plus équitable ;</w:t>
      </w:r>
    </w:p>
    <w:p w14:paraId="0511660E" w14:textId="0413AE33" w:rsidR="00447F9A" w:rsidRPr="00005684" w:rsidRDefault="00447F9A" w:rsidP="006E25CC">
      <w:pPr>
        <w:pStyle w:val="SingleTxtG"/>
        <w:ind w:firstLine="567"/>
        <w:rPr>
          <w:lang w:val="fr-FR"/>
        </w:rPr>
      </w:pPr>
      <w:r w:rsidRPr="00005684">
        <w:rPr>
          <w:lang w:val="fr-FR"/>
        </w:rPr>
        <w:t>f)</w:t>
      </w:r>
      <w:r w:rsidRPr="00005684">
        <w:rPr>
          <w:lang w:val="fr-FR"/>
        </w:rPr>
        <w:tab/>
        <w:t>M.</w:t>
      </w:r>
      <w:r w:rsidR="007D3A2B" w:rsidRPr="00005684">
        <w:rPr>
          <w:lang w:val="fr-FR"/>
        </w:rPr>
        <w:t> </w:t>
      </w:r>
      <w:proofErr w:type="spellStart"/>
      <w:r w:rsidRPr="00005684">
        <w:rPr>
          <w:lang w:val="fr-FR"/>
        </w:rPr>
        <w:t>Sokhib</w:t>
      </w:r>
      <w:proofErr w:type="spellEnd"/>
      <w:r w:rsidRPr="00005684">
        <w:rPr>
          <w:lang w:val="fr-FR"/>
        </w:rPr>
        <w:t xml:space="preserve"> </w:t>
      </w:r>
      <w:proofErr w:type="spellStart"/>
      <w:r w:rsidRPr="00005684">
        <w:rPr>
          <w:lang w:val="fr-FR"/>
        </w:rPr>
        <w:t>Yulodshev</w:t>
      </w:r>
      <w:proofErr w:type="spellEnd"/>
      <w:r w:rsidRPr="00005684">
        <w:rPr>
          <w:lang w:val="fr-FR"/>
        </w:rPr>
        <w:t xml:space="preserve"> (Ouzbékistan) a rendu compte des efforts déployés par son pays pour mettre le système national d</w:t>
      </w:r>
      <w:r w:rsidR="00F51B2C" w:rsidRPr="00005684">
        <w:rPr>
          <w:lang w:val="fr-FR"/>
        </w:rPr>
        <w:t>’</w:t>
      </w:r>
      <w:r w:rsidRPr="00005684">
        <w:rPr>
          <w:lang w:val="fr-FR"/>
        </w:rPr>
        <w:t>évaluation de l</w:t>
      </w:r>
      <w:r w:rsidR="00F51B2C" w:rsidRPr="00005684">
        <w:rPr>
          <w:lang w:val="fr-FR"/>
        </w:rPr>
        <w:t>’</w:t>
      </w:r>
      <w:r w:rsidRPr="00005684">
        <w:rPr>
          <w:lang w:val="fr-FR"/>
        </w:rPr>
        <w:t>impact sur l</w:t>
      </w:r>
      <w:r w:rsidR="00F51B2C" w:rsidRPr="00005684">
        <w:rPr>
          <w:lang w:val="fr-FR"/>
        </w:rPr>
        <w:t>’</w:t>
      </w:r>
      <w:r w:rsidRPr="00005684">
        <w:rPr>
          <w:lang w:val="fr-FR"/>
        </w:rPr>
        <w:t>environnement en conformité avec les dispositions de la Convention, cette action s</w:t>
      </w:r>
      <w:r w:rsidR="00F51B2C" w:rsidRPr="00005684">
        <w:rPr>
          <w:lang w:val="fr-FR"/>
        </w:rPr>
        <w:t>’</w:t>
      </w:r>
      <w:r w:rsidRPr="00005684">
        <w:rPr>
          <w:lang w:val="fr-FR"/>
        </w:rPr>
        <w:t>inscrivant dans une démarche qui vise à rendre l</w:t>
      </w:r>
      <w:r w:rsidR="00F51B2C" w:rsidRPr="00005684">
        <w:rPr>
          <w:lang w:val="fr-FR"/>
        </w:rPr>
        <w:t>’</w:t>
      </w:r>
      <w:r w:rsidRPr="00005684">
        <w:rPr>
          <w:lang w:val="fr-FR"/>
        </w:rPr>
        <w:t>économie plus respectueuse de l</w:t>
      </w:r>
      <w:r w:rsidR="00F51B2C" w:rsidRPr="00005684">
        <w:rPr>
          <w:lang w:val="fr-FR"/>
        </w:rPr>
        <w:t>’</w:t>
      </w:r>
      <w:r w:rsidRPr="00005684">
        <w:rPr>
          <w:lang w:val="fr-FR"/>
        </w:rPr>
        <w:t>environnement. L</w:t>
      </w:r>
      <w:r w:rsidR="00F51B2C" w:rsidRPr="00005684">
        <w:rPr>
          <w:lang w:val="fr-FR"/>
        </w:rPr>
        <w:t>’</w:t>
      </w:r>
      <w:r w:rsidRPr="00005684">
        <w:rPr>
          <w:lang w:val="fr-FR"/>
        </w:rPr>
        <w:t>Ouzbékistan examinait actuellement la faisabilité d</w:t>
      </w:r>
      <w:r w:rsidR="00F51B2C" w:rsidRPr="00005684">
        <w:rPr>
          <w:lang w:val="fr-FR"/>
        </w:rPr>
        <w:t>’</w:t>
      </w:r>
      <w:r w:rsidRPr="00005684">
        <w:rPr>
          <w:lang w:val="fr-FR"/>
        </w:rPr>
        <w:t>une adhésion à la Convention, car il souhaitait renforcer sa coopération avec les autres pays d</w:t>
      </w:r>
      <w:r w:rsidR="00F51B2C" w:rsidRPr="00005684">
        <w:rPr>
          <w:lang w:val="fr-FR"/>
        </w:rPr>
        <w:t>’</w:t>
      </w:r>
      <w:r w:rsidRPr="00005684">
        <w:rPr>
          <w:lang w:val="fr-FR"/>
        </w:rPr>
        <w:t>Asie centrale et attirer des investissements plus durables. Il souhaitait aussi coopérer avec les Parties actuelles à la Convention et tirer parti de leur expérience dans la mise en œuvre de la Convention ;</w:t>
      </w:r>
    </w:p>
    <w:p w14:paraId="0784EA60" w14:textId="5BF3BD3F" w:rsidR="00447F9A" w:rsidRPr="00005684" w:rsidRDefault="00447F9A" w:rsidP="006E25CC">
      <w:pPr>
        <w:pStyle w:val="SingleTxtG"/>
        <w:ind w:firstLine="567"/>
        <w:rPr>
          <w:lang w:val="fr-FR"/>
        </w:rPr>
      </w:pPr>
      <w:r w:rsidRPr="00005684">
        <w:rPr>
          <w:lang w:val="fr-FR"/>
        </w:rPr>
        <w:t>g)</w:t>
      </w:r>
      <w:r w:rsidRPr="00005684">
        <w:rPr>
          <w:lang w:val="fr-FR"/>
        </w:rPr>
        <w:tab/>
        <w:t>M.</w:t>
      </w:r>
      <w:r w:rsidR="006E25CC" w:rsidRPr="00005684">
        <w:rPr>
          <w:lang w:val="fr-FR"/>
        </w:rPr>
        <w:t> </w:t>
      </w:r>
      <w:proofErr w:type="spellStart"/>
      <w:r w:rsidRPr="00005684">
        <w:rPr>
          <w:lang w:val="fr-FR"/>
        </w:rPr>
        <w:t>Andriy</w:t>
      </w:r>
      <w:proofErr w:type="spellEnd"/>
      <w:r w:rsidRPr="00005684">
        <w:rPr>
          <w:lang w:val="fr-FR"/>
        </w:rPr>
        <w:t xml:space="preserve"> </w:t>
      </w:r>
      <w:proofErr w:type="spellStart"/>
      <w:r w:rsidRPr="00005684">
        <w:rPr>
          <w:lang w:val="fr-FR"/>
        </w:rPr>
        <w:t>Andrusevych</w:t>
      </w:r>
      <w:proofErr w:type="spellEnd"/>
      <w:r w:rsidRPr="00005684">
        <w:rPr>
          <w:lang w:val="fr-FR"/>
        </w:rPr>
        <w:t xml:space="preserve"> (Society and </w:t>
      </w:r>
      <w:proofErr w:type="spellStart"/>
      <w:r w:rsidRPr="00005684">
        <w:rPr>
          <w:lang w:val="fr-FR"/>
        </w:rPr>
        <w:t>Environment</w:t>
      </w:r>
      <w:proofErr w:type="spellEnd"/>
      <w:r w:rsidRPr="00005684">
        <w:rPr>
          <w:lang w:val="fr-FR"/>
        </w:rPr>
        <w:t xml:space="preserve"> (Ukraine)) a souligné que la Convention, qui avait d</w:t>
      </w:r>
      <w:r w:rsidR="00F51B2C" w:rsidRPr="00005684">
        <w:rPr>
          <w:lang w:val="fr-FR"/>
        </w:rPr>
        <w:t>’</w:t>
      </w:r>
      <w:r w:rsidRPr="00005684">
        <w:rPr>
          <w:lang w:val="fr-FR"/>
        </w:rPr>
        <w:t>abord été juste un document tamponné et signé, était devenue un instrument véritablement utile</w:t>
      </w:r>
      <w:r w:rsidRPr="00005684" w:rsidDel="001F0B8D">
        <w:rPr>
          <w:lang w:val="fr-FR"/>
        </w:rPr>
        <w:t xml:space="preserve"> </w:t>
      </w:r>
      <w:r w:rsidRPr="00005684">
        <w:rPr>
          <w:lang w:val="fr-FR"/>
        </w:rPr>
        <w:t>pour les organisations de la société civile s</w:t>
      </w:r>
      <w:r w:rsidR="00F51B2C" w:rsidRPr="00005684">
        <w:rPr>
          <w:lang w:val="fr-FR"/>
        </w:rPr>
        <w:t>’</w:t>
      </w:r>
      <w:r w:rsidRPr="00005684">
        <w:rPr>
          <w:lang w:val="fr-FR"/>
        </w:rPr>
        <w:t>occupant de la protection de l</w:t>
      </w:r>
      <w:r w:rsidR="00F51B2C" w:rsidRPr="00005684">
        <w:rPr>
          <w:lang w:val="fr-FR"/>
        </w:rPr>
        <w:t>’</w:t>
      </w:r>
      <w:r w:rsidRPr="00005684">
        <w:rPr>
          <w:lang w:val="fr-FR"/>
        </w:rPr>
        <w:t xml:space="preserve">environnement, en particulier au cours des </w:t>
      </w:r>
      <w:r w:rsidR="006E25CC" w:rsidRPr="00005684">
        <w:rPr>
          <w:lang w:val="fr-FR"/>
        </w:rPr>
        <w:t>vingt</w:t>
      </w:r>
      <w:r w:rsidRPr="00005684">
        <w:rPr>
          <w:lang w:val="fr-FR"/>
        </w:rPr>
        <w:t xml:space="preserve"> dernières années. Du point de vue de la société civile, c</w:t>
      </w:r>
      <w:r w:rsidR="00F51B2C" w:rsidRPr="00005684">
        <w:rPr>
          <w:lang w:val="fr-FR"/>
        </w:rPr>
        <w:t>’</w:t>
      </w:r>
      <w:r w:rsidRPr="00005684">
        <w:rPr>
          <w:lang w:val="fr-FR"/>
        </w:rPr>
        <w:t>était une réussite. La Convention et son protocole représentaient actuellement un processus complexe en plusieurs parties, qui touchait de près les sous</w:t>
      </w:r>
      <w:r w:rsidR="006E25CC" w:rsidRPr="00005684">
        <w:rPr>
          <w:lang w:val="fr-FR"/>
        </w:rPr>
        <w:noBreakHyphen/>
      </w:r>
      <w:r w:rsidRPr="00005684">
        <w:rPr>
          <w:lang w:val="fr-FR"/>
        </w:rPr>
        <w:t>régions, les pays, les collectivités locales et les citoyens. Enfin, l</w:t>
      </w:r>
      <w:r w:rsidR="00F51B2C" w:rsidRPr="00005684">
        <w:rPr>
          <w:lang w:val="fr-FR"/>
        </w:rPr>
        <w:t>’</w:t>
      </w:r>
      <w:r w:rsidRPr="00005684">
        <w:rPr>
          <w:lang w:val="fr-FR"/>
        </w:rPr>
        <w:t>avenir de la Convention était construit par toutes les parties prenantes, œuvrant ensemble et passant par des étapes plus ou moins importantes, à savoir les négociations transfrontières, l</w:t>
      </w:r>
      <w:r w:rsidR="00F51B2C" w:rsidRPr="00005684">
        <w:rPr>
          <w:lang w:val="fr-FR"/>
        </w:rPr>
        <w:t>’</w:t>
      </w:r>
      <w:r w:rsidRPr="00005684">
        <w:rPr>
          <w:lang w:val="fr-FR"/>
        </w:rPr>
        <w:t>organisation de séminaires et la traduction de brèves vidéos/documents d</w:t>
      </w:r>
      <w:r w:rsidR="00F51B2C" w:rsidRPr="00005684">
        <w:rPr>
          <w:lang w:val="fr-FR"/>
        </w:rPr>
        <w:t>’</w:t>
      </w:r>
      <w:r w:rsidRPr="00005684">
        <w:rPr>
          <w:lang w:val="fr-FR"/>
        </w:rPr>
        <w:t>information dans les langues nationales ;</w:t>
      </w:r>
    </w:p>
    <w:p w14:paraId="11201CB3" w14:textId="27BB8F3D" w:rsidR="00447F9A" w:rsidRPr="00005684" w:rsidRDefault="00447F9A" w:rsidP="006E25CC">
      <w:pPr>
        <w:pStyle w:val="SingleTxtG"/>
        <w:ind w:firstLine="567"/>
        <w:rPr>
          <w:lang w:val="fr-FR"/>
        </w:rPr>
      </w:pPr>
      <w:r w:rsidRPr="00005684">
        <w:rPr>
          <w:lang w:val="fr-FR"/>
        </w:rPr>
        <w:t>h)</w:t>
      </w:r>
      <w:r w:rsidRPr="00005684">
        <w:rPr>
          <w:lang w:val="fr-FR"/>
        </w:rPr>
        <w:tab/>
      </w:r>
      <w:r w:rsidR="006E25CC" w:rsidRPr="00005684">
        <w:rPr>
          <w:lang w:val="fr-FR"/>
        </w:rPr>
        <w:t>M</w:t>
      </w:r>
      <w:r w:rsidR="006E25CC" w:rsidRPr="00005684">
        <w:rPr>
          <w:vertAlign w:val="superscript"/>
          <w:lang w:val="fr-FR"/>
        </w:rPr>
        <w:t>me</w:t>
      </w:r>
      <w:r w:rsidR="006E25CC" w:rsidRPr="00005684">
        <w:rPr>
          <w:lang w:val="fr-FR"/>
        </w:rPr>
        <w:t> </w:t>
      </w:r>
      <w:r w:rsidRPr="00005684">
        <w:rPr>
          <w:lang w:val="fr-FR"/>
        </w:rPr>
        <w:t xml:space="preserve">Mari </w:t>
      </w:r>
      <w:proofErr w:type="spellStart"/>
      <w:r w:rsidRPr="00005684">
        <w:rPr>
          <w:lang w:val="fr-FR"/>
        </w:rPr>
        <w:t>Koyano</w:t>
      </w:r>
      <w:proofErr w:type="spellEnd"/>
      <w:r w:rsidRPr="00005684">
        <w:rPr>
          <w:lang w:val="fr-FR"/>
        </w:rPr>
        <w:t xml:space="preserve"> (Université de </w:t>
      </w:r>
      <w:proofErr w:type="spellStart"/>
      <w:r w:rsidRPr="00005684">
        <w:rPr>
          <w:lang w:val="fr-FR"/>
        </w:rPr>
        <w:t>Hokkaid</w:t>
      </w:r>
      <w:proofErr w:type="spellEnd"/>
      <w:r w:rsidR="00CA5081" w:rsidRPr="00005684">
        <w:rPr>
          <w:color w:val="4D5156"/>
          <w:shd w:val="clear" w:color="auto" w:fill="FFFFFF"/>
        </w:rPr>
        <w:t>o</w:t>
      </w:r>
      <w:r w:rsidRPr="00005684">
        <w:rPr>
          <w:lang w:val="fr-FR"/>
        </w:rPr>
        <w:t>, Japon) a décrit certains des traits distinctifs de la Convention et a souligné la valeur de ce traité dans le développement du droit international de l</w:t>
      </w:r>
      <w:r w:rsidR="00F51B2C" w:rsidRPr="00005684">
        <w:rPr>
          <w:lang w:val="fr-FR"/>
        </w:rPr>
        <w:t>’</w:t>
      </w:r>
      <w:r w:rsidRPr="00005684">
        <w:rPr>
          <w:lang w:val="fr-FR"/>
        </w:rPr>
        <w:t>environnement. Elle a décrit les effets de synergie entre la Convention et d</w:t>
      </w:r>
      <w:r w:rsidR="00F51B2C" w:rsidRPr="00005684">
        <w:rPr>
          <w:lang w:val="fr-FR"/>
        </w:rPr>
        <w:t>’</w:t>
      </w:r>
      <w:r w:rsidRPr="00005684">
        <w:rPr>
          <w:lang w:val="fr-FR"/>
        </w:rPr>
        <w:t>autres instruments internationaux, qui favorisaient le développement durable de nombreuses manières. La Convention pouvait, par exemple, renforcer considérablement les procédures prescrites par d</w:t>
      </w:r>
      <w:r w:rsidR="00F51B2C" w:rsidRPr="00005684">
        <w:rPr>
          <w:lang w:val="fr-FR"/>
        </w:rPr>
        <w:t>’</w:t>
      </w:r>
      <w:r w:rsidRPr="00005684">
        <w:rPr>
          <w:lang w:val="fr-FR"/>
        </w:rPr>
        <w:t xml:space="preserve">autres instruments. </w:t>
      </w:r>
      <w:r w:rsidR="006E25CC" w:rsidRPr="00005684">
        <w:rPr>
          <w:lang w:val="fr-FR"/>
        </w:rPr>
        <w:t>M</w:t>
      </w:r>
      <w:r w:rsidR="006E25CC" w:rsidRPr="00005684">
        <w:rPr>
          <w:vertAlign w:val="superscript"/>
          <w:lang w:val="fr-FR"/>
        </w:rPr>
        <w:t>me</w:t>
      </w:r>
      <w:r w:rsidR="006E25CC" w:rsidRPr="00005684">
        <w:rPr>
          <w:lang w:val="fr-FR"/>
        </w:rPr>
        <w:t> </w:t>
      </w:r>
      <w:proofErr w:type="spellStart"/>
      <w:r w:rsidRPr="00005684">
        <w:rPr>
          <w:lang w:val="fr-FR"/>
        </w:rPr>
        <w:t>Koyano</w:t>
      </w:r>
      <w:proofErr w:type="spellEnd"/>
      <w:r w:rsidRPr="00005684">
        <w:rPr>
          <w:lang w:val="fr-FR"/>
        </w:rPr>
        <w:t xml:space="preserve"> a également informé la réunion du fait que l</w:t>
      </w:r>
      <w:r w:rsidR="00F51B2C" w:rsidRPr="00005684">
        <w:rPr>
          <w:lang w:val="fr-FR"/>
        </w:rPr>
        <w:t>’</w:t>
      </w:r>
      <w:r w:rsidRPr="00005684">
        <w:rPr>
          <w:lang w:val="fr-FR"/>
        </w:rPr>
        <w:t>évaluation de l</w:t>
      </w:r>
      <w:r w:rsidR="00F51B2C" w:rsidRPr="00005684">
        <w:rPr>
          <w:lang w:val="fr-FR"/>
        </w:rPr>
        <w:t>’</w:t>
      </w:r>
      <w:r w:rsidRPr="00005684">
        <w:rPr>
          <w:lang w:val="fr-FR"/>
        </w:rPr>
        <w:t>impact environnemental transfrontière était de mieux en mieux connue en Asie et qu</w:t>
      </w:r>
      <w:r w:rsidR="00F51B2C" w:rsidRPr="00005684">
        <w:rPr>
          <w:lang w:val="fr-FR"/>
        </w:rPr>
        <w:t>’</w:t>
      </w:r>
      <w:r w:rsidRPr="00005684">
        <w:rPr>
          <w:lang w:val="fr-FR"/>
        </w:rPr>
        <w:t>elle pouvait jouer un rôle majeur dans la gestion du nombre croissant d</w:t>
      </w:r>
      <w:r w:rsidR="00F51B2C" w:rsidRPr="00005684">
        <w:rPr>
          <w:lang w:val="fr-FR"/>
        </w:rPr>
        <w:t>’</w:t>
      </w:r>
      <w:r w:rsidRPr="00005684">
        <w:rPr>
          <w:lang w:val="fr-FR"/>
        </w:rPr>
        <w:t>activités dangereuses dans cette région. Selon elle, la Convention devrait faire l</w:t>
      </w:r>
      <w:r w:rsidR="00F51B2C" w:rsidRPr="00005684">
        <w:rPr>
          <w:lang w:val="fr-FR"/>
        </w:rPr>
        <w:t>’</w:t>
      </w:r>
      <w:r w:rsidRPr="00005684">
        <w:rPr>
          <w:lang w:val="fr-FR"/>
        </w:rPr>
        <w:t>objet d</w:t>
      </w:r>
      <w:r w:rsidR="00F51B2C" w:rsidRPr="00005684">
        <w:rPr>
          <w:lang w:val="fr-FR"/>
        </w:rPr>
        <w:t>’</w:t>
      </w:r>
      <w:r w:rsidRPr="00005684">
        <w:rPr>
          <w:lang w:val="fr-FR"/>
        </w:rPr>
        <w:t>une plus grande attention dans le contexte asiatique, et les pays asiatiques pourraient envisager soit d</w:t>
      </w:r>
      <w:r w:rsidR="00F51B2C" w:rsidRPr="00005684">
        <w:rPr>
          <w:lang w:val="fr-FR"/>
        </w:rPr>
        <w:t>’</w:t>
      </w:r>
      <w:r w:rsidRPr="00005684">
        <w:rPr>
          <w:lang w:val="fr-FR"/>
        </w:rPr>
        <w:t>adhérer à la Convention, soit d</w:t>
      </w:r>
      <w:r w:rsidR="00F51B2C" w:rsidRPr="00005684">
        <w:rPr>
          <w:lang w:val="fr-FR"/>
        </w:rPr>
        <w:t>’</w:t>
      </w:r>
      <w:r w:rsidRPr="00005684">
        <w:rPr>
          <w:lang w:val="fr-FR"/>
        </w:rPr>
        <w:t>élaborer leurs propres arrangements sur la base des enseignements tirés de son application.</w:t>
      </w:r>
    </w:p>
    <w:p w14:paraId="17F9BEDE" w14:textId="4EFE32C8" w:rsidR="00447F9A" w:rsidRPr="00005684" w:rsidRDefault="00447F9A" w:rsidP="00447F9A">
      <w:pPr>
        <w:pStyle w:val="SingleTxtG"/>
        <w:rPr>
          <w:lang w:val="fr-FR"/>
        </w:rPr>
      </w:pPr>
      <w:r w:rsidRPr="00005684">
        <w:rPr>
          <w:lang w:val="fr-FR"/>
        </w:rPr>
        <w:t>39.</w:t>
      </w:r>
      <w:r w:rsidRPr="00005684">
        <w:rPr>
          <w:lang w:val="fr-FR"/>
        </w:rPr>
        <w:tab/>
        <w:t>Un représentant de l</w:t>
      </w:r>
      <w:r w:rsidR="00F51B2C" w:rsidRPr="00005684">
        <w:rPr>
          <w:lang w:val="fr-FR"/>
        </w:rPr>
        <w:t>’</w:t>
      </w:r>
      <w:r w:rsidRPr="00005684">
        <w:rPr>
          <w:lang w:val="fr-FR"/>
        </w:rPr>
        <w:t>OSCE a présenté un cadeau d</w:t>
      </w:r>
      <w:r w:rsidR="00F51B2C" w:rsidRPr="00005684">
        <w:rPr>
          <w:lang w:val="fr-FR"/>
        </w:rPr>
        <w:t>’</w:t>
      </w:r>
      <w:r w:rsidRPr="00005684">
        <w:rPr>
          <w:lang w:val="fr-FR"/>
        </w:rPr>
        <w:t>anniversaire préparé par cette organisation : une bande dessinée illustrant certains éléments de la Convention et de son Protocole.</w:t>
      </w:r>
    </w:p>
    <w:p w14:paraId="631C1B32" w14:textId="6005864D" w:rsidR="00447F9A" w:rsidRPr="00005684" w:rsidRDefault="00447F9A" w:rsidP="00447F9A">
      <w:pPr>
        <w:pStyle w:val="SingleTxtG"/>
        <w:rPr>
          <w:lang w:val="fr-FR"/>
        </w:rPr>
      </w:pPr>
      <w:r w:rsidRPr="00005684">
        <w:rPr>
          <w:lang w:val="fr-FR"/>
        </w:rPr>
        <w:t>40.</w:t>
      </w:r>
      <w:r w:rsidR="006E25CC" w:rsidRPr="00005684">
        <w:rPr>
          <w:lang w:val="fr-FR"/>
        </w:rPr>
        <w:tab/>
      </w:r>
      <w:r w:rsidRPr="00005684">
        <w:rPr>
          <w:lang w:val="fr-FR"/>
        </w:rPr>
        <w:t>Après avoir animé une séance de questions et réponses, la Présidente a remercié les intervenants et résumé les débats.</w:t>
      </w:r>
    </w:p>
    <w:p w14:paraId="484C311E" w14:textId="08EEF156" w:rsidR="00447F9A" w:rsidRPr="00005684" w:rsidRDefault="00447F9A" w:rsidP="00447F9A">
      <w:pPr>
        <w:pStyle w:val="SingleTxtG"/>
        <w:rPr>
          <w:lang w:val="fr-FR"/>
        </w:rPr>
      </w:pPr>
      <w:r w:rsidRPr="00005684">
        <w:rPr>
          <w:lang w:val="fr-FR"/>
        </w:rPr>
        <w:t>41.</w:t>
      </w:r>
      <w:r w:rsidRPr="00005684">
        <w:rPr>
          <w:lang w:val="fr-FR"/>
        </w:rPr>
        <w:tab/>
        <w:t>Les Réunions des Parties se sont félicitées de l</w:t>
      </w:r>
      <w:r w:rsidR="00F51B2C" w:rsidRPr="00005684">
        <w:rPr>
          <w:lang w:val="fr-FR"/>
        </w:rPr>
        <w:t>’</w:t>
      </w:r>
      <w:r w:rsidRPr="00005684">
        <w:rPr>
          <w:lang w:val="fr-FR"/>
        </w:rPr>
        <w:t>organisation de la manifestation de haut niveau pour la célébration du trentième anniversaire de la Convention et ont remercié tous les intervenants et demandé que les exposés soient affichés sur la page Web de la réunion.</w:t>
      </w:r>
    </w:p>
    <w:p w14:paraId="2E053194" w14:textId="77777777" w:rsidR="00447F9A" w:rsidRPr="00005684" w:rsidRDefault="00447F9A" w:rsidP="006E25CC">
      <w:pPr>
        <w:pStyle w:val="HChG"/>
        <w:rPr>
          <w:lang w:val="fr-FR"/>
        </w:rPr>
      </w:pPr>
      <w:r w:rsidRPr="00005684">
        <w:rPr>
          <w:lang w:val="fr-FR"/>
        </w:rPr>
        <w:tab/>
        <w:t>VI.</w:t>
      </w:r>
      <w:r w:rsidRPr="00005684">
        <w:rPr>
          <w:lang w:val="fr-FR"/>
        </w:rPr>
        <w:tab/>
        <w:t>Déclarations de ministres et de représentants de haut niveau</w:t>
      </w:r>
    </w:p>
    <w:p w14:paraId="184BC0E7" w14:textId="5D5DB3DE" w:rsidR="00447F9A" w:rsidRPr="00005684" w:rsidRDefault="00447F9A" w:rsidP="00447F9A">
      <w:pPr>
        <w:pStyle w:val="SingleTxtG"/>
        <w:rPr>
          <w:lang w:val="fr-FR"/>
        </w:rPr>
      </w:pPr>
      <w:r w:rsidRPr="00005684">
        <w:rPr>
          <w:lang w:val="fr-FR"/>
        </w:rPr>
        <w:t>42.</w:t>
      </w:r>
      <w:r w:rsidRPr="00005684">
        <w:rPr>
          <w:lang w:val="fr-FR"/>
        </w:rPr>
        <w:tab/>
        <w:t>Au cours du débat de haut niveau, les délégations des pays suivants ont fait des déclarations : Arménie, Azerbaïdjan, Bélarus, Grèce, Italie, Lituanie, Norvège, Slovaquie, Slovénie et Ukraine. En outre, le Commissaire européen à l</w:t>
      </w:r>
      <w:r w:rsidR="00F51B2C" w:rsidRPr="00005684">
        <w:rPr>
          <w:lang w:val="fr-FR"/>
        </w:rPr>
        <w:t>’</w:t>
      </w:r>
      <w:r w:rsidRPr="00005684">
        <w:rPr>
          <w:lang w:val="fr-FR"/>
        </w:rPr>
        <w:t>environnement, aux océans et à la pêche et un représentant de l</w:t>
      </w:r>
      <w:r w:rsidR="00F51B2C" w:rsidRPr="00005684">
        <w:rPr>
          <w:lang w:val="fr-FR"/>
        </w:rPr>
        <w:t>’</w:t>
      </w:r>
      <w:r w:rsidRPr="00005684">
        <w:rPr>
          <w:lang w:val="fr-FR"/>
        </w:rPr>
        <w:t>Allemagne ont pris la parole au nom de l</w:t>
      </w:r>
      <w:r w:rsidR="00F51B2C" w:rsidRPr="00005684">
        <w:rPr>
          <w:lang w:val="fr-FR"/>
        </w:rPr>
        <w:t>’</w:t>
      </w:r>
      <w:r w:rsidRPr="00005684">
        <w:rPr>
          <w:lang w:val="fr-FR"/>
        </w:rPr>
        <w:t>Union européenne et de ses États membres. Les chefs des délégations de l</w:t>
      </w:r>
      <w:r w:rsidR="00F51B2C" w:rsidRPr="00005684">
        <w:rPr>
          <w:lang w:val="fr-FR"/>
        </w:rPr>
        <w:t>’</w:t>
      </w:r>
      <w:r w:rsidRPr="00005684">
        <w:rPr>
          <w:lang w:val="fr-FR"/>
        </w:rPr>
        <w:t>Agence internationale de l</w:t>
      </w:r>
      <w:r w:rsidR="00F51B2C" w:rsidRPr="00005684">
        <w:rPr>
          <w:lang w:val="fr-FR"/>
        </w:rPr>
        <w:t>’</w:t>
      </w:r>
      <w:r w:rsidRPr="00005684">
        <w:rPr>
          <w:lang w:val="fr-FR"/>
        </w:rPr>
        <w:t>énergie atomique, de l</w:t>
      </w:r>
      <w:r w:rsidR="00F51B2C" w:rsidRPr="00005684">
        <w:rPr>
          <w:lang w:val="fr-FR"/>
        </w:rPr>
        <w:t>’</w:t>
      </w:r>
      <w:r w:rsidRPr="00005684">
        <w:rPr>
          <w:lang w:val="fr-FR"/>
        </w:rPr>
        <w:t>OSCE et de l</w:t>
      </w:r>
      <w:r w:rsidR="00F51B2C" w:rsidRPr="00005684">
        <w:rPr>
          <w:lang w:val="fr-FR"/>
        </w:rPr>
        <w:t>’</w:t>
      </w:r>
      <w:r w:rsidRPr="00005684">
        <w:rPr>
          <w:lang w:val="fr-FR"/>
        </w:rPr>
        <w:t>OMS ont également fait des déclarations. Les Réunions des Parties ont demandé que les déclarations soient publiées sur le site Web de la Convention une fois que les délégations concernées auraient donné leur accord.</w:t>
      </w:r>
    </w:p>
    <w:p w14:paraId="2D3411FF" w14:textId="6ECA3179" w:rsidR="00447F9A" w:rsidRPr="00005684" w:rsidRDefault="00447F9A" w:rsidP="006E25CC">
      <w:pPr>
        <w:pStyle w:val="HChG"/>
        <w:rPr>
          <w:lang w:val="fr-FR"/>
        </w:rPr>
      </w:pPr>
      <w:r w:rsidRPr="00005684">
        <w:rPr>
          <w:lang w:val="fr-FR"/>
        </w:rPr>
        <w:tab/>
        <w:t>VII.</w:t>
      </w:r>
      <w:r w:rsidRPr="00005684">
        <w:rPr>
          <w:lang w:val="fr-FR"/>
        </w:rPr>
        <w:tab/>
        <w:t>Adoption des décisions et de la déclaration de Vilnius</w:t>
      </w:r>
    </w:p>
    <w:p w14:paraId="41A32054" w14:textId="5DD8E963" w:rsidR="00447F9A" w:rsidRPr="00005684" w:rsidRDefault="00447F9A" w:rsidP="00447F9A">
      <w:pPr>
        <w:pStyle w:val="SingleTxtG"/>
        <w:rPr>
          <w:lang w:val="fr-FR"/>
        </w:rPr>
      </w:pPr>
      <w:r w:rsidRPr="00005684">
        <w:rPr>
          <w:lang w:val="fr-FR"/>
        </w:rPr>
        <w:t>43.</w:t>
      </w:r>
      <w:r w:rsidRPr="00005684">
        <w:rPr>
          <w:lang w:val="fr-FR"/>
        </w:rPr>
        <w:tab/>
        <w:t>Après avoir passé en revue les modifications approuvées au cours des séances, les Réunions des Parties ont adopté des décisions et une déclaration.</w:t>
      </w:r>
    </w:p>
    <w:p w14:paraId="2A1C154D" w14:textId="114C904B" w:rsidR="00447F9A" w:rsidRPr="00005684" w:rsidRDefault="00447F9A" w:rsidP="00447F9A">
      <w:pPr>
        <w:pStyle w:val="SingleTxtG"/>
        <w:rPr>
          <w:lang w:val="fr-FR"/>
        </w:rPr>
      </w:pPr>
      <w:r w:rsidRPr="00005684">
        <w:rPr>
          <w:lang w:val="fr-FR"/>
        </w:rPr>
        <w:t>44.</w:t>
      </w:r>
      <w:r w:rsidRPr="00005684">
        <w:rPr>
          <w:lang w:val="fr-FR"/>
        </w:rPr>
        <w:tab/>
        <w:t>Les Réunions des Parties ont adopté conjointement la déclaration de Vilnius et les décisions suivantes</w:t>
      </w:r>
      <w:r w:rsidR="00CA5081" w:rsidRPr="00005684">
        <w:rPr>
          <w:lang w:val="fr-FR"/>
        </w:rPr>
        <w:t> </w:t>
      </w:r>
      <w:r w:rsidRPr="00005684">
        <w:rPr>
          <w:lang w:val="fr-FR"/>
        </w:rPr>
        <w:t>:</w:t>
      </w:r>
    </w:p>
    <w:p w14:paraId="1269FC33" w14:textId="3ABA9123" w:rsidR="00447F9A" w:rsidRPr="00005684" w:rsidRDefault="00447F9A" w:rsidP="006E25CC">
      <w:pPr>
        <w:pStyle w:val="SingleTxtG"/>
        <w:ind w:firstLine="567"/>
        <w:rPr>
          <w:lang w:val="fr-FR"/>
        </w:rPr>
      </w:pPr>
      <w:r w:rsidRPr="00005684">
        <w:rPr>
          <w:lang w:val="fr-FR"/>
        </w:rPr>
        <w:t>a)</w:t>
      </w:r>
      <w:r w:rsidRPr="00005684">
        <w:rPr>
          <w:lang w:val="fr-FR"/>
        </w:rPr>
        <w:tab/>
        <w:t>Décision sur les dispositions financières pour la période 2021-2023 (VIII/1</w:t>
      </w:r>
      <w:r w:rsidR="00CA5081" w:rsidRPr="00005684">
        <w:rPr>
          <w:lang w:val="fr-FR"/>
        </w:rPr>
        <w:noBreakHyphen/>
      </w:r>
      <w:r w:rsidRPr="00005684">
        <w:rPr>
          <w:lang w:val="fr-FR"/>
        </w:rPr>
        <w:t>IV/1)</w:t>
      </w:r>
      <w:r w:rsidR="00CA5081" w:rsidRPr="00005684">
        <w:rPr>
          <w:lang w:val="fr-FR"/>
        </w:rPr>
        <w:t> </w:t>
      </w:r>
      <w:r w:rsidRPr="00005684">
        <w:rPr>
          <w:lang w:val="fr-FR"/>
        </w:rPr>
        <w:t>;</w:t>
      </w:r>
    </w:p>
    <w:p w14:paraId="06FCE01C" w14:textId="26C8418A" w:rsidR="00447F9A" w:rsidRPr="00005684" w:rsidRDefault="00447F9A" w:rsidP="006E25CC">
      <w:pPr>
        <w:pStyle w:val="SingleTxtG"/>
        <w:ind w:firstLine="567"/>
        <w:rPr>
          <w:lang w:val="fr-FR"/>
        </w:rPr>
      </w:pPr>
      <w:r w:rsidRPr="00005684">
        <w:rPr>
          <w:lang w:val="fr-FR"/>
        </w:rPr>
        <w:t>b)</w:t>
      </w:r>
      <w:r w:rsidRPr="00005684">
        <w:rPr>
          <w:lang w:val="fr-FR"/>
        </w:rPr>
        <w:tab/>
        <w:t>Décision concernant l</w:t>
      </w:r>
      <w:r w:rsidR="00F51B2C" w:rsidRPr="00005684">
        <w:rPr>
          <w:lang w:val="fr-FR"/>
        </w:rPr>
        <w:t>’</w:t>
      </w:r>
      <w:r w:rsidRPr="00005684">
        <w:rPr>
          <w:lang w:val="fr-FR"/>
        </w:rPr>
        <w:t>adoption du plan de travail (VIII/2</w:t>
      </w:r>
      <w:r w:rsidR="006E25CC" w:rsidRPr="00005684">
        <w:rPr>
          <w:lang w:val="fr-FR"/>
        </w:rPr>
        <w:t>-</w:t>
      </w:r>
      <w:r w:rsidRPr="00005684">
        <w:rPr>
          <w:lang w:val="fr-FR"/>
        </w:rPr>
        <w:t>IV/2)</w:t>
      </w:r>
      <w:r w:rsidR="00CA5081" w:rsidRPr="00005684">
        <w:rPr>
          <w:lang w:val="fr-FR"/>
        </w:rPr>
        <w:t> </w:t>
      </w:r>
      <w:r w:rsidRPr="00005684">
        <w:rPr>
          <w:lang w:val="fr-FR"/>
        </w:rPr>
        <w:t>;</w:t>
      </w:r>
    </w:p>
    <w:p w14:paraId="2E2E52C3" w14:textId="20B7F201" w:rsidR="00447F9A" w:rsidRPr="00005684" w:rsidRDefault="00447F9A" w:rsidP="006E25CC">
      <w:pPr>
        <w:pStyle w:val="SingleTxtG"/>
        <w:ind w:firstLine="567"/>
        <w:rPr>
          <w:lang w:val="fr-FR"/>
        </w:rPr>
      </w:pPr>
      <w:r w:rsidRPr="00005684">
        <w:rPr>
          <w:lang w:val="fr-FR"/>
        </w:rPr>
        <w:t>c)</w:t>
      </w:r>
      <w:r w:rsidRPr="00005684">
        <w:rPr>
          <w:lang w:val="fr-FR"/>
        </w:rPr>
        <w:tab/>
        <w:t>Décision sur la stratégie à long terme et le plan d</w:t>
      </w:r>
      <w:r w:rsidR="00F51B2C" w:rsidRPr="00005684">
        <w:rPr>
          <w:lang w:val="fr-FR"/>
        </w:rPr>
        <w:t>’</w:t>
      </w:r>
      <w:r w:rsidRPr="00005684">
        <w:rPr>
          <w:lang w:val="fr-FR"/>
        </w:rPr>
        <w:t>action pour la Convention et le Protocole (VIII/3</w:t>
      </w:r>
      <w:r w:rsidR="0003340D" w:rsidRPr="00005684">
        <w:rPr>
          <w:lang w:val="fr-FR"/>
        </w:rPr>
        <w:t>-</w:t>
      </w:r>
      <w:r w:rsidRPr="00005684">
        <w:rPr>
          <w:lang w:val="fr-FR"/>
        </w:rPr>
        <w:t>IV/3).</w:t>
      </w:r>
    </w:p>
    <w:p w14:paraId="4229CC58" w14:textId="36BFA2E0" w:rsidR="00447F9A" w:rsidRPr="00005684" w:rsidRDefault="00447F9A" w:rsidP="00447F9A">
      <w:pPr>
        <w:pStyle w:val="SingleTxtG"/>
        <w:rPr>
          <w:lang w:val="fr-FR"/>
        </w:rPr>
      </w:pPr>
      <w:r w:rsidRPr="00005684">
        <w:rPr>
          <w:lang w:val="fr-FR"/>
        </w:rPr>
        <w:t>45.</w:t>
      </w:r>
      <w:r w:rsidRPr="00005684">
        <w:rPr>
          <w:lang w:val="fr-FR"/>
        </w:rPr>
        <w:tab/>
        <w:t>La Réunion des Parties à la Convention a adopté les décisions suivantes</w:t>
      </w:r>
      <w:r w:rsidR="00CA5081" w:rsidRPr="00005684">
        <w:rPr>
          <w:lang w:val="fr-FR"/>
        </w:rPr>
        <w:t> </w:t>
      </w:r>
      <w:r w:rsidRPr="00005684">
        <w:rPr>
          <w:lang w:val="fr-FR"/>
        </w:rPr>
        <w:t>:</w:t>
      </w:r>
    </w:p>
    <w:p w14:paraId="58912D13" w14:textId="735CA39A" w:rsidR="00447F9A" w:rsidRPr="00005684" w:rsidRDefault="00447F9A" w:rsidP="0003340D">
      <w:pPr>
        <w:pStyle w:val="SingleTxtG"/>
        <w:ind w:firstLine="567"/>
        <w:rPr>
          <w:lang w:val="fr-FR"/>
        </w:rPr>
      </w:pPr>
      <w:r w:rsidRPr="00005684">
        <w:rPr>
          <w:lang w:val="fr-FR"/>
        </w:rPr>
        <w:t>a)</w:t>
      </w:r>
      <w:r w:rsidRPr="00005684">
        <w:rPr>
          <w:lang w:val="fr-FR"/>
        </w:rPr>
        <w:tab/>
        <w:t>Décisions concernant l</w:t>
      </w:r>
      <w:r w:rsidR="00F51B2C" w:rsidRPr="00005684">
        <w:rPr>
          <w:lang w:val="fr-FR"/>
        </w:rPr>
        <w:t>’</w:t>
      </w:r>
      <w:r w:rsidRPr="00005684">
        <w:rPr>
          <w:lang w:val="fr-FR"/>
        </w:rPr>
        <w:t>examen du respect des dispositions de la Convention (VIII/4 et VIII/4 a</w:t>
      </w:r>
      <w:r w:rsidR="0003340D" w:rsidRPr="00005684">
        <w:rPr>
          <w:lang w:val="fr-FR"/>
        </w:rPr>
        <w:t>-</w:t>
      </w:r>
      <w:r w:rsidRPr="00005684">
        <w:rPr>
          <w:lang w:val="fr-FR"/>
        </w:rPr>
        <w:t>e)</w:t>
      </w:r>
      <w:r w:rsidR="00CA5081" w:rsidRPr="00005684">
        <w:rPr>
          <w:lang w:val="fr-FR"/>
        </w:rPr>
        <w:t> </w:t>
      </w:r>
      <w:r w:rsidRPr="00005684">
        <w:rPr>
          <w:lang w:val="fr-FR"/>
        </w:rPr>
        <w:t>;</w:t>
      </w:r>
    </w:p>
    <w:p w14:paraId="547B1B53" w14:textId="76294D3D" w:rsidR="00447F9A" w:rsidRPr="00005684" w:rsidRDefault="00447F9A" w:rsidP="0003340D">
      <w:pPr>
        <w:pStyle w:val="SingleTxtG"/>
        <w:ind w:firstLine="567"/>
        <w:rPr>
          <w:lang w:val="fr-FR"/>
        </w:rPr>
      </w:pPr>
      <w:r w:rsidRPr="00005684">
        <w:rPr>
          <w:lang w:val="fr-FR"/>
        </w:rPr>
        <w:t>b)</w:t>
      </w:r>
      <w:r w:rsidRPr="00005684">
        <w:rPr>
          <w:lang w:val="fr-FR"/>
        </w:rPr>
        <w:tab/>
        <w:t>Décision sur l</w:t>
      </w:r>
      <w:r w:rsidR="00F51B2C" w:rsidRPr="00005684">
        <w:rPr>
          <w:lang w:val="fr-FR"/>
        </w:rPr>
        <w:t>’</w:t>
      </w:r>
      <w:r w:rsidRPr="00005684">
        <w:rPr>
          <w:lang w:val="fr-FR"/>
        </w:rPr>
        <w:t>établissement de rapports et l</w:t>
      </w:r>
      <w:r w:rsidR="00F51B2C" w:rsidRPr="00005684">
        <w:rPr>
          <w:lang w:val="fr-FR"/>
        </w:rPr>
        <w:t>’</w:t>
      </w:r>
      <w:r w:rsidRPr="00005684">
        <w:rPr>
          <w:lang w:val="fr-FR"/>
        </w:rPr>
        <w:t>examen de l</w:t>
      </w:r>
      <w:r w:rsidR="00F51B2C" w:rsidRPr="00005684">
        <w:rPr>
          <w:lang w:val="fr-FR"/>
        </w:rPr>
        <w:t>’</w:t>
      </w:r>
      <w:r w:rsidRPr="00005684">
        <w:rPr>
          <w:lang w:val="fr-FR"/>
        </w:rPr>
        <w:t>application de la Convention (VIII/5)</w:t>
      </w:r>
      <w:r w:rsidR="00CA5081" w:rsidRPr="00005684">
        <w:rPr>
          <w:lang w:val="fr-FR"/>
        </w:rPr>
        <w:t> </w:t>
      </w:r>
      <w:r w:rsidRPr="00005684">
        <w:rPr>
          <w:lang w:val="fr-FR"/>
        </w:rPr>
        <w:t>;</w:t>
      </w:r>
    </w:p>
    <w:p w14:paraId="11D42ECC" w14:textId="615B6A6E" w:rsidR="00447F9A" w:rsidRPr="00005684" w:rsidRDefault="00447F9A" w:rsidP="0003340D">
      <w:pPr>
        <w:pStyle w:val="SingleTxtG"/>
        <w:ind w:firstLine="567"/>
        <w:rPr>
          <w:lang w:val="fr-FR"/>
        </w:rPr>
      </w:pPr>
      <w:r w:rsidRPr="00005684">
        <w:rPr>
          <w:lang w:val="fr-FR"/>
        </w:rPr>
        <w:t>c)</w:t>
      </w:r>
      <w:r w:rsidRPr="00005684">
        <w:rPr>
          <w:lang w:val="fr-FR"/>
        </w:rPr>
        <w:tab/>
        <w:t>Décision concernant l</w:t>
      </w:r>
      <w:r w:rsidR="00F51B2C" w:rsidRPr="00005684">
        <w:rPr>
          <w:lang w:val="fr-FR"/>
        </w:rPr>
        <w:t>’</w:t>
      </w:r>
      <w:r w:rsidRPr="00005684">
        <w:rPr>
          <w:lang w:val="fr-FR"/>
        </w:rPr>
        <w:t>applicabilité de la Convention s</w:t>
      </w:r>
      <w:r w:rsidR="00F51B2C" w:rsidRPr="00005684">
        <w:rPr>
          <w:lang w:val="fr-FR"/>
        </w:rPr>
        <w:t>’</w:t>
      </w:r>
      <w:r w:rsidRPr="00005684">
        <w:rPr>
          <w:lang w:val="fr-FR"/>
        </w:rPr>
        <w:t>agissant de la prolongation de la durée de vie des centrales nucléaires (VIII/6).</w:t>
      </w:r>
    </w:p>
    <w:p w14:paraId="14141451" w14:textId="55D4847F" w:rsidR="00447F9A" w:rsidRPr="00005684" w:rsidRDefault="00447F9A" w:rsidP="00447F9A">
      <w:pPr>
        <w:pStyle w:val="SingleTxtG"/>
        <w:rPr>
          <w:lang w:val="fr-FR"/>
        </w:rPr>
      </w:pPr>
      <w:r w:rsidRPr="00005684">
        <w:rPr>
          <w:lang w:val="fr-FR"/>
        </w:rPr>
        <w:t>46.</w:t>
      </w:r>
      <w:r w:rsidRPr="00005684">
        <w:rPr>
          <w:lang w:val="fr-FR"/>
        </w:rPr>
        <w:tab/>
        <w:t>La Réunion des Parties au Protocole a adopté les décisions suivantes</w:t>
      </w:r>
      <w:r w:rsidR="00CA5081" w:rsidRPr="00005684">
        <w:rPr>
          <w:lang w:val="fr-FR"/>
        </w:rPr>
        <w:t> </w:t>
      </w:r>
      <w:r w:rsidRPr="00005684">
        <w:rPr>
          <w:lang w:val="fr-FR"/>
        </w:rPr>
        <w:t>:</w:t>
      </w:r>
    </w:p>
    <w:p w14:paraId="615C107C" w14:textId="632B1150" w:rsidR="00447F9A" w:rsidRPr="00005684" w:rsidRDefault="00447F9A" w:rsidP="0003340D">
      <w:pPr>
        <w:pStyle w:val="SingleTxtG"/>
        <w:ind w:firstLine="567"/>
        <w:rPr>
          <w:lang w:val="fr-FR"/>
        </w:rPr>
      </w:pPr>
      <w:r w:rsidRPr="00005684">
        <w:rPr>
          <w:lang w:val="fr-FR"/>
        </w:rPr>
        <w:t>a)</w:t>
      </w:r>
      <w:r w:rsidRPr="00005684">
        <w:rPr>
          <w:lang w:val="fr-FR"/>
        </w:rPr>
        <w:tab/>
        <w:t>Décision sur les questions générales concernant le respect des dispositions du Protocole (IV/4)</w:t>
      </w:r>
      <w:r w:rsidR="00CA5081" w:rsidRPr="00005684">
        <w:rPr>
          <w:lang w:val="fr-FR"/>
        </w:rPr>
        <w:t> </w:t>
      </w:r>
      <w:r w:rsidRPr="00005684">
        <w:rPr>
          <w:lang w:val="fr-FR"/>
        </w:rPr>
        <w:t>;</w:t>
      </w:r>
    </w:p>
    <w:p w14:paraId="23F15391" w14:textId="0C5C8339" w:rsidR="00447F9A" w:rsidRPr="00005684" w:rsidRDefault="00447F9A" w:rsidP="0003340D">
      <w:pPr>
        <w:pStyle w:val="SingleTxtG"/>
        <w:ind w:firstLine="567"/>
        <w:rPr>
          <w:lang w:val="fr-FR"/>
        </w:rPr>
      </w:pPr>
      <w:r w:rsidRPr="00005684">
        <w:rPr>
          <w:lang w:val="fr-FR"/>
        </w:rPr>
        <w:t>b)</w:t>
      </w:r>
      <w:r w:rsidRPr="00005684">
        <w:rPr>
          <w:lang w:val="fr-FR"/>
        </w:rPr>
        <w:tab/>
        <w:t>Décision sur l</w:t>
      </w:r>
      <w:r w:rsidR="00F51B2C" w:rsidRPr="00005684">
        <w:rPr>
          <w:lang w:val="fr-FR"/>
        </w:rPr>
        <w:t>’</w:t>
      </w:r>
      <w:r w:rsidRPr="00005684">
        <w:rPr>
          <w:lang w:val="fr-FR"/>
        </w:rPr>
        <w:t>établissement de rapports et l</w:t>
      </w:r>
      <w:r w:rsidR="00F51B2C" w:rsidRPr="00005684">
        <w:rPr>
          <w:lang w:val="fr-FR"/>
        </w:rPr>
        <w:t>’</w:t>
      </w:r>
      <w:r w:rsidRPr="00005684">
        <w:rPr>
          <w:lang w:val="fr-FR"/>
        </w:rPr>
        <w:t>examen de l</w:t>
      </w:r>
      <w:r w:rsidR="00F51B2C" w:rsidRPr="00005684">
        <w:rPr>
          <w:lang w:val="fr-FR"/>
        </w:rPr>
        <w:t>’</w:t>
      </w:r>
      <w:r w:rsidRPr="00005684">
        <w:rPr>
          <w:lang w:val="fr-FR"/>
        </w:rPr>
        <w:t>application du Protocole (IV/5).</w:t>
      </w:r>
    </w:p>
    <w:p w14:paraId="7C1FB870" w14:textId="77777777" w:rsidR="00447F9A" w:rsidRPr="00005684" w:rsidRDefault="00447F9A" w:rsidP="0003340D">
      <w:pPr>
        <w:pStyle w:val="HChG"/>
        <w:rPr>
          <w:lang w:val="fr-FR"/>
        </w:rPr>
      </w:pPr>
      <w:r w:rsidRPr="00005684">
        <w:rPr>
          <w:lang w:val="fr-FR"/>
        </w:rPr>
        <w:tab/>
        <w:t>VIII.</w:t>
      </w:r>
      <w:r w:rsidRPr="00005684">
        <w:rPr>
          <w:lang w:val="fr-FR"/>
        </w:rPr>
        <w:tab/>
        <w:t>Élection du Bureau pour la prochaine période intersessions</w:t>
      </w:r>
    </w:p>
    <w:p w14:paraId="67F3ADED" w14:textId="0FA98602" w:rsidR="00447F9A" w:rsidRPr="00005684" w:rsidRDefault="00447F9A" w:rsidP="00447F9A">
      <w:pPr>
        <w:pStyle w:val="SingleTxtG"/>
        <w:rPr>
          <w:lang w:val="fr-FR"/>
        </w:rPr>
      </w:pPr>
      <w:r w:rsidRPr="00005684">
        <w:rPr>
          <w:lang w:val="fr-FR"/>
        </w:rPr>
        <w:t>47.</w:t>
      </w:r>
      <w:r w:rsidRPr="00005684">
        <w:rPr>
          <w:lang w:val="fr-FR"/>
        </w:rPr>
        <w:tab/>
        <w:t>Les Réunions des Parties ont remercié les Présidents et membres sortants des organes concernés, et élu les membres suivants pour la prochaine période intersessions :</w:t>
      </w:r>
    </w:p>
    <w:p w14:paraId="0A644613" w14:textId="6782D18A" w:rsidR="00447F9A" w:rsidRPr="00005684" w:rsidRDefault="00447F9A" w:rsidP="0003340D">
      <w:pPr>
        <w:pStyle w:val="SingleTxtG"/>
        <w:ind w:firstLine="567"/>
        <w:rPr>
          <w:lang w:val="fr-FR"/>
        </w:rPr>
      </w:pPr>
      <w:r w:rsidRPr="00005684">
        <w:rPr>
          <w:lang w:val="fr-FR"/>
        </w:rPr>
        <w:t>a)</w:t>
      </w:r>
      <w:r w:rsidRPr="00005684">
        <w:rPr>
          <w:lang w:val="fr-FR"/>
        </w:rPr>
        <w:tab/>
      </w:r>
      <w:r w:rsidR="0003340D" w:rsidRPr="00005684">
        <w:rPr>
          <w:lang w:val="fr-FR"/>
        </w:rPr>
        <w:t>M</w:t>
      </w:r>
      <w:r w:rsidR="0003340D" w:rsidRPr="00005684">
        <w:rPr>
          <w:vertAlign w:val="superscript"/>
          <w:lang w:val="fr-FR"/>
        </w:rPr>
        <w:t>me</w:t>
      </w:r>
      <w:r w:rsidR="0003340D" w:rsidRPr="00005684">
        <w:rPr>
          <w:lang w:val="fr-FR"/>
        </w:rPr>
        <w:t> </w:t>
      </w:r>
      <w:r w:rsidRPr="00005684">
        <w:rPr>
          <w:lang w:val="fr-FR"/>
        </w:rPr>
        <w:t xml:space="preserve">Dorota </w:t>
      </w:r>
      <w:proofErr w:type="spellStart"/>
      <w:r w:rsidRPr="00005684">
        <w:rPr>
          <w:lang w:val="fr-FR"/>
        </w:rPr>
        <w:t>Toryfter-Szumańska</w:t>
      </w:r>
      <w:proofErr w:type="spellEnd"/>
      <w:r w:rsidRPr="00005684">
        <w:rPr>
          <w:lang w:val="fr-FR"/>
        </w:rPr>
        <w:t xml:space="preserve"> (Pologne) Présidente du Groupe de travail de l</w:t>
      </w:r>
      <w:r w:rsidR="00F51B2C" w:rsidRPr="00005684">
        <w:rPr>
          <w:lang w:val="fr-FR"/>
        </w:rPr>
        <w:t>’</w:t>
      </w:r>
      <w:r w:rsidRPr="00005684">
        <w:rPr>
          <w:lang w:val="fr-FR"/>
        </w:rPr>
        <w:t>EIE et de l</w:t>
      </w:r>
      <w:r w:rsidR="00F51B2C" w:rsidRPr="00005684">
        <w:rPr>
          <w:lang w:val="fr-FR"/>
        </w:rPr>
        <w:t>’</w:t>
      </w:r>
      <w:r w:rsidRPr="00005684">
        <w:rPr>
          <w:lang w:val="fr-FR"/>
        </w:rPr>
        <w:t xml:space="preserve">ESE et </w:t>
      </w:r>
      <w:r w:rsidR="00CA5081" w:rsidRPr="00005684">
        <w:rPr>
          <w:lang w:val="fr-FR"/>
        </w:rPr>
        <w:t>M</w:t>
      </w:r>
      <w:r w:rsidR="00CA5081" w:rsidRPr="00005684">
        <w:rPr>
          <w:vertAlign w:val="superscript"/>
          <w:lang w:val="fr-FR"/>
        </w:rPr>
        <w:t>me</w:t>
      </w:r>
      <w:r w:rsidR="00CA5081" w:rsidRPr="00005684">
        <w:rPr>
          <w:lang w:val="fr-FR"/>
        </w:rPr>
        <w:t> </w:t>
      </w:r>
      <w:r w:rsidRPr="00005684">
        <w:rPr>
          <w:lang w:val="fr-FR"/>
        </w:rPr>
        <w:t xml:space="preserve">Larissa </w:t>
      </w:r>
      <w:proofErr w:type="spellStart"/>
      <w:r w:rsidRPr="00005684">
        <w:rPr>
          <w:lang w:val="fr-FR"/>
        </w:rPr>
        <w:t>Lukina</w:t>
      </w:r>
      <w:proofErr w:type="spellEnd"/>
      <w:r w:rsidRPr="00005684">
        <w:rPr>
          <w:lang w:val="fr-FR"/>
        </w:rPr>
        <w:t xml:space="preserve"> (Bélarus) et </w:t>
      </w:r>
      <w:r w:rsidR="0003340D" w:rsidRPr="00005684">
        <w:rPr>
          <w:lang w:val="fr-FR"/>
        </w:rPr>
        <w:t>M</w:t>
      </w:r>
      <w:r w:rsidR="0003340D" w:rsidRPr="00005684">
        <w:rPr>
          <w:vertAlign w:val="superscript"/>
          <w:lang w:val="fr-FR"/>
        </w:rPr>
        <w:t>me</w:t>
      </w:r>
      <w:r w:rsidR="0003340D" w:rsidRPr="00005684">
        <w:rPr>
          <w:lang w:val="fr-FR"/>
        </w:rPr>
        <w:t> </w:t>
      </w:r>
      <w:r w:rsidRPr="00005684">
        <w:rPr>
          <w:lang w:val="fr-FR"/>
        </w:rPr>
        <w:t xml:space="preserve">Anna Maria </w:t>
      </w:r>
      <w:proofErr w:type="spellStart"/>
      <w:r w:rsidRPr="00005684">
        <w:rPr>
          <w:lang w:val="fr-FR"/>
        </w:rPr>
        <w:t>Maggiore</w:t>
      </w:r>
      <w:proofErr w:type="spellEnd"/>
      <w:r w:rsidRPr="00005684">
        <w:rPr>
          <w:lang w:val="fr-FR"/>
        </w:rPr>
        <w:t xml:space="preserve"> (Italie) Vice</w:t>
      </w:r>
      <w:r w:rsidR="00CA5081" w:rsidRPr="00005684">
        <w:rPr>
          <w:lang w:val="fr-FR"/>
        </w:rPr>
        <w:noBreakHyphen/>
      </w:r>
      <w:r w:rsidRPr="00005684">
        <w:rPr>
          <w:lang w:val="fr-FR"/>
        </w:rPr>
        <w:t>Présidentes</w:t>
      </w:r>
      <w:r w:rsidR="00CA5081" w:rsidRPr="00005684">
        <w:rPr>
          <w:lang w:val="fr-FR"/>
        </w:rPr>
        <w:t> </w:t>
      </w:r>
      <w:r w:rsidRPr="00005684">
        <w:rPr>
          <w:lang w:val="fr-FR"/>
        </w:rPr>
        <w:t>;</w:t>
      </w:r>
    </w:p>
    <w:p w14:paraId="43E10CBC" w14:textId="3B810E34" w:rsidR="00447F9A" w:rsidRPr="00005684" w:rsidRDefault="00447F9A" w:rsidP="0003340D">
      <w:pPr>
        <w:pStyle w:val="SingleTxtG"/>
        <w:ind w:firstLine="567"/>
        <w:rPr>
          <w:lang w:val="fr-FR"/>
        </w:rPr>
      </w:pPr>
      <w:r w:rsidRPr="00005684">
        <w:rPr>
          <w:lang w:val="fr-FR"/>
        </w:rPr>
        <w:t>b)</w:t>
      </w:r>
      <w:r w:rsidRPr="00005684">
        <w:rPr>
          <w:lang w:val="fr-FR"/>
        </w:rPr>
        <w:tab/>
        <w:t>M.</w:t>
      </w:r>
      <w:r w:rsidR="0003340D" w:rsidRPr="00005684">
        <w:rPr>
          <w:lang w:val="fr-FR"/>
        </w:rPr>
        <w:t> </w:t>
      </w:r>
      <w:proofErr w:type="spellStart"/>
      <w:r w:rsidRPr="00005684">
        <w:rPr>
          <w:lang w:val="fr-FR"/>
        </w:rPr>
        <w:t>Kremlis</w:t>
      </w:r>
      <w:proofErr w:type="spellEnd"/>
      <w:r w:rsidRPr="00005684">
        <w:rPr>
          <w:lang w:val="fr-FR"/>
        </w:rPr>
        <w:t xml:space="preserve"> (Grèce) Président du Bureau, et </w:t>
      </w:r>
      <w:r w:rsidR="0003340D" w:rsidRPr="00005684">
        <w:rPr>
          <w:lang w:val="fr-FR"/>
        </w:rPr>
        <w:t>M</w:t>
      </w:r>
      <w:r w:rsidR="0003340D" w:rsidRPr="00005684">
        <w:rPr>
          <w:vertAlign w:val="superscript"/>
          <w:lang w:val="fr-FR"/>
        </w:rPr>
        <w:t>me</w:t>
      </w:r>
      <w:r w:rsidR="0003340D" w:rsidRPr="00005684">
        <w:rPr>
          <w:lang w:val="fr-FR"/>
        </w:rPr>
        <w:t> </w:t>
      </w:r>
      <w:r w:rsidRPr="00005684">
        <w:rPr>
          <w:lang w:val="fr-FR"/>
        </w:rPr>
        <w:t xml:space="preserve">Vesna </w:t>
      </w:r>
      <w:proofErr w:type="spellStart"/>
      <w:r w:rsidRPr="00005684">
        <w:rPr>
          <w:lang w:val="fr-FR"/>
        </w:rPr>
        <w:t>Kolar-Planinšič</w:t>
      </w:r>
      <w:proofErr w:type="spellEnd"/>
      <w:r w:rsidRPr="00005684">
        <w:rPr>
          <w:lang w:val="fr-FR"/>
        </w:rPr>
        <w:t xml:space="preserve"> (Slovénie) suppléante pour les questions relatives au Protocole. Pour ce qui est des membres ou des Vice-Présidents du Bureau, les Réunions ont élu </w:t>
      </w:r>
      <w:r w:rsidR="0003340D" w:rsidRPr="00005684">
        <w:rPr>
          <w:lang w:val="fr-FR"/>
        </w:rPr>
        <w:t>M</w:t>
      </w:r>
      <w:r w:rsidR="0003340D" w:rsidRPr="00005684">
        <w:rPr>
          <w:vertAlign w:val="superscript"/>
          <w:lang w:val="fr-FR"/>
        </w:rPr>
        <w:t>me</w:t>
      </w:r>
      <w:r w:rsidR="0003340D" w:rsidRPr="00005684">
        <w:rPr>
          <w:lang w:val="fr-FR"/>
        </w:rPr>
        <w:t> </w:t>
      </w:r>
      <w:r w:rsidRPr="00005684">
        <w:rPr>
          <w:lang w:val="fr-FR"/>
        </w:rPr>
        <w:t xml:space="preserve">Milena </w:t>
      </w:r>
      <w:proofErr w:type="spellStart"/>
      <w:r w:rsidRPr="00005684">
        <w:rPr>
          <w:lang w:val="fr-FR"/>
        </w:rPr>
        <w:t>Novakova</w:t>
      </w:r>
      <w:proofErr w:type="spellEnd"/>
      <w:r w:rsidRPr="00005684">
        <w:rPr>
          <w:lang w:val="fr-FR"/>
        </w:rPr>
        <w:t xml:space="preserve"> (Commission européenne) et </w:t>
      </w:r>
      <w:r w:rsidR="0003340D" w:rsidRPr="00005684">
        <w:rPr>
          <w:lang w:val="fr-FR"/>
        </w:rPr>
        <w:t>M</w:t>
      </w:r>
      <w:r w:rsidR="0003340D" w:rsidRPr="00005684">
        <w:rPr>
          <w:vertAlign w:val="superscript"/>
          <w:lang w:val="fr-FR"/>
        </w:rPr>
        <w:t>me</w:t>
      </w:r>
      <w:r w:rsidR="0003340D" w:rsidRPr="00005684">
        <w:rPr>
          <w:lang w:val="fr-FR"/>
        </w:rPr>
        <w:t> </w:t>
      </w:r>
      <w:r w:rsidRPr="00005684">
        <w:rPr>
          <w:lang w:val="fr-FR"/>
        </w:rPr>
        <w:t xml:space="preserve">Martine Rohn-Brossard (Suisse), ainsi que </w:t>
      </w:r>
      <w:r w:rsidR="0003340D" w:rsidRPr="00005684">
        <w:rPr>
          <w:lang w:val="fr-FR"/>
        </w:rPr>
        <w:t>M</w:t>
      </w:r>
      <w:r w:rsidR="0003340D" w:rsidRPr="00005684">
        <w:rPr>
          <w:vertAlign w:val="superscript"/>
          <w:lang w:val="fr-FR"/>
        </w:rPr>
        <w:t>me</w:t>
      </w:r>
      <w:r w:rsidR="0003340D" w:rsidRPr="00005684">
        <w:rPr>
          <w:lang w:val="fr-FR"/>
        </w:rPr>
        <w:t> </w:t>
      </w:r>
      <w:proofErr w:type="spellStart"/>
      <w:r w:rsidRPr="00005684">
        <w:rPr>
          <w:lang w:val="fr-FR"/>
        </w:rPr>
        <w:t>Olena</w:t>
      </w:r>
      <w:proofErr w:type="spellEnd"/>
      <w:r w:rsidRPr="00005684">
        <w:rPr>
          <w:lang w:val="fr-FR"/>
        </w:rPr>
        <w:t xml:space="preserve"> </w:t>
      </w:r>
      <w:proofErr w:type="spellStart"/>
      <w:r w:rsidRPr="00005684">
        <w:rPr>
          <w:lang w:val="fr-FR"/>
        </w:rPr>
        <w:t>Miskun</w:t>
      </w:r>
      <w:proofErr w:type="spellEnd"/>
      <w:r w:rsidRPr="00005684">
        <w:rPr>
          <w:lang w:val="fr-FR"/>
        </w:rPr>
        <w:t xml:space="preserve"> (Ukraine) comme suppléante de </w:t>
      </w:r>
      <w:r w:rsidR="0003340D" w:rsidRPr="00005684">
        <w:rPr>
          <w:lang w:val="fr-FR"/>
        </w:rPr>
        <w:t>M</w:t>
      </w:r>
      <w:r w:rsidR="0003340D" w:rsidRPr="00005684">
        <w:rPr>
          <w:vertAlign w:val="superscript"/>
          <w:lang w:val="fr-FR"/>
        </w:rPr>
        <w:t>me</w:t>
      </w:r>
      <w:r w:rsidR="0003340D" w:rsidRPr="00005684">
        <w:rPr>
          <w:lang w:val="fr-FR"/>
        </w:rPr>
        <w:t> </w:t>
      </w:r>
      <w:r w:rsidRPr="00005684">
        <w:rPr>
          <w:lang w:val="fr-FR"/>
        </w:rPr>
        <w:t xml:space="preserve">Rohn-Brossard pour les questions relatives au Protocole. Selon la pratique établie, la Présidente et les Vice-Présidentes du Groupe de travail, et le/la Président(e) et le/la </w:t>
      </w:r>
      <w:r w:rsidR="00CA5081" w:rsidRPr="00005684">
        <w:rPr>
          <w:lang w:val="fr-FR"/>
        </w:rPr>
        <w:t>P</w:t>
      </w:r>
      <w:r w:rsidRPr="00005684">
        <w:rPr>
          <w:lang w:val="fr-FR"/>
        </w:rPr>
        <w:t>remier(ère) Vice-Président(e) du Comité d</w:t>
      </w:r>
      <w:r w:rsidR="00F51B2C" w:rsidRPr="00005684">
        <w:rPr>
          <w:lang w:val="fr-FR"/>
        </w:rPr>
        <w:t>’</w:t>
      </w:r>
      <w:r w:rsidRPr="00005684">
        <w:rPr>
          <w:lang w:val="fr-FR"/>
        </w:rPr>
        <w:t>application sont aussi membres du Bureau ;</w:t>
      </w:r>
    </w:p>
    <w:p w14:paraId="2BB26D3A" w14:textId="7B4EF54F" w:rsidR="00447F9A" w:rsidRPr="00005684" w:rsidRDefault="00447F9A" w:rsidP="0003340D">
      <w:pPr>
        <w:pStyle w:val="SingleTxtG"/>
        <w:ind w:firstLine="567"/>
        <w:rPr>
          <w:lang w:val="fr-FR"/>
        </w:rPr>
      </w:pPr>
      <w:r w:rsidRPr="00005684">
        <w:rPr>
          <w:lang w:val="fr-FR"/>
        </w:rPr>
        <w:t>c)</w:t>
      </w:r>
      <w:r w:rsidRPr="00005684">
        <w:rPr>
          <w:lang w:val="fr-FR"/>
        </w:rPr>
        <w:tab/>
        <w:t>Cinq nouveaux membres du Comité d</w:t>
      </w:r>
      <w:r w:rsidR="00F51B2C" w:rsidRPr="00005684">
        <w:rPr>
          <w:lang w:val="fr-FR"/>
        </w:rPr>
        <w:t>’</w:t>
      </w:r>
      <w:r w:rsidRPr="00005684">
        <w:rPr>
          <w:lang w:val="fr-FR"/>
        </w:rPr>
        <w:t>application, pour les questions relatives tant à la Convention qu</w:t>
      </w:r>
      <w:r w:rsidR="00F51B2C" w:rsidRPr="00005684">
        <w:rPr>
          <w:lang w:val="fr-FR"/>
        </w:rPr>
        <w:t>’</w:t>
      </w:r>
      <w:r w:rsidRPr="00005684">
        <w:rPr>
          <w:lang w:val="fr-FR"/>
        </w:rPr>
        <w:t xml:space="preserve">au Protocole et leurs suppléants : M. </w:t>
      </w:r>
      <w:r w:rsidRPr="00005684">
        <w:rPr>
          <w:bCs/>
          <w:lang w:val="fr-FR"/>
        </w:rPr>
        <w:t xml:space="preserve">Christian Baumgartner et son/sa suppléant(e) (qui sera nommé(e) ultérieurement) (Autriche) ; </w:t>
      </w:r>
      <w:r w:rsidRPr="00005684">
        <w:rPr>
          <w:lang w:val="fr-FR"/>
        </w:rPr>
        <w:t>M.</w:t>
      </w:r>
      <w:r w:rsidR="0003340D" w:rsidRPr="00005684">
        <w:rPr>
          <w:lang w:val="fr-FR"/>
        </w:rPr>
        <w:t> </w:t>
      </w:r>
      <w:r w:rsidRPr="00005684">
        <w:rPr>
          <w:lang w:val="fr-FR"/>
        </w:rPr>
        <w:t xml:space="preserve">Joe </w:t>
      </w:r>
      <w:proofErr w:type="spellStart"/>
      <w:r w:rsidRPr="00005684">
        <w:rPr>
          <w:lang w:val="fr-FR"/>
        </w:rPr>
        <w:t>Ducomble</w:t>
      </w:r>
      <w:proofErr w:type="spellEnd"/>
      <w:r w:rsidRPr="00005684">
        <w:rPr>
          <w:lang w:val="fr-FR"/>
        </w:rPr>
        <w:t xml:space="preserve"> </w:t>
      </w:r>
      <w:r w:rsidRPr="00005684">
        <w:rPr>
          <w:bCs/>
          <w:lang w:val="fr-FR"/>
        </w:rPr>
        <w:t xml:space="preserve">et sa suppléante, </w:t>
      </w:r>
      <w:r w:rsidR="0003340D" w:rsidRPr="00005684">
        <w:rPr>
          <w:lang w:val="fr-FR"/>
        </w:rPr>
        <w:t>M</w:t>
      </w:r>
      <w:r w:rsidR="0003340D" w:rsidRPr="00005684">
        <w:rPr>
          <w:vertAlign w:val="superscript"/>
          <w:lang w:val="fr-FR"/>
        </w:rPr>
        <w:t>me</w:t>
      </w:r>
      <w:r w:rsidR="0003340D" w:rsidRPr="00005684">
        <w:rPr>
          <w:lang w:val="fr-FR"/>
        </w:rPr>
        <w:t> </w:t>
      </w:r>
      <w:r w:rsidRPr="00005684">
        <w:rPr>
          <w:lang w:val="fr-FR"/>
        </w:rPr>
        <w:t xml:space="preserve">Judith Scheer (Luxembourg) ; </w:t>
      </w:r>
      <w:r w:rsidR="0003340D" w:rsidRPr="00005684">
        <w:rPr>
          <w:lang w:val="fr-FR"/>
        </w:rPr>
        <w:t>M</w:t>
      </w:r>
      <w:r w:rsidR="0003340D" w:rsidRPr="00005684">
        <w:rPr>
          <w:vertAlign w:val="superscript"/>
          <w:lang w:val="fr-FR"/>
        </w:rPr>
        <w:t>me</w:t>
      </w:r>
      <w:r w:rsidR="0003340D" w:rsidRPr="00005684">
        <w:rPr>
          <w:lang w:val="fr-FR"/>
        </w:rPr>
        <w:t> </w:t>
      </w:r>
      <w:r w:rsidRPr="00005684">
        <w:rPr>
          <w:lang w:val="fr-FR"/>
        </w:rPr>
        <w:t xml:space="preserve">Heidi </w:t>
      </w:r>
      <w:proofErr w:type="spellStart"/>
      <w:r w:rsidRPr="00005684">
        <w:rPr>
          <w:lang w:val="fr-FR"/>
        </w:rPr>
        <w:t>Stockhaus</w:t>
      </w:r>
      <w:proofErr w:type="spellEnd"/>
      <w:r w:rsidRPr="00005684">
        <w:rPr>
          <w:lang w:val="fr-FR"/>
        </w:rPr>
        <w:t xml:space="preserve"> </w:t>
      </w:r>
      <w:r w:rsidRPr="00005684">
        <w:rPr>
          <w:bCs/>
          <w:lang w:val="fr-FR"/>
        </w:rPr>
        <w:t>et son suppléant,</w:t>
      </w:r>
      <w:r w:rsidRPr="00005684">
        <w:rPr>
          <w:lang w:val="fr-FR"/>
        </w:rPr>
        <w:t xml:space="preserve"> M.</w:t>
      </w:r>
      <w:r w:rsidR="0003340D" w:rsidRPr="00005684">
        <w:rPr>
          <w:lang w:val="fr-FR"/>
        </w:rPr>
        <w:t> </w:t>
      </w:r>
      <w:proofErr w:type="spellStart"/>
      <w:r w:rsidRPr="00005684">
        <w:rPr>
          <w:lang w:val="fr-FR"/>
        </w:rPr>
        <w:t>Christof</w:t>
      </w:r>
      <w:proofErr w:type="spellEnd"/>
      <w:r w:rsidRPr="00005684">
        <w:rPr>
          <w:lang w:val="fr-FR"/>
        </w:rPr>
        <w:t xml:space="preserve"> </w:t>
      </w:r>
      <w:proofErr w:type="spellStart"/>
      <w:r w:rsidRPr="00005684">
        <w:rPr>
          <w:lang w:val="fr-FR"/>
        </w:rPr>
        <w:t>Sangenstedt</w:t>
      </w:r>
      <w:proofErr w:type="spellEnd"/>
      <w:r w:rsidRPr="00005684">
        <w:rPr>
          <w:lang w:val="fr-FR"/>
        </w:rPr>
        <w:t xml:space="preserve"> (Allemagne) ; et </w:t>
      </w:r>
      <w:r w:rsidR="0003340D" w:rsidRPr="00005684">
        <w:rPr>
          <w:lang w:val="fr-FR"/>
        </w:rPr>
        <w:t>M</w:t>
      </w:r>
      <w:r w:rsidR="0003340D" w:rsidRPr="00005684">
        <w:rPr>
          <w:vertAlign w:val="superscript"/>
          <w:lang w:val="fr-FR"/>
        </w:rPr>
        <w:t>me</w:t>
      </w:r>
      <w:r w:rsidR="0003340D" w:rsidRPr="00005684">
        <w:rPr>
          <w:lang w:val="fr-FR"/>
        </w:rPr>
        <w:t> </w:t>
      </w:r>
      <w:proofErr w:type="spellStart"/>
      <w:r w:rsidRPr="00005684">
        <w:rPr>
          <w:lang w:val="fr-FR"/>
        </w:rPr>
        <w:t>Barbora</w:t>
      </w:r>
      <w:proofErr w:type="spellEnd"/>
      <w:r w:rsidRPr="00005684">
        <w:rPr>
          <w:lang w:val="fr-FR"/>
        </w:rPr>
        <w:t xml:space="preserve"> </w:t>
      </w:r>
      <w:proofErr w:type="spellStart"/>
      <w:r w:rsidRPr="00005684">
        <w:rPr>
          <w:lang w:val="fr-FR"/>
        </w:rPr>
        <w:t>Donevová</w:t>
      </w:r>
      <w:proofErr w:type="spellEnd"/>
      <w:r w:rsidRPr="00005684">
        <w:rPr>
          <w:lang w:val="fr-FR"/>
        </w:rPr>
        <w:t xml:space="preserve"> </w:t>
      </w:r>
      <w:r w:rsidRPr="00005684">
        <w:rPr>
          <w:bCs/>
          <w:lang w:val="fr-FR"/>
        </w:rPr>
        <w:t>et son suppléant,</w:t>
      </w:r>
      <w:r w:rsidRPr="00005684">
        <w:rPr>
          <w:lang w:val="fr-FR"/>
        </w:rPr>
        <w:t xml:space="preserve"> M.</w:t>
      </w:r>
      <w:r w:rsidR="0003340D" w:rsidRPr="00005684">
        <w:rPr>
          <w:lang w:val="fr-FR"/>
        </w:rPr>
        <w:t> </w:t>
      </w:r>
      <w:r w:rsidRPr="00005684">
        <w:rPr>
          <w:lang w:val="fr-FR"/>
        </w:rPr>
        <w:t xml:space="preserve">Roman </w:t>
      </w:r>
      <w:proofErr w:type="spellStart"/>
      <w:r w:rsidRPr="00005684">
        <w:rPr>
          <w:lang w:val="fr-FR"/>
        </w:rPr>
        <w:t>Skorka</w:t>
      </w:r>
      <w:proofErr w:type="spellEnd"/>
      <w:r w:rsidRPr="00005684">
        <w:rPr>
          <w:lang w:val="fr-FR"/>
        </w:rPr>
        <w:t xml:space="preserve"> (Slovaquie). </w:t>
      </w:r>
      <w:r w:rsidR="0003340D" w:rsidRPr="00005684">
        <w:rPr>
          <w:lang w:val="fr-FR"/>
        </w:rPr>
        <w:t>M</w:t>
      </w:r>
      <w:r w:rsidR="0003340D" w:rsidRPr="00005684">
        <w:rPr>
          <w:vertAlign w:val="superscript"/>
          <w:lang w:val="fr-FR"/>
        </w:rPr>
        <w:t>me</w:t>
      </w:r>
      <w:r w:rsidR="0003340D" w:rsidRPr="00005684">
        <w:rPr>
          <w:lang w:val="fr-FR"/>
        </w:rPr>
        <w:t> </w:t>
      </w:r>
      <w:proofErr w:type="spellStart"/>
      <w:r w:rsidRPr="00005684">
        <w:rPr>
          <w:lang w:val="fr-FR"/>
        </w:rPr>
        <w:t>Zsuzsanna</w:t>
      </w:r>
      <w:proofErr w:type="spellEnd"/>
      <w:r w:rsidRPr="00005684">
        <w:rPr>
          <w:lang w:val="fr-FR"/>
        </w:rPr>
        <w:t xml:space="preserve"> </w:t>
      </w:r>
      <w:proofErr w:type="spellStart"/>
      <w:r w:rsidRPr="00005684">
        <w:rPr>
          <w:lang w:val="fr-FR"/>
        </w:rPr>
        <w:t>Pocsai</w:t>
      </w:r>
      <w:proofErr w:type="spellEnd"/>
      <w:r w:rsidRPr="00005684">
        <w:rPr>
          <w:lang w:val="fr-FR"/>
        </w:rPr>
        <w:t xml:space="preserve"> (Hongrie), qui avait déjà effectué deux mandats au Comité, a été exceptionnellement réélue pour un nouveau mandat. Son/sa suppléant(e) sera nommé(e) ultérieurement. Les membres récemment élus se sont joints aux membres actuels du Comité, qui sont </w:t>
      </w:r>
      <w:r w:rsidR="0003340D" w:rsidRPr="00005684">
        <w:rPr>
          <w:lang w:val="fr-FR"/>
        </w:rPr>
        <w:t>M</w:t>
      </w:r>
      <w:r w:rsidR="0003340D" w:rsidRPr="00005684">
        <w:rPr>
          <w:vertAlign w:val="superscript"/>
          <w:lang w:val="fr-FR"/>
        </w:rPr>
        <w:t>me</w:t>
      </w:r>
      <w:r w:rsidR="0003340D" w:rsidRPr="00005684">
        <w:rPr>
          <w:lang w:val="fr-FR"/>
        </w:rPr>
        <w:t> </w:t>
      </w:r>
      <w:proofErr w:type="spellStart"/>
      <w:r w:rsidRPr="00005684">
        <w:rPr>
          <w:lang w:val="fr-FR"/>
        </w:rPr>
        <w:t>Aysel</w:t>
      </w:r>
      <w:proofErr w:type="spellEnd"/>
      <w:r w:rsidRPr="00005684">
        <w:rPr>
          <w:lang w:val="fr-FR"/>
        </w:rPr>
        <w:t xml:space="preserve"> </w:t>
      </w:r>
      <w:proofErr w:type="spellStart"/>
      <w:r w:rsidRPr="00005684">
        <w:rPr>
          <w:lang w:val="fr-FR"/>
        </w:rPr>
        <w:t>Babayeva</w:t>
      </w:r>
      <w:proofErr w:type="spellEnd"/>
      <w:r w:rsidRPr="00005684">
        <w:rPr>
          <w:lang w:val="fr-FR"/>
        </w:rPr>
        <w:t xml:space="preserve"> (Azerbaïdjan), membre du Comité pour les questions relatives à la Convention et M.</w:t>
      </w:r>
      <w:r w:rsidR="0003340D" w:rsidRPr="00005684">
        <w:rPr>
          <w:lang w:val="fr-FR"/>
        </w:rPr>
        <w:t> </w:t>
      </w:r>
      <w:r w:rsidRPr="00005684">
        <w:rPr>
          <w:lang w:val="fr-FR"/>
        </w:rPr>
        <w:t xml:space="preserve">Lasse </w:t>
      </w:r>
      <w:proofErr w:type="spellStart"/>
      <w:r w:rsidRPr="00005684">
        <w:rPr>
          <w:lang w:val="fr-FR"/>
        </w:rPr>
        <w:t>Tallskog</w:t>
      </w:r>
      <w:proofErr w:type="spellEnd"/>
      <w:r w:rsidRPr="00005684">
        <w:rPr>
          <w:lang w:val="fr-FR"/>
        </w:rPr>
        <w:t xml:space="preserve"> (Finlande), son suppléant pour les questions relatives au Protocole ; </w:t>
      </w:r>
      <w:r w:rsidR="0003340D" w:rsidRPr="00005684">
        <w:rPr>
          <w:lang w:val="fr-FR"/>
        </w:rPr>
        <w:t>M</w:t>
      </w:r>
      <w:r w:rsidR="0003340D" w:rsidRPr="00005684">
        <w:rPr>
          <w:vertAlign w:val="superscript"/>
          <w:lang w:val="fr-FR"/>
        </w:rPr>
        <w:t>me</w:t>
      </w:r>
      <w:r w:rsidR="0003340D" w:rsidRPr="00005684">
        <w:rPr>
          <w:lang w:val="fr-FR"/>
        </w:rPr>
        <w:t> </w:t>
      </w:r>
      <w:r w:rsidRPr="00005684">
        <w:rPr>
          <w:lang w:val="fr-FR"/>
        </w:rPr>
        <w:t xml:space="preserve">Maria do </w:t>
      </w:r>
      <w:proofErr w:type="spellStart"/>
      <w:r w:rsidRPr="00005684">
        <w:rPr>
          <w:lang w:val="fr-FR"/>
        </w:rPr>
        <w:t>Carmo</w:t>
      </w:r>
      <w:proofErr w:type="spellEnd"/>
      <w:r w:rsidRPr="00005684">
        <w:rPr>
          <w:lang w:val="fr-FR"/>
        </w:rPr>
        <w:t xml:space="preserve"> </w:t>
      </w:r>
      <w:proofErr w:type="spellStart"/>
      <w:r w:rsidRPr="00005684">
        <w:rPr>
          <w:lang w:val="fr-FR"/>
        </w:rPr>
        <w:t>Figueira</w:t>
      </w:r>
      <w:proofErr w:type="spellEnd"/>
      <w:r w:rsidRPr="00005684">
        <w:rPr>
          <w:lang w:val="fr-FR"/>
        </w:rPr>
        <w:t xml:space="preserve"> (Portugal) ; et M.</w:t>
      </w:r>
      <w:r w:rsidR="0003340D" w:rsidRPr="00005684">
        <w:rPr>
          <w:lang w:val="fr-FR"/>
        </w:rPr>
        <w:t> </w:t>
      </w:r>
      <w:r w:rsidRPr="00005684">
        <w:rPr>
          <w:lang w:val="fr-FR"/>
        </w:rPr>
        <w:t xml:space="preserve">Anders </w:t>
      </w:r>
      <w:proofErr w:type="spellStart"/>
      <w:r w:rsidRPr="00005684">
        <w:rPr>
          <w:lang w:val="fr-FR"/>
        </w:rPr>
        <w:t>Bengtsson</w:t>
      </w:r>
      <w:proofErr w:type="spellEnd"/>
      <w:r w:rsidRPr="00005684">
        <w:rPr>
          <w:lang w:val="fr-FR"/>
        </w:rPr>
        <w:t xml:space="preserve"> (Suède). Le Comité élira son/sa président(e) à la première réunion que tiendront les membres énumérés ci-dessus (Genève (en ligne), 2</w:t>
      </w:r>
      <w:r w:rsidR="0003340D" w:rsidRPr="00005684">
        <w:rPr>
          <w:lang w:val="fr-FR"/>
        </w:rPr>
        <w:noBreakHyphen/>
      </w:r>
      <w:r w:rsidRPr="00005684">
        <w:rPr>
          <w:lang w:val="fr-FR"/>
        </w:rPr>
        <w:t>5</w:t>
      </w:r>
      <w:r w:rsidR="0003340D" w:rsidRPr="00005684">
        <w:rPr>
          <w:lang w:val="fr-FR"/>
        </w:rPr>
        <w:t> </w:t>
      </w:r>
      <w:r w:rsidRPr="00005684">
        <w:rPr>
          <w:lang w:val="fr-FR"/>
        </w:rPr>
        <w:t>février 2021). Toutes les Parties élues au Comité qui n</w:t>
      </w:r>
      <w:r w:rsidR="00F51B2C" w:rsidRPr="00005684">
        <w:rPr>
          <w:lang w:val="fr-FR"/>
        </w:rPr>
        <w:t>’</w:t>
      </w:r>
      <w:r w:rsidRPr="00005684">
        <w:rPr>
          <w:lang w:val="fr-FR"/>
        </w:rPr>
        <w:t>ont pas encore nommé leur suppléant sont invitées à le faire d</w:t>
      </w:r>
      <w:r w:rsidR="00F51B2C" w:rsidRPr="00005684">
        <w:rPr>
          <w:lang w:val="fr-FR"/>
        </w:rPr>
        <w:t>’</w:t>
      </w:r>
      <w:r w:rsidRPr="00005684">
        <w:rPr>
          <w:lang w:val="fr-FR"/>
        </w:rPr>
        <w:t>ici à cette réunion.</w:t>
      </w:r>
    </w:p>
    <w:p w14:paraId="7715173E" w14:textId="610ABF26" w:rsidR="00447F9A" w:rsidRPr="00005684" w:rsidRDefault="00447F9A" w:rsidP="00447F9A">
      <w:pPr>
        <w:pStyle w:val="SingleTxtG"/>
        <w:rPr>
          <w:lang w:val="fr-FR"/>
        </w:rPr>
      </w:pPr>
      <w:r w:rsidRPr="00005684">
        <w:rPr>
          <w:lang w:val="fr-FR"/>
        </w:rPr>
        <w:t>48.</w:t>
      </w:r>
      <w:r w:rsidRPr="00005684">
        <w:rPr>
          <w:lang w:val="fr-FR"/>
        </w:rPr>
        <w:tab/>
        <w:t>Les Réunions des Parties ont approuvé des critères régissant les élections des membres du Bureau et des directives concernant les procédures que celui-ci doit suivre, et elles ont invité le secrétariat à les reproduire dans le rapport (voir l</w:t>
      </w:r>
      <w:r w:rsidR="00F51B2C" w:rsidRPr="00005684">
        <w:rPr>
          <w:lang w:val="fr-FR"/>
        </w:rPr>
        <w:t>’</w:t>
      </w:r>
      <w:r w:rsidRPr="00005684">
        <w:rPr>
          <w:lang w:val="fr-FR"/>
        </w:rPr>
        <w:t>annexe II).</w:t>
      </w:r>
    </w:p>
    <w:p w14:paraId="7F29A92B" w14:textId="77777777" w:rsidR="00447F9A" w:rsidRPr="00005684" w:rsidRDefault="00447F9A" w:rsidP="0003340D">
      <w:pPr>
        <w:pStyle w:val="HChG"/>
        <w:rPr>
          <w:lang w:val="fr-FR"/>
        </w:rPr>
      </w:pPr>
      <w:r w:rsidRPr="00005684">
        <w:rPr>
          <w:lang w:val="fr-FR"/>
        </w:rPr>
        <w:tab/>
        <w:t>IX.</w:t>
      </w:r>
      <w:r w:rsidRPr="00005684">
        <w:rPr>
          <w:lang w:val="fr-FR"/>
        </w:rPr>
        <w:tab/>
        <w:t>Date et lieu des prochaines sessions</w:t>
      </w:r>
    </w:p>
    <w:p w14:paraId="7C4BDC5D" w14:textId="55DCA03F" w:rsidR="00447F9A" w:rsidRPr="00005684" w:rsidRDefault="00447F9A" w:rsidP="00447F9A">
      <w:pPr>
        <w:pStyle w:val="SingleTxtG"/>
        <w:rPr>
          <w:lang w:val="fr-FR"/>
        </w:rPr>
      </w:pPr>
      <w:r w:rsidRPr="00005684">
        <w:rPr>
          <w:lang w:val="fr-FR"/>
        </w:rPr>
        <w:t>49.</w:t>
      </w:r>
      <w:r w:rsidRPr="00005684">
        <w:rPr>
          <w:lang w:val="fr-FR"/>
        </w:rPr>
        <w:tab/>
        <w:t>Les Réunions des Parties ont approuvé un calendrier provisoire des réunions officielles en 2021</w:t>
      </w:r>
      <w:r w:rsidR="00CA5081" w:rsidRPr="00005684">
        <w:rPr>
          <w:lang w:val="fr-FR"/>
        </w:rPr>
        <w:t>-</w:t>
      </w:r>
      <w:r w:rsidRPr="00005684">
        <w:rPr>
          <w:lang w:val="fr-FR"/>
        </w:rPr>
        <w:t>2023 (ECE/MP.EIA/2020/INF.7). Elles ont décidé que la neuvième session de la Réunion des Parties à la Convention se tiendrait conjointement avec la cinquième session de la Réunion des Parties au Protocole, en principe en décembre 2023. À</w:t>
      </w:r>
      <w:r w:rsidR="0003340D" w:rsidRPr="00005684">
        <w:rPr>
          <w:lang w:val="fr-FR"/>
        </w:rPr>
        <w:t> </w:t>
      </w:r>
      <w:r w:rsidRPr="00005684">
        <w:rPr>
          <w:lang w:val="fr-FR"/>
        </w:rPr>
        <w:t>moins qu</w:t>
      </w:r>
      <w:r w:rsidR="00F51B2C" w:rsidRPr="00005684">
        <w:rPr>
          <w:lang w:val="fr-FR"/>
        </w:rPr>
        <w:t>’</w:t>
      </w:r>
      <w:r w:rsidRPr="00005684">
        <w:rPr>
          <w:lang w:val="fr-FR"/>
        </w:rPr>
        <w:t>une des Parties ne se porte volontaire pour les accueillir, les sessions se tiendraient à Genève. Les Parties à la Convention et au Protocole ont été invitées à déposer leurs propositions d</w:t>
      </w:r>
      <w:r w:rsidR="00F51B2C" w:rsidRPr="00005684">
        <w:rPr>
          <w:lang w:val="fr-FR"/>
        </w:rPr>
        <w:t>’</w:t>
      </w:r>
      <w:r w:rsidRPr="00005684">
        <w:rPr>
          <w:lang w:val="fr-FR"/>
        </w:rPr>
        <w:t>hébergement des sessions d</w:t>
      </w:r>
      <w:r w:rsidR="00F51B2C" w:rsidRPr="00005684">
        <w:rPr>
          <w:lang w:val="fr-FR"/>
        </w:rPr>
        <w:t>’</w:t>
      </w:r>
      <w:r w:rsidRPr="00005684">
        <w:rPr>
          <w:lang w:val="fr-FR"/>
        </w:rPr>
        <w:t>ici à la réunion du Groupe de travail de l</w:t>
      </w:r>
      <w:r w:rsidR="00F51B2C" w:rsidRPr="00005684">
        <w:rPr>
          <w:lang w:val="fr-FR"/>
        </w:rPr>
        <w:t>’</w:t>
      </w:r>
      <w:r w:rsidRPr="00005684">
        <w:rPr>
          <w:lang w:val="fr-FR"/>
        </w:rPr>
        <w:t>EIE et de l</w:t>
      </w:r>
      <w:r w:rsidR="00F51B2C" w:rsidRPr="00005684">
        <w:rPr>
          <w:lang w:val="fr-FR"/>
        </w:rPr>
        <w:t>’</w:t>
      </w:r>
      <w:r w:rsidRPr="00005684">
        <w:rPr>
          <w:lang w:val="fr-FR"/>
        </w:rPr>
        <w:t>ESE de 2022.</w:t>
      </w:r>
    </w:p>
    <w:p w14:paraId="0551E4D5" w14:textId="77777777" w:rsidR="00447F9A" w:rsidRPr="00005684" w:rsidRDefault="00447F9A" w:rsidP="0003340D">
      <w:pPr>
        <w:pStyle w:val="HChG"/>
        <w:rPr>
          <w:lang w:val="fr-FR"/>
        </w:rPr>
      </w:pPr>
      <w:r w:rsidRPr="00005684">
        <w:rPr>
          <w:lang w:val="fr-FR"/>
        </w:rPr>
        <w:tab/>
        <w:t>X.</w:t>
      </w:r>
      <w:r w:rsidRPr="00005684">
        <w:rPr>
          <w:lang w:val="fr-FR"/>
        </w:rPr>
        <w:tab/>
        <w:t>Clôture de la session</w:t>
      </w:r>
    </w:p>
    <w:p w14:paraId="31C47B66" w14:textId="7E5059D4" w:rsidR="00447F9A" w:rsidRPr="00005684" w:rsidRDefault="00447F9A" w:rsidP="00447F9A">
      <w:pPr>
        <w:pStyle w:val="SingleTxtG"/>
        <w:rPr>
          <w:lang w:val="fr-FR"/>
        </w:rPr>
      </w:pPr>
      <w:r w:rsidRPr="00005684">
        <w:rPr>
          <w:lang w:val="fr-FR"/>
        </w:rPr>
        <w:t>50.</w:t>
      </w:r>
      <w:r w:rsidRPr="00005684">
        <w:rPr>
          <w:lang w:val="fr-FR"/>
        </w:rPr>
        <w:tab/>
        <w:t>Les Réunions des Parties ont adopté les principales décisions prises pendant les sessions, telles que présentées par le secrétariat. Le secrétariat a été autorisé à établir le rapport sur les sessions, sous la supervision du Bureau.</w:t>
      </w:r>
    </w:p>
    <w:p w14:paraId="59BEBE7C" w14:textId="10833BD5" w:rsidR="00447F9A" w:rsidRPr="00005684" w:rsidRDefault="00447F9A" w:rsidP="00447F9A">
      <w:pPr>
        <w:pStyle w:val="SingleTxtG"/>
        <w:rPr>
          <w:lang w:val="fr-FR"/>
        </w:rPr>
      </w:pPr>
      <w:r w:rsidRPr="00005684">
        <w:rPr>
          <w:lang w:val="fr-FR"/>
        </w:rPr>
        <w:t>51.</w:t>
      </w:r>
      <w:r w:rsidRPr="00005684">
        <w:rPr>
          <w:lang w:val="fr-FR"/>
        </w:rPr>
        <w:tab/>
        <w:t xml:space="preserve">À la clôture de la session conjointe, le Président a remercié les délégations de leur travail et de leur persévérance dans la recherche de solutions à plusieurs questions en suspens. Les Réunions des Parties ont également remercié la délégation lituanienne , dont le pays avait fourni une </w:t>
      </w:r>
      <w:proofErr w:type="spellStart"/>
      <w:r w:rsidRPr="00005684">
        <w:rPr>
          <w:lang w:val="fr-FR"/>
        </w:rPr>
        <w:t>plateforme</w:t>
      </w:r>
      <w:proofErr w:type="spellEnd"/>
      <w:r w:rsidRPr="00005684">
        <w:rPr>
          <w:lang w:val="fr-FR"/>
        </w:rPr>
        <w:t xml:space="preserve"> en ligne et des services d</w:t>
      </w:r>
      <w:r w:rsidR="00F51B2C" w:rsidRPr="00005684">
        <w:rPr>
          <w:lang w:val="fr-FR"/>
        </w:rPr>
        <w:t>’</w:t>
      </w:r>
      <w:r w:rsidRPr="00005684">
        <w:rPr>
          <w:lang w:val="fr-FR"/>
        </w:rPr>
        <w:t>interprétation pendant la session, ainsi que le secrétariat pour son soutien organisationnel. Enfin, le Ministre lituanien de l</w:t>
      </w:r>
      <w:r w:rsidR="00F51B2C" w:rsidRPr="00005684">
        <w:rPr>
          <w:lang w:val="fr-FR"/>
        </w:rPr>
        <w:t>’</w:t>
      </w:r>
      <w:r w:rsidRPr="00005684">
        <w:rPr>
          <w:lang w:val="fr-FR"/>
        </w:rPr>
        <w:t>environnement, M.</w:t>
      </w:r>
      <w:r w:rsidR="0003340D" w:rsidRPr="00005684">
        <w:rPr>
          <w:lang w:val="fr-FR"/>
        </w:rPr>
        <w:t> </w:t>
      </w:r>
      <w:proofErr w:type="spellStart"/>
      <w:r w:rsidRPr="00005684">
        <w:rPr>
          <w:lang w:val="fr-FR"/>
        </w:rPr>
        <w:t>Simonas</w:t>
      </w:r>
      <w:proofErr w:type="spellEnd"/>
      <w:r w:rsidRPr="00005684">
        <w:rPr>
          <w:lang w:val="fr-FR"/>
        </w:rPr>
        <w:t xml:space="preserve"> </w:t>
      </w:r>
      <w:proofErr w:type="spellStart"/>
      <w:r w:rsidRPr="00005684">
        <w:rPr>
          <w:lang w:val="fr-FR"/>
        </w:rPr>
        <w:t>Gentvilas</w:t>
      </w:r>
      <w:proofErr w:type="spellEnd"/>
      <w:r w:rsidRPr="00005684">
        <w:rPr>
          <w:lang w:val="fr-FR"/>
        </w:rPr>
        <w:t>, a remercié le Président, les délégations et le secrétariat d</w:t>
      </w:r>
      <w:r w:rsidR="00F51B2C" w:rsidRPr="00005684">
        <w:rPr>
          <w:lang w:val="fr-FR"/>
        </w:rPr>
        <w:t>’</w:t>
      </w:r>
      <w:r w:rsidRPr="00005684">
        <w:rPr>
          <w:lang w:val="fr-FR"/>
        </w:rPr>
        <w:t>avoir assuré le bon déroulement des sessions.</w:t>
      </w:r>
    </w:p>
    <w:p w14:paraId="445D03DD" w14:textId="17A9B06B" w:rsidR="00447F9A" w:rsidRPr="00005684" w:rsidRDefault="00447F9A" w:rsidP="00447F9A">
      <w:pPr>
        <w:pStyle w:val="SingleTxtG"/>
        <w:rPr>
          <w:lang w:val="fr-FR"/>
        </w:rPr>
      </w:pPr>
      <w:r w:rsidRPr="00005684">
        <w:rPr>
          <w:lang w:val="fr-FR"/>
        </w:rPr>
        <w:t>52.</w:t>
      </w:r>
      <w:r w:rsidRPr="00005684">
        <w:rPr>
          <w:lang w:val="fr-FR"/>
        </w:rPr>
        <w:tab/>
        <w:t>Le Président a clos la session conjointe le vendredi 11</w:t>
      </w:r>
      <w:r w:rsidR="0003340D" w:rsidRPr="00005684">
        <w:rPr>
          <w:lang w:val="fr-FR"/>
        </w:rPr>
        <w:t> </w:t>
      </w:r>
      <w:r w:rsidRPr="00005684">
        <w:rPr>
          <w:lang w:val="fr-FR"/>
        </w:rPr>
        <w:t>décembre 2020.</w:t>
      </w:r>
    </w:p>
    <w:p w14:paraId="7A9FE302" w14:textId="77777777" w:rsidR="0003340D" w:rsidRPr="00005684" w:rsidRDefault="0003340D" w:rsidP="00447F9A">
      <w:pPr>
        <w:pStyle w:val="SingleTxtG"/>
        <w:rPr>
          <w:lang w:val="fr-FR"/>
        </w:rPr>
      </w:pPr>
    </w:p>
    <w:p w14:paraId="773CBF89" w14:textId="77777777" w:rsidR="00F51B2C" w:rsidRPr="00005684" w:rsidRDefault="00F51B2C">
      <w:pPr>
        <w:suppressAutoHyphens w:val="0"/>
        <w:kinsoku/>
        <w:overflowPunct/>
        <w:autoSpaceDE/>
        <w:autoSpaceDN/>
        <w:adjustRightInd/>
        <w:snapToGrid/>
        <w:spacing w:after="200" w:line="276" w:lineRule="auto"/>
        <w:rPr>
          <w:lang w:val="fr-FR"/>
        </w:rPr>
        <w:sectPr w:rsidR="00F51B2C" w:rsidRPr="00005684" w:rsidSect="00447F9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pPr>
    </w:p>
    <w:p w14:paraId="48E7DD02" w14:textId="77777777" w:rsidR="00447F9A" w:rsidRPr="00005684" w:rsidRDefault="00447F9A" w:rsidP="00447F9A">
      <w:pPr>
        <w:pStyle w:val="HChG"/>
      </w:pPr>
      <w:r w:rsidRPr="00005684">
        <w:rPr>
          <w:lang w:val="fr-FR"/>
        </w:rPr>
        <w:t>Annexe I</w:t>
      </w:r>
    </w:p>
    <w:p w14:paraId="772E6F2B" w14:textId="5B23E150" w:rsidR="00447F9A" w:rsidRPr="00005684" w:rsidRDefault="00447F9A" w:rsidP="00447F9A">
      <w:pPr>
        <w:pStyle w:val="HChG"/>
        <w:rPr>
          <w:lang w:val="fr-FR"/>
        </w:rPr>
      </w:pPr>
      <w:r w:rsidRPr="00005684">
        <w:rPr>
          <w:lang w:val="fr-FR"/>
        </w:rPr>
        <w:tab/>
      </w:r>
      <w:r w:rsidRPr="00005684">
        <w:rPr>
          <w:lang w:val="fr-FR"/>
        </w:rPr>
        <w:tab/>
      </w:r>
      <w:r w:rsidRPr="00005684">
        <w:rPr>
          <w:rFonts w:ascii="Times New Roman Gras" w:hAnsi="Times New Roman Gras"/>
          <w:spacing w:val="-2"/>
          <w:lang w:val="fr-FR"/>
        </w:rPr>
        <w:t>Contributions annoncées au budget pour la période 2021-2023</w:t>
      </w:r>
    </w:p>
    <w:tbl>
      <w:tblPr>
        <w:tblW w:w="9639" w:type="dxa"/>
        <w:tblLayout w:type="fixed"/>
        <w:tblCellMar>
          <w:left w:w="0" w:type="dxa"/>
          <w:right w:w="0" w:type="dxa"/>
        </w:tblCellMar>
        <w:tblLook w:val="04A0" w:firstRow="1" w:lastRow="0" w:firstColumn="1" w:lastColumn="0" w:noHBand="0" w:noVBand="1"/>
      </w:tblPr>
      <w:tblGrid>
        <w:gridCol w:w="1932"/>
        <w:gridCol w:w="980"/>
        <w:gridCol w:w="840"/>
        <w:gridCol w:w="1400"/>
        <w:gridCol w:w="4487"/>
      </w:tblGrid>
      <w:tr w:rsidR="00F51B2C" w:rsidRPr="00005684" w14:paraId="45C98746" w14:textId="77777777" w:rsidTr="001B40DA">
        <w:trPr>
          <w:tblHeader/>
        </w:trPr>
        <w:tc>
          <w:tcPr>
            <w:tcW w:w="1932" w:type="dxa"/>
            <w:tcBorders>
              <w:top w:val="single" w:sz="4" w:space="0" w:color="auto"/>
              <w:bottom w:val="single" w:sz="12" w:space="0" w:color="auto"/>
            </w:tcBorders>
            <w:shd w:val="clear" w:color="auto" w:fill="auto"/>
            <w:noWrap/>
            <w:vAlign w:val="bottom"/>
          </w:tcPr>
          <w:p w14:paraId="68E671BC" w14:textId="77777777" w:rsidR="00F51B2C" w:rsidRPr="00005684" w:rsidRDefault="00F51B2C" w:rsidP="001B40DA">
            <w:pPr>
              <w:spacing w:before="80" w:after="80" w:line="200" w:lineRule="exact"/>
              <w:ind w:right="113"/>
              <w:rPr>
                <w:i/>
                <w:sz w:val="16"/>
                <w:lang w:val="fr-FR"/>
              </w:rPr>
            </w:pPr>
            <w:r w:rsidRPr="00005684">
              <w:rPr>
                <w:i/>
                <w:sz w:val="16"/>
                <w:lang w:val="fr-FR"/>
              </w:rPr>
              <w:t xml:space="preserve">État </w:t>
            </w:r>
            <w:r w:rsidRPr="00005684">
              <w:rPr>
                <w:i/>
                <w:sz w:val="16"/>
                <w:lang w:val="fr-FR"/>
              </w:rPr>
              <w:br/>
              <w:t>(Parties et signataires)</w:t>
            </w:r>
          </w:p>
        </w:tc>
        <w:tc>
          <w:tcPr>
            <w:tcW w:w="980" w:type="dxa"/>
            <w:tcBorders>
              <w:top w:val="single" w:sz="4" w:space="0" w:color="auto"/>
              <w:bottom w:val="single" w:sz="12" w:space="0" w:color="auto"/>
            </w:tcBorders>
            <w:shd w:val="clear" w:color="auto" w:fill="auto"/>
            <w:noWrap/>
            <w:vAlign w:val="bottom"/>
          </w:tcPr>
          <w:p w14:paraId="6BA62F9B" w14:textId="77777777" w:rsidR="00F51B2C" w:rsidRPr="00005684" w:rsidRDefault="00F51B2C" w:rsidP="001B40DA">
            <w:pPr>
              <w:spacing w:before="80" w:after="80" w:line="200" w:lineRule="exact"/>
              <w:ind w:right="113"/>
              <w:rPr>
                <w:i/>
                <w:sz w:val="16"/>
                <w:lang w:val="fr-FR"/>
              </w:rPr>
            </w:pPr>
            <w:r w:rsidRPr="00005684">
              <w:rPr>
                <w:i/>
                <w:sz w:val="16"/>
                <w:lang w:val="fr-FR"/>
              </w:rPr>
              <w:t xml:space="preserve">Partie à la </w:t>
            </w:r>
            <w:proofErr w:type="spellStart"/>
            <w:r w:rsidRPr="00005684">
              <w:rPr>
                <w:i/>
                <w:sz w:val="16"/>
                <w:lang w:val="fr-FR"/>
              </w:rPr>
              <w:t>Convention</w:t>
            </w:r>
            <w:r w:rsidRPr="00005684">
              <w:rPr>
                <w:sz w:val="16"/>
                <w:vertAlign w:val="superscript"/>
                <w:lang w:val="fr-FR"/>
              </w:rPr>
              <w:t>a</w:t>
            </w:r>
            <w:proofErr w:type="spellEnd"/>
          </w:p>
        </w:tc>
        <w:tc>
          <w:tcPr>
            <w:tcW w:w="840" w:type="dxa"/>
            <w:tcBorders>
              <w:top w:val="single" w:sz="4" w:space="0" w:color="auto"/>
              <w:bottom w:val="single" w:sz="12" w:space="0" w:color="auto"/>
            </w:tcBorders>
            <w:shd w:val="clear" w:color="auto" w:fill="auto"/>
            <w:noWrap/>
            <w:vAlign w:val="bottom"/>
          </w:tcPr>
          <w:p w14:paraId="617D463E" w14:textId="77777777" w:rsidR="00F51B2C" w:rsidRPr="00005684" w:rsidRDefault="00F51B2C" w:rsidP="001B40DA">
            <w:pPr>
              <w:spacing w:before="80" w:after="80" w:line="200" w:lineRule="exact"/>
              <w:ind w:right="113"/>
              <w:rPr>
                <w:i/>
                <w:sz w:val="16"/>
                <w:lang w:val="fr-FR"/>
              </w:rPr>
            </w:pPr>
            <w:r w:rsidRPr="00005684">
              <w:rPr>
                <w:i/>
                <w:sz w:val="16"/>
                <w:lang w:val="fr-FR"/>
              </w:rPr>
              <w:t xml:space="preserve">Partie au </w:t>
            </w:r>
            <w:proofErr w:type="spellStart"/>
            <w:r w:rsidRPr="00005684">
              <w:rPr>
                <w:i/>
                <w:sz w:val="16"/>
                <w:lang w:val="fr-FR"/>
              </w:rPr>
              <w:t>Protocole</w:t>
            </w:r>
            <w:r w:rsidRPr="00005684">
              <w:rPr>
                <w:sz w:val="16"/>
                <w:vertAlign w:val="superscript"/>
                <w:lang w:val="fr-FR"/>
              </w:rPr>
              <w:t>a</w:t>
            </w:r>
            <w:proofErr w:type="spellEnd"/>
          </w:p>
        </w:tc>
        <w:tc>
          <w:tcPr>
            <w:tcW w:w="1400" w:type="dxa"/>
            <w:tcBorders>
              <w:top w:val="single" w:sz="4" w:space="0" w:color="auto"/>
              <w:bottom w:val="single" w:sz="12" w:space="0" w:color="auto"/>
            </w:tcBorders>
            <w:shd w:val="clear" w:color="auto" w:fill="auto"/>
            <w:vAlign w:val="bottom"/>
          </w:tcPr>
          <w:p w14:paraId="1DFC98F5" w14:textId="31D6D9DA" w:rsidR="00F51B2C" w:rsidRPr="00005684" w:rsidRDefault="00F51B2C" w:rsidP="001B40DA">
            <w:pPr>
              <w:spacing w:before="80" w:after="80" w:line="200" w:lineRule="exact"/>
              <w:ind w:right="113"/>
              <w:rPr>
                <w:i/>
                <w:sz w:val="16"/>
                <w:lang w:val="fr-FR"/>
              </w:rPr>
            </w:pPr>
            <w:r w:rsidRPr="00005684">
              <w:rPr>
                <w:i/>
                <w:sz w:val="16"/>
                <w:lang w:val="fr-FR"/>
              </w:rPr>
              <w:t xml:space="preserve">Montant total engagé </w:t>
            </w:r>
            <w:r w:rsidRPr="00005684">
              <w:rPr>
                <w:i/>
                <w:sz w:val="16"/>
                <w:lang w:val="fr-FR"/>
              </w:rPr>
              <w:br/>
              <w:t>(monnaie originale)</w:t>
            </w:r>
          </w:p>
        </w:tc>
        <w:tc>
          <w:tcPr>
            <w:tcW w:w="4487" w:type="dxa"/>
            <w:tcBorders>
              <w:top w:val="single" w:sz="4" w:space="0" w:color="auto"/>
              <w:bottom w:val="single" w:sz="12" w:space="0" w:color="auto"/>
            </w:tcBorders>
            <w:shd w:val="clear" w:color="auto" w:fill="auto"/>
            <w:tcMar>
              <w:left w:w="0" w:type="dxa"/>
              <w:right w:w="0" w:type="dxa"/>
            </w:tcMar>
            <w:vAlign w:val="bottom"/>
          </w:tcPr>
          <w:p w14:paraId="7E84C013" w14:textId="77777777" w:rsidR="00F51B2C" w:rsidRPr="00005684" w:rsidRDefault="00F51B2C" w:rsidP="001B40DA">
            <w:pPr>
              <w:spacing w:before="80" w:after="80" w:line="200" w:lineRule="exact"/>
              <w:rPr>
                <w:i/>
                <w:sz w:val="16"/>
                <w:lang w:val="fr-FR"/>
              </w:rPr>
            </w:pPr>
            <w:r w:rsidRPr="00005684">
              <w:rPr>
                <w:i/>
                <w:sz w:val="16"/>
                <w:lang w:val="fr-FR"/>
              </w:rPr>
              <w:t>Annonce de contribution et/ou observations</w:t>
            </w:r>
          </w:p>
        </w:tc>
      </w:tr>
      <w:tr w:rsidR="001B40DA" w:rsidRPr="00005684" w14:paraId="5CFED4CD" w14:textId="77777777" w:rsidTr="001B40DA">
        <w:trPr>
          <w:trHeight w:hRule="exact" w:val="113"/>
          <w:tblHeader/>
        </w:trPr>
        <w:tc>
          <w:tcPr>
            <w:tcW w:w="1932" w:type="dxa"/>
            <w:tcBorders>
              <w:top w:val="single" w:sz="12" w:space="0" w:color="auto"/>
            </w:tcBorders>
            <w:shd w:val="clear" w:color="auto" w:fill="auto"/>
            <w:noWrap/>
          </w:tcPr>
          <w:p w14:paraId="12C64BE1" w14:textId="77777777" w:rsidR="001B40DA" w:rsidRPr="00005684" w:rsidRDefault="001B40DA" w:rsidP="001B40DA">
            <w:pPr>
              <w:spacing w:before="40" w:after="120"/>
              <w:ind w:right="113"/>
              <w:rPr>
                <w:lang w:val="fr-FR"/>
              </w:rPr>
            </w:pPr>
          </w:p>
        </w:tc>
        <w:tc>
          <w:tcPr>
            <w:tcW w:w="980" w:type="dxa"/>
            <w:tcBorders>
              <w:top w:val="single" w:sz="12" w:space="0" w:color="auto"/>
            </w:tcBorders>
            <w:shd w:val="clear" w:color="auto" w:fill="auto"/>
            <w:noWrap/>
          </w:tcPr>
          <w:p w14:paraId="5C59AC50" w14:textId="77777777" w:rsidR="001B40DA" w:rsidRPr="00005684" w:rsidRDefault="001B40DA" w:rsidP="001B40DA">
            <w:pPr>
              <w:spacing w:before="40" w:after="120"/>
              <w:ind w:right="113"/>
              <w:rPr>
                <w:lang w:val="fr-FR"/>
              </w:rPr>
            </w:pPr>
          </w:p>
        </w:tc>
        <w:tc>
          <w:tcPr>
            <w:tcW w:w="840" w:type="dxa"/>
            <w:tcBorders>
              <w:top w:val="single" w:sz="12" w:space="0" w:color="auto"/>
            </w:tcBorders>
            <w:shd w:val="clear" w:color="auto" w:fill="auto"/>
            <w:noWrap/>
          </w:tcPr>
          <w:p w14:paraId="77344E07" w14:textId="77777777" w:rsidR="001B40DA" w:rsidRPr="00005684" w:rsidRDefault="001B40DA" w:rsidP="001B40DA">
            <w:pPr>
              <w:spacing w:before="40" w:after="120"/>
              <w:ind w:right="113"/>
              <w:rPr>
                <w:lang w:val="fr-FR"/>
              </w:rPr>
            </w:pPr>
          </w:p>
        </w:tc>
        <w:tc>
          <w:tcPr>
            <w:tcW w:w="1400" w:type="dxa"/>
            <w:tcBorders>
              <w:top w:val="single" w:sz="12" w:space="0" w:color="auto"/>
            </w:tcBorders>
            <w:shd w:val="clear" w:color="auto" w:fill="auto"/>
          </w:tcPr>
          <w:p w14:paraId="2CA261FF" w14:textId="77777777" w:rsidR="001B40DA" w:rsidRPr="00005684" w:rsidRDefault="001B40DA" w:rsidP="001B40DA">
            <w:pPr>
              <w:spacing w:before="40" w:after="120"/>
              <w:ind w:right="113"/>
              <w:rPr>
                <w:lang w:val="fr-FR"/>
              </w:rPr>
            </w:pPr>
          </w:p>
        </w:tc>
        <w:tc>
          <w:tcPr>
            <w:tcW w:w="4487" w:type="dxa"/>
            <w:tcBorders>
              <w:top w:val="single" w:sz="12" w:space="0" w:color="auto"/>
            </w:tcBorders>
            <w:shd w:val="clear" w:color="auto" w:fill="auto"/>
            <w:tcMar>
              <w:left w:w="0" w:type="dxa"/>
              <w:right w:w="0" w:type="dxa"/>
            </w:tcMar>
          </w:tcPr>
          <w:p w14:paraId="6C964C6D" w14:textId="77777777" w:rsidR="001B40DA" w:rsidRPr="00005684" w:rsidRDefault="001B40DA" w:rsidP="001B40DA">
            <w:pPr>
              <w:spacing w:before="40" w:after="120"/>
              <w:rPr>
                <w:lang w:val="fr-FR"/>
              </w:rPr>
            </w:pPr>
          </w:p>
        </w:tc>
      </w:tr>
      <w:tr w:rsidR="00F51B2C" w:rsidRPr="00005684" w14:paraId="23A28C9F" w14:textId="77777777" w:rsidTr="001B40DA">
        <w:tc>
          <w:tcPr>
            <w:tcW w:w="1932" w:type="dxa"/>
            <w:shd w:val="clear" w:color="auto" w:fill="auto"/>
            <w:noWrap/>
            <w:hideMark/>
          </w:tcPr>
          <w:p w14:paraId="5CBB0E13" w14:textId="77777777" w:rsidR="00F51B2C" w:rsidRPr="00005684" w:rsidRDefault="00F51B2C" w:rsidP="001B40DA">
            <w:pPr>
              <w:spacing w:before="40" w:after="120"/>
              <w:ind w:right="113"/>
              <w:rPr>
                <w:lang w:val="fr-FR"/>
              </w:rPr>
            </w:pPr>
            <w:r w:rsidRPr="00005684">
              <w:rPr>
                <w:lang w:val="fr-FR"/>
              </w:rPr>
              <w:t xml:space="preserve">Albanie </w:t>
            </w:r>
          </w:p>
        </w:tc>
        <w:tc>
          <w:tcPr>
            <w:tcW w:w="980" w:type="dxa"/>
            <w:shd w:val="clear" w:color="auto" w:fill="auto"/>
            <w:noWrap/>
            <w:hideMark/>
          </w:tcPr>
          <w:p w14:paraId="0F17DF73"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tcPr>
          <w:p w14:paraId="21E3EB83"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3FCEC4ED" w14:textId="4C255BB9" w:rsidR="00F51B2C" w:rsidRPr="00005684" w:rsidRDefault="00C02EB4" w:rsidP="001B40DA">
            <w:pPr>
              <w:spacing w:before="40" w:after="120"/>
              <w:ind w:right="113"/>
              <w:rPr>
                <w:lang w:val="fr-FR"/>
              </w:rPr>
            </w:pPr>
            <w:r w:rsidRPr="00005684">
              <w:rPr>
                <w:lang w:val="fr-FR"/>
              </w:rPr>
              <w:t>–</w:t>
            </w:r>
            <w:r w:rsidR="00F51B2C" w:rsidRPr="00005684">
              <w:rPr>
                <w:i/>
                <w:iCs/>
                <w:sz w:val="18"/>
                <w:szCs w:val="18"/>
                <w:vertAlign w:val="superscript"/>
                <w:lang w:val="fr-FR"/>
              </w:rPr>
              <w:t>b</w:t>
            </w:r>
          </w:p>
        </w:tc>
        <w:tc>
          <w:tcPr>
            <w:tcW w:w="4487" w:type="dxa"/>
            <w:shd w:val="clear" w:color="auto" w:fill="auto"/>
            <w:tcMar>
              <w:left w:w="0" w:type="dxa"/>
              <w:right w:w="0" w:type="dxa"/>
            </w:tcMar>
            <w:hideMark/>
          </w:tcPr>
          <w:p w14:paraId="7A6584BF" w14:textId="3F867338" w:rsidR="00F51B2C" w:rsidRPr="00005684" w:rsidRDefault="00C02EB4" w:rsidP="001B40DA">
            <w:pPr>
              <w:spacing w:before="40" w:after="120"/>
              <w:rPr>
                <w:lang w:val="fr-FR"/>
              </w:rPr>
            </w:pPr>
            <w:r w:rsidRPr="00005684">
              <w:rPr>
                <w:lang w:val="fr-FR"/>
              </w:rPr>
              <w:t>–</w:t>
            </w:r>
          </w:p>
        </w:tc>
      </w:tr>
      <w:tr w:rsidR="00F51B2C" w:rsidRPr="00005684" w14:paraId="1A53D971" w14:textId="77777777" w:rsidTr="001B40DA">
        <w:tc>
          <w:tcPr>
            <w:tcW w:w="1932" w:type="dxa"/>
            <w:shd w:val="clear" w:color="auto" w:fill="auto"/>
            <w:noWrap/>
            <w:hideMark/>
          </w:tcPr>
          <w:p w14:paraId="2DF985B5" w14:textId="77777777" w:rsidR="00F51B2C" w:rsidRPr="00005684" w:rsidRDefault="00F51B2C" w:rsidP="001B40DA">
            <w:pPr>
              <w:spacing w:before="40" w:after="120"/>
              <w:ind w:right="113"/>
              <w:rPr>
                <w:lang w:val="fr-FR"/>
              </w:rPr>
            </w:pPr>
            <w:r w:rsidRPr="00005684">
              <w:rPr>
                <w:lang w:val="fr-FR"/>
              </w:rPr>
              <w:t xml:space="preserve">Allemagne </w:t>
            </w:r>
          </w:p>
        </w:tc>
        <w:tc>
          <w:tcPr>
            <w:tcW w:w="980" w:type="dxa"/>
            <w:shd w:val="clear" w:color="auto" w:fill="auto"/>
            <w:noWrap/>
          </w:tcPr>
          <w:p w14:paraId="588B3157"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tcPr>
          <w:p w14:paraId="6EF0C679"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25FAF111" w14:textId="2D32AE66" w:rsidR="00F51B2C" w:rsidRPr="00005684" w:rsidRDefault="00F51B2C" w:rsidP="001B40DA">
            <w:pPr>
              <w:spacing w:before="40" w:after="120"/>
              <w:ind w:right="113"/>
              <w:rPr>
                <w:lang w:val="fr-FR"/>
              </w:rPr>
            </w:pPr>
            <w:r w:rsidRPr="00005684">
              <w:rPr>
                <w:lang w:val="fr-FR"/>
              </w:rPr>
              <w:t>60 000 $E.U.</w:t>
            </w:r>
          </w:p>
        </w:tc>
        <w:tc>
          <w:tcPr>
            <w:tcW w:w="4487" w:type="dxa"/>
            <w:shd w:val="clear" w:color="auto" w:fill="auto"/>
            <w:tcMar>
              <w:left w:w="0" w:type="dxa"/>
              <w:right w:w="0" w:type="dxa"/>
            </w:tcMar>
            <w:hideMark/>
          </w:tcPr>
          <w:p w14:paraId="26FEDC3D" w14:textId="2C077D19" w:rsidR="00F51B2C" w:rsidRPr="00005684" w:rsidRDefault="00F51B2C" w:rsidP="001B40DA">
            <w:pPr>
              <w:spacing w:before="40" w:after="120"/>
              <w:rPr>
                <w:lang w:val="fr-FR"/>
              </w:rPr>
            </w:pPr>
            <w:r w:rsidRPr="00005684">
              <w:rPr>
                <w:lang w:val="fr-FR"/>
              </w:rPr>
              <w:t>60 000 $E.U. pour la période intersessions 2021</w:t>
            </w:r>
            <w:r w:rsidR="005A384C" w:rsidRPr="00005684">
              <w:rPr>
                <w:lang w:val="fr-FR"/>
              </w:rPr>
              <w:t>-</w:t>
            </w:r>
            <w:r w:rsidRPr="00005684">
              <w:rPr>
                <w:lang w:val="fr-FR"/>
              </w:rPr>
              <w:t xml:space="preserve">2023, devant être versés en trois tranches de 20 000 $E.U. en 2021, 2022 et 2023. </w:t>
            </w:r>
          </w:p>
        </w:tc>
      </w:tr>
      <w:tr w:rsidR="00F51B2C" w:rsidRPr="00005684" w14:paraId="3D40BFDA" w14:textId="77777777" w:rsidTr="001B40DA">
        <w:tc>
          <w:tcPr>
            <w:tcW w:w="1932" w:type="dxa"/>
            <w:shd w:val="clear" w:color="auto" w:fill="auto"/>
            <w:noWrap/>
            <w:hideMark/>
          </w:tcPr>
          <w:p w14:paraId="1DC99041" w14:textId="77777777" w:rsidR="00F51B2C" w:rsidRPr="00005684" w:rsidRDefault="00F51B2C" w:rsidP="001B40DA">
            <w:pPr>
              <w:spacing w:before="40" w:after="120"/>
              <w:ind w:right="113"/>
              <w:rPr>
                <w:lang w:val="fr-FR"/>
              </w:rPr>
            </w:pPr>
            <w:r w:rsidRPr="00005684">
              <w:rPr>
                <w:lang w:val="fr-FR"/>
              </w:rPr>
              <w:t xml:space="preserve">Arménie </w:t>
            </w:r>
          </w:p>
        </w:tc>
        <w:tc>
          <w:tcPr>
            <w:tcW w:w="980" w:type="dxa"/>
            <w:shd w:val="clear" w:color="auto" w:fill="auto"/>
            <w:noWrap/>
            <w:hideMark/>
          </w:tcPr>
          <w:p w14:paraId="58AFDD09"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tcPr>
          <w:p w14:paraId="6DBF90C9"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69226C26" w14:textId="45BC7FAF" w:rsidR="00F51B2C" w:rsidRPr="00005684" w:rsidRDefault="00C02EB4" w:rsidP="001B40DA">
            <w:pPr>
              <w:spacing w:before="40" w:after="120"/>
              <w:ind w:right="113"/>
              <w:rPr>
                <w:lang w:val="fr-FR"/>
              </w:rPr>
            </w:pPr>
            <w:r w:rsidRPr="00005684">
              <w:rPr>
                <w:lang w:val="fr-FR"/>
              </w:rPr>
              <w:t>–</w:t>
            </w:r>
          </w:p>
        </w:tc>
        <w:tc>
          <w:tcPr>
            <w:tcW w:w="4487" w:type="dxa"/>
            <w:shd w:val="clear" w:color="auto" w:fill="auto"/>
            <w:tcMar>
              <w:left w:w="0" w:type="dxa"/>
              <w:right w:w="0" w:type="dxa"/>
            </w:tcMar>
            <w:hideMark/>
          </w:tcPr>
          <w:p w14:paraId="689BD4D4" w14:textId="70F5C150" w:rsidR="00F51B2C" w:rsidRPr="00005684" w:rsidRDefault="00C02EB4" w:rsidP="001B40DA">
            <w:pPr>
              <w:spacing w:before="40" w:after="120"/>
              <w:rPr>
                <w:lang w:val="fr-FR"/>
              </w:rPr>
            </w:pPr>
            <w:r w:rsidRPr="00005684">
              <w:rPr>
                <w:lang w:val="fr-FR"/>
              </w:rPr>
              <w:t>–</w:t>
            </w:r>
          </w:p>
        </w:tc>
      </w:tr>
      <w:tr w:rsidR="00F51B2C" w:rsidRPr="00005684" w14:paraId="5B9A7269" w14:textId="77777777" w:rsidTr="001B40DA">
        <w:tc>
          <w:tcPr>
            <w:tcW w:w="1932" w:type="dxa"/>
            <w:shd w:val="clear" w:color="auto" w:fill="auto"/>
            <w:noWrap/>
            <w:hideMark/>
          </w:tcPr>
          <w:p w14:paraId="780CEB2E" w14:textId="77777777" w:rsidR="00F51B2C" w:rsidRPr="00005684" w:rsidRDefault="00F51B2C" w:rsidP="001B40DA">
            <w:pPr>
              <w:spacing w:before="40" w:after="120"/>
              <w:ind w:right="113"/>
              <w:rPr>
                <w:lang w:val="fr-FR"/>
              </w:rPr>
            </w:pPr>
            <w:r w:rsidRPr="00005684">
              <w:rPr>
                <w:lang w:val="fr-FR"/>
              </w:rPr>
              <w:t xml:space="preserve">Autriche </w:t>
            </w:r>
          </w:p>
        </w:tc>
        <w:tc>
          <w:tcPr>
            <w:tcW w:w="980" w:type="dxa"/>
            <w:shd w:val="clear" w:color="auto" w:fill="auto"/>
            <w:noWrap/>
            <w:hideMark/>
          </w:tcPr>
          <w:p w14:paraId="22A72D83"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tcPr>
          <w:p w14:paraId="0289C05A"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79A4F44A" w14:textId="1DA25CA4" w:rsidR="00F51B2C" w:rsidRPr="00005684" w:rsidRDefault="00F51B2C" w:rsidP="001B40DA">
            <w:pPr>
              <w:spacing w:before="40" w:after="120"/>
              <w:ind w:right="113"/>
              <w:rPr>
                <w:lang w:val="fr-FR"/>
              </w:rPr>
            </w:pPr>
            <w:r w:rsidRPr="00005684">
              <w:rPr>
                <w:lang w:val="fr-FR"/>
              </w:rPr>
              <w:t>21 000 $E.U.</w:t>
            </w:r>
          </w:p>
        </w:tc>
        <w:tc>
          <w:tcPr>
            <w:tcW w:w="4487" w:type="dxa"/>
            <w:shd w:val="clear" w:color="auto" w:fill="auto"/>
            <w:tcMar>
              <w:left w:w="0" w:type="dxa"/>
              <w:right w:w="0" w:type="dxa"/>
            </w:tcMar>
            <w:hideMark/>
          </w:tcPr>
          <w:p w14:paraId="483CB28C" w14:textId="417B030D" w:rsidR="00F51B2C" w:rsidRPr="00005684" w:rsidRDefault="00F51B2C" w:rsidP="001B40DA">
            <w:pPr>
              <w:spacing w:before="40" w:after="120"/>
              <w:rPr>
                <w:lang w:val="fr-FR"/>
              </w:rPr>
            </w:pPr>
            <w:r w:rsidRPr="00005684">
              <w:rPr>
                <w:lang w:val="fr-FR"/>
              </w:rPr>
              <w:t>21 000 $E.U. pour la période intersessions 2021</w:t>
            </w:r>
            <w:r w:rsidR="00C02EB4" w:rsidRPr="00005684">
              <w:rPr>
                <w:lang w:val="fr-FR"/>
              </w:rPr>
              <w:noBreakHyphen/>
            </w:r>
            <w:r w:rsidRPr="00005684">
              <w:rPr>
                <w:lang w:val="fr-FR"/>
              </w:rPr>
              <w:t>2023, devant être versés en trois tranches de 7</w:t>
            </w:r>
            <w:r w:rsidR="00C02EB4" w:rsidRPr="00005684">
              <w:rPr>
                <w:lang w:val="fr-FR"/>
              </w:rPr>
              <w:t> </w:t>
            </w:r>
            <w:r w:rsidRPr="00005684">
              <w:rPr>
                <w:lang w:val="fr-FR"/>
              </w:rPr>
              <w:t>000 $E.U. en 2021, 2022 et 2023.</w:t>
            </w:r>
          </w:p>
        </w:tc>
      </w:tr>
      <w:tr w:rsidR="00F51B2C" w:rsidRPr="00005684" w14:paraId="428EBE65" w14:textId="77777777" w:rsidTr="001B40DA">
        <w:tc>
          <w:tcPr>
            <w:tcW w:w="1932" w:type="dxa"/>
            <w:shd w:val="clear" w:color="auto" w:fill="auto"/>
            <w:noWrap/>
            <w:hideMark/>
          </w:tcPr>
          <w:p w14:paraId="4F23FFE8" w14:textId="77777777" w:rsidR="00F51B2C" w:rsidRPr="00005684" w:rsidRDefault="00F51B2C" w:rsidP="001B40DA">
            <w:pPr>
              <w:spacing w:before="40" w:after="120"/>
              <w:ind w:right="113"/>
              <w:rPr>
                <w:lang w:val="fr-FR"/>
              </w:rPr>
            </w:pPr>
            <w:r w:rsidRPr="00005684">
              <w:rPr>
                <w:lang w:val="fr-FR"/>
              </w:rPr>
              <w:t xml:space="preserve">Azerbaïdjan </w:t>
            </w:r>
          </w:p>
        </w:tc>
        <w:tc>
          <w:tcPr>
            <w:tcW w:w="980" w:type="dxa"/>
            <w:shd w:val="clear" w:color="auto" w:fill="auto"/>
            <w:noWrap/>
            <w:hideMark/>
          </w:tcPr>
          <w:p w14:paraId="331D5859"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tcPr>
          <w:p w14:paraId="07D32BD9" w14:textId="77777777" w:rsidR="00F51B2C" w:rsidRPr="00005684" w:rsidRDefault="00F51B2C" w:rsidP="001B40DA">
            <w:pPr>
              <w:spacing w:before="40" w:after="120"/>
              <w:ind w:right="113"/>
              <w:rPr>
                <w:lang w:val="fr-FR"/>
              </w:rPr>
            </w:pPr>
            <w:r w:rsidRPr="00005684">
              <w:rPr>
                <w:lang w:val="fr-FR"/>
              </w:rPr>
              <w:t>Non</w:t>
            </w:r>
          </w:p>
        </w:tc>
        <w:tc>
          <w:tcPr>
            <w:tcW w:w="1400" w:type="dxa"/>
            <w:shd w:val="clear" w:color="auto" w:fill="auto"/>
          </w:tcPr>
          <w:p w14:paraId="4B45CB52" w14:textId="540F08D5" w:rsidR="00F51B2C" w:rsidRPr="00005684" w:rsidRDefault="00C02EB4" w:rsidP="001B40DA">
            <w:pPr>
              <w:spacing w:before="40" w:after="120"/>
              <w:ind w:right="113"/>
              <w:rPr>
                <w:lang w:val="fr-FR"/>
              </w:rPr>
            </w:pPr>
            <w:r w:rsidRPr="00005684">
              <w:rPr>
                <w:lang w:val="fr-FR"/>
              </w:rPr>
              <w:t>–</w:t>
            </w:r>
          </w:p>
        </w:tc>
        <w:tc>
          <w:tcPr>
            <w:tcW w:w="4487" w:type="dxa"/>
            <w:shd w:val="clear" w:color="auto" w:fill="auto"/>
            <w:tcMar>
              <w:left w:w="0" w:type="dxa"/>
              <w:right w:w="0" w:type="dxa"/>
            </w:tcMar>
            <w:hideMark/>
          </w:tcPr>
          <w:p w14:paraId="4F95D810" w14:textId="68A20803" w:rsidR="00F51B2C" w:rsidRPr="00005684" w:rsidRDefault="00C02EB4" w:rsidP="001B40DA">
            <w:pPr>
              <w:spacing w:before="40" w:after="120"/>
              <w:rPr>
                <w:lang w:val="fr-FR"/>
              </w:rPr>
            </w:pPr>
            <w:r w:rsidRPr="00005684">
              <w:rPr>
                <w:lang w:val="fr-FR"/>
              </w:rPr>
              <w:t>–</w:t>
            </w:r>
          </w:p>
        </w:tc>
      </w:tr>
      <w:tr w:rsidR="00F51B2C" w:rsidRPr="00005684" w14:paraId="6ACADDD3" w14:textId="77777777" w:rsidTr="001B40DA">
        <w:tc>
          <w:tcPr>
            <w:tcW w:w="1932" w:type="dxa"/>
            <w:shd w:val="clear" w:color="auto" w:fill="auto"/>
            <w:noWrap/>
            <w:hideMark/>
          </w:tcPr>
          <w:p w14:paraId="792B07B3" w14:textId="77777777" w:rsidR="00F51B2C" w:rsidRPr="00005684" w:rsidRDefault="00F51B2C" w:rsidP="001B40DA">
            <w:pPr>
              <w:spacing w:before="40" w:after="120"/>
              <w:ind w:right="113"/>
              <w:rPr>
                <w:lang w:val="fr-FR"/>
              </w:rPr>
            </w:pPr>
            <w:r w:rsidRPr="00005684">
              <w:rPr>
                <w:lang w:val="fr-FR"/>
              </w:rPr>
              <w:t>Bélarus</w:t>
            </w:r>
          </w:p>
        </w:tc>
        <w:tc>
          <w:tcPr>
            <w:tcW w:w="980" w:type="dxa"/>
            <w:shd w:val="clear" w:color="auto" w:fill="auto"/>
            <w:noWrap/>
            <w:hideMark/>
          </w:tcPr>
          <w:p w14:paraId="02D34429"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tcPr>
          <w:p w14:paraId="7DEA7C2F" w14:textId="77777777" w:rsidR="00F51B2C" w:rsidRPr="00005684" w:rsidRDefault="00F51B2C" w:rsidP="001B40DA">
            <w:pPr>
              <w:spacing w:before="40" w:after="120"/>
              <w:ind w:right="113"/>
              <w:rPr>
                <w:lang w:val="fr-FR"/>
              </w:rPr>
            </w:pPr>
            <w:r w:rsidRPr="00005684">
              <w:rPr>
                <w:lang w:val="fr-FR"/>
              </w:rPr>
              <w:t>Non</w:t>
            </w:r>
          </w:p>
        </w:tc>
        <w:tc>
          <w:tcPr>
            <w:tcW w:w="1400" w:type="dxa"/>
            <w:shd w:val="clear" w:color="auto" w:fill="auto"/>
          </w:tcPr>
          <w:p w14:paraId="27AB061F" w14:textId="7DA1925B" w:rsidR="00F51B2C" w:rsidRPr="00005684" w:rsidRDefault="00C02EB4" w:rsidP="001B40DA">
            <w:pPr>
              <w:spacing w:before="40" w:after="120"/>
              <w:ind w:right="113"/>
              <w:rPr>
                <w:lang w:val="fr-FR"/>
              </w:rPr>
            </w:pPr>
            <w:r w:rsidRPr="00005684">
              <w:rPr>
                <w:lang w:val="fr-FR"/>
              </w:rPr>
              <w:t>–</w:t>
            </w:r>
          </w:p>
        </w:tc>
        <w:tc>
          <w:tcPr>
            <w:tcW w:w="4487" w:type="dxa"/>
            <w:shd w:val="clear" w:color="auto" w:fill="auto"/>
            <w:tcMar>
              <w:left w:w="0" w:type="dxa"/>
              <w:right w:w="0" w:type="dxa"/>
            </w:tcMar>
            <w:hideMark/>
          </w:tcPr>
          <w:p w14:paraId="6716A528" w14:textId="5FF7130D" w:rsidR="00F51B2C" w:rsidRPr="00005684" w:rsidRDefault="00C02EB4" w:rsidP="001B40DA">
            <w:pPr>
              <w:spacing w:before="40" w:after="120"/>
              <w:rPr>
                <w:lang w:val="fr-FR"/>
              </w:rPr>
            </w:pPr>
            <w:r w:rsidRPr="00005684">
              <w:rPr>
                <w:lang w:val="fr-FR"/>
              </w:rPr>
              <w:t>–</w:t>
            </w:r>
          </w:p>
        </w:tc>
      </w:tr>
      <w:tr w:rsidR="00F51B2C" w:rsidRPr="00005684" w14:paraId="775AA40E" w14:textId="77777777" w:rsidTr="001B40DA">
        <w:tc>
          <w:tcPr>
            <w:tcW w:w="1932" w:type="dxa"/>
            <w:shd w:val="clear" w:color="auto" w:fill="auto"/>
            <w:noWrap/>
            <w:hideMark/>
          </w:tcPr>
          <w:p w14:paraId="03ACCFE2" w14:textId="77777777" w:rsidR="00F51B2C" w:rsidRPr="00005684" w:rsidRDefault="00F51B2C" w:rsidP="001B40DA">
            <w:pPr>
              <w:spacing w:before="40" w:after="120"/>
              <w:ind w:right="113"/>
              <w:rPr>
                <w:lang w:val="fr-FR"/>
              </w:rPr>
            </w:pPr>
            <w:r w:rsidRPr="00005684">
              <w:rPr>
                <w:lang w:val="fr-FR"/>
              </w:rPr>
              <w:t xml:space="preserve">Belgique </w:t>
            </w:r>
          </w:p>
        </w:tc>
        <w:tc>
          <w:tcPr>
            <w:tcW w:w="980" w:type="dxa"/>
            <w:shd w:val="clear" w:color="auto" w:fill="auto"/>
            <w:noWrap/>
            <w:hideMark/>
          </w:tcPr>
          <w:p w14:paraId="17AFB7B1"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tcPr>
          <w:p w14:paraId="4B26C9AE" w14:textId="77777777" w:rsidR="00F51B2C" w:rsidRPr="00005684" w:rsidRDefault="00F51B2C" w:rsidP="001B40DA">
            <w:pPr>
              <w:spacing w:before="40" w:after="120"/>
              <w:ind w:right="113"/>
              <w:rPr>
                <w:lang w:val="fr-FR"/>
              </w:rPr>
            </w:pPr>
            <w:r w:rsidRPr="00005684">
              <w:rPr>
                <w:lang w:val="fr-FR"/>
              </w:rPr>
              <w:t>Non</w:t>
            </w:r>
          </w:p>
        </w:tc>
        <w:tc>
          <w:tcPr>
            <w:tcW w:w="1400" w:type="dxa"/>
            <w:shd w:val="clear" w:color="auto" w:fill="auto"/>
          </w:tcPr>
          <w:p w14:paraId="2A1403E2" w14:textId="58209F35" w:rsidR="00F51B2C" w:rsidRPr="00005684" w:rsidRDefault="00F51B2C" w:rsidP="001B40DA">
            <w:pPr>
              <w:spacing w:before="40" w:after="120"/>
              <w:ind w:right="113"/>
              <w:rPr>
                <w:lang w:val="fr-FR"/>
              </w:rPr>
            </w:pPr>
            <w:r w:rsidRPr="00005684">
              <w:rPr>
                <w:lang w:val="fr-FR"/>
              </w:rPr>
              <w:t>33 954 $E.U.</w:t>
            </w:r>
          </w:p>
        </w:tc>
        <w:tc>
          <w:tcPr>
            <w:tcW w:w="4487" w:type="dxa"/>
            <w:shd w:val="clear" w:color="auto" w:fill="auto"/>
            <w:tcMar>
              <w:left w:w="0" w:type="dxa"/>
              <w:right w:w="0" w:type="dxa"/>
            </w:tcMar>
            <w:hideMark/>
          </w:tcPr>
          <w:p w14:paraId="5CE5CF9D" w14:textId="2C260E08" w:rsidR="00F51B2C" w:rsidRPr="00005684" w:rsidRDefault="00F51B2C" w:rsidP="001B40DA">
            <w:pPr>
              <w:spacing w:before="40" w:after="120"/>
              <w:rPr>
                <w:lang w:val="fr-FR"/>
              </w:rPr>
            </w:pPr>
            <w:r w:rsidRPr="00005684">
              <w:rPr>
                <w:lang w:val="fr-FR"/>
              </w:rPr>
              <w:t xml:space="preserve">33 954 $E.U. pour la période intersessions 2021-2023, </w:t>
            </w:r>
            <w:r w:rsidRPr="00005684">
              <w:rPr>
                <w:spacing w:val="-4"/>
                <w:lang w:val="fr-FR"/>
              </w:rPr>
              <w:t>répartis comme suit : Région flamande : 13 785,96 $E.U. ;</w:t>
            </w:r>
            <w:r w:rsidRPr="00005684">
              <w:rPr>
                <w:lang w:val="fr-FR"/>
              </w:rPr>
              <w:t xml:space="preserve"> Gouvernement fédéral : 10 186,66 $E.U. (tous deux payés en décembre 2020) ; Région wallonne : 7</w:t>
            </w:r>
            <w:r w:rsidR="001B40DA" w:rsidRPr="00005684">
              <w:rPr>
                <w:lang w:val="fr-FR"/>
              </w:rPr>
              <w:t> </w:t>
            </w:r>
            <w:r w:rsidRPr="00005684">
              <w:rPr>
                <w:lang w:val="fr-FR"/>
              </w:rPr>
              <w:t>843</w:t>
            </w:r>
            <w:r w:rsidR="001B40DA" w:rsidRPr="00005684">
              <w:rPr>
                <w:lang w:val="fr-FR"/>
              </w:rPr>
              <w:t> </w:t>
            </w:r>
            <w:r w:rsidRPr="00005684">
              <w:rPr>
                <w:lang w:val="fr-FR"/>
              </w:rPr>
              <w:t>$E.U. ; Région de Bruxelles-Capitale : 2</w:t>
            </w:r>
            <w:r w:rsidR="001B40DA" w:rsidRPr="00005684">
              <w:rPr>
                <w:lang w:val="fr-FR"/>
              </w:rPr>
              <w:t> </w:t>
            </w:r>
            <w:r w:rsidRPr="00005684">
              <w:rPr>
                <w:lang w:val="fr-FR"/>
              </w:rPr>
              <w:t>139</w:t>
            </w:r>
            <w:r w:rsidR="001B40DA" w:rsidRPr="00005684">
              <w:rPr>
                <w:lang w:val="fr-FR"/>
              </w:rPr>
              <w:t> </w:t>
            </w:r>
            <w:r w:rsidRPr="00005684">
              <w:rPr>
                <w:lang w:val="fr-FR"/>
              </w:rPr>
              <w:t>$E.U. (à verser en 2021).</w:t>
            </w:r>
          </w:p>
        </w:tc>
      </w:tr>
      <w:tr w:rsidR="00C02EB4" w:rsidRPr="00005684" w14:paraId="2941996D" w14:textId="77777777" w:rsidTr="001B40DA">
        <w:tc>
          <w:tcPr>
            <w:tcW w:w="1932" w:type="dxa"/>
            <w:shd w:val="clear" w:color="auto" w:fill="auto"/>
            <w:noWrap/>
            <w:hideMark/>
          </w:tcPr>
          <w:p w14:paraId="6B54AE1C" w14:textId="77777777" w:rsidR="00C02EB4" w:rsidRPr="00005684" w:rsidRDefault="00C02EB4" w:rsidP="001B40DA">
            <w:pPr>
              <w:spacing w:before="40" w:after="120"/>
              <w:ind w:right="113"/>
              <w:rPr>
                <w:lang w:val="fr-FR"/>
              </w:rPr>
            </w:pPr>
            <w:r w:rsidRPr="00005684">
              <w:rPr>
                <w:lang w:val="fr-FR"/>
              </w:rPr>
              <w:t xml:space="preserve">Bosnie-Herzégovine </w:t>
            </w:r>
          </w:p>
        </w:tc>
        <w:tc>
          <w:tcPr>
            <w:tcW w:w="980" w:type="dxa"/>
            <w:shd w:val="clear" w:color="auto" w:fill="auto"/>
            <w:noWrap/>
            <w:hideMark/>
          </w:tcPr>
          <w:p w14:paraId="2AA86049" w14:textId="77777777" w:rsidR="00C02EB4" w:rsidRPr="00005684" w:rsidRDefault="00C02EB4" w:rsidP="001B40DA">
            <w:pPr>
              <w:spacing w:before="40" w:after="120"/>
              <w:ind w:right="113"/>
              <w:rPr>
                <w:lang w:val="fr-FR"/>
              </w:rPr>
            </w:pPr>
            <w:r w:rsidRPr="00005684">
              <w:rPr>
                <w:lang w:val="fr-FR"/>
              </w:rPr>
              <w:t>Oui</w:t>
            </w:r>
          </w:p>
        </w:tc>
        <w:tc>
          <w:tcPr>
            <w:tcW w:w="840" w:type="dxa"/>
            <w:shd w:val="clear" w:color="auto" w:fill="auto"/>
            <w:noWrap/>
          </w:tcPr>
          <w:p w14:paraId="18828A97" w14:textId="77777777" w:rsidR="00C02EB4" w:rsidRPr="00005684" w:rsidRDefault="00C02EB4" w:rsidP="001B40DA">
            <w:pPr>
              <w:spacing w:before="40" w:after="120"/>
              <w:ind w:right="113"/>
              <w:rPr>
                <w:lang w:val="fr-FR"/>
              </w:rPr>
            </w:pPr>
            <w:r w:rsidRPr="00005684">
              <w:rPr>
                <w:lang w:val="fr-FR"/>
              </w:rPr>
              <w:t>Non</w:t>
            </w:r>
          </w:p>
        </w:tc>
        <w:tc>
          <w:tcPr>
            <w:tcW w:w="1400" w:type="dxa"/>
            <w:shd w:val="clear" w:color="auto" w:fill="auto"/>
          </w:tcPr>
          <w:p w14:paraId="630B93ED" w14:textId="72B3181A" w:rsidR="00C02EB4" w:rsidRPr="00005684" w:rsidRDefault="00C02EB4" w:rsidP="001B40DA">
            <w:pPr>
              <w:spacing w:before="40" w:after="120"/>
              <w:ind w:right="113"/>
              <w:rPr>
                <w:lang w:val="fr-FR"/>
              </w:rPr>
            </w:pPr>
            <w:r w:rsidRPr="00005684">
              <w:rPr>
                <w:lang w:val="fr-FR"/>
              </w:rPr>
              <w:t>–</w:t>
            </w:r>
          </w:p>
        </w:tc>
        <w:tc>
          <w:tcPr>
            <w:tcW w:w="4487" w:type="dxa"/>
            <w:shd w:val="clear" w:color="auto" w:fill="auto"/>
            <w:tcMar>
              <w:left w:w="0" w:type="dxa"/>
              <w:right w:w="0" w:type="dxa"/>
            </w:tcMar>
            <w:hideMark/>
          </w:tcPr>
          <w:p w14:paraId="4E36D977" w14:textId="1F71F417" w:rsidR="00C02EB4" w:rsidRPr="00005684" w:rsidRDefault="00C02EB4" w:rsidP="001B40DA">
            <w:pPr>
              <w:spacing w:before="40" w:after="120"/>
              <w:rPr>
                <w:lang w:val="fr-FR"/>
              </w:rPr>
            </w:pPr>
            <w:r w:rsidRPr="00005684">
              <w:rPr>
                <w:lang w:val="fr-FR"/>
              </w:rPr>
              <w:t>–</w:t>
            </w:r>
          </w:p>
        </w:tc>
      </w:tr>
      <w:tr w:rsidR="00F51B2C" w:rsidRPr="00005684" w14:paraId="69FB7A05" w14:textId="77777777" w:rsidTr="001B40DA">
        <w:tc>
          <w:tcPr>
            <w:tcW w:w="1932" w:type="dxa"/>
            <w:shd w:val="clear" w:color="auto" w:fill="auto"/>
            <w:noWrap/>
            <w:hideMark/>
          </w:tcPr>
          <w:p w14:paraId="54A7B35A" w14:textId="77777777" w:rsidR="00F51B2C" w:rsidRPr="00005684" w:rsidRDefault="00F51B2C" w:rsidP="001B40DA">
            <w:pPr>
              <w:spacing w:before="40" w:after="120"/>
              <w:ind w:right="113"/>
              <w:rPr>
                <w:lang w:val="fr-FR"/>
              </w:rPr>
            </w:pPr>
            <w:r w:rsidRPr="00005684">
              <w:rPr>
                <w:lang w:val="fr-FR"/>
              </w:rPr>
              <w:t xml:space="preserve">Bulgarie </w:t>
            </w:r>
          </w:p>
        </w:tc>
        <w:tc>
          <w:tcPr>
            <w:tcW w:w="980" w:type="dxa"/>
            <w:shd w:val="clear" w:color="auto" w:fill="auto"/>
            <w:noWrap/>
            <w:hideMark/>
          </w:tcPr>
          <w:p w14:paraId="40986BD9"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tcPr>
          <w:p w14:paraId="326E29BE"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4744238F" w14:textId="71ADCD0D" w:rsidR="00F51B2C" w:rsidRPr="00005684" w:rsidRDefault="00F51B2C" w:rsidP="001B40DA">
            <w:pPr>
              <w:spacing w:before="40" w:after="120"/>
              <w:ind w:right="113"/>
              <w:rPr>
                <w:lang w:val="fr-FR"/>
              </w:rPr>
            </w:pPr>
            <w:r w:rsidRPr="00005684">
              <w:rPr>
                <w:lang w:val="fr-FR"/>
              </w:rPr>
              <w:t xml:space="preserve">8 000 $E.U. </w:t>
            </w:r>
          </w:p>
        </w:tc>
        <w:tc>
          <w:tcPr>
            <w:tcW w:w="4487" w:type="dxa"/>
            <w:shd w:val="clear" w:color="auto" w:fill="auto"/>
            <w:tcMar>
              <w:left w:w="0" w:type="dxa"/>
              <w:right w:w="0" w:type="dxa"/>
            </w:tcMar>
            <w:hideMark/>
          </w:tcPr>
          <w:p w14:paraId="1C14EE02" w14:textId="3665CC0A" w:rsidR="00F51B2C" w:rsidRPr="00005684" w:rsidRDefault="00F51B2C" w:rsidP="001B40DA">
            <w:pPr>
              <w:spacing w:before="40" w:after="120"/>
              <w:rPr>
                <w:lang w:val="fr-FR"/>
              </w:rPr>
            </w:pPr>
            <w:r w:rsidRPr="00005684">
              <w:rPr>
                <w:lang w:val="fr-FR"/>
              </w:rPr>
              <w:t>5 000 $E.U. à la Convention et 3 000 $E.U. au Protocole pour la période intersessions 2021</w:t>
            </w:r>
            <w:r w:rsidR="001B40DA" w:rsidRPr="00005684">
              <w:rPr>
                <w:lang w:val="fr-FR"/>
              </w:rPr>
              <w:t>-</w:t>
            </w:r>
            <w:r w:rsidRPr="00005684">
              <w:rPr>
                <w:lang w:val="fr-FR"/>
              </w:rPr>
              <w:t>2023.</w:t>
            </w:r>
          </w:p>
        </w:tc>
      </w:tr>
      <w:tr w:rsidR="00F51B2C" w:rsidRPr="00005684" w14:paraId="33921B34" w14:textId="77777777" w:rsidTr="001B40DA">
        <w:tc>
          <w:tcPr>
            <w:tcW w:w="1932" w:type="dxa"/>
            <w:shd w:val="clear" w:color="auto" w:fill="auto"/>
            <w:noWrap/>
            <w:hideMark/>
          </w:tcPr>
          <w:p w14:paraId="6F8513F7" w14:textId="77777777" w:rsidR="00F51B2C" w:rsidRPr="00005684" w:rsidRDefault="00F51B2C" w:rsidP="001B40DA">
            <w:pPr>
              <w:spacing w:before="40" w:after="120"/>
              <w:ind w:right="113"/>
              <w:rPr>
                <w:lang w:val="fr-FR"/>
              </w:rPr>
            </w:pPr>
            <w:r w:rsidRPr="00005684">
              <w:rPr>
                <w:lang w:val="fr-FR"/>
              </w:rPr>
              <w:t xml:space="preserve">Canada </w:t>
            </w:r>
          </w:p>
        </w:tc>
        <w:tc>
          <w:tcPr>
            <w:tcW w:w="980" w:type="dxa"/>
            <w:shd w:val="clear" w:color="auto" w:fill="auto"/>
            <w:noWrap/>
            <w:hideMark/>
          </w:tcPr>
          <w:p w14:paraId="5F5BD820"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tcPr>
          <w:p w14:paraId="617F24F5" w14:textId="77777777" w:rsidR="00F51B2C" w:rsidRPr="00005684" w:rsidRDefault="00F51B2C" w:rsidP="001B40DA">
            <w:pPr>
              <w:spacing w:before="40" w:after="120"/>
              <w:ind w:right="113"/>
              <w:rPr>
                <w:lang w:val="fr-FR"/>
              </w:rPr>
            </w:pPr>
            <w:r w:rsidRPr="00005684">
              <w:rPr>
                <w:lang w:val="fr-FR"/>
              </w:rPr>
              <w:t>Non</w:t>
            </w:r>
          </w:p>
        </w:tc>
        <w:tc>
          <w:tcPr>
            <w:tcW w:w="1400" w:type="dxa"/>
            <w:shd w:val="clear" w:color="auto" w:fill="auto"/>
          </w:tcPr>
          <w:p w14:paraId="65B9A2F8" w14:textId="33A05C7E" w:rsidR="00F51B2C" w:rsidRPr="00005684" w:rsidRDefault="00F51B2C" w:rsidP="001B40DA">
            <w:pPr>
              <w:spacing w:before="40" w:after="120"/>
              <w:ind w:right="113"/>
              <w:rPr>
                <w:lang w:val="fr-FR"/>
              </w:rPr>
            </w:pPr>
            <w:r w:rsidRPr="00005684">
              <w:rPr>
                <w:lang w:val="fr-FR"/>
              </w:rPr>
              <w:t>15 000 $Can</w:t>
            </w:r>
          </w:p>
        </w:tc>
        <w:tc>
          <w:tcPr>
            <w:tcW w:w="4487" w:type="dxa"/>
            <w:shd w:val="clear" w:color="auto" w:fill="auto"/>
            <w:tcMar>
              <w:left w:w="0" w:type="dxa"/>
              <w:right w:w="0" w:type="dxa"/>
            </w:tcMar>
            <w:hideMark/>
          </w:tcPr>
          <w:p w14:paraId="1DADE760" w14:textId="6FA16989" w:rsidR="00F51B2C" w:rsidRPr="00005684" w:rsidRDefault="00F51B2C" w:rsidP="001B40DA">
            <w:pPr>
              <w:spacing w:before="40" w:after="120"/>
              <w:rPr>
                <w:lang w:val="fr-FR"/>
              </w:rPr>
            </w:pPr>
            <w:r w:rsidRPr="00005684">
              <w:rPr>
                <w:lang w:val="fr-FR"/>
              </w:rPr>
              <w:t>15 000 $Can pour la période intersessions 2021-2023 visant à financer la mise en œuvre du plan de travail pour 2021-2023 dans le cadre de la Convention, à payer en trois versements de 5 000 $Can (contribution de 2021 avant mars 2021, contribution de 2022 après mai 2021</w:t>
            </w:r>
            <w:r w:rsidR="003D6A4E" w:rsidRPr="00005684">
              <w:rPr>
                <w:lang w:val="fr-FR"/>
              </w:rPr>
              <w:t xml:space="preserve"> ;</w:t>
            </w:r>
            <w:r w:rsidRPr="00005684">
              <w:rPr>
                <w:lang w:val="fr-FR"/>
              </w:rPr>
              <w:t xml:space="preserve"> et contribution de 2023 après avril 2022). </w:t>
            </w:r>
          </w:p>
        </w:tc>
      </w:tr>
      <w:tr w:rsidR="00C02EB4" w:rsidRPr="00005684" w14:paraId="0F2DA937" w14:textId="77777777" w:rsidTr="001B40DA">
        <w:tc>
          <w:tcPr>
            <w:tcW w:w="1932" w:type="dxa"/>
            <w:shd w:val="clear" w:color="auto" w:fill="auto"/>
            <w:noWrap/>
            <w:hideMark/>
          </w:tcPr>
          <w:p w14:paraId="072A5EC1" w14:textId="77777777" w:rsidR="00C02EB4" w:rsidRPr="00005684" w:rsidRDefault="00C02EB4" w:rsidP="001B40DA">
            <w:pPr>
              <w:spacing w:before="40" w:after="120"/>
              <w:ind w:right="113"/>
              <w:rPr>
                <w:lang w:val="fr-FR"/>
              </w:rPr>
            </w:pPr>
            <w:r w:rsidRPr="00005684">
              <w:rPr>
                <w:lang w:val="fr-FR"/>
              </w:rPr>
              <w:t xml:space="preserve">Chypre </w:t>
            </w:r>
          </w:p>
        </w:tc>
        <w:tc>
          <w:tcPr>
            <w:tcW w:w="980" w:type="dxa"/>
            <w:shd w:val="clear" w:color="auto" w:fill="auto"/>
            <w:noWrap/>
            <w:hideMark/>
          </w:tcPr>
          <w:p w14:paraId="7F81C2D0" w14:textId="77777777" w:rsidR="00C02EB4" w:rsidRPr="00005684" w:rsidRDefault="00C02EB4" w:rsidP="001B40DA">
            <w:pPr>
              <w:spacing w:before="40" w:after="120"/>
              <w:ind w:right="113"/>
              <w:rPr>
                <w:lang w:val="fr-FR"/>
              </w:rPr>
            </w:pPr>
            <w:r w:rsidRPr="00005684">
              <w:rPr>
                <w:lang w:val="fr-FR"/>
              </w:rPr>
              <w:t>Oui</w:t>
            </w:r>
          </w:p>
        </w:tc>
        <w:tc>
          <w:tcPr>
            <w:tcW w:w="840" w:type="dxa"/>
            <w:shd w:val="clear" w:color="auto" w:fill="auto"/>
            <w:noWrap/>
            <w:hideMark/>
          </w:tcPr>
          <w:p w14:paraId="301BA850" w14:textId="77777777" w:rsidR="00C02EB4" w:rsidRPr="00005684" w:rsidRDefault="00C02EB4" w:rsidP="001B40DA">
            <w:pPr>
              <w:spacing w:before="40" w:after="120"/>
              <w:ind w:right="113"/>
              <w:rPr>
                <w:lang w:val="fr-FR"/>
              </w:rPr>
            </w:pPr>
            <w:r w:rsidRPr="00005684">
              <w:rPr>
                <w:lang w:val="fr-FR"/>
              </w:rPr>
              <w:t>Oui</w:t>
            </w:r>
          </w:p>
        </w:tc>
        <w:tc>
          <w:tcPr>
            <w:tcW w:w="1400" w:type="dxa"/>
            <w:shd w:val="clear" w:color="auto" w:fill="auto"/>
          </w:tcPr>
          <w:p w14:paraId="3014DD8E" w14:textId="00209A0F" w:rsidR="00C02EB4" w:rsidRPr="00005684" w:rsidRDefault="00C02EB4" w:rsidP="001B40DA">
            <w:pPr>
              <w:spacing w:before="40" w:after="120"/>
              <w:ind w:right="113"/>
              <w:rPr>
                <w:lang w:val="fr-FR"/>
              </w:rPr>
            </w:pPr>
            <w:r w:rsidRPr="00005684">
              <w:rPr>
                <w:lang w:val="fr-FR"/>
              </w:rPr>
              <w:t>–</w:t>
            </w:r>
          </w:p>
        </w:tc>
        <w:tc>
          <w:tcPr>
            <w:tcW w:w="4487" w:type="dxa"/>
            <w:shd w:val="clear" w:color="auto" w:fill="auto"/>
            <w:tcMar>
              <w:left w:w="0" w:type="dxa"/>
              <w:right w:w="0" w:type="dxa"/>
            </w:tcMar>
            <w:hideMark/>
          </w:tcPr>
          <w:p w14:paraId="2B8457EB" w14:textId="3981A203" w:rsidR="00C02EB4" w:rsidRPr="00005684" w:rsidRDefault="00C02EB4" w:rsidP="001B40DA">
            <w:pPr>
              <w:spacing w:before="40" w:after="120"/>
              <w:rPr>
                <w:lang w:val="fr-FR"/>
              </w:rPr>
            </w:pPr>
            <w:r w:rsidRPr="00005684">
              <w:rPr>
                <w:lang w:val="fr-FR"/>
              </w:rPr>
              <w:t>–</w:t>
            </w:r>
          </w:p>
        </w:tc>
      </w:tr>
      <w:tr w:rsidR="00F51B2C" w:rsidRPr="00005684" w14:paraId="0804B358" w14:textId="77777777" w:rsidTr="001B40DA">
        <w:tc>
          <w:tcPr>
            <w:tcW w:w="1932" w:type="dxa"/>
            <w:shd w:val="clear" w:color="auto" w:fill="auto"/>
            <w:noWrap/>
            <w:hideMark/>
          </w:tcPr>
          <w:p w14:paraId="65C16A76" w14:textId="77777777" w:rsidR="00F51B2C" w:rsidRPr="00005684" w:rsidRDefault="00F51B2C" w:rsidP="001B40DA">
            <w:pPr>
              <w:spacing w:before="40" w:after="120"/>
              <w:ind w:right="113"/>
              <w:rPr>
                <w:lang w:val="fr-FR"/>
              </w:rPr>
            </w:pPr>
            <w:r w:rsidRPr="00005684">
              <w:rPr>
                <w:lang w:val="fr-FR"/>
              </w:rPr>
              <w:t xml:space="preserve">Croatie </w:t>
            </w:r>
          </w:p>
        </w:tc>
        <w:tc>
          <w:tcPr>
            <w:tcW w:w="980" w:type="dxa"/>
            <w:shd w:val="clear" w:color="auto" w:fill="auto"/>
            <w:noWrap/>
            <w:hideMark/>
          </w:tcPr>
          <w:p w14:paraId="481E15A5"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tcPr>
          <w:p w14:paraId="4531408B"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0D85FA07" w14:textId="3D3123C8" w:rsidR="00F51B2C" w:rsidRPr="00005684" w:rsidRDefault="00F51B2C" w:rsidP="001B40DA">
            <w:pPr>
              <w:spacing w:before="40" w:after="120"/>
              <w:ind w:right="113"/>
              <w:rPr>
                <w:lang w:val="fr-FR"/>
              </w:rPr>
            </w:pPr>
            <w:r w:rsidRPr="00005684">
              <w:rPr>
                <w:lang w:val="fr-FR"/>
              </w:rPr>
              <w:t>9 000 $E.U.</w:t>
            </w:r>
          </w:p>
        </w:tc>
        <w:tc>
          <w:tcPr>
            <w:tcW w:w="4487" w:type="dxa"/>
            <w:shd w:val="clear" w:color="auto" w:fill="auto"/>
            <w:tcMar>
              <w:left w:w="0" w:type="dxa"/>
              <w:right w:w="0" w:type="dxa"/>
            </w:tcMar>
            <w:hideMark/>
          </w:tcPr>
          <w:p w14:paraId="67D596BD" w14:textId="7F673113" w:rsidR="00F51B2C" w:rsidRPr="00005684" w:rsidRDefault="00F51B2C" w:rsidP="001B40DA">
            <w:pPr>
              <w:spacing w:before="40" w:after="120"/>
              <w:rPr>
                <w:lang w:val="fr-FR"/>
              </w:rPr>
            </w:pPr>
            <w:r w:rsidRPr="00005684">
              <w:rPr>
                <w:lang w:val="fr-FR"/>
              </w:rPr>
              <w:t>9 000 $E.U. pour la période intersessions 2021</w:t>
            </w:r>
            <w:r w:rsidR="005A384C" w:rsidRPr="00005684">
              <w:rPr>
                <w:lang w:val="fr-FR"/>
              </w:rPr>
              <w:t>-</w:t>
            </w:r>
            <w:r w:rsidRPr="00005684">
              <w:rPr>
                <w:lang w:val="fr-FR"/>
              </w:rPr>
              <w:t>2023, devant être versés en trois tranches de 3 000 $E.U. en 2021, 2022 et 2023.</w:t>
            </w:r>
          </w:p>
        </w:tc>
      </w:tr>
      <w:tr w:rsidR="00F51B2C" w:rsidRPr="00005684" w14:paraId="0EE040FA" w14:textId="77777777" w:rsidTr="001B40DA">
        <w:tc>
          <w:tcPr>
            <w:tcW w:w="1932" w:type="dxa"/>
            <w:shd w:val="clear" w:color="auto" w:fill="auto"/>
            <w:noWrap/>
            <w:hideMark/>
          </w:tcPr>
          <w:p w14:paraId="3760F2EA" w14:textId="2730E330" w:rsidR="00F51B2C" w:rsidRPr="00005684" w:rsidRDefault="00F51B2C" w:rsidP="001B40DA">
            <w:pPr>
              <w:spacing w:before="40" w:after="120"/>
              <w:ind w:right="113"/>
              <w:rPr>
                <w:lang w:val="fr-FR"/>
              </w:rPr>
            </w:pPr>
            <w:r w:rsidRPr="00005684">
              <w:rPr>
                <w:lang w:val="fr-FR"/>
              </w:rPr>
              <w:t xml:space="preserve">Danemark </w:t>
            </w:r>
          </w:p>
        </w:tc>
        <w:tc>
          <w:tcPr>
            <w:tcW w:w="980" w:type="dxa"/>
            <w:shd w:val="clear" w:color="auto" w:fill="auto"/>
            <w:noWrap/>
            <w:hideMark/>
          </w:tcPr>
          <w:p w14:paraId="1D53BA79"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30258807"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2AE046BE" w14:textId="133EDFCA" w:rsidR="00F51B2C" w:rsidRPr="00005684" w:rsidRDefault="00F51B2C" w:rsidP="001B40DA">
            <w:pPr>
              <w:spacing w:before="40" w:after="120"/>
              <w:ind w:right="113"/>
              <w:rPr>
                <w:lang w:val="fr-FR"/>
              </w:rPr>
            </w:pPr>
            <w:r w:rsidRPr="00005684">
              <w:rPr>
                <w:lang w:val="fr-FR"/>
              </w:rPr>
              <w:t>13 500 $E.U.</w:t>
            </w:r>
          </w:p>
        </w:tc>
        <w:tc>
          <w:tcPr>
            <w:tcW w:w="4487" w:type="dxa"/>
            <w:shd w:val="clear" w:color="auto" w:fill="auto"/>
            <w:tcMar>
              <w:left w:w="0" w:type="dxa"/>
              <w:right w:w="0" w:type="dxa"/>
            </w:tcMar>
            <w:hideMark/>
          </w:tcPr>
          <w:p w14:paraId="7906A476" w14:textId="413B485F" w:rsidR="00F51B2C" w:rsidRPr="00005684" w:rsidRDefault="00F51B2C" w:rsidP="001B40DA">
            <w:pPr>
              <w:spacing w:before="40" w:after="120"/>
              <w:rPr>
                <w:lang w:val="fr-FR"/>
              </w:rPr>
            </w:pPr>
            <w:r w:rsidRPr="00005684">
              <w:rPr>
                <w:lang w:val="fr-FR"/>
              </w:rPr>
              <w:t>13 500 $E.U. pour la période intersessions 2021</w:t>
            </w:r>
            <w:r w:rsidR="005A384C" w:rsidRPr="00005684">
              <w:rPr>
                <w:lang w:val="fr-FR"/>
              </w:rPr>
              <w:t>-</w:t>
            </w:r>
            <w:r w:rsidRPr="00005684">
              <w:rPr>
                <w:lang w:val="fr-FR"/>
              </w:rPr>
              <w:t>2023.</w:t>
            </w:r>
          </w:p>
        </w:tc>
      </w:tr>
      <w:tr w:rsidR="00C02EB4" w:rsidRPr="00005684" w14:paraId="58B37395" w14:textId="77777777" w:rsidTr="001B40DA">
        <w:tc>
          <w:tcPr>
            <w:tcW w:w="1932" w:type="dxa"/>
            <w:shd w:val="clear" w:color="auto" w:fill="auto"/>
            <w:noWrap/>
            <w:hideMark/>
          </w:tcPr>
          <w:p w14:paraId="4C295EE8" w14:textId="77777777" w:rsidR="00C02EB4" w:rsidRPr="00005684" w:rsidRDefault="00C02EB4" w:rsidP="001B40DA">
            <w:pPr>
              <w:spacing w:before="40" w:after="120"/>
              <w:ind w:right="113"/>
              <w:rPr>
                <w:lang w:val="fr-FR"/>
              </w:rPr>
            </w:pPr>
            <w:r w:rsidRPr="00005684">
              <w:rPr>
                <w:lang w:val="fr-FR"/>
              </w:rPr>
              <w:t xml:space="preserve">Espagne </w:t>
            </w:r>
          </w:p>
        </w:tc>
        <w:tc>
          <w:tcPr>
            <w:tcW w:w="980" w:type="dxa"/>
            <w:shd w:val="clear" w:color="auto" w:fill="auto"/>
            <w:noWrap/>
            <w:hideMark/>
          </w:tcPr>
          <w:p w14:paraId="6A2ACAF0" w14:textId="77777777" w:rsidR="00C02EB4" w:rsidRPr="00005684" w:rsidRDefault="00C02EB4" w:rsidP="001B40DA">
            <w:pPr>
              <w:spacing w:before="40" w:after="120"/>
              <w:ind w:right="113"/>
              <w:rPr>
                <w:lang w:val="fr-FR"/>
              </w:rPr>
            </w:pPr>
            <w:r w:rsidRPr="00005684">
              <w:rPr>
                <w:lang w:val="fr-FR"/>
              </w:rPr>
              <w:t>Oui</w:t>
            </w:r>
          </w:p>
        </w:tc>
        <w:tc>
          <w:tcPr>
            <w:tcW w:w="840" w:type="dxa"/>
            <w:shd w:val="clear" w:color="auto" w:fill="auto"/>
            <w:noWrap/>
            <w:hideMark/>
          </w:tcPr>
          <w:p w14:paraId="06B83F2B" w14:textId="77777777" w:rsidR="00C02EB4" w:rsidRPr="00005684" w:rsidRDefault="00C02EB4" w:rsidP="001B40DA">
            <w:pPr>
              <w:spacing w:before="40" w:after="120"/>
              <w:ind w:right="113"/>
              <w:rPr>
                <w:lang w:val="fr-FR"/>
              </w:rPr>
            </w:pPr>
            <w:r w:rsidRPr="00005684">
              <w:rPr>
                <w:lang w:val="fr-FR"/>
              </w:rPr>
              <w:t>Oui</w:t>
            </w:r>
          </w:p>
        </w:tc>
        <w:tc>
          <w:tcPr>
            <w:tcW w:w="1400" w:type="dxa"/>
            <w:shd w:val="clear" w:color="auto" w:fill="auto"/>
          </w:tcPr>
          <w:p w14:paraId="655C1043" w14:textId="3A35E26E" w:rsidR="00C02EB4" w:rsidRPr="00005684" w:rsidRDefault="00C02EB4" w:rsidP="001B40DA">
            <w:pPr>
              <w:spacing w:before="40" w:after="120"/>
              <w:ind w:right="113"/>
              <w:rPr>
                <w:lang w:val="fr-FR"/>
              </w:rPr>
            </w:pPr>
            <w:r w:rsidRPr="00005684">
              <w:rPr>
                <w:lang w:val="fr-FR"/>
              </w:rPr>
              <w:t>–</w:t>
            </w:r>
          </w:p>
        </w:tc>
        <w:tc>
          <w:tcPr>
            <w:tcW w:w="4487" w:type="dxa"/>
            <w:shd w:val="clear" w:color="auto" w:fill="auto"/>
            <w:tcMar>
              <w:left w:w="0" w:type="dxa"/>
              <w:right w:w="0" w:type="dxa"/>
            </w:tcMar>
            <w:hideMark/>
          </w:tcPr>
          <w:p w14:paraId="17E8CAA9" w14:textId="6A7FD2CC" w:rsidR="00C02EB4" w:rsidRPr="00005684" w:rsidRDefault="00C02EB4" w:rsidP="001B40DA">
            <w:pPr>
              <w:spacing w:before="40" w:after="120"/>
              <w:rPr>
                <w:lang w:val="fr-FR"/>
              </w:rPr>
            </w:pPr>
            <w:r w:rsidRPr="00005684">
              <w:rPr>
                <w:lang w:val="fr-FR"/>
              </w:rPr>
              <w:t>–</w:t>
            </w:r>
          </w:p>
        </w:tc>
      </w:tr>
      <w:tr w:rsidR="00F51B2C" w:rsidRPr="00005684" w14:paraId="0B058BDB" w14:textId="77777777" w:rsidTr="001B40DA">
        <w:tc>
          <w:tcPr>
            <w:tcW w:w="1932" w:type="dxa"/>
            <w:shd w:val="clear" w:color="auto" w:fill="auto"/>
            <w:noWrap/>
            <w:hideMark/>
          </w:tcPr>
          <w:p w14:paraId="77661230" w14:textId="77777777" w:rsidR="00F51B2C" w:rsidRPr="00005684" w:rsidRDefault="00F51B2C" w:rsidP="001B40DA">
            <w:pPr>
              <w:spacing w:before="40" w:after="120"/>
              <w:ind w:right="113"/>
              <w:rPr>
                <w:lang w:val="fr-FR"/>
              </w:rPr>
            </w:pPr>
            <w:r w:rsidRPr="00005684">
              <w:rPr>
                <w:lang w:val="fr-FR"/>
              </w:rPr>
              <w:t xml:space="preserve">Estonie </w:t>
            </w:r>
          </w:p>
        </w:tc>
        <w:tc>
          <w:tcPr>
            <w:tcW w:w="980" w:type="dxa"/>
            <w:shd w:val="clear" w:color="auto" w:fill="auto"/>
            <w:noWrap/>
            <w:hideMark/>
          </w:tcPr>
          <w:p w14:paraId="21D4AD55"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770A4CF3"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6136F385" w14:textId="77777777" w:rsidR="00F51B2C" w:rsidRPr="00005684" w:rsidRDefault="00F51B2C" w:rsidP="001B40DA">
            <w:pPr>
              <w:spacing w:before="40" w:after="120"/>
              <w:ind w:right="113"/>
              <w:rPr>
                <w:lang w:val="fr-FR"/>
              </w:rPr>
            </w:pPr>
            <w:r w:rsidRPr="00005684">
              <w:rPr>
                <w:lang w:val="fr-FR"/>
              </w:rPr>
              <w:t>3 000 €</w:t>
            </w:r>
          </w:p>
        </w:tc>
        <w:tc>
          <w:tcPr>
            <w:tcW w:w="4487" w:type="dxa"/>
            <w:shd w:val="clear" w:color="auto" w:fill="auto"/>
            <w:tcMar>
              <w:left w:w="0" w:type="dxa"/>
              <w:right w:w="0" w:type="dxa"/>
            </w:tcMar>
            <w:hideMark/>
          </w:tcPr>
          <w:p w14:paraId="14292F3A" w14:textId="2D72CE29" w:rsidR="00F51B2C" w:rsidRPr="00005684" w:rsidRDefault="00F51B2C" w:rsidP="001B40DA">
            <w:pPr>
              <w:spacing w:before="40" w:after="120"/>
              <w:rPr>
                <w:lang w:val="fr-FR"/>
              </w:rPr>
            </w:pPr>
            <w:r w:rsidRPr="00005684">
              <w:rPr>
                <w:lang w:val="fr-FR"/>
              </w:rPr>
              <w:t>3 000 € pour la période intersessions 2021</w:t>
            </w:r>
            <w:r w:rsidR="005A384C" w:rsidRPr="00005684">
              <w:rPr>
                <w:lang w:val="fr-FR"/>
              </w:rPr>
              <w:t>-</w:t>
            </w:r>
            <w:r w:rsidRPr="00005684">
              <w:rPr>
                <w:lang w:val="fr-FR"/>
              </w:rPr>
              <w:t>2023, devant être versés en trois tranches de 1 000 € en 2021, 2022 et 2023.</w:t>
            </w:r>
          </w:p>
        </w:tc>
      </w:tr>
      <w:tr w:rsidR="00C02EB4" w:rsidRPr="00005684" w14:paraId="2730DEC7" w14:textId="77777777" w:rsidTr="001B40DA">
        <w:tc>
          <w:tcPr>
            <w:tcW w:w="1932" w:type="dxa"/>
            <w:shd w:val="clear" w:color="auto" w:fill="auto"/>
            <w:noWrap/>
          </w:tcPr>
          <w:p w14:paraId="6ED3047B" w14:textId="77777777" w:rsidR="00C02EB4" w:rsidRPr="00005684" w:rsidRDefault="00C02EB4" w:rsidP="001B40DA">
            <w:pPr>
              <w:spacing w:before="40" w:after="120"/>
              <w:ind w:right="113"/>
              <w:rPr>
                <w:lang w:val="fr-FR"/>
              </w:rPr>
            </w:pPr>
            <w:r w:rsidRPr="00005684">
              <w:rPr>
                <w:lang w:val="fr-FR"/>
              </w:rPr>
              <w:t>Fédération de Russie</w:t>
            </w:r>
          </w:p>
        </w:tc>
        <w:tc>
          <w:tcPr>
            <w:tcW w:w="980" w:type="dxa"/>
            <w:shd w:val="clear" w:color="auto" w:fill="auto"/>
            <w:noWrap/>
          </w:tcPr>
          <w:p w14:paraId="305FDE2B" w14:textId="77777777" w:rsidR="00C02EB4" w:rsidRPr="00005684" w:rsidRDefault="00C02EB4" w:rsidP="001B40DA">
            <w:pPr>
              <w:spacing w:before="40" w:after="120"/>
              <w:ind w:right="113"/>
              <w:rPr>
                <w:lang w:val="fr-FR"/>
              </w:rPr>
            </w:pPr>
            <w:r w:rsidRPr="00005684">
              <w:rPr>
                <w:lang w:val="fr-FR"/>
              </w:rPr>
              <w:t>Non</w:t>
            </w:r>
          </w:p>
        </w:tc>
        <w:tc>
          <w:tcPr>
            <w:tcW w:w="840" w:type="dxa"/>
            <w:shd w:val="clear" w:color="auto" w:fill="auto"/>
            <w:noWrap/>
          </w:tcPr>
          <w:p w14:paraId="68DAD848" w14:textId="77777777" w:rsidR="00C02EB4" w:rsidRPr="00005684" w:rsidRDefault="00C02EB4" w:rsidP="001B40DA">
            <w:pPr>
              <w:spacing w:before="40" w:after="120"/>
              <w:ind w:right="113"/>
              <w:rPr>
                <w:lang w:val="fr-FR"/>
              </w:rPr>
            </w:pPr>
            <w:r w:rsidRPr="00005684">
              <w:rPr>
                <w:lang w:val="fr-FR"/>
              </w:rPr>
              <w:t>Non</w:t>
            </w:r>
          </w:p>
        </w:tc>
        <w:tc>
          <w:tcPr>
            <w:tcW w:w="1400" w:type="dxa"/>
            <w:shd w:val="clear" w:color="auto" w:fill="auto"/>
          </w:tcPr>
          <w:p w14:paraId="2EA838FE" w14:textId="38091F3A" w:rsidR="00C02EB4" w:rsidRPr="00005684" w:rsidRDefault="00C02EB4" w:rsidP="001B40DA">
            <w:pPr>
              <w:spacing w:before="40" w:after="120"/>
              <w:ind w:right="113"/>
              <w:rPr>
                <w:lang w:val="fr-FR"/>
              </w:rPr>
            </w:pPr>
            <w:r w:rsidRPr="00005684">
              <w:rPr>
                <w:lang w:val="fr-FR"/>
              </w:rPr>
              <w:t>–</w:t>
            </w:r>
          </w:p>
        </w:tc>
        <w:tc>
          <w:tcPr>
            <w:tcW w:w="4487" w:type="dxa"/>
            <w:shd w:val="clear" w:color="auto" w:fill="auto"/>
            <w:tcMar>
              <w:left w:w="0" w:type="dxa"/>
              <w:right w:w="0" w:type="dxa"/>
            </w:tcMar>
          </w:tcPr>
          <w:p w14:paraId="069F4543" w14:textId="004ED809" w:rsidR="00C02EB4" w:rsidRPr="00005684" w:rsidRDefault="00C02EB4" w:rsidP="001B40DA">
            <w:pPr>
              <w:spacing w:before="40" w:after="120"/>
              <w:rPr>
                <w:lang w:val="fr-FR"/>
              </w:rPr>
            </w:pPr>
            <w:r w:rsidRPr="00005684">
              <w:rPr>
                <w:lang w:val="fr-FR"/>
              </w:rPr>
              <w:t>–</w:t>
            </w:r>
          </w:p>
        </w:tc>
      </w:tr>
      <w:tr w:rsidR="00F51B2C" w:rsidRPr="00005684" w14:paraId="0E79EB8F" w14:textId="77777777" w:rsidTr="005A384C">
        <w:trPr>
          <w:cantSplit/>
        </w:trPr>
        <w:tc>
          <w:tcPr>
            <w:tcW w:w="1932" w:type="dxa"/>
            <w:shd w:val="clear" w:color="auto" w:fill="auto"/>
            <w:noWrap/>
            <w:hideMark/>
          </w:tcPr>
          <w:p w14:paraId="18DF3E0E" w14:textId="77777777" w:rsidR="00F51B2C" w:rsidRPr="00005684" w:rsidRDefault="00F51B2C" w:rsidP="001B40DA">
            <w:pPr>
              <w:spacing w:before="40" w:after="120"/>
              <w:ind w:right="113"/>
              <w:rPr>
                <w:lang w:val="fr-FR"/>
              </w:rPr>
            </w:pPr>
            <w:r w:rsidRPr="00005684">
              <w:rPr>
                <w:lang w:val="fr-FR"/>
              </w:rPr>
              <w:t xml:space="preserve">Finlande </w:t>
            </w:r>
          </w:p>
        </w:tc>
        <w:tc>
          <w:tcPr>
            <w:tcW w:w="980" w:type="dxa"/>
            <w:shd w:val="clear" w:color="auto" w:fill="auto"/>
            <w:noWrap/>
            <w:hideMark/>
          </w:tcPr>
          <w:p w14:paraId="475C56AF"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3C7648DF"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20D66FED" w14:textId="77777777" w:rsidR="00F51B2C" w:rsidRPr="00005684" w:rsidRDefault="00F51B2C" w:rsidP="001B40DA">
            <w:pPr>
              <w:spacing w:before="40" w:after="120"/>
              <w:ind w:right="113"/>
              <w:rPr>
                <w:lang w:val="fr-FR"/>
              </w:rPr>
            </w:pPr>
            <w:r w:rsidRPr="00005684">
              <w:rPr>
                <w:lang w:val="fr-FR"/>
              </w:rPr>
              <w:t xml:space="preserve">30 000 $E.U. </w:t>
            </w:r>
          </w:p>
        </w:tc>
        <w:tc>
          <w:tcPr>
            <w:tcW w:w="4487" w:type="dxa"/>
            <w:shd w:val="clear" w:color="auto" w:fill="auto"/>
            <w:tcMar>
              <w:left w:w="0" w:type="dxa"/>
              <w:right w:w="0" w:type="dxa"/>
            </w:tcMar>
            <w:hideMark/>
          </w:tcPr>
          <w:p w14:paraId="5D909390" w14:textId="697C51D5" w:rsidR="00F51B2C" w:rsidRPr="00005684" w:rsidRDefault="00F51B2C" w:rsidP="001B40DA">
            <w:pPr>
              <w:spacing w:before="40" w:after="120"/>
              <w:rPr>
                <w:lang w:val="fr-FR"/>
              </w:rPr>
            </w:pPr>
            <w:r w:rsidRPr="00005684">
              <w:rPr>
                <w:lang w:val="fr-FR"/>
              </w:rPr>
              <w:t>30 000 $E.U. pour la période intersessions 2021</w:t>
            </w:r>
            <w:r w:rsidR="005A384C" w:rsidRPr="00005684">
              <w:rPr>
                <w:lang w:val="fr-FR"/>
              </w:rPr>
              <w:t>-</w:t>
            </w:r>
            <w:r w:rsidRPr="00005684">
              <w:rPr>
                <w:lang w:val="fr-FR"/>
              </w:rPr>
              <w:t>2023, devant être versés en trois tranches de 10 000 $E.U. en 2021, 2022 et 2023 (à condition que le budget national permette de verser les fonds nécessaires).</w:t>
            </w:r>
          </w:p>
        </w:tc>
      </w:tr>
      <w:tr w:rsidR="00F51B2C" w:rsidRPr="00005684" w14:paraId="2567F73D" w14:textId="77777777" w:rsidTr="001B40DA">
        <w:tc>
          <w:tcPr>
            <w:tcW w:w="1932" w:type="dxa"/>
            <w:shd w:val="clear" w:color="auto" w:fill="auto"/>
            <w:noWrap/>
            <w:hideMark/>
          </w:tcPr>
          <w:p w14:paraId="764E842B" w14:textId="77777777" w:rsidR="00F51B2C" w:rsidRPr="00005684" w:rsidRDefault="00F51B2C" w:rsidP="001B40DA">
            <w:pPr>
              <w:spacing w:before="40" w:after="120"/>
              <w:ind w:right="113"/>
              <w:rPr>
                <w:lang w:val="fr-FR"/>
              </w:rPr>
            </w:pPr>
            <w:r w:rsidRPr="00005684">
              <w:rPr>
                <w:lang w:val="fr-FR"/>
              </w:rPr>
              <w:t>France</w:t>
            </w:r>
          </w:p>
        </w:tc>
        <w:tc>
          <w:tcPr>
            <w:tcW w:w="980" w:type="dxa"/>
            <w:shd w:val="clear" w:color="auto" w:fill="auto"/>
            <w:noWrap/>
            <w:hideMark/>
          </w:tcPr>
          <w:p w14:paraId="3D3160CE"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2A5B89FE" w14:textId="77777777" w:rsidR="00F51B2C" w:rsidRPr="00005684" w:rsidRDefault="00F51B2C" w:rsidP="001B40DA">
            <w:pPr>
              <w:spacing w:before="40" w:after="120"/>
              <w:ind w:right="113"/>
              <w:rPr>
                <w:lang w:val="fr-FR"/>
              </w:rPr>
            </w:pPr>
            <w:r w:rsidRPr="00005684">
              <w:rPr>
                <w:lang w:val="fr-FR"/>
              </w:rPr>
              <w:t>Non</w:t>
            </w:r>
          </w:p>
        </w:tc>
        <w:tc>
          <w:tcPr>
            <w:tcW w:w="1400" w:type="dxa"/>
            <w:shd w:val="clear" w:color="auto" w:fill="auto"/>
          </w:tcPr>
          <w:p w14:paraId="14C98FDF" w14:textId="77777777" w:rsidR="00F51B2C" w:rsidRPr="00005684" w:rsidRDefault="00F51B2C" w:rsidP="001B40DA">
            <w:pPr>
              <w:spacing w:before="40" w:after="120"/>
              <w:ind w:right="113"/>
              <w:rPr>
                <w:lang w:val="fr-FR"/>
              </w:rPr>
            </w:pPr>
            <w:r w:rsidRPr="00005684">
              <w:rPr>
                <w:lang w:val="fr-FR"/>
              </w:rPr>
              <w:t>90 000 €</w:t>
            </w:r>
          </w:p>
        </w:tc>
        <w:tc>
          <w:tcPr>
            <w:tcW w:w="4487" w:type="dxa"/>
            <w:shd w:val="clear" w:color="auto" w:fill="auto"/>
            <w:tcMar>
              <w:left w:w="0" w:type="dxa"/>
              <w:right w:w="0" w:type="dxa"/>
            </w:tcMar>
            <w:hideMark/>
          </w:tcPr>
          <w:p w14:paraId="13A11324" w14:textId="6F56A41F" w:rsidR="00F51B2C" w:rsidRPr="00005684" w:rsidRDefault="00F51B2C" w:rsidP="001B40DA">
            <w:pPr>
              <w:spacing w:before="40" w:after="120"/>
              <w:rPr>
                <w:lang w:val="fr-FR"/>
              </w:rPr>
            </w:pPr>
            <w:r w:rsidRPr="00005684">
              <w:rPr>
                <w:lang w:val="fr-FR"/>
              </w:rPr>
              <w:t>90 000 € pour la période intersessions 2021</w:t>
            </w:r>
            <w:r w:rsidR="00C02EB4" w:rsidRPr="00005684">
              <w:rPr>
                <w:lang w:val="fr-FR"/>
              </w:rPr>
              <w:t>-</w:t>
            </w:r>
            <w:r w:rsidRPr="00005684">
              <w:rPr>
                <w:lang w:val="fr-FR"/>
              </w:rPr>
              <w:t>2023, devant être versés en trois tranches de 30 000 € en 2021, 2022 et 2023.</w:t>
            </w:r>
          </w:p>
        </w:tc>
      </w:tr>
      <w:tr w:rsidR="00C02EB4" w:rsidRPr="00005684" w14:paraId="61650BF7" w14:textId="77777777" w:rsidTr="001B40DA">
        <w:tc>
          <w:tcPr>
            <w:tcW w:w="1932" w:type="dxa"/>
            <w:shd w:val="clear" w:color="auto" w:fill="auto"/>
            <w:noWrap/>
          </w:tcPr>
          <w:p w14:paraId="2084AA9D" w14:textId="77777777" w:rsidR="00C02EB4" w:rsidRPr="00005684" w:rsidRDefault="00C02EB4" w:rsidP="001B40DA">
            <w:pPr>
              <w:spacing w:before="40" w:after="120"/>
              <w:ind w:right="113"/>
              <w:rPr>
                <w:lang w:val="fr-FR"/>
              </w:rPr>
            </w:pPr>
            <w:r w:rsidRPr="00005684">
              <w:rPr>
                <w:lang w:val="fr-FR"/>
              </w:rPr>
              <w:t>Géorgie</w:t>
            </w:r>
          </w:p>
        </w:tc>
        <w:tc>
          <w:tcPr>
            <w:tcW w:w="980" w:type="dxa"/>
            <w:shd w:val="clear" w:color="auto" w:fill="auto"/>
            <w:noWrap/>
          </w:tcPr>
          <w:p w14:paraId="1C921F81" w14:textId="77777777" w:rsidR="00C02EB4" w:rsidRPr="00005684" w:rsidRDefault="00C02EB4" w:rsidP="001B40DA">
            <w:pPr>
              <w:spacing w:before="40" w:after="120"/>
              <w:ind w:right="113"/>
              <w:rPr>
                <w:lang w:val="fr-FR"/>
              </w:rPr>
            </w:pPr>
            <w:r w:rsidRPr="00005684">
              <w:rPr>
                <w:lang w:val="fr-FR"/>
              </w:rPr>
              <w:t>Non</w:t>
            </w:r>
          </w:p>
        </w:tc>
        <w:tc>
          <w:tcPr>
            <w:tcW w:w="840" w:type="dxa"/>
            <w:shd w:val="clear" w:color="auto" w:fill="auto"/>
            <w:noWrap/>
          </w:tcPr>
          <w:p w14:paraId="2CCF62DE" w14:textId="77777777" w:rsidR="00C02EB4" w:rsidRPr="00005684" w:rsidRDefault="00C02EB4" w:rsidP="001B40DA">
            <w:pPr>
              <w:spacing w:before="40" w:after="120"/>
              <w:ind w:right="113"/>
              <w:rPr>
                <w:lang w:val="fr-FR"/>
              </w:rPr>
            </w:pPr>
            <w:r w:rsidRPr="00005684">
              <w:rPr>
                <w:lang w:val="fr-FR"/>
              </w:rPr>
              <w:t>Non</w:t>
            </w:r>
          </w:p>
        </w:tc>
        <w:tc>
          <w:tcPr>
            <w:tcW w:w="1400" w:type="dxa"/>
            <w:shd w:val="clear" w:color="auto" w:fill="auto"/>
          </w:tcPr>
          <w:p w14:paraId="2B10B1AC" w14:textId="114EF829" w:rsidR="00C02EB4" w:rsidRPr="00005684" w:rsidRDefault="00C02EB4" w:rsidP="001B40DA">
            <w:pPr>
              <w:spacing w:before="40" w:after="120"/>
              <w:ind w:right="113"/>
              <w:rPr>
                <w:lang w:val="fr-FR"/>
              </w:rPr>
            </w:pPr>
            <w:r w:rsidRPr="00005684">
              <w:rPr>
                <w:lang w:val="fr-FR"/>
              </w:rPr>
              <w:t>–</w:t>
            </w:r>
          </w:p>
        </w:tc>
        <w:tc>
          <w:tcPr>
            <w:tcW w:w="4487" w:type="dxa"/>
            <w:shd w:val="clear" w:color="auto" w:fill="auto"/>
            <w:tcMar>
              <w:left w:w="0" w:type="dxa"/>
              <w:right w:w="0" w:type="dxa"/>
            </w:tcMar>
          </w:tcPr>
          <w:p w14:paraId="3A7CD0DA" w14:textId="28028ADC" w:rsidR="00C02EB4" w:rsidRPr="00005684" w:rsidRDefault="00C02EB4" w:rsidP="001B40DA">
            <w:pPr>
              <w:spacing w:before="40" w:after="120"/>
              <w:rPr>
                <w:lang w:val="fr-FR"/>
              </w:rPr>
            </w:pPr>
            <w:r w:rsidRPr="00005684">
              <w:rPr>
                <w:lang w:val="fr-FR"/>
              </w:rPr>
              <w:t>–</w:t>
            </w:r>
          </w:p>
        </w:tc>
      </w:tr>
      <w:tr w:rsidR="00F51B2C" w:rsidRPr="00005684" w14:paraId="3CA79370" w14:textId="77777777" w:rsidTr="001B40DA">
        <w:tc>
          <w:tcPr>
            <w:tcW w:w="1932" w:type="dxa"/>
            <w:shd w:val="clear" w:color="auto" w:fill="auto"/>
            <w:noWrap/>
            <w:hideMark/>
          </w:tcPr>
          <w:p w14:paraId="7C88FB96" w14:textId="77777777" w:rsidR="00F51B2C" w:rsidRPr="00005684" w:rsidRDefault="00F51B2C" w:rsidP="001B40DA">
            <w:pPr>
              <w:spacing w:before="40" w:after="120"/>
              <w:ind w:right="113"/>
              <w:rPr>
                <w:lang w:val="fr-FR"/>
              </w:rPr>
            </w:pPr>
            <w:r w:rsidRPr="00005684">
              <w:rPr>
                <w:lang w:val="fr-FR"/>
              </w:rPr>
              <w:t xml:space="preserve">Grèce </w:t>
            </w:r>
          </w:p>
        </w:tc>
        <w:tc>
          <w:tcPr>
            <w:tcW w:w="980" w:type="dxa"/>
            <w:shd w:val="clear" w:color="auto" w:fill="auto"/>
            <w:noWrap/>
            <w:hideMark/>
          </w:tcPr>
          <w:p w14:paraId="2E28A92C"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68EEC43D" w14:textId="77777777" w:rsidR="00F51B2C" w:rsidRPr="00005684" w:rsidRDefault="00F51B2C" w:rsidP="001B40DA">
            <w:pPr>
              <w:spacing w:before="40" w:after="120"/>
              <w:ind w:right="113"/>
              <w:rPr>
                <w:lang w:val="fr-FR"/>
              </w:rPr>
            </w:pPr>
            <w:r w:rsidRPr="00005684">
              <w:rPr>
                <w:lang w:val="fr-FR"/>
              </w:rPr>
              <w:t>Non</w:t>
            </w:r>
          </w:p>
        </w:tc>
        <w:tc>
          <w:tcPr>
            <w:tcW w:w="1400" w:type="dxa"/>
            <w:shd w:val="clear" w:color="auto" w:fill="auto"/>
          </w:tcPr>
          <w:p w14:paraId="2AEB4E66" w14:textId="77777777" w:rsidR="00F51B2C" w:rsidRPr="00005684" w:rsidRDefault="00F51B2C" w:rsidP="001B40DA">
            <w:pPr>
              <w:spacing w:before="40" w:after="120"/>
              <w:ind w:right="113"/>
              <w:rPr>
                <w:lang w:val="fr-FR"/>
              </w:rPr>
            </w:pPr>
            <w:r w:rsidRPr="00005684">
              <w:rPr>
                <w:lang w:val="fr-FR"/>
              </w:rPr>
              <w:t>3 000 €</w:t>
            </w:r>
          </w:p>
        </w:tc>
        <w:tc>
          <w:tcPr>
            <w:tcW w:w="4487" w:type="dxa"/>
            <w:shd w:val="clear" w:color="auto" w:fill="auto"/>
            <w:tcMar>
              <w:left w:w="0" w:type="dxa"/>
              <w:right w:w="0" w:type="dxa"/>
            </w:tcMar>
            <w:hideMark/>
          </w:tcPr>
          <w:p w14:paraId="202B6AA9" w14:textId="04EC7197" w:rsidR="00F51B2C" w:rsidRPr="00005684" w:rsidRDefault="00F51B2C" w:rsidP="001B40DA">
            <w:pPr>
              <w:spacing w:before="40" w:after="120"/>
              <w:rPr>
                <w:lang w:val="fr-FR"/>
              </w:rPr>
            </w:pPr>
            <w:r w:rsidRPr="00005684">
              <w:rPr>
                <w:lang w:val="fr-FR"/>
              </w:rPr>
              <w:t>3 000 € pour la période intersessions 2021</w:t>
            </w:r>
            <w:r w:rsidR="00C02EB4" w:rsidRPr="00005684">
              <w:rPr>
                <w:lang w:val="fr-FR"/>
              </w:rPr>
              <w:t>-</w:t>
            </w:r>
            <w:r w:rsidRPr="00005684">
              <w:rPr>
                <w:lang w:val="fr-FR"/>
              </w:rPr>
              <w:t>2023, devant être versés en trois tranches de 1 000 € en 2021, 2022 et 2023 (à confirmer).</w:t>
            </w:r>
          </w:p>
        </w:tc>
      </w:tr>
      <w:tr w:rsidR="00F51B2C" w:rsidRPr="00005684" w14:paraId="51AD6BCD" w14:textId="77777777" w:rsidTr="001B40DA">
        <w:tc>
          <w:tcPr>
            <w:tcW w:w="1932" w:type="dxa"/>
            <w:shd w:val="clear" w:color="auto" w:fill="auto"/>
            <w:noWrap/>
            <w:hideMark/>
          </w:tcPr>
          <w:p w14:paraId="03CFF274" w14:textId="77777777" w:rsidR="00F51B2C" w:rsidRPr="00005684" w:rsidRDefault="00F51B2C" w:rsidP="001B40DA">
            <w:pPr>
              <w:spacing w:before="40" w:after="120"/>
              <w:ind w:right="113"/>
              <w:rPr>
                <w:lang w:val="fr-FR"/>
              </w:rPr>
            </w:pPr>
            <w:r w:rsidRPr="00005684">
              <w:rPr>
                <w:lang w:val="fr-FR"/>
              </w:rPr>
              <w:t xml:space="preserve">Hongrie </w:t>
            </w:r>
          </w:p>
        </w:tc>
        <w:tc>
          <w:tcPr>
            <w:tcW w:w="980" w:type="dxa"/>
            <w:shd w:val="clear" w:color="auto" w:fill="auto"/>
            <w:noWrap/>
            <w:hideMark/>
          </w:tcPr>
          <w:p w14:paraId="5B94F98C"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7D364C8B"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272364C9" w14:textId="36570153" w:rsidR="00F51B2C" w:rsidRPr="00005684" w:rsidRDefault="00F51B2C" w:rsidP="001B40DA">
            <w:pPr>
              <w:spacing w:before="40" w:after="120"/>
              <w:ind w:right="113"/>
              <w:rPr>
                <w:lang w:val="fr-FR"/>
              </w:rPr>
            </w:pPr>
            <w:r w:rsidRPr="00005684">
              <w:rPr>
                <w:lang w:val="fr-FR"/>
              </w:rPr>
              <w:t>12 000 $E.U.</w:t>
            </w:r>
          </w:p>
        </w:tc>
        <w:tc>
          <w:tcPr>
            <w:tcW w:w="4487" w:type="dxa"/>
            <w:shd w:val="clear" w:color="auto" w:fill="auto"/>
            <w:tcMar>
              <w:left w:w="0" w:type="dxa"/>
              <w:right w:w="0" w:type="dxa"/>
            </w:tcMar>
            <w:hideMark/>
          </w:tcPr>
          <w:p w14:paraId="13DE4944" w14:textId="49AB03CF" w:rsidR="00F51B2C" w:rsidRPr="00005684" w:rsidRDefault="00F51B2C" w:rsidP="001B40DA">
            <w:pPr>
              <w:spacing w:before="40" w:after="120"/>
              <w:rPr>
                <w:lang w:val="fr-FR"/>
              </w:rPr>
            </w:pPr>
            <w:r w:rsidRPr="00005684">
              <w:rPr>
                <w:lang w:val="fr-FR"/>
              </w:rPr>
              <w:t>12 000 $E.U. pour la période intersessions 2021</w:t>
            </w:r>
            <w:r w:rsidR="00C02EB4" w:rsidRPr="00005684">
              <w:rPr>
                <w:lang w:val="fr-FR"/>
              </w:rPr>
              <w:t>-</w:t>
            </w:r>
            <w:r w:rsidRPr="00005684">
              <w:rPr>
                <w:lang w:val="fr-FR"/>
              </w:rPr>
              <w:t>2023, devant être versés en trois tranches de 4 000 $E.U. en 2021, 2022 et 2023.</w:t>
            </w:r>
          </w:p>
        </w:tc>
      </w:tr>
      <w:tr w:rsidR="00F51B2C" w:rsidRPr="00005684" w14:paraId="1A3A5D09" w14:textId="77777777" w:rsidTr="001B40DA">
        <w:tc>
          <w:tcPr>
            <w:tcW w:w="1932" w:type="dxa"/>
            <w:shd w:val="clear" w:color="auto" w:fill="auto"/>
            <w:noWrap/>
            <w:hideMark/>
          </w:tcPr>
          <w:p w14:paraId="050D76DC" w14:textId="77777777" w:rsidR="00F51B2C" w:rsidRPr="00005684" w:rsidRDefault="00F51B2C" w:rsidP="001B40DA">
            <w:pPr>
              <w:spacing w:before="40" w:after="120"/>
              <w:ind w:right="113"/>
              <w:rPr>
                <w:lang w:val="fr-FR"/>
              </w:rPr>
            </w:pPr>
            <w:r w:rsidRPr="00005684">
              <w:rPr>
                <w:lang w:val="fr-FR"/>
              </w:rPr>
              <w:t xml:space="preserve">Irlande </w:t>
            </w:r>
          </w:p>
        </w:tc>
        <w:tc>
          <w:tcPr>
            <w:tcW w:w="980" w:type="dxa"/>
            <w:shd w:val="clear" w:color="auto" w:fill="auto"/>
            <w:noWrap/>
            <w:hideMark/>
          </w:tcPr>
          <w:p w14:paraId="70959229"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35153099" w14:textId="77777777" w:rsidR="00F51B2C" w:rsidRPr="00005684" w:rsidRDefault="00F51B2C" w:rsidP="001B40DA">
            <w:pPr>
              <w:spacing w:before="40" w:after="120"/>
              <w:ind w:right="113"/>
              <w:rPr>
                <w:lang w:val="fr-FR"/>
              </w:rPr>
            </w:pPr>
            <w:r w:rsidRPr="00005684">
              <w:rPr>
                <w:lang w:val="fr-FR"/>
              </w:rPr>
              <w:t>Non</w:t>
            </w:r>
          </w:p>
        </w:tc>
        <w:tc>
          <w:tcPr>
            <w:tcW w:w="1400" w:type="dxa"/>
            <w:shd w:val="clear" w:color="auto" w:fill="auto"/>
          </w:tcPr>
          <w:p w14:paraId="08F6213F" w14:textId="42DA8D71" w:rsidR="00F51B2C" w:rsidRPr="00005684" w:rsidRDefault="00F51B2C" w:rsidP="001B40DA">
            <w:pPr>
              <w:spacing w:before="40" w:after="120"/>
              <w:ind w:right="113"/>
              <w:rPr>
                <w:lang w:val="fr-FR"/>
              </w:rPr>
            </w:pPr>
            <w:r w:rsidRPr="00005684">
              <w:rPr>
                <w:lang w:val="fr-FR"/>
              </w:rPr>
              <w:t xml:space="preserve">19 500 $E.U. </w:t>
            </w:r>
          </w:p>
        </w:tc>
        <w:tc>
          <w:tcPr>
            <w:tcW w:w="4487" w:type="dxa"/>
            <w:shd w:val="clear" w:color="auto" w:fill="auto"/>
            <w:tcMar>
              <w:left w:w="0" w:type="dxa"/>
              <w:right w:w="0" w:type="dxa"/>
            </w:tcMar>
            <w:hideMark/>
          </w:tcPr>
          <w:p w14:paraId="6566222F" w14:textId="540D3E5D" w:rsidR="00F51B2C" w:rsidRPr="00005684" w:rsidRDefault="00F51B2C" w:rsidP="001B40DA">
            <w:pPr>
              <w:spacing w:before="40" w:after="120"/>
              <w:rPr>
                <w:lang w:val="fr-FR"/>
              </w:rPr>
            </w:pPr>
            <w:r w:rsidRPr="00005684">
              <w:rPr>
                <w:lang w:val="fr-FR"/>
              </w:rPr>
              <w:t>19 500 $E.U. pour la période intersessions 2021</w:t>
            </w:r>
            <w:r w:rsidR="00C02EB4" w:rsidRPr="00005684">
              <w:rPr>
                <w:lang w:val="fr-FR"/>
              </w:rPr>
              <w:t>-</w:t>
            </w:r>
            <w:r w:rsidRPr="00005684">
              <w:rPr>
                <w:lang w:val="fr-FR"/>
              </w:rPr>
              <w:t>2023, devant être versés en trois tranches de 6 500 $E.U. en 2021, 2022 et 2023.</w:t>
            </w:r>
          </w:p>
        </w:tc>
      </w:tr>
      <w:tr w:rsidR="00C02EB4" w:rsidRPr="00005684" w14:paraId="7CC90B2F" w14:textId="77777777" w:rsidTr="001B40DA">
        <w:tc>
          <w:tcPr>
            <w:tcW w:w="1932" w:type="dxa"/>
            <w:shd w:val="clear" w:color="auto" w:fill="auto"/>
            <w:noWrap/>
          </w:tcPr>
          <w:p w14:paraId="4C0FF4B1" w14:textId="77777777" w:rsidR="00C02EB4" w:rsidRPr="00005684" w:rsidRDefault="00C02EB4" w:rsidP="001B40DA">
            <w:pPr>
              <w:spacing w:before="40" w:after="120"/>
              <w:ind w:right="113"/>
              <w:rPr>
                <w:lang w:val="fr-FR"/>
              </w:rPr>
            </w:pPr>
            <w:r w:rsidRPr="00005684">
              <w:rPr>
                <w:lang w:val="fr-FR"/>
              </w:rPr>
              <w:t>Islande</w:t>
            </w:r>
          </w:p>
        </w:tc>
        <w:tc>
          <w:tcPr>
            <w:tcW w:w="980" w:type="dxa"/>
            <w:shd w:val="clear" w:color="auto" w:fill="auto"/>
            <w:noWrap/>
          </w:tcPr>
          <w:p w14:paraId="1B2AFCA6" w14:textId="77777777" w:rsidR="00C02EB4" w:rsidRPr="00005684" w:rsidRDefault="00C02EB4" w:rsidP="001B40DA">
            <w:pPr>
              <w:spacing w:before="40" w:after="120"/>
              <w:ind w:right="113"/>
              <w:rPr>
                <w:lang w:val="fr-FR"/>
              </w:rPr>
            </w:pPr>
            <w:r w:rsidRPr="00005684">
              <w:rPr>
                <w:lang w:val="fr-FR"/>
              </w:rPr>
              <w:t>Non</w:t>
            </w:r>
          </w:p>
        </w:tc>
        <w:tc>
          <w:tcPr>
            <w:tcW w:w="840" w:type="dxa"/>
            <w:shd w:val="clear" w:color="auto" w:fill="auto"/>
            <w:noWrap/>
          </w:tcPr>
          <w:p w14:paraId="5B2B37AE" w14:textId="77777777" w:rsidR="00C02EB4" w:rsidRPr="00005684" w:rsidRDefault="00C02EB4" w:rsidP="001B40DA">
            <w:pPr>
              <w:spacing w:before="40" w:after="120"/>
              <w:ind w:right="113"/>
              <w:rPr>
                <w:lang w:val="fr-FR"/>
              </w:rPr>
            </w:pPr>
            <w:r w:rsidRPr="00005684">
              <w:rPr>
                <w:lang w:val="fr-FR"/>
              </w:rPr>
              <w:t>Non</w:t>
            </w:r>
          </w:p>
        </w:tc>
        <w:tc>
          <w:tcPr>
            <w:tcW w:w="1400" w:type="dxa"/>
            <w:shd w:val="clear" w:color="auto" w:fill="auto"/>
          </w:tcPr>
          <w:p w14:paraId="24040413" w14:textId="46D08823" w:rsidR="00C02EB4" w:rsidRPr="00005684" w:rsidRDefault="00C02EB4" w:rsidP="001B40DA">
            <w:pPr>
              <w:spacing w:before="40" w:after="120"/>
              <w:ind w:right="113"/>
              <w:rPr>
                <w:lang w:val="fr-FR"/>
              </w:rPr>
            </w:pPr>
            <w:r w:rsidRPr="00005684">
              <w:rPr>
                <w:lang w:val="fr-FR"/>
              </w:rPr>
              <w:t>–</w:t>
            </w:r>
          </w:p>
        </w:tc>
        <w:tc>
          <w:tcPr>
            <w:tcW w:w="4487" w:type="dxa"/>
            <w:shd w:val="clear" w:color="auto" w:fill="auto"/>
            <w:tcMar>
              <w:left w:w="0" w:type="dxa"/>
              <w:right w:w="0" w:type="dxa"/>
            </w:tcMar>
          </w:tcPr>
          <w:p w14:paraId="491D1C07" w14:textId="2875A198" w:rsidR="00C02EB4" w:rsidRPr="00005684" w:rsidRDefault="00C02EB4" w:rsidP="001B40DA">
            <w:pPr>
              <w:spacing w:before="40" w:after="120"/>
              <w:rPr>
                <w:lang w:val="fr-FR"/>
              </w:rPr>
            </w:pPr>
            <w:r w:rsidRPr="00005684">
              <w:rPr>
                <w:lang w:val="fr-FR"/>
              </w:rPr>
              <w:t>–</w:t>
            </w:r>
          </w:p>
        </w:tc>
      </w:tr>
      <w:tr w:rsidR="00F51B2C" w:rsidRPr="00005684" w14:paraId="44C913BA" w14:textId="77777777" w:rsidTr="001B40DA">
        <w:tc>
          <w:tcPr>
            <w:tcW w:w="1932" w:type="dxa"/>
            <w:shd w:val="clear" w:color="auto" w:fill="auto"/>
            <w:noWrap/>
            <w:hideMark/>
          </w:tcPr>
          <w:p w14:paraId="47BF17B0" w14:textId="77777777" w:rsidR="00F51B2C" w:rsidRPr="00005684" w:rsidRDefault="00F51B2C" w:rsidP="001B40DA">
            <w:pPr>
              <w:spacing w:before="40" w:after="120"/>
              <w:ind w:right="113"/>
              <w:rPr>
                <w:lang w:val="fr-FR"/>
              </w:rPr>
            </w:pPr>
            <w:r w:rsidRPr="00005684">
              <w:rPr>
                <w:lang w:val="fr-FR"/>
              </w:rPr>
              <w:t xml:space="preserve">Italie </w:t>
            </w:r>
          </w:p>
        </w:tc>
        <w:tc>
          <w:tcPr>
            <w:tcW w:w="980" w:type="dxa"/>
            <w:shd w:val="clear" w:color="auto" w:fill="auto"/>
            <w:noWrap/>
          </w:tcPr>
          <w:p w14:paraId="08FCA078"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tcPr>
          <w:p w14:paraId="5EA4D3CA"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745DCF0F" w14:textId="77777777" w:rsidR="00F51B2C" w:rsidRPr="00005684" w:rsidRDefault="00F51B2C" w:rsidP="001B40DA">
            <w:pPr>
              <w:spacing w:before="40" w:after="120"/>
              <w:ind w:right="113"/>
              <w:rPr>
                <w:lang w:val="fr-FR"/>
              </w:rPr>
            </w:pPr>
            <w:r w:rsidRPr="00005684">
              <w:rPr>
                <w:lang w:val="fr-FR"/>
              </w:rPr>
              <w:t>240 000 €</w:t>
            </w:r>
          </w:p>
        </w:tc>
        <w:tc>
          <w:tcPr>
            <w:tcW w:w="4487" w:type="dxa"/>
            <w:shd w:val="clear" w:color="auto" w:fill="auto"/>
            <w:tcMar>
              <w:left w:w="0" w:type="dxa"/>
              <w:right w:w="0" w:type="dxa"/>
            </w:tcMar>
            <w:hideMark/>
          </w:tcPr>
          <w:p w14:paraId="4DDD7B1E" w14:textId="583B2B16" w:rsidR="00F51B2C" w:rsidRPr="00005684" w:rsidRDefault="00F51B2C" w:rsidP="001B40DA">
            <w:pPr>
              <w:spacing w:before="40" w:after="120"/>
              <w:rPr>
                <w:lang w:val="fr-FR"/>
              </w:rPr>
            </w:pPr>
            <w:r w:rsidRPr="00005684">
              <w:rPr>
                <w:lang w:val="fr-FR"/>
              </w:rPr>
              <w:t>60 000 € pour la période intersessions 2021-2023 (20</w:t>
            </w:r>
            <w:r w:rsidR="005A384C" w:rsidRPr="00005684">
              <w:rPr>
                <w:lang w:val="fr-FR"/>
              </w:rPr>
              <w:t> </w:t>
            </w:r>
            <w:r w:rsidRPr="00005684">
              <w:rPr>
                <w:lang w:val="fr-FR"/>
              </w:rPr>
              <w:t xml:space="preserve">000 € par an, à verser en 2021, 2022 et 2023). En outre, des contributions </w:t>
            </w:r>
            <w:proofErr w:type="spellStart"/>
            <w:r w:rsidRPr="00005684">
              <w:rPr>
                <w:lang w:val="fr-FR"/>
              </w:rPr>
              <w:t>préaffectées</w:t>
            </w:r>
            <w:proofErr w:type="spellEnd"/>
            <w:r w:rsidRPr="00005684">
              <w:rPr>
                <w:lang w:val="fr-FR"/>
              </w:rPr>
              <w:t xml:space="preserve"> d’un montant total de 180 000 € pour la période 2021</w:t>
            </w:r>
            <w:r w:rsidR="005A384C" w:rsidRPr="00005684">
              <w:rPr>
                <w:lang w:val="fr-FR"/>
              </w:rPr>
              <w:t>-</w:t>
            </w:r>
            <w:r w:rsidRPr="00005684">
              <w:rPr>
                <w:lang w:val="fr-FR"/>
              </w:rPr>
              <w:t>2023 (60 000 € par an à verser en 2021, 2022 et 2023) pour deux activités proposées dans le plan de travail : 120 000 € (ou</w:t>
            </w:r>
            <w:r w:rsidR="005A384C" w:rsidRPr="00005684">
              <w:rPr>
                <w:lang w:val="fr-FR"/>
              </w:rPr>
              <w:t> </w:t>
            </w:r>
            <w:r w:rsidRPr="00005684">
              <w:rPr>
                <w:lang w:val="fr-FR"/>
              </w:rPr>
              <w:t>40</w:t>
            </w:r>
            <w:r w:rsidR="005A384C" w:rsidRPr="00005684">
              <w:rPr>
                <w:lang w:val="fr-FR"/>
              </w:rPr>
              <w:t> </w:t>
            </w:r>
            <w:r w:rsidRPr="00005684">
              <w:rPr>
                <w:lang w:val="fr-FR"/>
              </w:rPr>
              <w:t>000</w:t>
            </w:r>
            <w:r w:rsidR="005A384C" w:rsidRPr="00005684">
              <w:rPr>
                <w:lang w:val="fr-FR"/>
              </w:rPr>
              <w:t> </w:t>
            </w:r>
            <w:r w:rsidRPr="00005684">
              <w:rPr>
                <w:lang w:val="fr-FR"/>
              </w:rPr>
              <w:t>€ par an) pour des activités de coopération sous-régionale pour les régions maritimes ; et 60 000 € (ou 20 000 € par an) pour un séminaire thématique sur la promotion de l’application de l’évaluation stratégique environnementale dans la coopération pour le développement.</w:t>
            </w:r>
          </w:p>
        </w:tc>
      </w:tr>
      <w:tr w:rsidR="00C02EB4" w:rsidRPr="00005684" w14:paraId="4B33C29E" w14:textId="77777777" w:rsidTr="001B40DA">
        <w:tc>
          <w:tcPr>
            <w:tcW w:w="1932" w:type="dxa"/>
            <w:shd w:val="clear" w:color="auto" w:fill="auto"/>
            <w:noWrap/>
            <w:hideMark/>
          </w:tcPr>
          <w:p w14:paraId="71069AA3" w14:textId="77777777" w:rsidR="00C02EB4" w:rsidRPr="00005684" w:rsidRDefault="00C02EB4" w:rsidP="001B40DA">
            <w:pPr>
              <w:spacing w:before="40" w:after="120"/>
              <w:ind w:right="113"/>
              <w:rPr>
                <w:lang w:val="fr-FR"/>
              </w:rPr>
            </w:pPr>
            <w:r w:rsidRPr="00005684">
              <w:rPr>
                <w:lang w:val="fr-FR"/>
              </w:rPr>
              <w:t xml:space="preserve">Kazakhstan </w:t>
            </w:r>
          </w:p>
        </w:tc>
        <w:tc>
          <w:tcPr>
            <w:tcW w:w="980" w:type="dxa"/>
            <w:shd w:val="clear" w:color="auto" w:fill="auto"/>
            <w:noWrap/>
            <w:hideMark/>
          </w:tcPr>
          <w:p w14:paraId="256757C7" w14:textId="77777777" w:rsidR="00C02EB4" w:rsidRPr="00005684" w:rsidRDefault="00C02EB4" w:rsidP="001B40DA">
            <w:pPr>
              <w:spacing w:before="40" w:after="120"/>
              <w:ind w:right="113"/>
              <w:rPr>
                <w:lang w:val="fr-FR"/>
              </w:rPr>
            </w:pPr>
            <w:r w:rsidRPr="00005684">
              <w:rPr>
                <w:lang w:val="fr-FR"/>
              </w:rPr>
              <w:t>Oui</w:t>
            </w:r>
          </w:p>
        </w:tc>
        <w:tc>
          <w:tcPr>
            <w:tcW w:w="840" w:type="dxa"/>
            <w:shd w:val="clear" w:color="auto" w:fill="auto"/>
            <w:noWrap/>
            <w:hideMark/>
          </w:tcPr>
          <w:p w14:paraId="089F2AD0" w14:textId="77777777" w:rsidR="00C02EB4" w:rsidRPr="00005684" w:rsidRDefault="00C02EB4" w:rsidP="001B40DA">
            <w:pPr>
              <w:spacing w:before="40" w:after="120"/>
              <w:ind w:right="113"/>
              <w:rPr>
                <w:lang w:val="fr-FR"/>
              </w:rPr>
            </w:pPr>
            <w:r w:rsidRPr="00005684">
              <w:rPr>
                <w:lang w:val="fr-FR"/>
              </w:rPr>
              <w:t>Non</w:t>
            </w:r>
          </w:p>
        </w:tc>
        <w:tc>
          <w:tcPr>
            <w:tcW w:w="1400" w:type="dxa"/>
            <w:shd w:val="clear" w:color="auto" w:fill="auto"/>
          </w:tcPr>
          <w:p w14:paraId="5D3A25E8" w14:textId="61D86032" w:rsidR="00C02EB4" w:rsidRPr="00005684" w:rsidRDefault="00C02EB4" w:rsidP="001B40DA">
            <w:pPr>
              <w:spacing w:before="40" w:after="120"/>
              <w:ind w:right="113"/>
              <w:rPr>
                <w:lang w:val="fr-FR"/>
              </w:rPr>
            </w:pPr>
            <w:r w:rsidRPr="00005684">
              <w:rPr>
                <w:lang w:val="fr-FR"/>
              </w:rPr>
              <w:t>–</w:t>
            </w:r>
          </w:p>
        </w:tc>
        <w:tc>
          <w:tcPr>
            <w:tcW w:w="4487" w:type="dxa"/>
            <w:shd w:val="clear" w:color="auto" w:fill="auto"/>
            <w:tcMar>
              <w:left w:w="0" w:type="dxa"/>
              <w:right w:w="0" w:type="dxa"/>
            </w:tcMar>
            <w:hideMark/>
          </w:tcPr>
          <w:p w14:paraId="1ACD25E7" w14:textId="11B16F25" w:rsidR="00C02EB4" w:rsidRPr="00005684" w:rsidRDefault="00C02EB4" w:rsidP="001B40DA">
            <w:pPr>
              <w:spacing w:before="40" w:after="120"/>
              <w:rPr>
                <w:lang w:val="fr-FR"/>
              </w:rPr>
            </w:pPr>
            <w:r w:rsidRPr="00005684">
              <w:rPr>
                <w:lang w:val="fr-FR"/>
              </w:rPr>
              <w:t>–</w:t>
            </w:r>
          </w:p>
        </w:tc>
      </w:tr>
      <w:tr w:rsidR="00C02EB4" w:rsidRPr="00005684" w14:paraId="7D8A5492" w14:textId="77777777" w:rsidTr="001B40DA">
        <w:tc>
          <w:tcPr>
            <w:tcW w:w="1932" w:type="dxa"/>
            <w:shd w:val="clear" w:color="auto" w:fill="auto"/>
            <w:noWrap/>
            <w:hideMark/>
          </w:tcPr>
          <w:p w14:paraId="1BBE0DFA" w14:textId="77777777" w:rsidR="00C02EB4" w:rsidRPr="00005684" w:rsidRDefault="00C02EB4" w:rsidP="001B40DA">
            <w:pPr>
              <w:spacing w:before="40" w:after="120"/>
              <w:ind w:right="113"/>
              <w:rPr>
                <w:lang w:val="fr-FR"/>
              </w:rPr>
            </w:pPr>
            <w:r w:rsidRPr="00005684">
              <w:rPr>
                <w:lang w:val="fr-FR"/>
              </w:rPr>
              <w:t xml:space="preserve">Kirghizistan </w:t>
            </w:r>
          </w:p>
        </w:tc>
        <w:tc>
          <w:tcPr>
            <w:tcW w:w="980" w:type="dxa"/>
            <w:shd w:val="clear" w:color="auto" w:fill="auto"/>
            <w:noWrap/>
            <w:hideMark/>
          </w:tcPr>
          <w:p w14:paraId="652AFCD8" w14:textId="77777777" w:rsidR="00C02EB4" w:rsidRPr="00005684" w:rsidRDefault="00C02EB4" w:rsidP="001B40DA">
            <w:pPr>
              <w:spacing w:before="40" w:after="120"/>
              <w:ind w:right="113"/>
              <w:rPr>
                <w:lang w:val="fr-FR"/>
              </w:rPr>
            </w:pPr>
            <w:r w:rsidRPr="00005684">
              <w:rPr>
                <w:lang w:val="fr-FR"/>
              </w:rPr>
              <w:t>Oui</w:t>
            </w:r>
          </w:p>
        </w:tc>
        <w:tc>
          <w:tcPr>
            <w:tcW w:w="840" w:type="dxa"/>
            <w:shd w:val="clear" w:color="auto" w:fill="auto"/>
            <w:noWrap/>
            <w:hideMark/>
          </w:tcPr>
          <w:p w14:paraId="3D32E02E" w14:textId="77777777" w:rsidR="00C02EB4" w:rsidRPr="00005684" w:rsidRDefault="00C02EB4" w:rsidP="001B40DA">
            <w:pPr>
              <w:spacing w:before="40" w:after="120"/>
              <w:ind w:right="113"/>
              <w:rPr>
                <w:lang w:val="fr-FR"/>
              </w:rPr>
            </w:pPr>
            <w:r w:rsidRPr="00005684">
              <w:rPr>
                <w:lang w:val="fr-FR"/>
              </w:rPr>
              <w:t>Non</w:t>
            </w:r>
          </w:p>
        </w:tc>
        <w:tc>
          <w:tcPr>
            <w:tcW w:w="1400" w:type="dxa"/>
            <w:shd w:val="clear" w:color="auto" w:fill="auto"/>
          </w:tcPr>
          <w:p w14:paraId="63CF2C43" w14:textId="2C0184F9" w:rsidR="00C02EB4" w:rsidRPr="00005684" w:rsidRDefault="00C02EB4" w:rsidP="001B40DA">
            <w:pPr>
              <w:spacing w:before="40" w:after="120"/>
              <w:ind w:right="113"/>
              <w:rPr>
                <w:lang w:val="fr-FR"/>
              </w:rPr>
            </w:pPr>
            <w:r w:rsidRPr="00005684">
              <w:rPr>
                <w:lang w:val="fr-FR"/>
              </w:rPr>
              <w:t>–</w:t>
            </w:r>
          </w:p>
        </w:tc>
        <w:tc>
          <w:tcPr>
            <w:tcW w:w="4487" w:type="dxa"/>
            <w:shd w:val="clear" w:color="auto" w:fill="auto"/>
            <w:tcMar>
              <w:left w:w="0" w:type="dxa"/>
              <w:right w:w="0" w:type="dxa"/>
            </w:tcMar>
            <w:hideMark/>
          </w:tcPr>
          <w:p w14:paraId="1DE1E13B" w14:textId="5AA691C6" w:rsidR="00C02EB4" w:rsidRPr="00005684" w:rsidRDefault="00C02EB4" w:rsidP="001B40DA">
            <w:pPr>
              <w:spacing w:before="40" w:after="120"/>
              <w:rPr>
                <w:lang w:val="fr-FR"/>
              </w:rPr>
            </w:pPr>
            <w:r w:rsidRPr="00005684">
              <w:rPr>
                <w:lang w:val="fr-FR"/>
              </w:rPr>
              <w:t>–</w:t>
            </w:r>
          </w:p>
        </w:tc>
      </w:tr>
      <w:tr w:rsidR="00F51B2C" w:rsidRPr="00005684" w14:paraId="74AEE340" w14:textId="77777777" w:rsidTr="001B40DA">
        <w:tc>
          <w:tcPr>
            <w:tcW w:w="1932" w:type="dxa"/>
            <w:shd w:val="clear" w:color="auto" w:fill="auto"/>
            <w:noWrap/>
            <w:hideMark/>
          </w:tcPr>
          <w:p w14:paraId="3EDB5176" w14:textId="77777777" w:rsidR="00F51B2C" w:rsidRPr="00005684" w:rsidRDefault="00F51B2C" w:rsidP="001B40DA">
            <w:pPr>
              <w:spacing w:before="40" w:after="120"/>
              <w:ind w:right="113"/>
              <w:rPr>
                <w:lang w:val="fr-FR"/>
              </w:rPr>
            </w:pPr>
            <w:r w:rsidRPr="00005684">
              <w:rPr>
                <w:lang w:val="fr-FR"/>
              </w:rPr>
              <w:t xml:space="preserve">Lettonie </w:t>
            </w:r>
          </w:p>
        </w:tc>
        <w:tc>
          <w:tcPr>
            <w:tcW w:w="980" w:type="dxa"/>
            <w:shd w:val="clear" w:color="auto" w:fill="auto"/>
            <w:noWrap/>
            <w:hideMark/>
          </w:tcPr>
          <w:p w14:paraId="7ED0EF69"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307D7D4A"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593C5A52" w14:textId="77777777" w:rsidR="00F51B2C" w:rsidRPr="00005684" w:rsidRDefault="00F51B2C" w:rsidP="001B40DA">
            <w:pPr>
              <w:spacing w:before="40" w:after="120"/>
              <w:ind w:right="113"/>
              <w:rPr>
                <w:lang w:val="fr-FR"/>
              </w:rPr>
            </w:pPr>
            <w:r w:rsidRPr="00005684">
              <w:rPr>
                <w:lang w:val="fr-FR"/>
              </w:rPr>
              <w:t>3 000 €</w:t>
            </w:r>
          </w:p>
        </w:tc>
        <w:tc>
          <w:tcPr>
            <w:tcW w:w="4487" w:type="dxa"/>
            <w:shd w:val="clear" w:color="auto" w:fill="auto"/>
            <w:tcMar>
              <w:left w:w="0" w:type="dxa"/>
              <w:right w:w="0" w:type="dxa"/>
            </w:tcMar>
            <w:hideMark/>
          </w:tcPr>
          <w:p w14:paraId="7B61DED7" w14:textId="6028C39C" w:rsidR="00F51B2C" w:rsidRPr="00005684" w:rsidRDefault="00F51B2C" w:rsidP="001B40DA">
            <w:pPr>
              <w:spacing w:before="40" w:after="120"/>
              <w:rPr>
                <w:lang w:val="fr-FR"/>
              </w:rPr>
            </w:pPr>
            <w:r w:rsidRPr="00005684">
              <w:rPr>
                <w:lang w:val="fr-FR"/>
              </w:rPr>
              <w:t>3 000 € pour la période intersessions 2021</w:t>
            </w:r>
            <w:r w:rsidR="005A384C" w:rsidRPr="00005684">
              <w:rPr>
                <w:lang w:val="fr-FR"/>
              </w:rPr>
              <w:t>-</w:t>
            </w:r>
            <w:r w:rsidRPr="00005684">
              <w:rPr>
                <w:lang w:val="fr-FR"/>
              </w:rPr>
              <w:t>2023, devant être versés en trois tranches de 1 000 € en 2021, 2022 et</w:t>
            </w:r>
            <w:r w:rsidR="005A384C" w:rsidRPr="00005684">
              <w:rPr>
                <w:lang w:val="fr-FR"/>
              </w:rPr>
              <w:t> </w:t>
            </w:r>
            <w:r w:rsidRPr="00005684">
              <w:rPr>
                <w:lang w:val="fr-FR"/>
              </w:rPr>
              <w:t>2023.</w:t>
            </w:r>
          </w:p>
        </w:tc>
      </w:tr>
      <w:tr w:rsidR="00C02EB4" w:rsidRPr="00005684" w14:paraId="263EE2A2" w14:textId="77777777" w:rsidTr="001B40DA">
        <w:tc>
          <w:tcPr>
            <w:tcW w:w="1932" w:type="dxa"/>
            <w:shd w:val="clear" w:color="auto" w:fill="auto"/>
            <w:noWrap/>
            <w:hideMark/>
          </w:tcPr>
          <w:p w14:paraId="745105E8" w14:textId="77777777" w:rsidR="00C02EB4" w:rsidRPr="00005684" w:rsidRDefault="00C02EB4" w:rsidP="001B40DA">
            <w:pPr>
              <w:spacing w:before="40" w:after="120"/>
              <w:ind w:right="113"/>
              <w:rPr>
                <w:lang w:val="fr-FR"/>
              </w:rPr>
            </w:pPr>
            <w:r w:rsidRPr="00005684">
              <w:rPr>
                <w:lang w:val="fr-FR"/>
              </w:rPr>
              <w:t xml:space="preserve">Liechtenstein </w:t>
            </w:r>
          </w:p>
        </w:tc>
        <w:tc>
          <w:tcPr>
            <w:tcW w:w="980" w:type="dxa"/>
            <w:shd w:val="clear" w:color="auto" w:fill="auto"/>
            <w:noWrap/>
            <w:hideMark/>
          </w:tcPr>
          <w:p w14:paraId="635C98A1" w14:textId="77777777" w:rsidR="00C02EB4" w:rsidRPr="00005684" w:rsidRDefault="00C02EB4" w:rsidP="001B40DA">
            <w:pPr>
              <w:spacing w:before="40" w:after="120"/>
              <w:ind w:right="113"/>
              <w:rPr>
                <w:lang w:val="fr-FR"/>
              </w:rPr>
            </w:pPr>
            <w:r w:rsidRPr="00005684">
              <w:rPr>
                <w:lang w:val="fr-FR"/>
              </w:rPr>
              <w:t>Oui</w:t>
            </w:r>
          </w:p>
        </w:tc>
        <w:tc>
          <w:tcPr>
            <w:tcW w:w="840" w:type="dxa"/>
            <w:shd w:val="clear" w:color="auto" w:fill="auto"/>
            <w:noWrap/>
            <w:hideMark/>
          </w:tcPr>
          <w:p w14:paraId="7258425C" w14:textId="77777777" w:rsidR="00C02EB4" w:rsidRPr="00005684" w:rsidRDefault="00C02EB4" w:rsidP="001B40DA">
            <w:pPr>
              <w:spacing w:before="40" w:after="120"/>
              <w:ind w:right="113"/>
              <w:rPr>
                <w:lang w:val="fr-FR"/>
              </w:rPr>
            </w:pPr>
            <w:r w:rsidRPr="00005684">
              <w:rPr>
                <w:lang w:val="fr-FR"/>
              </w:rPr>
              <w:t>Non</w:t>
            </w:r>
          </w:p>
        </w:tc>
        <w:tc>
          <w:tcPr>
            <w:tcW w:w="1400" w:type="dxa"/>
            <w:shd w:val="clear" w:color="auto" w:fill="auto"/>
          </w:tcPr>
          <w:p w14:paraId="3EF6B683" w14:textId="20E3F659" w:rsidR="00C02EB4" w:rsidRPr="00005684" w:rsidRDefault="00C02EB4" w:rsidP="001B40DA">
            <w:pPr>
              <w:spacing w:before="40" w:after="120"/>
              <w:ind w:right="113"/>
              <w:rPr>
                <w:lang w:val="fr-FR"/>
              </w:rPr>
            </w:pPr>
            <w:r w:rsidRPr="00005684">
              <w:rPr>
                <w:lang w:val="fr-FR"/>
              </w:rPr>
              <w:t>–</w:t>
            </w:r>
          </w:p>
        </w:tc>
        <w:tc>
          <w:tcPr>
            <w:tcW w:w="4487" w:type="dxa"/>
            <w:shd w:val="clear" w:color="auto" w:fill="auto"/>
            <w:tcMar>
              <w:left w:w="0" w:type="dxa"/>
              <w:right w:w="0" w:type="dxa"/>
            </w:tcMar>
            <w:hideMark/>
          </w:tcPr>
          <w:p w14:paraId="19C4996E" w14:textId="7E6295E6" w:rsidR="00C02EB4" w:rsidRPr="00005684" w:rsidRDefault="00C02EB4" w:rsidP="001B40DA">
            <w:pPr>
              <w:spacing w:before="40" w:after="120"/>
              <w:rPr>
                <w:lang w:val="fr-FR"/>
              </w:rPr>
            </w:pPr>
            <w:r w:rsidRPr="00005684">
              <w:rPr>
                <w:lang w:val="fr-FR"/>
              </w:rPr>
              <w:t>–</w:t>
            </w:r>
          </w:p>
        </w:tc>
      </w:tr>
      <w:tr w:rsidR="00F51B2C" w:rsidRPr="00005684" w14:paraId="776F752B" w14:textId="77777777" w:rsidTr="001B40DA">
        <w:tc>
          <w:tcPr>
            <w:tcW w:w="1932" w:type="dxa"/>
            <w:shd w:val="clear" w:color="auto" w:fill="auto"/>
            <w:noWrap/>
            <w:hideMark/>
          </w:tcPr>
          <w:p w14:paraId="55893A3D" w14:textId="7B9E9532" w:rsidR="00F51B2C" w:rsidRPr="00005684" w:rsidRDefault="00F51B2C" w:rsidP="001B40DA">
            <w:pPr>
              <w:spacing w:before="40" w:after="120"/>
              <w:ind w:right="113"/>
              <w:rPr>
                <w:lang w:val="fr-FR"/>
              </w:rPr>
            </w:pPr>
            <w:r w:rsidRPr="00005684">
              <w:rPr>
                <w:lang w:val="fr-FR"/>
              </w:rPr>
              <w:t>Lituanie</w:t>
            </w:r>
          </w:p>
        </w:tc>
        <w:tc>
          <w:tcPr>
            <w:tcW w:w="980" w:type="dxa"/>
            <w:shd w:val="clear" w:color="auto" w:fill="auto"/>
            <w:noWrap/>
            <w:hideMark/>
          </w:tcPr>
          <w:p w14:paraId="0C8C2AC1"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7850D380"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4FCEC7D7" w14:textId="1DDE7E43" w:rsidR="00F51B2C" w:rsidRPr="00005684" w:rsidRDefault="005A384C" w:rsidP="001B40DA">
            <w:pPr>
              <w:spacing w:before="40" w:after="120"/>
              <w:ind w:right="113"/>
              <w:rPr>
                <w:lang w:val="fr-FR"/>
              </w:rPr>
            </w:pPr>
            <w:r w:rsidRPr="00005684">
              <w:rPr>
                <w:lang w:val="fr-FR"/>
              </w:rPr>
              <w:t>10</w:t>
            </w:r>
            <w:r w:rsidR="00F51B2C" w:rsidRPr="00005684">
              <w:rPr>
                <w:lang w:val="fr-FR"/>
              </w:rPr>
              <w:t> 000 $E.U.</w:t>
            </w:r>
          </w:p>
        </w:tc>
        <w:tc>
          <w:tcPr>
            <w:tcW w:w="4487" w:type="dxa"/>
            <w:shd w:val="clear" w:color="auto" w:fill="auto"/>
            <w:tcMar>
              <w:left w:w="0" w:type="dxa"/>
              <w:right w:w="0" w:type="dxa"/>
            </w:tcMar>
            <w:hideMark/>
          </w:tcPr>
          <w:p w14:paraId="4AD56423" w14:textId="4A5A4FC1" w:rsidR="00F51B2C" w:rsidRPr="00005684" w:rsidRDefault="00F51B2C" w:rsidP="001B40DA">
            <w:pPr>
              <w:spacing w:before="40" w:after="120"/>
              <w:rPr>
                <w:lang w:val="fr-FR"/>
              </w:rPr>
            </w:pPr>
            <w:r w:rsidRPr="00005684">
              <w:rPr>
                <w:lang w:val="fr-FR"/>
              </w:rPr>
              <w:t>10 000 $E.U. pour la période intersessions 2021</w:t>
            </w:r>
            <w:r w:rsidR="005A384C" w:rsidRPr="00005684">
              <w:rPr>
                <w:lang w:val="fr-FR"/>
              </w:rPr>
              <w:t>-</w:t>
            </w:r>
            <w:r w:rsidRPr="00005684">
              <w:rPr>
                <w:lang w:val="fr-FR"/>
              </w:rPr>
              <w:t>2023 (versés en décembre 2020).</w:t>
            </w:r>
          </w:p>
        </w:tc>
      </w:tr>
      <w:tr w:rsidR="00C02EB4" w:rsidRPr="00005684" w14:paraId="3CA12B3F" w14:textId="77777777" w:rsidTr="001B40DA">
        <w:tc>
          <w:tcPr>
            <w:tcW w:w="1932" w:type="dxa"/>
            <w:shd w:val="clear" w:color="auto" w:fill="auto"/>
            <w:noWrap/>
            <w:hideMark/>
          </w:tcPr>
          <w:p w14:paraId="09EEE664" w14:textId="77777777" w:rsidR="00C02EB4" w:rsidRPr="00005684" w:rsidRDefault="00C02EB4" w:rsidP="001B40DA">
            <w:pPr>
              <w:spacing w:before="40" w:after="120"/>
              <w:ind w:right="113"/>
              <w:rPr>
                <w:lang w:val="fr-FR"/>
              </w:rPr>
            </w:pPr>
            <w:r w:rsidRPr="00005684">
              <w:rPr>
                <w:lang w:val="fr-FR"/>
              </w:rPr>
              <w:t xml:space="preserve">Luxembourg </w:t>
            </w:r>
          </w:p>
        </w:tc>
        <w:tc>
          <w:tcPr>
            <w:tcW w:w="980" w:type="dxa"/>
            <w:shd w:val="clear" w:color="auto" w:fill="auto"/>
            <w:noWrap/>
            <w:hideMark/>
          </w:tcPr>
          <w:p w14:paraId="2D092FDE" w14:textId="77777777" w:rsidR="00C02EB4" w:rsidRPr="00005684" w:rsidRDefault="00C02EB4" w:rsidP="001B40DA">
            <w:pPr>
              <w:spacing w:before="40" w:after="120"/>
              <w:ind w:right="113"/>
              <w:rPr>
                <w:lang w:val="fr-FR"/>
              </w:rPr>
            </w:pPr>
            <w:r w:rsidRPr="00005684">
              <w:rPr>
                <w:lang w:val="fr-FR"/>
              </w:rPr>
              <w:t>Oui</w:t>
            </w:r>
          </w:p>
        </w:tc>
        <w:tc>
          <w:tcPr>
            <w:tcW w:w="840" w:type="dxa"/>
            <w:shd w:val="clear" w:color="auto" w:fill="auto"/>
            <w:noWrap/>
            <w:hideMark/>
          </w:tcPr>
          <w:p w14:paraId="547E3190" w14:textId="77777777" w:rsidR="00C02EB4" w:rsidRPr="00005684" w:rsidRDefault="00C02EB4" w:rsidP="001B40DA">
            <w:pPr>
              <w:spacing w:before="40" w:after="120"/>
              <w:ind w:right="113"/>
              <w:rPr>
                <w:lang w:val="fr-FR"/>
              </w:rPr>
            </w:pPr>
            <w:r w:rsidRPr="00005684">
              <w:rPr>
                <w:lang w:val="fr-FR"/>
              </w:rPr>
              <w:t>Oui</w:t>
            </w:r>
          </w:p>
        </w:tc>
        <w:tc>
          <w:tcPr>
            <w:tcW w:w="1400" w:type="dxa"/>
            <w:shd w:val="clear" w:color="auto" w:fill="auto"/>
          </w:tcPr>
          <w:p w14:paraId="084039F5" w14:textId="542AE368" w:rsidR="00C02EB4" w:rsidRPr="00005684" w:rsidRDefault="00C02EB4" w:rsidP="001B40DA">
            <w:pPr>
              <w:spacing w:before="40" w:after="120"/>
              <w:ind w:right="113"/>
              <w:rPr>
                <w:lang w:val="fr-FR"/>
              </w:rPr>
            </w:pPr>
            <w:r w:rsidRPr="00005684">
              <w:rPr>
                <w:lang w:val="fr-FR"/>
              </w:rPr>
              <w:t>–</w:t>
            </w:r>
          </w:p>
        </w:tc>
        <w:tc>
          <w:tcPr>
            <w:tcW w:w="4487" w:type="dxa"/>
            <w:shd w:val="clear" w:color="auto" w:fill="auto"/>
            <w:tcMar>
              <w:left w:w="0" w:type="dxa"/>
              <w:right w:w="0" w:type="dxa"/>
            </w:tcMar>
            <w:hideMark/>
          </w:tcPr>
          <w:p w14:paraId="22FC1AE9" w14:textId="24F6BD2C" w:rsidR="00C02EB4" w:rsidRPr="00005684" w:rsidRDefault="00C02EB4" w:rsidP="001B40DA">
            <w:pPr>
              <w:spacing w:before="40" w:after="120"/>
              <w:rPr>
                <w:lang w:val="fr-FR"/>
              </w:rPr>
            </w:pPr>
            <w:r w:rsidRPr="00005684">
              <w:rPr>
                <w:lang w:val="fr-FR"/>
              </w:rPr>
              <w:t>–</w:t>
            </w:r>
          </w:p>
        </w:tc>
      </w:tr>
      <w:tr w:rsidR="00005684" w:rsidRPr="00005684" w14:paraId="777ED0DE" w14:textId="77777777" w:rsidTr="001B40DA">
        <w:tc>
          <w:tcPr>
            <w:tcW w:w="1932" w:type="dxa"/>
            <w:shd w:val="clear" w:color="auto" w:fill="auto"/>
            <w:noWrap/>
          </w:tcPr>
          <w:p w14:paraId="5412715E" w14:textId="26ED3585" w:rsidR="00005684" w:rsidRPr="00005684" w:rsidRDefault="00005684" w:rsidP="00005684">
            <w:pPr>
              <w:spacing w:before="40" w:after="120"/>
              <w:ind w:right="113"/>
              <w:rPr>
                <w:lang w:val="fr-FR"/>
              </w:rPr>
            </w:pPr>
            <w:r w:rsidRPr="00005684">
              <w:rPr>
                <w:lang w:val="fr-FR"/>
              </w:rPr>
              <w:t>Macédoine du Nord</w:t>
            </w:r>
          </w:p>
        </w:tc>
        <w:tc>
          <w:tcPr>
            <w:tcW w:w="980" w:type="dxa"/>
            <w:shd w:val="clear" w:color="auto" w:fill="auto"/>
            <w:noWrap/>
          </w:tcPr>
          <w:p w14:paraId="6293FB7D" w14:textId="71432FB0" w:rsidR="00005684" w:rsidRPr="00005684" w:rsidRDefault="00005684" w:rsidP="00005684">
            <w:pPr>
              <w:spacing w:before="40" w:after="120"/>
              <w:ind w:right="113"/>
              <w:rPr>
                <w:lang w:val="fr-FR"/>
              </w:rPr>
            </w:pPr>
            <w:r w:rsidRPr="00005684">
              <w:rPr>
                <w:lang w:val="fr-FR"/>
              </w:rPr>
              <w:t>Oui</w:t>
            </w:r>
          </w:p>
        </w:tc>
        <w:tc>
          <w:tcPr>
            <w:tcW w:w="840" w:type="dxa"/>
            <w:shd w:val="clear" w:color="auto" w:fill="auto"/>
            <w:noWrap/>
          </w:tcPr>
          <w:p w14:paraId="6223CA2B" w14:textId="398963C8" w:rsidR="00005684" w:rsidRPr="00005684" w:rsidRDefault="00005684" w:rsidP="00005684">
            <w:pPr>
              <w:spacing w:before="40" w:after="120"/>
              <w:ind w:right="113"/>
              <w:rPr>
                <w:lang w:val="fr-FR"/>
              </w:rPr>
            </w:pPr>
            <w:r w:rsidRPr="00005684">
              <w:rPr>
                <w:lang w:val="fr-FR"/>
              </w:rPr>
              <w:t>Oui</w:t>
            </w:r>
          </w:p>
        </w:tc>
        <w:tc>
          <w:tcPr>
            <w:tcW w:w="1400" w:type="dxa"/>
            <w:shd w:val="clear" w:color="auto" w:fill="auto"/>
          </w:tcPr>
          <w:p w14:paraId="120FB2B5" w14:textId="66C5B869" w:rsidR="00005684" w:rsidRPr="00005684" w:rsidRDefault="00005684" w:rsidP="00005684">
            <w:pPr>
              <w:spacing w:before="40" w:after="120"/>
              <w:ind w:right="113"/>
              <w:rPr>
                <w:lang w:val="fr-FR"/>
              </w:rPr>
            </w:pPr>
            <w:r w:rsidRPr="00005684">
              <w:rPr>
                <w:lang w:val="fr-FR"/>
              </w:rPr>
              <w:t>–</w:t>
            </w:r>
          </w:p>
        </w:tc>
        <w:tc>
          <w:tcPr>
            <w:tcW w:w="4487" w:type="dxa"/>
            <w:shd w:val="clear" w:color="auto" w:fill="auto"/>
            <w:tcMar>
              <w:left w:w="0" w:type="dxa"/>
              <w:right w:w="0" w:type="dxa"/>
            </w:tcMar>
          </w:tcPr>
          <w:p w14:paraId="7F47907C" w14:textId="4A407C4B" w:rsidR="00005684" w:rsidRPr="00005684" w:rsidRDefault="00005684" w:rsidP="00005684">
            <w:pPr>
              <w:spacing w:before="40" w:after="120"/>
              <w:rPr>
                <w:lang w:val="fr-FR"/>
              </w:rPr>
            </w:pPr>
            <w:r w:rsidRPr="00005684">
              <w:rPr>
                <w:lang w:val="fr-FR"/>
              </w:rPr>
              <w:t>–</w:t>
            </w:r>
          </w:p>
        </w:tc>
      </w:tr>
      <w:tr w:rsidR="00C02EB4" w:rsidRPr="00005684" w14:paraId="70A656F7" w14:textId="77777777" w:rsidTr="001B40DA">
        <w:tc>
          <w:tcPr>
            <w:tcW w:w="1932" w:type="dxa"/>
            <w:shd w:val="clear" w:color="auto" w:fill="auto"/>
            <w:noWrap/>
            <w:hideMark/>
          </w:tcPr>
          <w:p w14:paraId="0E04D81F" w14:textId="77777777" w:rsidR="00C02EB4" w:rsidRPr="00005684" w:rsidRDefault="00C02EB4" w:rsidP="001B40DA">
            <w:pPr>
              <w:spacing w:before="40" w:after="120"/>
              <w:ind w:right="113"/>
              <w:rPr>
                <w:lang w:val="fr-FR"/>
              </w:rPr>
            </w:pPr>
            <w:r w:rsidRPr="00005684">
              <w:rPr>
                <w:lang w:val="fr-FR"/>
              </w:rPr>
              <w:t>Malte</w:t>
            </w:r>
          </w:p>
        </w:tc>
        <w:tc>
          <w:tcPr>
            <w:tcW w:w="980" w:type="dxa"/>
            <w:shd w:val="clear" w:color="auto" w:fill="auto"/>
            <w:noWrap/>
            <w:hideMark/>
          </w:tcPr>
          <w:p w14:paraId="6AE3D4A2" w14:textId="77777777" w:rsidR="00C02EB4" w:rsidRPr="00005684" w:rsidRDefault="00C02EB4" w:rsidP="001B40DA">
            <w:pPr>
              <w:spacing w:before="40" w:after="120"/>
              <w:ind w:right="113"/>
              <w:rPr>
                <w:lang w:val="fr-FR"/>
              </w:rPr>
            </w:pPr>
            <w:r w:rsidRPr="00005684">
              <w:rPr>
                <w:lang w:val="fr-FR"/>
              </w:rPr>
              <w:t>Oui</w:t>
            </w:r>
          </w:p>
        </w:tc>
        <w:tc>
          <w:tcPr>
            <w:tcW w:w="840" w:type="dxa"/>
            <w:shd w:val="clear" w:color="auto" w:fill="auto"/>
            <w:noWrap/>
            <w:hideMark/>
          </w:tcPr>
          <w:p w14:paraId="41612D9B" w14:textId="77777777" w:rsidR="00C02EB4" w:rsidRPr="00005684" w:rsidRDefault="00C02EB4" w:rsidP="001B40DA">
            <w:pPr>
              <w:spacing w:before="40" w:after="120"/>
              <w:ind w:right="113"/>
              <w:rPr>
                <w:lang w:val="fr-FR"/>
              </w:rPr>
            </w:pPr>
            <w:r w:rsidRPr="00005684">
              <w:rPr>
                <w:lang w:val="fr-FR"/>
              </w:rPr>
              <w:t>Oui</w:t>
            </w:r>
          </w:p>
        </w:tc>
        <w:tc>
          <w:tcPr>
            <w:tcW w:w="1400" w:type="dxa"/>
            <w:shd w:val="clear" w:color="auto" w:fill="auto"/>
          </w:tcPr>
          <w:p w14:paraId="481F7CBC" w14:textId="48F9D626" w:rsidR="00C02EB4" w:rsidRPr="00005684" w:rsidRDefault="00C02EB4" w:rsidP="001B40DA">
            <w:pPr>
              <w:spacing w:before="40" w:after="120"/>
              <w:ind w:right="113"/>
              <w:rPr>
                <w:lang w:val="fr-FR"/>
              </w:rPr>
            </w:pPr>
            <w:r w:rsidRPr="00005684">
              <w:rPr>
                <w:lang w:val="fr-FR"/>
              </w:rPr>
              <w:t>–</w:t>
            </w:r>
          </w:p>
        </w:tc>
        <w:tc>
          <w:tcPr>
            <w:tcW w:w="4487" w:type="dxa"/>
            <w:shd w:val="clear" w:color="auto" w:fill="auto"/>
            <w:tcMar>
              <w:left w:w="0" w:type="dxa"/>
              <w:right w:w="0" w:type="dxa"/>
            </w:tcMar>
            <w:hideMark/>
          </w:tcPr>
          <w:p w14:paraId="7B010193" w14:textId="016EFA11" w:rsidR="00C02EB4" w:rsidRPr="00005684" w:rsidRDefault="00C02EB4" w:rsidP="001B40DA">
            <w:pPr>
              <w:spacing w:before="40" w:after="120"/>
              <w:rPr>
                <w:lang w:val="fr-FR"/>
              </w:rPr>
            </w:pPr>
            <w:r w:rsidRPr="00005684">
              <w:rPr>
                <w:lang w:val="fr-FR"/>
              </w:rPr>
              <w:t>–</w:t>
            </w:r>
          </w:p>
        </w:tc>
      </w:tr>
      <w:tr w:rsidR="00C02EB4" w:rsidRPr="00005684" w14:paraId="749E498B" w14:textId="77777777" w:rsidTr="001B40DA">
        <w:tc>
          <w:tcPr>
            <w:tcW w:w="1932" w:type="dxa"/>
            <w:shd w:val="clear" w:color="auto" w:fill="auto"/>
            <w:noWrap/>
            <w:hideMark/>
          </w:tcPr>
          <w:p w14:paraId="38633798" w14:textId="77777777" w:rsidR="00C02EB4" w:rsidRPr="00005684" w:rsidRDefault="00C02EB4" w:rsidP="001B40DA">
            <w:pPr>
              <w:spacing w:before="40" w:after="120"/>
              <w:ind w:right="113"/>
              <w:rPr>
                <w:lang w:val="fr-FR"/>
              </w:rPr>
            </w:pPr>
            <w:r w:rsidRPr="00005684">
              <w:rPr>
                <w:lang w:val="fr-FR"/>
              </w:rPr>
              <w:t>Monténégro</w:t>
            </w:r>
          </w:p>
        </w:tc>
        <w:tc>
          <w:tcPr>
            <w:tcW w:w="980" w:type="dxa"/>
            <w:shd w:val="clear" w:color="auto" w:fill="auto"/>
            <w:noWrap/>
            <w:hideMark/>
          </w:tcPr>
          <w:p w14:paraId="5158916B" w14:textId="77777777" w:rsidR="00C02EB4" w:rsidRPr="00005684" w:rsidRDefault="00C02EB4" w:rsidP="001B40DA">
            <w:pPr>
              <w:spacing w:before="40" w:after="120"/>
              <w:ind w:right="113"/>
              <w:rPr>
                <w:lang w:val="fr-FR"/>
              </w:rPr>
            </w:pPr>
            <w:r w:rsidRPr="00005684">
              <w:rPr>
                <w:lang w:val="fr-FR"/>
              </w:rPr>
              <w:t>Oui</w:t>
            </w:r>
          </w:p>
        </w:tc>
        <w:tc>
          <w:tcPr>
            <w:tcW w:w="840" w:type="dxa"/>
            <w:shd w:val="clear" w:color="auto" w:fill="auto"/>
            <w:noWrap/>
            <w:hideMark/>
          </w:tcPr>
          <w:p w14:paraId="4DCF8F7C" w14:textId="77777777" w:rsidR="00C02EB4" w:rsidRPr="00005684" w:rsidRDefault="00C02EB4" w:rsidP="001B40DA">
            <w:pPr>
              <w:spacing w:before="40" w:after="120"/>
              <w:ind w:right="113"/>
              <w:rPr>
                <w:lang w:val="fr-FR"/>
              </w:rPr>
            </w:pPr>
            <w:r w:rsidRPr="00005684">
              <w:rPr>
                <w:lang w:val="fr-FR"/>
              </w:rPr>
              <w:t>Oui</w:t>
            </w:r>
          </w:p>
        </w:tc>
        <w:tc>
          <w:tcPr>
            <w:tcW w:w="1400" w:type="dxa"/>
            <w:shd w:val="clear" w:color="auto" w:fill="auto"/>
          </w:tcPr>
          <w:p w14:paraId="2EC06B2E" w14:textId="1C126073" w:rsidR="00C02EB4" w:rsidRPr="00005684" w:rsidRDefault="00C02EB4" w:rsidP="001B40DA">
            <w:pPr>
              <w:spacing w:before="40" w:after="120"/>
              <w:ind w:right="113"/>
              <w:rPr>
                <w:lang w:val="fr-FR"/>
              </w:rPr>
            </w:pPr>
            <w:r w:rsidRPr="00005684">
              <w:rPr>
                <w:lang w:val="fr-FR"/>
              </w:rPr>
              <w:t>–</w:t>
            </w:r>
          </w:p>
        </w:tc>
        <w:tc>
          <w:tcPr>
            <w:tcW w:w="4487" w:type="dxa"/>
            <w:shd w:val="clear" w:color="auto" w:fill="auto"/>
            <w:tcMar>
              <w:left w:w="0" w:type="dxa"/>
              <w:right w:w="0" w:type="dxa"/>
            </w:tcMar>
            <w:hideMark/>
          </w:tcPr>
          <w:p w14:paraId="26DC831A" w14:textId="49649254" w:rsidR="00C02EB4" w:rsidRPr="00005684" w:rsidRDefault="00C02EB4" w:rsidP="001B40DA">
            <w:pPr>
              <w:spacing w:before="40" w:after="120"/>
              <w:rPr>
                <w:lang w:val="fr-FR"/>
              </w:rPr>
            </w:pPr>
            <w:r w:rsidRPr="00005684">
              <w:rPr>
                <w:lang w:val="fr-FR"/>
              </w:rPr>
              <w:t>–</w:t>
            </w:r>
          </w:p>
        </w:tc>
      </w:tr>
      <w:tr w:rsidR="00F51B2C" w:rsidRPr="00005684" w14:paraId="7CD67B51" w14:textId="77777777" w:rsidTr="001B40DA">
        <w:tc>
          <w:tcPr>
            <w:tcW w:w="1932" w:type="dxa"/>
            <w:shd w:val="clear" w:color="auto" w:fill="auto"/>
            <w:noWrap/>
            <w:hideMark/>
          </w:tcPr>
          <w:p w14:paraId="7778562C" w14:textId="77777777" w:rsidR="00F51B2C" w:rsidRPr="00005684" w:rsidRDefault="00F51B2C" w:rsidP="001B40DA">
            <w:pPr>
              <w:spacing w:before="40" w:after="120"/>
              <w:ind w:right="113"/>
              <w:rPr>
                <w:lang w:val="fr-FR"/>
              </w:rPr>
            </w:pPr>
            <w:r w:rsidRPr="00005684">
              <w:rPr>
                <w:lang w:val="fr-FR"/>
              </w:rPr>
              <w:t xml:space="preserve">Norvège </w:t>
            </w:r>
          </w:p>
        </w:tc>
        <w:tc>
          <w:tcPr>
            <w:tcW w:w="980" w:type="dxa"/>
            <w:shd w:val="clear" w:color="auto" w:fill="auto"/>
            <w:noWrap/>
            <w:hideMark/>
          </w:tcPr>
          <w:p w14:paraId="5E8EDFC7"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2A2BB0A2"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6923FA6F" w14:textId="2A181CBE" w:rsidR="00F51B2C" w:rsidRPr="00005684" w:rsidRDefault="00F51B2C" w:rsidP="001B40DA">
            <w:pPr>
              <w:spacing w:before="40" w:after="120"/>
              <w:ind w:right="113"/>
              <w:rPr>
                <w:lang w:val="fr-FR"/>
              </w:rPr>
            </w:pPr>
            <w:r w:rsidRPr="00005684">
              <w:rPr>
                <w:lang w:val="fr-FR"/>
              </w:rPr>
              <w:t xml:space="preserve">726 666 </w:t>
            </w:r>
            <w:proofErr w:type="spellStart"/>
            <w:r w:rsidRPr="00005684">
              <w:rPr>
                <w:lang w:val="fr-FR"/>
              </w:rPr>
              <w:t>NKr</w:t>
            </w:r>
            <w:proofErr w:type="spellEnd"/>
          </w:p>
        </w:tc>
        <w:tc>
          <w:tcPr>
            <w:tcW w:w="4487" w:type="dxa"/>
            <w:shd w:val="clear" w:color="auto" w:fill="auto"/>
            <w:tcMar>
              <w:left w:w="0" w:type="dxa"/>
              <w:right w:w="0" w:type="dxa"/>
            </w:tcMar>
            <w:hideMark/>
          </w:tcPr>
          <w:p w14:paraId="244B6E62" w14:textId="61FCC6C6" w:rsidR="00F51B2C" w:rsidRPr="00005684" w:rsidRDefault="00F51B2C" w:rsidP="001B40DA">
            <w:pPr>
              <w:spacing w:before="40" w:after="120"/>
              <w:rPr>
                <w:lang w:val="fr-FR"/>
              </w:rPr>
            </w:pPr>
            <w:r w:rsidRPr="00005684">
              <w:rPr>
                <w:lang w:val="fr-FR"/>
              </w:rPr>
              <w:t xml:space="preserve">360 000 </w:t>
            </w:r>
            <w:proofErr w:type="spellStart"/>
            <w:r w:rsidRPr="00005684">
              <w:rPr>
                <w:lang w:val="fr-FR"/>
              </w:rPr>
              <w:t>NKr</w:t>
            </w:r>
            <w:proofErr w:type="spellEnd"/>
            <w:r w:rsidRPr="00005684">
              <w:rPr>
                <w:lang w:val="fr-FR"/>
              </w:rPr>
              <w:t xml:space="preserve"> pour la période intersessions 2021</w:t>
            </w:r>
            <w:r w:rsidR="003F638C" w:rsidRPr="00005684">
              <w:rPr>
                <w:lang w:val="fr-FR"/>
              </w:rPr>
              <w:t>-</w:t>
            </w:r>
            <w:r w:rsidRPr="00005684">
              <w:rPr>
                <w:lang w:val="fr-FR"/>
              </w:rPr>
              <w:t xml:space="preserve">2023, devant être versés en trois tranches de 120 000 </w:t>
            </w:r>
            <w:proofErr w:type="spellStart"/>
            <w:r w:rsidRPr="00005684">
              <w:rPr>
                <w:lang w:val="fr-FR"/>
              </w:rPr>
              <w:t>NKr</w:t>
            </w:r>
            <w:proofErr w:type="spellEnd"/>
            <w:r w:rsidRPr="00005684">
              <w:rPr>
                <w:lang w:val="fr-FR"/>
              </w:rPr>
              <w:t xml:space="preserve"> en 2021, 2022 et 2023. S’y ajoute, pour 2021, un paiement unique de 366 666 </w:t>
            </w:r>
            <w:proofErr w:type="spellStart"/>
            <w:r w:rsidRPr="00005684">
              <w:rPr>
                <w:lang w:val="fr-FR"/>
              </w:rPr>
              <w:t>NKr</w:t>
            </w:r>
            <w:proofErr w:type="spellEnd"/>
            <w:r w:rsidRPr="00005684">
              <w:rPr>
                <w:lang w:val="fr-FR"/>
              </w:rPr>
              <w:t xml:space="preserve"> destiné renforcer les ressources dont dispose le secrétariat pour soutenir la mise en œuvre du plan de travail.</w:t>
            </w:r>
          </w:p>
        </w:tc>
      </w:tr>
      <w:tr w:rsidR="00F51B2C" w:rsidRPr="00005684" w14:paraId="7B34B906" w14:textId="77777777" w:rsidTr="001B40DA">
        <w:tc>
          <w:tcPr>
            <w:tcW w:w="1932" w:type="dxa"/>
            <w:shd w:val="clear" w:color="auto" w:fill="auto"/>
            <w:noWrap/>
            <w:hideMark/>
          </w:tcPr>
          <w:p w14:paraId="4B45CAD6" w14:textId="77777777" w:rsidR="00F51B2C" w:rsidRPr="00005684" w:rsidRDefault="00F51B2C" w:rsidP="001B40DA">
            <w:pPr>
              <w:spacing w:before="40" w:after="120"/>
              <w:ind w:right="113"/>
              <w:rPr>
                <w:lang w:val="fr-FR"/>
              </w:rPr>
            </w:pPr>
            <w:r w:rsidRPr="00005684">
              <w:rPr>
                <w:lang w:val="fr-FR"/>
              </w:rPr>
              <w:t xml:space="preserve">Pays-Bas </w:t>
            </w:r>
          </w:p>
        </w:tc>
        <w:tc>
          <w:tcPr>
            <w:tcW w:w="980" w:type="dxa"/>
            <w:shd w:val="clear" w:color="auto" w:fill="auto"/>
            <w:noWrap/>
            <w:hideMark/>
          </w:tcPr>
          <w:p w14:paraId="4F8349AF"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7AAEA586"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1910F58D" w14:textId="77777777" w:rsidR="00F51B2C" w:rsidRPr="00005684" w:rsidRDefault="00F51B2C" w:rsidP="001B40DA">
            <w:pPr>
              <w:spacing w:before="40" w:after="120"/>
              <w:ind w:right="113"/>
              <w:rPr>
                <w:lang w:val="fr-FR"/>
              </w:rPr>
            </w:pPr>
            <w:r w:rsidRPr="00005684">
              <w:rPr>
                <w:lang w:val="fr-FR"/>
              </w:rPr>
              <w:t>60 000 €</w:t>
            </w:r>
          </w:p>
        </w:tc>
        <w:tc>
          <w:tcPr>
            <w:tcW w:w="4487" w:type="dxa"/>
            <w:shd w:val="clear" w:color="auto" w:fill="auto"/>
            <w:tcMar>
              <w:left w:w="0" w:type="dxa"/>
              <w:right w:w="0" w:type="dxa"/>
            </w:tcMar>
            <w:hideMark/>
          </w:tcPr>
          <w:p w14:paraId="3AA8DD0B" w14:textId="016A8473" w:rsidR="00F51B2C" w:rsidRPr="00005684" w:rsidRDefault="00F51B2C" w:rsidP="001B40DA">
            <w:pPr>
              <w:spacing w:before="40" w:after="120"/>
              <w:rPr>
                <w:lang w:val="fr-FR"/>
              </w:rPr>
            </w:pPr>
            <w:r w:rsidRPr="00005684">
              <w:rPr>
                <w:lang w:val="fr-FR"/>
              </w:rPr>
              <w:t>60 000 € pour la période intersessions 2021</w:t>
            </w:r>
            <w:r w:rsidR="003F638C" w:rsidRPr="00005684">
              <w:rPr>
                <w:lang w:val="fr-FR"/>
              </w:rPr>
              <w:t>-</w:t>
            </w:r>
            <w:r w:rsidRPr="00005684">
              <w:rPr>
                <w:lang w:val="fr-FR"/>
              </w:rPr>
              <w:t>2023</w:t>
            </w:r>
            <w:r w:rsidRPr="00005684" w:rsidDel="00835AA4">
              <w:rPr>
                <w:lang w:val="fr-FR"/>
              </w:rPr>
              <w:t xml:space="preserve"> </w:t>
            </w:r>
            <w:r w:rsidRPr="00005684">
              <w:rPr>
                <w:lang w:val="fr-FR"/>
              </w:rPr>
              <w:t>devant être versés en trois tranches de 20 000 € en 2021, 2022 et 2023 (calendrier des paiements à confirmer).</w:t>
            </w:r>
          </w:p>
        </w:tc>
      </w:tr>
      <w:tr w:rsidR="00F51B2C" w:rsidRPr="00005684" w14:paraId="0ADCFBED" w14:textId="77777777" w:rsidTr="001B40DA">
        <w:tc>
          <w:tcPr>
            <w:tcW w:w="1932" w:type="dxa"/>
            <w:shd w:val="clear" w:color="auto" w:fill="auto"/>
            <w:noWrap/>
            <w:hideMark/>
          </w:tcPr>
          <w:p w14:paraId="30AB06B4" w14:textId="2147ECDD" w:rsidR="00F51B2C" w:rsidRPr="00005684" w:rsidRDefault="00F51B2C" w:rsidP="001B40DA">
            <w:pPr>
              <w:spacing w:before="40" w:after="120"/>
              <w:ind w:right="113"/>
              <w:rPr>
                <w:lang w:val="fr-FR"/>
              </w:rPr>
            </w:pPr>
            <w:r w:rsidRPr="00005684">
              <w:rPr>
                <w:lang w:val="fr-FR"/>
              </w:rPr>
              <w:t>Pologne</w:t>
            </w:r>
          </w:p>
        </w:tc>
        <w:tc>
          <w:tcPr>
            <w:tcW w:w="980" w:type="dxa"/>
            <w:shd w:val="clear" w:color="auto" w:fill="auto"/>
            <w:noWrap/>
            <w:hideMark/>
          </w:tcPr>
          <w:p w14:paraId="2C2CF40B"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539B1CDE"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00AF4672" w14:textId="780FAA48" w:rsidR="00F51B2C" w:rsidRPr="00005684" w:rsidRDefault="00F51B2C" w:rsidP="001B40DA">
            <w:pPr>
              <w:spacing w:before="40" w:after="120"/>
              <w:ind w:right="113"/>
              <w:rPr>
                <w:lang w:val="fr-FR"/>
              </w:rPr>
            </w:pPr>
            <w:r w:rsidRPr="00005684">
              <w:rPr>
                <w:lang w:val="fr-FR"/>
              </w:rPr>
              <w:t xml:space="preserve">21 000 $E.U. </w:t>
            </w:r>
          </w:p>
        </w:tc>
        <w:tc>
          <w:tcPr>
            <w:tcW w:w="4487" w:type="dxa"/>
            <w:shd w:val="clear" w:color="auto" w:fill="auto"/>
            <w:tcMar>
              <w:left w:w="0" w:type="dxa"/>
              <w:right w:w="0" w:type="dxa"/>
            </w:tcMar>
            <w:hideMark/>
          </w:tcPr>
          <w:p w14:paraId="5F2E3610" w14:textId="10DD9FCB" w:rsidR="00F51B2C" w:rsidRPr="00005684" w:rsidRDefault="00F51B2C" w:rsidP="001B40DA">
            <w:pPr>
              <w:spacing w:before="40" w:after="120"/>
              <w:rPr>
                <w:lang w:val="fr-FR"/>
              </w:rPr>
            </w:pPr>
            <w:r w:rsidRPr="00005684">
              <w:rPr>
                <w:lang w:val="fr-FR"/>
              </w:rPr>
              <w:t>21 000 $E.U. pour la période intersessions 2021</w:t>
            </w:r>
            <w:r w:rsidR="003F638C" w:rsidRPr="00005684">
              <w:rPr>
                <w:lang w:val="fr-FR"/>
              </w:rPr>
              <w:t>-</w:t>
            </w:r>
            <w:r w:rsidRPr="00005684">
              <w:rPr>
                <w:lang w:val="fr-FR"/>
              </w:rPr>
              <w:t>2023, devant être versés en trois tranches de 7 000 $E.U. en 2021, 2022 et 2023.</w:t>
            </w:r>
          </w:p>
        </w:tc>
      </w:tr>
      <w:tr w:rsidR="00872960" w:rsidRPr="00005684" w14:paraId="6D1C98B6" w14:textId="77777777" w:rsidTr="001B40DA">
        <w:tc>
          <w:tcPr>
            <w:tcW w:w="1932" w:type="dxa"/>
            <w:shd w:val="clear" w:color="auto" w:fill="auto"/>
            <w:noWrap/>
            <w:hideMark/>
          </w:tcPr>
          <w:p w14:paraId="5AB9788E" w14:textId="77777777" w:rsidR="00872960" w:rsidRPr="00005684" w:rsidRDefault="00872960" w:rsidP="001B40DA">
            <w:pPr>
              <w:spacing w:before="40" w:after="120"/>
              <w:ind w:right="113"/>
              <w:rPr>
                <w:lang w:val="fr-FR"/>
              </w:rPr>
            </w:pPr>
            <w:r w:rsidRPr="00005684">
              <w:rPr>
                <w:lang w:val="fr-FR"/>
              </w:rPr>
              <w:t xml:space="preserve">Portugal </w:t>
            </w:r>
          </w:p>
        </w:tc>
        <w:tc>
          <w:tcPr>
            <w:tcW w:w="980" w:type="dxa"/>
            <w:shd w:val="clear" w:color="auto" w:fill="auto"/>
            <w:noWrap/>
            <w:hideMark/>
          </w:tcPr>
          <w:p w14:paraId="1852C80A" w14:textId="77777777" w:rsidR="00872960" w:rsidRPr="00005684" w:rsidRDefault="00872960" w:rsidP="001B40DA">
            <w:pPr>
              <w:spacing w:before="40" w:after="120"/>
              <w:ind w:right="113"/>
              <w:rPr>
                <w:lang w:val="fr-FR"/>
              </w:rPr>
            </w:pPr>
            <w:r w:rsidRPr="00005684">
              <w:rPr>
                <w:lang w:val="fr-FR"/>
              </w:rPr>
              <w:t>Oui</w:t>
            </w:r>
          </w:p>
        </w:tc>
        <w:tc>
          <w:tcPr>
            <w:tcW w:w="840" w:type="dxa"/>
            <w:shd w:val="clear" w:color="auto" w:fill="auto"/>
            <w:noWrap/>
            <w:hideMark/>
          </w:tcPr>
          <w:p w14:paraId="3AD0E30D" w14:textId="77777777" w:rsidR="00872960" w:rsidRPr="00005684" w:rsidRDefault="00872960" w:rsidP="001B40DA">
            <w:pPr>
              <w:spacing w:before="40" w:after="120"/>
              <w:ind w:right="113"/>
              <w:rPr>
                <w:lang w:val="fr-FR"/>
              </w:rPr>
            </w:pPr>
            <w:r w:rsidRPr="00005684">
              <w:rPr>
                <w:lang w:val="fr-FR"/>
              </w:rPr>
              <w:t>Oui</w:t>
            </w:r>
          </w:p>
        </w:tc>
        <w:tc>
          <w:tcPr>
            <w:tcW w:w="1400" w:type="dxa"/>
            <w:shd w:val="clear" w:color="auto" w:fill="auto"/>
          </w:tcPr>
          <w:p w14:paraId="7AA34522" w14:textId="310C14EC" w:rsidR="00872960" w:rsidRPr="00005684" w:rsidRDefault="00872960" w:rsidP="001B40DA">
            <w:pPr>
              <w:spacing w:before="40" w:after="120"/>
              <w:ind w:right="113"/>
              <w:rPr>
                <w:lang w:val="fr-FR"/>
              </w:rPr>
            </w:pPr>
            <w:r w:rsidRPr="00005684">
              <w:rPr>
                <w:lang w:val="fr-FR"/>
              </w:rPr>
              <w:t>–</w:t>
            </w:r>
          </w:p>
        </w:tc>
        <w:tc>
          <w:tcPr>
            <w:tcW w:w="4487" w:type="dxa"/>
            <w:shd w:val="clear" w:color="auto" w:fill="auto"/>
            <w:tcMar>
              <w:left w:w="0" w:type="dxa"/>
              <w:right w:w="0" w:type="dxa"/>
            </w:tcMar>
            <w:hideMark/>
          </w:tcPr>
          <w:p w14:paraId="64A01A44" w14:textId="7CE849E2" w:rsidR="00872960" w:rsidRPr="00005684" w:rsidRDefault="00872960" w:rsidP="001B40DA">
            <w:pPr>
              <w:spacing w:before="40" w:after="120"/>
              <w:rPr>
                <w:lang w:val="fr-FR"/>
              </w:rPr>
            </w:pPr>
            <w:r w:rsidRPr="00005684">
              <w:rPr>
                <w:lang w:val="fr-FR"/>
              </w:rPr>
              <w:t>–</w:t>
            </w:r>
          </w:p>
        </w:tc>
      </w:tr>
      <w:tr w:rsidR="00F51B2C" w:rsidRPr="00005684" w14:paraId="480B5AD6" w14:textId="77777777" w:rsidTr="001B40DA">
        <w:tc>
          <w:tcPr>
            <w:tcW w:w="1932" w:type="dxa"/>
            <w:shd w:val="clear" w:color="auto" w:fill="auto"/>
            <w:noWrap/>
            <w:hideMark/>
          </w:tcPr>
          <w:p w14:paraId="7D1B818A" w14:textId="30282A79" w:rsidR="00F51B2C" w:rsidRPr="00005684" w:rsidRDefault="00F51B2C" w:rsidP="001B40DA">
            <w:pPr>
              <w:spacing w:before="40" w:after="120"/>
              <w:ind w:right="113"/>
              <w:rPr>
                <w:lang w:val="fr-FR"/>
              </w:rPr>
            </w:pPr>
            <w:r w:rsidRPr="00005684">
              <w:rPr>
                <w:lang w:val="fr-FR"/>
              </w:rPr>
              <w:t>Ré</w:t>
            </w:r>
            <w:r w:rsidR="00E17F0C" w:rsidRPr="00005684">
              <w:rPr>
                <w:lang w:val="fr-FR"/>
              </w:rPr>
              <w:t>publique</w:t>
            </w:r>
            <w:r w:rsidRPr="00005684">
              <w:rPr>
                <w:lang w:val="fr-FR"/>
              </w:rPr>
              <w:t xml:space="preserve"> </w:t>
            </w:r>
            <w:r w:rsidR="00E17F0C" w:rsidRPr="00005684">
              <w:rPr>
                <w:lang w:val="fr-FR"/>
              </w:rPr>
              <w:br/>
            </w:r>
            <w:r w:rsidRPr="00005684">
              <w:rPr>
                <w:lang w:val="fr-FR"/>
              </w:rPr>
              <w:t>de Moldova</w:t>
            </w:r>
          </w:p>
        </w:tc>
        <w:tc>
          <w:tcPr>
            <w:tcW w:w="980" w:type="dxa"/>
            <w:shd w:val="clear" w:color="auto" w:fill="auto"/>
            <w:noWrap/>
            <w:hideMark/>
          </w:tcPr>
          <w:p w14:paraId="23457C0D"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3BB4CE5F" w14:textId="77777777" w:rsidR="00F51B2C" w:rsidRPr="00005684" w:rsidRDefault="00F51B2C" w:rsidP="001B40DA">
            <w:pPr>
              <w:spacing w:before="40" w:after="120"/>
              <w:ind w:right="113"/>
              <w:rPr>
                <w:lang w:val="fr-FR"/>
              </w:rPr>
            </w:pPr>
            <w:r w:rsidRPr="00005684">
              <w:rPr>
                <w:lang w:val="fr-FR"/>
              </w:rPr>
              <w:t>Non</w:t>
            </w:r>
          </w:p>
        </w:tc>
        <w:tc>
          <w:tcPr>
            <w:tcW w:w="1400" w:type="dxa"/>
            <w:shd w:val="clear" w:color="auto" w:fill="auto"/>
          </w:tcPr>
          <w:p w14:paraId="225DEF93" w14:textId="5F56A403" w:rsidR="00F51B2C" w:rsidRPr="00005684" w:rsidRDefault="00F51B2C" w:rsidP="001B40DA">
            <w:pPr>
              <w:spacing w:before="40" w:after="120"/>
              <w:ind w:right="113"/>
              <w:rPr>
                <w:lang w:val="fr-FR"/>
              </w:rPr>
            </w:pPr>
            <w:r w:rsidRPr="00005684">
              <w:rPr>
                <w:lang w:val="fr-FR"/>
              </w:rPr>
              <w:t>1 500 $E.U.</w:t>
            </w:r>
          </w:p>
        </w:tc>
        <w:tc>
          <w:tcPr>
            <w:tcW w:w="4487" w:type="dxa"/>
            <w:shd w:val="clear" w:color="auto" w:fill="auto"/>
            <w:tcMar>
              <w:left w:w="0" w:type="dxa"/>
              <w:right w:w="0" w:type="dxa"/>
            </w:tcMar>
            <w:hideMark/>
          </w:tcPr>
          <w:p w14:paraId="08BCA4CF" w14:textId="5B815C7D" w:rsidR="00F51B2C" w:rsidRPr="00005684" w:rsidRDefault="00F51B2C" w:rsidP="001B40DA">
            <w:pPr>
              <w:spacing w:before="40" w:after="120"/>
              <w:rPr>
                <w:lang w:val="fr-FR"/>
              </w:rPr>
            </w:pPr>
            <w:r w:rsidRPr="00005684">
              <w:rPr>
                <w:lang w:val="fr-FR"/>
              </w:rPr>
              <w:t>1 500 $E.U. pour la prochaine période intersessions 2021</w:t>
            </w:r>
            <w:r w:rsidR="003F638C" w:rsidRPr="00005684">
              <w:rPr>
                <w:lang w:val="fr-FR"/>
              </w:rPr>
              <w:t>-</w:t>
            </w:r>
            <w:r w:rsidRPr="00005684">
              <w:rPr>
                <w:lang w:val="fr-FR"/>
              </w:rPr>
              <w:t>2023, devant être versés en trois tranches de 500</w:t>
            </w:r>
            <w:r w:rsidR="003F638C" w:rsidRPr="00005684">
              <w:rPr>
                <w:lang w:val="fr-FR"/>
              </w:rPr>
              <w:t> </w:t>
            </w:r>
            <w:r w:rsidRPr="00005684">
              <w:rPr>
                <w:lang w:val="fr-FR"/>
              </w:rPr>
              <w:t>$E.U. en 2021, 2022 et 2023.</w:t>
            </w:r>
          </w:p>
        </w:tc>
      </w:tr>
      <w:tr w:rsidR="00F51B2C" w:rsidRPr="00005684" w14:paraId="7E1FAC05" w14:textId="77777777" w:rsidTr="001B40DA">
        <w:tc>
          <w:tcPr>
            <w:tcW w:w="1932" w:type="dxa"/>
            <w:shd w:val="clear" w:color="auto" w:fill="auto"/>
            <w:noWrap/>
            <w:hideMark/>
          </w:tcPr>
          <w:p w14:paraId="42DB33CD" w14:textId="77777777" w:rsidR="00F51B2C" w:rsidRPr="00005684" w:rsidRDefault="00F51B2C" w:rsidP="001B40DA">
            <w:pPr>
              <w:spacing w:before="40" w:after="120"/>
              <w:ind w:right="113"/>
              <w:rPr>
                <w:lang w:val="fr-FR"/>
              </w:rPr>
            </w:pPr>
            <w:r w:rsidRPr="00005684">
              <w:rPr>
                <w:lang w:val="fr-FR"/>
              </w:rPr>
              <w:t xml:space="preserve">Roumanie </w:t>
            </w:r>
          </w:p>
        </w:tc>
        <w:tc>
          <w:tcPr>
            <w:tcW w:w="980" w:type="dxa"/>
            <w:shd w:val="clear" w:color="auto" w:fill="auto"/>
            <w:noWrap/>
            <w:hideMark/>
          </w:tcPr>
          <w:p w14:paraId="6E5F22E6"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52CAD32E"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4A146ED7" w14:textId="26894B96" w:rsidR="00F51B2C" w:rsidRPr="00005684" w:rsidRDefault="00F51B2C" w:rsidP="001B40DA">
            <w:pPr>
              <w:spacing w:before="40" w:after="120"/>
              <w:ind w:right="113"/>
              <w:rPr>
                <w:lang w:val="fr-FR"/>
              </w:rPr>
            </w:pPr>
            <w:r w:rsidRPr="00005684">
              <w:rPr>
                <w:lang w:val="fr-FR"/>
              </w:rPr>
              <w:t xml:space="preserve">15 000 $E.U. </w:t>
            </w:r>
          </w:p>
        </w:tc>
        <w:tc>
          <w:tcPr>
            <w:tcW w:w="4487" w:type="dxa"/>
            <w:shd w:val="clear" w:color="auto" w:fill="auto"/>
            <w:tcMar>
              <w:left w:w="0" w:type="dxa"/>
              <w:right w:w="0" w:type="dxa"/>
            </w:tcMar>
            <w:hideMark/>
          </w:tcPr>
          <w:p w14:paraId="0CED13DD" w14:textId="42BD98B8" w:rsidR="00F51B2C" w:rsidRPr="00005684" w:rsidRDefault="00F51B2C" w:rsidP="001B40DA">
            <w:pPr>
              <w:spacing w:before="40" w:after="120"/>
              <w:rPr>
                <w:lang w:val="fr-FR"/>
              </w:rPr>
            </w:pPr>
            <w:r w:rsidRPr="00005684">
              <w:rPr>
                <w:lang w:val="fr-FR"/>
              </w:rPr>
              <w:t>15 000 $E.U. pour la période intersessions 2021</w:t>
            </w:r>
            <w:r w:rsidR="00872960" w:rsidRPr="00005684">
              <w:rPr>
                <w:lang w:val="fr-FR"/>
              </w:rPr>
              <w:noBreakHyphen/>
            </w:r>
            <w:r w:rsidRPr="00005684">
              <w:rPr>
                <w:lang w:val="fr-FR"/>
              </w:rPr>
              <w:t>2023, devant être versés en trois tranches de 5 000 $E.U. en 2021, 2022 et 2023.</w:t>
            </w:r>
          </w:p>
        </w:tc>
      </w:tr>
      <w:tr w:rsidR="00872960" w:rsidRPr="00005684" w14:paraId="6891E907" w14:textId="77777777" w:rsidTr="001B40DA">
        <w:tc>
          <w:tcPr>
            <w:tcW w:w="1932" w:type="dxa"/>
            <w:shd w:val="clear" w:color="auto" w:fill="auto"/>
            <w:noWrap/>
            <w:hideMark/>
          </w:tcPr>
          <w:p w14:paraId="20173880" w14:textId="52684C0B" w:rsidR="00872960" w:rsidRPr="00005684" w:rsidRDefault="00872960" w:rsidP="001B40DA">
            <w:pPr>
              <w:spacing w:before="40" w:after="120"/>
              <w:ind w:right="113"/>
              <w:rPr>
                <w:lang w:val="fr-FR"/>
              </w:rPr>
            </w:pPr>
            <w:r w:rsidRPr="00005684">
              <w:rPr>
                <w:lang w:val="fr-FR"/>
              </w:rPr>
              <w:t>Royaume-Uni</w:t>
            </w:r>
          </w:p>
        </w:tc>
        <w:tc>
          <w:tcPr>
            <w:tcW w:w="980" w:type="dxa"/>
            <w:shd w:val="clear" w:color="auto" w:fill="auto"/>
            <w:noWrap/>
            <w:hideMark/>
          </w:tcPr>
          <w:p w14:paraId="35DF4391" w14:textId="77777777" w:rsidR="00872960" w:rsidRPr="00005684" w:rsidRDefault="00872960" w:rsidP="001B40DA">
            <w:pPr>
              <w:spacing w:before="40" w:after="120"/>
              <w:ind w:right="113"/>
              <w:rPr>
                <w:lang w:val="fr-FR"/>
              </w:rPr>
            </w:pPr>
            <w:r w:rsidRPr="00005684">
              <w:rPr>
                <w:lang w:val="fr-FR"/>
              </w:rPr>
              <w:t>Oui</w:t>
            </w:r>
          </w:p>
        </w:tc>
        <w:tc>
          <w:tcPr>
            <w:tcW w:w="840" w:type="dxa"/>
            <w:shd w:val="clear" w:color="auto" w:fill="auto"/>
            <w:noWrap/>
            <w:hideMark/>
          </w:tcPr>
          <w:p w14:paraId="512FECF0" w14:textId="77777777" w:rsidR="00872960" w:rsidRPr="00005684" w:rsidRDefault="00872960" w:rsidP="001B40DA">
            <w:pPr>
              <w:spacing w:before="40" w:after="120"/>
              <w:ind w:right="113"/>
              <w:rPr>
                <w:lang w:val="fr-FR"/>
              </w:rPr>
            </w:pPr>
            <w:r w:rsidRPr="00005684">
              <w:rPr>
                <w:lang w:val="fr-FR"/>
              </w:rPr>
              <w:t>Non</w:t>
            </w:r>
          </w:p>
        </w:tc>
        <w:tc>
          <w:tcPr>
            <w:tcW w:w="1400" w:type="dxa"/>
            <w:shd w:val="clear" w:color="auto" w:fill="auto"/>
          </w:tcPr>
          <w:p w14:paraId="36A1962B" w14:textId="184DFC29" w:rsidR="00872960" w:rsidRPr="00005684" w:rsidRDefault="00872960" w:rsidP="001B40DA">
            <w:pPr>
              <w:spacing w:before="40" w:after="120"/>
              <w:ind w:right="113"/>
              <w:rPr>
                <w:lang w:val="fr-FR"/>
              </w:rPr>
            </w:pPr>
            <w:r w:rsidRPr="00005684">
              <w:rPr>
                <w:lang w:val="fr-FR"/>
              </w:rPr>
              <w:t>–</w:t>
            </w:r>
          </w:p>
        </w:tc>
        <w:tc>
          <w:tcPr>
            <w:tcW w:w="4487" w:type="dxa"/>
            <w:shd w:val="clear" w:color="auto" w:fill="auto"/>
            <w:tcMar>
              <w:left w:w="0" w:type="dxa"/>
              <w:right w:w="0" w:type="dxa"/>
            </w:tcMar>
            <w:hideMark/>
          </w:tcPr>
          <w:p w14:paraId="700AC76F" w14:textId="35D4E1B7" w:rsidR="00872960" w:rsidRPr="00005684" w:rsidRDefault="00872960" w:rsidP="001B40DA">
            <w:pPr>
              <w:spacing w:before="40" w:after="120"/>
              <w:rPr>
                <w:lang w:val="fr-FR"/>
              </w:rPr>
            </w:pPr>
            <w:r w:rsidRPr="00005684">
              <w:rPr>
                <w:lang w:val="fr-FR"/>
              </w:rPr>
              <w:t>–</w:t>
            </w:r>
          </w:p>
        </w:tc>
      </w:tr>
      <w:tr w:rsidR="00872960" w:rsidRPr="00005684" w14:paraId="5DBD2411" w14:textId="77777777" w:rsidTr="001B40DA">
        <w:tc>
          <w:tcPr>
            <w:tcW w:w="1932" w:type="dxa"/>
            <w:shd w:val="clear" w:color="auto" w:fill="auto"/>
            <w:noWrap/>
            <w:hideMark/>
          </w:tcPr>
          <w:p w14:paraId="40A5AD8D" w14:textId="77777777" w:rsidR="00872960" w:rsidRPr="00005684" w:rsidRDefault="00872960" w:rsidP="001B40DA">
            <w:pPr>
              <w:spacing w:before="40" w:after="120"/>
              <w:ind w:right="113"/>
              <w:rPr>
                <w:lang w:val="fr-FR"/>
              </w:rPr>
            </w:pPr>
            <w:r w:rsidRPr="00005684">
              <w:rPr>
                <w:lang w:val="fr-FR"/>
              </w:rPr>
              <w:t>Serbie</w:t>
            </w:r>
          </w:p>
        </w:tc>
        <w:tc>
          <w:tcPr>
            <w:tcW w:w="980" w:type="dxa"/>
            <w:shd w:val="clear" w:color="auto" w:fill="auto"/>
            <w:noWrap/>
            <w:hideMark/>
          </w:tcPr>
          <w:p w14:paraId="2EFFC54D" w14:textId="77777777" w:rsidR="00872960" w:rsidRPr="00005684" w:rsidRDefault="00872960" w:rsidP="001B40DA">
            <w:pPr>
              <w:spacing w:before="40" w:after="120"/>
              <w:ind w:right="113"/>
              <w:rPr>
                <w:lang w:val="fr-FR"/>
              </w:rPr>
            </w:pPr>
            <w:r w:rsidRPr="00005684">
              <w:rPr>
                <w:lang w:val="fr-FR"/>
              </w:rPr>
              <w:t>Oui</w:t>
            </w:r>
          </w:p>
        </w:tc>
        <w:tc>
          <w:tcPr>
            <w:tcW w:w="840" w:type="dxa"/>
            <w:shd w:val="clear" w:color="auto" w:fill="auto"/>
            <w:noWrap/>
            <w:hideMark/>
          </w:tcPr>
          <w:p w14:paraId="2540F4F7" w14:textId="77777777" w:rsidR="00872960" w:rsidRPr="00005684" w:rsidRDefault="00872960" w:rsidP="001B40DA">
            <w:pPr>
              <w:spacing w:before="40" w:after="120"/>
              <w:ind w:right="113"/>
              <w:rPr>
                <w:lang w:val="fr-FR"/>
              </w:rPr>
            </w:pPr>
            <w:r w:rsidRPr="00005684">
              <w:rPr>
                <w:lang w:val="fr-FR"/>
              </w:rPr>
              <w:t>Oui</w:t>
            </w:r>
          </w:p>
        </w:tc>
        <w:tc>
          <w:tcPr>
            <w:tcW w:w="1400" w:type="dxa"/>
            <w:shd w:val="clear" w:color="auto" w:fill="auto"/>
          </w:tcPr>
          <w:p w14:paraId="480260FA" w14:textId="6B21CCF9" w:rsidR="00872960" w:rsidRPr="00005684" w:rsidRDefault="00872960" w:rsidP="001B40DA">
            <w:pPr>
              <w:spacing w:before="40" w:after="120"/>
              <w:ind w:right="113"/>
              <w:rPr>
                <w:lang w:val="fr-FR"/>
              </w:rPr>
            </w:pPr>
            <w:r w:rsidRPr="00005684">
              <w:rPr>
                <w:lang w:val="fr-FR"/>
              </w:rPr>
              <w:t>–</w:t>
            </w:r>
          </w:p>
        </w:tc>
        <w:tc>
          <w:tcPr>
            <w:tcW w:w="4487" w:type="dxa"/>
            <w:shd w:val="clear" w:color="auto" w:fill="auto"/>
            <w:tcMar>
              <w:left w:w="0" w:type="dxa"/>
              <w:right w:w="0" w:type="dxa"/>
            </w:tcMar>
            <w:hideMark/>
          </w:tcPr>
          <w:p w14:paraId="1E4F27F8" w14:textId="3C977E0B" w:rsidR="00872960" w:rsidRPr="00005684" w:rsidRDefault="00872960" w:rsidP="001B40DA">
            <w:pPr>
              <w:spacing w:before="40" w:after="120"/>
              <w:rPr>
                <w:lang w:val="fr-FR"/>
              </w:rPr>
            </w:pPr>
            <w:r w:rsidRPr="00005684">
              <w:rPr>
                <w:lang w:val="fr-FR"/>
              </w:rPr>
              <w:t>–</w:t>
            </w:r>
          </w:p>
        </w:tc>
      </w:tr>
      <w:tr w:rsidR="00F51B2C" w:rsidRPr="00005684" w14:paraId="28DEB6EF" w14:textId="77777777" w:rsidTr="001B40DA">
        <w:tc>
          <w:tcPr>
            <w:tcW w:w="1932" w:type="dxa"/>
            <w:shd w:val="clear" w:color="auto" w:fill="auto"/>
            <w:noWrap/>
            <w:hideMark/>
          </w:tcPr>
          <w:p w14:paraId="3C1D8B40" w14:textId="49410128" w:rsidR="00F51B2C" w:rsidRPr="00005684" w:rsidRDefault="00F51B2C" w:rsidP="001B40DA">
            <w:pPr>
              <w:spacing w:before="40" w:after="120"/>
              <w:ind w:right="113"/>
              <w:rPr>
                <w:lang w:val="fr-FR"/>
              </w:rPr>
            </w:pPr>
            <w:r w:rsidRPr="00005684">
              <w:rPr>
                <w:lang w:val="fr-FR"/>
              </w:rPr>
              <w:t xml:space="preserve">Slovaquie </w:t>
            </w:r>
          </w:p>
        </w:tc>
        <w:tc>
          <w:tcPr>
            <w:tcW w:w="980" w:type="dxa"/>
            <w:shd w:val="clear" w:color="auto" w:fill="auto"/>
            <w:noWrap/>
            <w:hideMark/>
          </w:tcPr>
          <w:p w14:paraId="5473DF61"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7C4D70DD"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41EFCC51" w14:textId="77777777" w:rsidR="00F51B2C" w:rsidRPr="00005684" w:rsidRDefault="00F51B2C" w:rsidP="001B40DA">
            <w:pPr>
              <w:spacing w:before="40" w:after="120"/>
              <w:ind w:right="113"/>
              <w:rPr>
                <w:lang w:val="fr-FR"/>
              </w:rPr>
            </w:pPr>
            <w:r w:rsidRPr="00005684">
              <w:rPr>
                <w:lang w:val="fr-FR"/>
              </w:rPr>
              <w:t>15 000 €</w:t>
            </w:r>
          </w:p>
        </w:tc>
        <w:tc>
          <w:tcPr>
            <w:tcW w:w="4487" w:type="dxa"/>
            <w:shd w:val="clear" w:color="auto" w:fill="auto"/>
            <w:tcMar>
              <w:left w:w="0" w:type="dxa"/>
              <w:right w:w="0" w:type="dxa"/>
            </w:tcMar>
            <w:hideMark/>
          </w:tcPr>
          <w:p w14:paraId="277E06FC" w14:textId="23D73E2A" w:rsidR="00F51B2C" w:rsidRPr="00005684" w:rsidRDefault="00F51B2C" w:rsidP="001B40DA">
            <w:pPr>
              <w:spacing w:before="40" w:after="120"/>
              <w:rPr>
                <w:lang w:val="fr-FR"/>
              </w:rPr>
            </w:pPr>
            <w:r w:rsidRPr="00005684">
              <w:rPr>
                <w:lang w:val="fr-FR"/>
              </w:rPr>
              <w:t>15 000 € pour la période intersessions 2021</w:t>
            </w:r>
            <w:r w:rsidR="003F638C" w:rsidRPr="00005684">
              <w:rPr>
                <w:lang w:val="fr-FR"/>
              </w:rPr>
              <w:t>-</w:t>
            </w:r>
            <w:r w:rsidRPr="00005684">
              <w:rPr>
                <w:lang w:val="fr-FR"/>
              </w:rPr>
              <w:t>2023, devant être versés en trois tranches de 5 000 € en 2021, 2022 et 2023, à condition que le Gouvernement slovaque approuve la proposition inscrite au budget de chacune de ces années.</w:t>
            </w:r>
          </w:p>
        </w:tc>
      </w:tr>
      <w:tr w:rsidR="00F51B2C" w:rsidRPr="00005684" w14:paraId="3A974720" w14:textId="77777777" w:rsidTr="001B40DA">
        <w:tc>
          <w:tcPr>
            <w:tcW w:w="1932" w:type="dxa"/>
            <w:shd w:val="clear" w:color="auto" w:fill="auto"/>
            <w:noWrap/>
            <w:hideMark/>
          </w:tcPr>
          <w:p w14:paraId="031CA9F2" w14:textId="77777777" w:rsidR="00F51B2C" w:rsidRPr="00005684" w:rsidRDefault="00F51B2C" w:rsidP="001B40DA">
            <w:pPr>
              <w:spacing w:before="40" w:after="120"/>
              <w:ind w:right="113"/>
              <w:rPr>
                <w:lang w:val="fr-FR"/>
              </w:rPr>
            </w:pPr>
            <w:r w:rsidRPr="00005684">
              <w:rPr>
                <w:lang w:val="fr-FR"/>
              </w:rPr>
              <w:t xml:space="preserve">Slovénie </w:t>
            </w:r>
          </w:p>
        </w:tc>
        <w:tc>
          <w:tcPr>
            <w:tcW w:w="980" w:type="dxa"/>
            <w:shd w:val="clear" w:color="auto" w:fill="auto"/>
            <w:noWrap/>
            <w:hideMark/>
          </w:tcPr>
          <w:p w14:paraId="7DB06873"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tcPr>
          <w:p w14:paraId="73A4052E"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76679AC9" w14:textId="6575A01F" w:rsidR="00F51B2C" w:rsidRPr="00005684" w:rsidRDefault="00F51B2C" w:rsidP="001B40DA">
            <w:pPr>
              <w:spacing w:before="40" w:after="120"/>
              <w:ind w:right="113"/>
              <w:rPr>
                <w:lang w:val="fr-FR"/>
              </w:rPr>
            </w:pPr>
            <w:r w:rsidRPr="00005684">
              <w:rPr>
                <w:lang w:val="fr-FR"/>
              </w:rPr>
              <w:t xml:space="preserve">9 000 $E.U. </w:t>
            </w:r>
          </w:p>
        </w:tc>
        <w:tc>
          <w:tcPr>
            <w:tcW w:w="4487" w:type="dxa"/>
            <w:shd w:val="clear" w:color="auto" w:fill="auto"/>
            <w:tcMar>
              <w:left w:w="0" w:type="dxa"/>
              <w:right w:w="0" w:type="dxa"/>
            </w:tcMar>
            <w:hideMark/>
          </w:tcPr>
          <w:p w14:paraId="7FAA1291" w14:textId="14A80E05" w:rsidR="00F51B2C" w:rsidRPr="00005684" w:rsidRDefault="00F51B2C" w:rsidP="001B40DA">
            <w:pPr>
              <w:spacing w:before="40" w:after="120"/>
              <w:rPr>
                <w:lang w:val="fr-FR"/>
              </w:rPr>
            </w:pPr>
            <w:r w:rsidRPr="00005684">
              <w:rPr>
                <w:lang w:val="fr-FR"/>
              </w:rPr>
              <w:t>9 000 $E.U. pour la période intersessions 2021</w:t>
            </w:r>
            <w:r w:rsidR="003F638C" w:rsidRPr="00005684">
              <w:rPr>
                <w:lang w:val="fr-FR"/>
              </w:rPr>
              <w:t>-</w:t>
            </w:r>
            <w:r w:rsidRPr="00005684">
              <w:rPr>
                <w:lang w:val="fr-FR"/>
              </w:rPr>
              <w:t>2023, devant être versés en trois tranches de 3 000 $E.U en 2021 (déjà versés en décembre 2020), 2022 et 2023.</w:t>
            </w:r>
          </w:p>
        </w:tc>
      </w:tr>
      <w:tr w:rsidR="00F51B2C" w:rsidRPr="00005684" w14:paraId="164959C3" w14:textId="77777777" w:rsidTr="001B40DA">
        <w:tc>
          <w:tcPr>
            <w:tcW w:w="1932" w:type="dxa"/>
            <w:shd w:val="clear" w:color="auto" w:fill="auto"/>
            <w:noWrap/>
            <w:hideMark/>
          </w:tcPr>
          <w:p w14:paraId="5890799B" w14:textId="0E2E8E17" w:rsidR="00F51B2C" w:rsidRPr="00005684" w:rsidRDefault="00F51B2C" w:rsidP="001B40DA">
            <w:pPr>
              <w:spacing w:before="40" w:after="120"/>
              <w:ind w:right="113"/>
              <w:rPr>
                <w:lang w:val="fr-FR"/>
              </w:rPr>
            </w:pPr>
            <w:r w:rsidRPr="00005684">
              <w:rPr>
                <w:lang w:val="fr-FR"/>
              </w:rPr>
              <w:t>Suède</w:t>
            </w:r>
          </w:p>
        </w:tc>
        <w:tc>
          <w:tcPr>
            <w:tcW w:w="980" w:type="dxa"/>
            <w:shd w:val="clear" w:color="auto" w:fill="auto"/>
            <w:noWrap/>
            <w:hideMark/>
          </w:tcPr>
          <w:p w14:paraId="39960720"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4B9C2BF8"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414F9EA9" w14:textId="2F081E0D" w:rsidR="00F51B2C" w:rsidRPr="00005684" w:rsidRDefault="00F51B2C" w:rsidP="001B40DA">
            <w:pPr>
              <w:spacing w:before="40" w:after="120"/>
              <w:ind w:right="113"/>
              <w:rPr>
                <w:lang w:val="fr-FR"/>
              </w:rPr>
            </w:pPr>
            <w:r w:rsidRPr="00005684">
              <w:rPr>
                <w:lang w:val="fr-FR"/>
              </w:rPr>
              <w:t xml:space="preserve">24 900 $E.U. </w:t>
            </w:r>
          </w:p>
        </w:tc>
        <w:tc>
          <w:tcPr>
            <w:tcW w:w="4487" w:type="dxa"/>
            <w:shd w:val="clear" w:color="auto" w:fill="auto"/>
            <w:tcMar>
              <w:left w:w="0" w:type="dxa"/>
              <w:right w:w="0" w:type="dxa"/>
            </w:tcMar>
            <w:hideMark/>
          </w:tcPr>
          <w:p w14:paraId="2686A3DF" w14:textId="4B4A30C3" w:rsidR="00F51B2C" w:rsidRPr="00005684" w:rsidRDefault="00F51B2C" w:rsidP="001B40DA">
            <w:pPr>
              <w:spacing w:before="40" w:after="120"/>
              <w:rPr>
                <w:lang w:val="fr-FR"/>
              </w:rPr>
            </w:pPr>
            <w:r w:rsidRPr="00005684">
              <w:rPr>
                <w:lang w:val="fr-FR"/>
              </w:rPr>
              <w:t>Au moins 8 300 $E.U. par an pour la période intersessions 2021</w:t>
            </w:r>
            <w:r w:rsidR="003F638C" w:rsidRPr="00005684">
              <w:rPr>
                <w:lang w:val="fr-FR"/>
              </w:rPr>
              <w:t>-</w:t>
            </w:r>
            <w:r w:rsidRPr="00005684">
              <w:rPr>
                <w:lang w:val="fr-FR"/>
              </w:rPr>
              <w:t>2023, à verser en 2021, 2022 et 2023 (à confirmer).</w:t>
            </w:r>
          </w:p>
        </w:tc>
      </w:tr>
      <w:tr w:rsidR="00F51B2C" w:rsidRPr="00005684" w14:paraId="5C01BA55" w14:textId="77777777" w:rsidTr="001B40DA">
        <w:tc>
          <w:tcPr>
            <w:tcW w:w="1932" w:type="dxa"/>
            <w:shd w:val="clear" w:color="auto" w:fill="auto"/>
            <w:noWrap/>
            <w:hideMark/>
          </w:tcPr>
          <w:p w14:paraId="170546B7" w14:textId="783D8F0A" w:rsidR="00F51B2C" w:rsidRPr="00005684" w:rsidRDefault="00F51B2C" w:rsidP="001B40DA">
            <w:pPr>
              <w:spacing w:before="40" w:after="120"/>
              <w:ind w:right="113"/>
              <w:rPr>
                <w:lang w:val="fr-FR"/>
              </w:rPr>
            </w:pPr>
            <w:r w:rsidRPr="00005684">
              <w:rPr>
                <w:lang w:val="fr-FR"/>
              </w:rPr>
              <w:t>Suisse</w:t>
            </w:r>
          </w:p>
        </w:tc>
        <w:tc>
          <w:tcPr>
            <w:tcW w:w="980" w:type="dxa"/>
            <w:shd w:val="clear" w:color="auto" w:fill="auto"/>
            <w:noWrap/>
            <w:hideMark/>
          </w:tcPr>
          <w:p w14:paraId="407688C9"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1E6A6A9A" w14:textId="77777777" w:rsidR="00F51B2C" w:rsidRPr="00005684" w:rsidRDefault="00F51B2C" w:rsidP="001B40DA">
            <w:pPr>
              <w:spacing w:before="40" w:after="120"/>
              <w:ind w:right="113"/>
              <w:rPr>
                <w:lang w:val="fr-FR"/>
              </w:rPr>
            </w:pPr>
            <w:r w:rsidRPr="00005684">
              <w:rPr>
                <w:lang w:val="fr-FR"/>
              </w:rPr>
              <w:t>Non</w:t>
            </w:r>
          </w:p>
        </w:tc>
        <w:tc>
          <w:tcPr>
            <w:tcW w:w="1400" w:type="dxa"/>
            <w:shd w:val="clear" w:color="auto" w:fill="auto"/>
          </w:tcPr>
          <w:p w14:paraId="738858C7" w14:textId="6CA5698B" w:rsidR="00F51B2C" w:rsidRPr="00005684" w:rsidRDefault="00F51B2C" w:rsidP="001B40DA">
            <w:pPr>
              <w:spacing w:before="40" w:after="120"/>
              <w:ind w:right="113"/>
              <w:rPr>
                <w:lang w:val="fr-FR"/>
              </w:rPr>
            </w:pPr>
            <w:r w:rsidRPr="00005684">
              <w:rPr>
                <w:lang w:val="fr-FR"/>
              </w:rPr>
              <w:t>126 000 CHF</w:t>
            </w:r>
          </w:p>
        </w:tc>
        <w:tc>
          <w:tcPr>
            <w:tcW w:w="4487" w:type="dxa"/>
            <w:shd w:val="clear" w:color="auto" w:fill="auto"/>
            <w:tcMar>
              <w:left w:w="0" w:type="dxa"/>
              <w:right w:w="0" w:type="dxa"/>
            </w:tcMar>
            <w:hideMark/>
          </w:tcPr>
          <w:p w14:paraId="50C2CB65" w14:textId="31BDFF04" w:rsidR="00F51B2C" w:rsidRPr="00005684" w:rsidRDefault="00F51B2C" w:rsidP="001B40DA">
            <w:pPr>
              <w:spacing w:before="40" w:after="120"/>
              <w:rPr>
                <w:lang w:val="fr-FR"/>
              </w:rPr>
            </w:pPr>
            <w:r w:rsidRPr="00005684">
              <w:rPr>
                <w:lang w:val="fr-FR"/>
              </w:rPr>
              <w:t>Sous réserve de l’approbation budgétaire annuelle par le Parlement, 42 000 CHF par an pour la période intersessions 2021-2023, à verser en 2021, 2022 et 2023, y compris une contribution annuelle de 20</w:t>
            </w:r>
            <w:r w:rsidR="003F638C" w:rsidRPr="00005684">
              <w:rPr>
                <w:lang w:val="fr-FR"/>
              </w:rPr>
              <w:t> </w:t>
            </w:r>
            <w:r w:rsidRPr="00005684">
              <w:rPr>
                <w:lang w:val="fr-FR"/>
              </w:rPr>
              <w:t>000</w:t>
            </w:r>
            <w:r w:rsidR="003F638C" w:rsidRPr="00005684">
              <w:rPr>
                <w:lang w:val="fr-FR"/>
              </w:rPr>
              <w:t> </w:t>
            </w:r>
            <w:r w:rsidRPr="00005684">
              <w:rPr>
                <w:lang w:val="fr-FR"/>
              </w:rPr>
              <w:t>CHF et une contribution supplémentaire de 22</w:t>
            </w:r>
            <w:r w:rsidR="003F638C" w:rsidRPr="00005684">
              <w:rPr>
                <w:lang w:val="fr-FR"/>
              </w:rPr>
              <w:t> </w:t>
            </w:r>
            <w:r w:rsidRPr="00005684">
              <w:rPr>
                <w:lang w:val="fr-FR"/>
              </w:rPr>
              <w:t xml:space="preserve">000 CHF </w:t>
            </w:r>
            <w:proofErr w:type="spellStart"/>
            <w:r w:rsidRPr="00005684">
              <w:rPr>
                <w:lang w:val="fr-FR"/>
              </w:rPr>
              <w:t>préaffectée</w:t>
            </w:r>
            <w:proofErr w:type="spellEnd"/>
            <w:r w:rsidRPr="00005684">
              <w:rPr>
                <w:lang w:val="fr-FR"/>
              </w:rPr>
              <w:t xml:space="preserve"> à des activités de renforcement des capacités en Asie centrale et en Azerbaïdjan, qui seront précisées ultérieurement.</w:t>
            </w:r>
          </w:p>
        </w:tc>
      </w:tr>
      <w:tr w:rsidR="00F51B2C" w:rsidRPr="00005684" w14:paraId="2CB8D635" w14:textId="77777777" w:rsidTr="001B40DA">
        <w:tc>
          <w:tcPr>
            <w:tcW w:w="1932" w:type="dxa"/>
            <w:shd w:val="clear" w:color="auto" w:fill="auto"/>
            <w:noWrap/>
            <w:hideMark/>
          </w:tcPr>
          <w:p w14:paraId="49562426" w14:textId="5DD641A8" w:rsidR="00F51B2C" w:rsidRPr="00005684" w:rsidRDefault="00F51B2C" w:rsidP="001B40DA">
            <w:pPr>
              <w:spacing w:before="40" w:after="120"/>
              <w:ind w:right="113"/>
              <w:rPr>
                <w:lang w:val="fr-FR"/>
              </w:rPr>
            </w:pPr>
            <w:r w:rsidRPr="00005684">
              <w:rPr>
                <w:lang w:val="fr-FR"/>
              </w:rPr>
              <w:t>Tchéquie</w:t>
            </w:r>
          </w:p>
        </w:tc>
        <w:tc>
          <w:tcPr>
            <w:tcW w:w="980" w:type="dxa"/>
            <w:shd w:val="clear" w:color="auto" w:fill="auto"/>
            <w:noWrap/>
            <w:hideMark/>
          </w:tcPr>
          <w:p w14:paraId="08B59468"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390B2203"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7B24AAD2" w14:textId="77777777" w:rsidR="00F51B2C" w:rsidRPr="00005684" w:rsidRDefault="00F51B2C" w:rsidP="001B40DA">
            <w:pPr>
              <w:spacing w:before="40" w:after="120"/>
              <w:ind w:right="113"/>
              <w:rPr>
                <w:lang w:val="fr-FR"/>
              </w:rPr>
            </w:pPr>
            <w:r w:rsidRPr="00005684">
              <w:rPr>
                <w:lang w:val="fr-FR"/>
              </w:rPr>
              <w:t xml:space="preserve">15 000 $E.U. </w:t>
            </w:r>
          </w:p>
        </w:tc>
        <w:tc>
          <w:tcPr>
            <w:tcW w:w="4487" w:type="dxa"/>
            <w:shd w:val="clear" w:color="auto" w:fill="auto"/>
            <w:tcMar>
              <w:left w:w="0" w:type="dxa"/>
              <w:right w:w="0" w:type="dxa"/>
            </w:tcMar>
            <w:hideMark/>
          </w:tcPr>
          <w:p w14:paraId="48BA4368" w14:textId="7A686D87" w:rsidR="00F51B2C" w:rsidRPr="00005684" w:rsidRDefault="00F51B2C" w:rsidP="001B40DA">
            <w:pPr>
              <w:spacing w:before="40" w:after="120"/>
              <w:rPr>
                <w:lang w:val="fr-FR"/>
              </w:rPr>
            </w:pPr>
            <w:r w:rsidRPr="00005684">
              <w:rPr>
                <w:lang w:val="fr-FR"/>
              </w:rPr>
              <w:t>15 000 $E.U. pour la période intersessions 2021</w:t>
            </w:r>
            <w:r w:rsidR="005A384C" w:rsidRPr="00005684">
              <w:rPr>
                <w:lang w:val="fr-FR"/>
              </w:rPr>
              <w:t>-</w:t>
            </w:r>
            <w:r w:rsidRPr="00005684">
              <w:rPr>
                <w:lang w:val="fr-FR"/>
              </w:rPr>
              <w:t>2023, devant être versés en trois tranches de 5 000 $E.U. en 2021, 2022 et 2023.</w:t>
            </w:r>
          </w:p>
        </w:tc>
      </w:tr>
      <w:tr w:rsidR="00F51B2C" w:rsidRPr="00005684" w14:paraId="10B6BDE7" w14:textId="77777777" w:rsidTr="001B40DA">
        <w:tc>
          <w:tcPr>
            <w:tcW w:w="1932" w:type="dxa"/>
            <w:shd w:val="clear" w:color="auto" w:fill="auto"/>
            <w:noWrap/>
            <w:hideMark/>
          </w:tcPr>
          <w:p w14:paraId="49FE7889" w14:textId="2C8A28A7" w:rsidR="00F51B2C" w:rsidRPr="00005684" w:rsidRDefault="00F51B2C" w:rsidP="001B40DA">
            <w:pPr>
              <w:spacing w:before="40" w:after="120"/>
              <w:ind w:right="113"/>
              <w:rPr>
                <w:lang w:val="fr-FR"/>
              </w:rPr>
            </w:pPr>
            <w:r w:rsidRPr="00005684">
              <w:rPr>
                <w:lang w:val="fr-FR"/>
              </w:rPr>
              <w:t>Ukraine</w:t>
            </w:r>
          </w:p>
        </w:tc>
        <w:tc>
          <w:tcPr>
            <w:tcW w:w="980" w:type="dxa"/>
            <w:shd w:val="clear" w:color="auto" w:fill="auto"/>
            <w:noWrap/>
            <w:hideMark/>
          </w:tcPr>
          <w:p w14:paraId="4262EBF9" w14:textId="77777777" w:rsidR="00F51B2C" w:rsidRPr="00005684" w:rsidRDefault="00F51B2C" w:rsidP="001B40DA">
            <w:pPr>
              <w:spacing w:before="40" w:after="120"/>
              <w:ind w:right="113"/>
              <w:rPr>
                <w:lang w:val="fr-FR"/>
              </w:rPr>
            </w:pPr>
            <w:r w:rsidRPr="00005684">
              <w:rPr>
                <w:lang w:val="fr-FR"/>
              </w:rPr>
              <w:t>Oui</w:t>
            </w:r>
          </w:p>
        </w:tc>
        <w:tc>
          <w:tcPr>
            <w:tcW w:w="840" w:type="dxa"/>
            <w:shd w:val="clear" w:color="auto" w:fill="auto"/>
            <w:noWrap/>
            <w:hideMark/>
          </w:tcPr>
          <w:p w14:paraId="68037EE1" w14:textId="77777777" w:rsidR="00F51B2C" w:rsidRPr="00005684" w:rsidRDefault="00F51B2C" w:rsidP="001B40DA">
            <w:pPr>
              <w:spacing w:before="40" w:after="120"/>
              <w:ind w:right="113"/>
              <w:rPr>
                <w:lang w:val="fr-FR"/>
              </w:rPr>
            </w:pPr>
            <w:r w:rsidRPr="00005684">
              <w:rPr>
                <w:lang w:val="fr-FR"/>
              </w:rPr>
              <w:t>Oui</w:t>
            </w:r>
          </w:p>
        </w:tc>
        <w:tc>
          <w:tcPr>
            <w:tcW w:w="1400" w:type="dxa"/>
            <w:shd w:val="clear" w:color="auto" w:fill="auto"/>
          </w:tcPr>
          <w:p w14:paraId="69276C41" w14:textId="2241633C" w:rsidR="00F51B2C" w:rsidRPr="00005684" w:rsidRDefault="00F51B2C" w:rsidP="001B40DA">
            <w:pPr>
              <w:spacing w:before="40" w:after="120"/>
              <w:ind w:right="113"/>
              <w:rPr>
                <w:lang w:val="fr-FR"/>
              </w:rPr>
            </w:pPr>
            <w:r w:rsidRPr="00005684">
              <w:rPr>
                <w:lang w:val="fr-FR"/>
              </w:rPr>
              <w:t>6 000 $E.U.</w:t>
            </w:r>
          </w:p>
        </w:tc>
        <w:tc>
          <w:tcPr>
            <w:tcW w:w="4487" w:type="dxa"/>
            <w:shd w:val="clear" w:color="auto" w:fill="auto"/>
            <w:tcMar>
              <w:left w:w="0" w:type="dxa"/>
              <w:right w:w="0" w:type="dxa"/>
            </w:tcMar>
            <w:hideMark/>
          </w:tcPr>
          <w:p w14:paraId="2870F6BF" w14:textId="5FDA3D23" w:rsidR="00F51B2C" w:rsidRPr="00005684" w:rsidRDefault="00F51B2C" w:rsidP="001B40DA">
            <w:pPr>
              <w:spacing w:before="40" w:after="120"/>
              <w:rPr>
                <w:lang w:val="fr-FR"/>
              </w:rPr>
            </w:pPr>
            <w:r w:rsidRPr="00005684">
              <w:rPr>
                <w:lang w:val="fr-FR"/>
              </w:rPr>
              <w:t>6 000 $E.U. pour la période intersessions 2021</w:t>
            </w:r>
            <w:r w:rsidR="003F638C" w:rsidRPr="00005684">
              <w:rPr>
                <w:lang w:val="fr-FR"/>
              </w:rPr>
              <w:t>-</w:t>
            </w:r>
            <w:r w:rsidRPr="00005684">
              <w:rPr>
                <w:lang w:val="fr-FR"/>
              </w:rPr>
              <w:t>2023, devant être versés en trois tranches de 2 000 $E.U. en 2021, 2022 et 2023.</w:t>
            </w:r>
          </w:p>
        </w:tc>
      </w:tr>
      <w:tr w:rsidR="00F51B2C" w:rsidRPr="00005684" w:rsidDel="00617354" w14:paraId="644978B4" w14:textId="77777777" w:rsidTr="001B40DA">
        <w:tc>
          <w:tcPr>
            <w:tcW w:w="1932" w:type="dxa"/>
            <w:tcBorders>
              <w:bottom w:val="single" w:sz="12" w:space="0" w:color="auto"/>
            </w:tcBorders>
            <w:shd w:val="clear" w:color="auto" w:fill="auto"/>
            <w:noWrap/>
          </w:tcPr>
          <w:p w14:paraId="4DA00974" w14:textId="77777777" w:rsidR="00F51B2C" w:rsidRPr="00005684" w:rsidRDefault="00F51B2C" w:rsidP="001B40DA">
            <w:pPr>
              <w:spacing w:before="40" w:after="120"/>
              <w:ind w:right="113"/>
              <w:rPr>
                <w:lang w:val="fr-FR"/>
              </w:rPr>
            </w:pPr>
            <w:r w:rsidRPr="00005684">
              <w:rPr>
                <w:lang w:val="fr-FR"/>
              </w:rPr>
              <w:t xml:space="preserve">Union européenne </w:t>
            </w:r>
          </w:p>
        </w:tc>
        <w:tc>
          <w:tcPr>
            <w:tcW w:w="980" w:type="dxa"/>
            <w:tcBorders>
              <w:bottom w:val="single" w:sz="12" w:space="0" w:color="auto"/>
            </w:tcBorders>
            <w:shd w:val="clear" w:color="auto" w:fill="auto"/>
            <w:noWrap/>
          </w:tcPr>
          <w:p w14:paraId="0F978C5F" w14:textId="77777777" w:rsidR="00F51B2C" w:rsidRPr="00005684" w:rsidRDefault="00F51B2C" w:rsidP="001B40DA">
            <w:pPr>
              <w:spacing w:before="40" w:after="120"/>
              <w:ind w:right="113"/>
              <w:rPr>
                <w:lang w:val="fr-FR"/>
              </w:rPr>
            </w:pPr>
            <w:r w:rsidRPr="00005684">
              <w:rPr>
                <w:lang w:val="fr-FR"/>
              </w:rPr>
              <w:t>Oui</w:t>
            </w:r>
          </w:p>
        </w:tc>
        <w:tc>
          <w:tcPr>
            <w:tcW w:w="840" w:type="dxa"/>
            <w:tcBorders>
              <w:bottom w:val="single" w:sz="12" w:space="0" w:color="auto"/>
            </w:tcBorders>
            <w:shd w:val="clear" w:color="auto" w:fill="auto"/>
            <w:noWrap/>
          </w:tcPr>
          <w:p w14:paraId="43F0DB33" w14:textId="77777777" w:rsidR="00F51B2C" w:rsidRPr="00005684" w:rsidRDefault="00F51B2C" w:rsidP="001B40DA">
            <w:pPr>
              <w:spacing w:before="40" w:after="120"/>
              <w:ind w:right="113"/>
              <w:rPr>
                <w:lang w:val="fr-FR"/>
              </w:rPr>
            </w:pPr>
            <w:r w:rsidRPr="00005684">
              <w:rPr>
                <w:lang w:val="fr-FR"/>
              </w:rPr>
              <w:t>Oui</w:t>
            </w:r>
          </w:p>
        </w:tc>
        <w:tc>
          <w:tcPr>
            <w:tcW w:w="1400" w:type="dxa"/>
            <w:tcBorders>
              <w:bottom w:val="single" w:sz="12" w:space="0" w:color="auto"/>
            </w:tcBorders>
            <w:shd w:val="clear" w:color="auto" w:fill="auto"/>
          </w:tcPr>
          <w:p w14:paraId="0A160055" w14:textId="77777777" w:rsidR="00F51B2C" w:rsidRPr="00005684" w:rsidDel="00453E7A" w:rsidRDefault="00F51B2C" w:rsidP="001B40DA">
            <w:pPr>
              <w:spacing w:before="40" w:after="120"/>
              <w:ind w:right="113"/>
              <w:rPr>
                <w:lang w:val="fr-FR"/>
              </w:rPr>
            </w:pPr>
            <w:r w:rsidRPr="00005684">
              <w:rPr>
                <w:lang w:val="fr-FR"/>
              </w:rPr>
              <w:t>210 000 €</w:t>
            </w:r>
          </w:p>
        </w:tc>
        <w:tc>
          <w:tcPr>
            <w:tcW w:w="4487" w:type="dxa"/>
            <w:tcBorders>
              <w:bottom w:val="single" w:sz="12" w:space="0" w:color="auto"/>
            </w:tcBorders>
            <w:shd w:val="clear" w:color="auto" w:fill="auto"/>
            <w:tcMar>
              <w:left w:w="0" w:type="dxa"/>
              <w:right w:w="0" w:type="dxa"/>
            </w:tcMar>
          </w:tcPr>
          <w:p w14:paraId="09177754" w14:textId="6505CD17" w:rsidR="00F51B2C" w:rsidRPr="00005684" w:rsidDel="00617354" w:rsidRDefault="00F51B2C" w:rsidP="001B40DA">
            <w:pPr>
              <w:spacing w:before="40" w:after="120"/>
              <w:rPr>
                <w:lang w:val="fr-FR"/>
              </w:rPr>
            </w:pPr>
            <w:r w:rsidRPr="00005684">
              <w:rPr>
                <w:lang w:val="fr-FR"/>
              </w:rPr>
              <w:t>Total de 210 000 € pour la période intersessions 2021</w:t>
            </w:r>
            <w:r w:rsidR="005A384C" w:rsidRPr="00005684">
              <w:rPr>
                <w:lang w:val="fr-FR"/>
              </w:rPr>
              <w:noBreakHyphen/>
            </w:r>
            <w:r w:rsidRPr="00005684">
              <w:rPr>
                <w:lang w:val="fr-FR"/>
              </w:rPr>
              <w:t xml:space="preserve">2023, devant être versés en trois tranches de 70 000 € en 2021, 2022 et 2023, composées d’une contribution non </w:t>
            </w:r>
            <w:proofErr w:type="spellStart"/>
            <w:r w:rsidRPr="00005684">
              <w:rPr>
                <w:lang w:val="fr-FR"/>
              </w:rPr>
              <w:t>préaffectée</w:t>
            </w:r>
            <w:proofErr w:type="spellEnd"/>
            <w:r w:rsidRPr="00005684">
              <w:rPr>
                <w:lang w:val="fr-FR"/>
              </w:rPr>
              <w:t xml:space="preserve"> de 65 000 € par an et d’une contribution de 5 000 € par an </w:t>
            </w:r>
            <w:proofErr w:type="spellStart"/>
            <w:r w:rsidRPr="00005684">
              <w:rPr>
                <w:lang w:val="fr-FR"/>
              </w:rPr>
              <w:t>préaffectée</w:t>
            </w:r>
            <w:proofErr w:type="spellEnd"/>
            <w:r w:rsidRPr="00005684">
              <w:rPr>
                <w:lang w:val="fr-FR"/>
              </w:rPr>
              <w:t xml:space="preserve"> aux frais de voyage et de subsistance découlant de la participation du Président du Bureau aux réunions tenues au titre de la Convention et du Protocole.</w:t>
            </w:r>
          </w:p>
        </w:tc>
      </w:tr>
    </w:tbl>
    <w:p w14:paraId="282AC5FC" w14:textId="1CD40217" w:rsidR="003D6A4E" w:rsidRPr="00005684" w:rsidRDefault="003D6A4E" w:rsidP="003D6A4E">
      <w:pPr>
        <w:tabs>
          <w:tab w:val="right" w:pos="1021"/>
        </w:tabs>
        <w:spacing w:before="120" w:line="220" w:lineRule="exact"/>
        <w:ind w:right="561" w:firstLine="170"/>
        <w:rPr>
          <w:sz w:val="18"/>
          <w:lang w:val="fr-FR"/>
        </w:rPr>
      </w:pPr>
      <w:r w:rsidRPr="00005684">
        <w:rPr>
          <w:i/>
          <w:sz w:val="18"/>
          <w:vertAlign w:val="superscript"/>
          <w:lang w:val="fr-FR"/>
        </w:rPr>
        <w:t>a</w:t>
      </w:r>
      <w:r w:rsidRPr="00005684">
        <w:rPr>
          <w:sz w:val="18"/>
          <w:lang w:val="fr-FR"/>
        </w:rPr>
        <w:t xml:space="preserve">  Ces deux colonnes montrent l’état de la ratification de la Convention et du Protocole à la mi-juin 2017.</w:t>
      </w:r>
    </w:p>
    <w:p w14:paraId="187162A4" w14:textId="4287BD49" w:rsidR="00F51B2C" w:rsidRPr="00005684" w:rsidRDefault="003D6A4E" w:rsidP="003D6A4E">
      <w:pPr>
        <w:ind w:firstLine="170"/>
      </w:pPr>
      <w:r w:rsidRPr="00005684">
        <w:rPr>
          <w:i/>
          <w:sz w:val="18"/>
          <w:vertAlign w:val="superscript"/>
          <w:lang w:val="fr-FR"/>
        </w:rPr>
        <w:t xml:space="preserve">b </w:t>
      </w:r>
      <w:r w:rsidRPr="00005684">
        <w:rPr>
          <w:sz w:val="18"/>
          <w:lang w:val="fr-FR"/>
        </w:rPr>
        <w:t xml:space="preserve"> Un trait d’union « </w:t>
      </w:r>
      <w:r w:rsidR="003F638C" w:rsidRPr="00005684">
        <w:rPr>
          <w:lang w:val="fr-FR"/>
        </w:rPr>
        <w:t>–</w:t>
      </w:r>
      <w:r w:rsidRPr="00005684">
        <w:rPr>
          <w:sz w:val="18"/>
          <w:lang w:val="fr-FR"/>
        </w:rPr>
        <w:t xml:space="preserve"> » indique qu’aucune contribution financière n’a été annoncée.</w:t>
      </w:r>
    </w:p>
    <w:p w14:paraId="0829DDBB" w14:textId="77777777" w:rsidR="003D6A4E" w:rsidRPr="00005684" w:rsidRDefault="003D6A4E" w:rsidP="00F51B2C"/>
    <w:p w14:paraId="2534BB53" w14:textId="50E1F968" w:rsidR="003D6A4E" w:rsidRPr="00005684" w:rsidRDefault="003D6A4E" w:rsidP="00F51B2C">
      <w:pPr>
        <w:sectPr w:rsidR="003D6A4E" w:rsidRPr="00005684" w:rsidSect="00F51B2C">
          <w:endnotePr>
            <w:numFmt w:val="decimal"/>
          </w:endnotePr>
          <w:pgSz w:w="11906" w:h="16838" w:code="9"/>
          <w:pgMar w:top="1417" w:right="1134" w:bottom="1134" w:left="1134" w:header="680" w:footer="567" w:gutter="0"/>
          <w:cols w:space="708"/>
          <w:docGrid w:linePitch="360"/>
        </w:sectPr>
      </w:pPr>
    </w:p>
    <w:p w14:paraId="656B8547" w14:textId="77777777" w:rsidR="00F51B2C" w:rsidRPr="00005684" w:rsidRDefault="00F51B2C" w:rsidP="00F51B2C">
      <w:pPr>
        <w:pStyle w:val="HChG"/>
        <w:rPr>
          <w:lang w:val="fr-FR"/>
        </w:rPr>
      </w:pPr>
      <w:r w:rsidRPr="00005684">
        <w:rPr>
          <w:lang w:val="fr-FR"/>
        </w:rPr>
        <w:t>Annexe II</w:t>
      </w:r>
    </w:p>
    <w:p w14:paraId="68E4F30C" w14:textId="6F975F08" w:rsidR="00F51B2C" w:rsidRPr="00005684" w:rsidRDefault="00F51B2C" w:rsidP="00F51B2C">
      <w:pPr>
        <w:pStyle w:val="HChG"/>
        <w:rPr>
          <w:lang w:val="fr-FR"/>
        </w:rPr>
      </w:pPr>
      <w:r w:rsidRPr="00005684">
        <w:rPr>
          <w:lang w:val="fr-FR"/>
        </w:rPr>
        <w:tab/>
      </w:r>
      <w:r w:rsidRPr="00005684">
        <w:rPr>
          <w:lang w:val="fr-FR"/>
        </w:rPr>
        <w:tab/>
        <w:t xml:space="preserve">Bureau </w:t>
      </w:r>
      <w:bookmarkStart w:id="17" w:name="_Hlk62742674"/>
      <w:r w:rsidRPr="00005684">
        <w:rPr>
          <w:lang w:val="fr-FR"/>
        </w:rPr>
        <w:t xml:space="preserve">des Réunions des Parties à la Convention sur l’évaluation de l’impact sur l’environnement dans </w:t>
      </w:r>
      <w:r w:rsidR="003F638C" w:rsidRPr="00005684">
        <w:rPr>
          <w:lang w:val="fr-FR"/>
        </w:rPr>
        <w:br/>
      </w:r>
      <w:r w:rsidRPr="00005684">
        <w:rPr>
          <w:lang w:val="fr-FR"/>
        </w:rPr>
        <w:t>un contexte transfrontière et au</w:t>
      </w:r>
      <w:bookmarkEnd w:id="17"/>
      <w:r w:rsidRPr="00005684">
        <w:rPr>
          <w:lang w:val="fr-FR"/>
        </w:rPr>
        <w:t xml:space="preserve"> Protocole relatif </w:t>
      </w:r>
      <w:r w:rsidR="003F638C" w:rsidRPr="00005684">
        <w:rPr>
          <w:lang w:val="fr-FR"/>
        </w:rPr>
        <w:br/>
      </w:r>
      <w:r w:rsidRPr="00005684">
        <w:rPr>
          <w:lang w:val="fr-FR"/>
        </w:rPr>
        <w:t xml:space="preserve">à l’évaluation stratégique environnementale : critères régissant l’élection des membres et directives concernant </w:t>
      </w:r>
      <w:r w:rsidR="003F638C" w:rsidRPr="00005684">
        <w:rPr>
          <w:lang w:val="fr-FR"/>
        </w:rPr>
        <w:br/>
      </w:r>
      <w:r w:rsidRPr="00005684">
        <w:rPr>
          <w:lang w:val="fr-FR"/>
        </w:rPr>
        <w:t>les tâches à effectuer et les procédures à suivre</w:t>
      </w:r>
    </w:p>
    <w:p w14:paraId="324CEFAC" w14:textId="77777777" w:rsidR="00F51B2C" w:rsidRPr="00005684" w:rsidRDefault="00F51B2C" w:rsidP="00F51B2C">
      <w:pPr>
        <w:pStyle w:val="HChG"/>
        <w:rPr>
          <w:lang w:val="fr-FR"/>
        </w:rPr>
      </w:pPr>
      <w:r w:rsidRPr="00005684">
        <w:rPr>
          <w:lang w:val="fr-FR"/>
        </w:rPr>
        <w:tab/>
        <w:t>I.</w:t>
      </w:r>
      <w:r w:rsidRPr="00005684">
        <w:rPr>
          <w:lang w:val="fr-FR"/>
        </w:rPr>
        <w:tab/>
        <w:t>Introduction</w:t>
      </w:r>
    </w:p>
    <w:p w14:paraId="4C936AEE" w14:textId="5987BFB0" w:rsidR="00F51B2C" w:rsidRPr="00005684" w:rsidRDefault="00F51B2C" w:rsidP="00F51B2C">
      <w:pPr>
        <w:pStyle w:val="SingleTxtG"/>
        <w:rPr>
          <w:lang w:val="fr-FR"/>
        </w:rPr>
      </w:pPr>
      <w:r w:rsidRPr="00005684">
        <w:rPr>
          <w:lang w:val="fr-FR"/>
        </w:rPr>
        <w:t>1.</w:t>
      </w:r>
      <w:r w:rsidRPr="00005684">
        <w:rPr>
          <w:lang w:val="fr-FR"/>
        </w:rPr>
        <w:tab/>
        <w:t>On trouvera, dans le présent document, les critères régissant l’élection des membres du Bureau de la Réunion des Parties à la Convention sur l’évaluation de l’impact sur l’environnement dans un contexte transfrontière (Convention d’Espoo) et de la Réunion des Parties au Protocole relatif à l’évaluation stratégique environnementale, ainsi que des directives concernant les tâches qui incombent au Bureau et les procédures qu’il doit suivre. Ce texte, approuvé par les Réunions des Parties aux deux traités pendant leurs huitième et quatrième sessions (Vilnius (en ligne), 8-11</w:t>
      </w:r>
      <w:r w:rsidR="003F638C" w:rsidRPr="00005684">
        <w:rPr>
          <w:lang w:val="fr-FR"/>
        </w:rPr>
        <w:t> </w:t>
      </w:r>
      <w:r w:rsidRPr="00005684">
        <w:rPr>
          <w:lang w:val="fr-FR"/>
        </w:rPr>
        <w:t>décembre 2020), s’appuie sur des propositions établies par le Bureau avec l’aide du secrétariat et examinées par le Groupe de travail de l’évaluation de l’impact sur l’environnement et de l’évaluation stratégique environnementale (Groupe de travail de l’EIE et de l’ESE) à sa neuvième réunion (Genève, 24-26</w:t>
      </w:r>
      <w:r w:rsidR="003F638C" w:rsidRPr="00005684">
        <w:rPr>
          <w:lang w:val="fr-FR"/>
        </w:rPr>
        <w:t> </w:t>
      </w:r>
      <w:r w:rsidRPr="00005684">
        <w:rPr>
          <w:lang w:val="fr-FR"/>
        </w:rPr>
        <w:t>août 2020). Les Réunions des parties se sont réservé le droit de modifier ces modalités s’il y a lieu.</w:t>
      </w:r>
    </w:p>
    <w:p w14:paraId="4E7A174F" w14:textId="4E7E3B37" w:rsidR="00F51B2C" w:rsidRPr="00005684" w:rsidRDefault="00F51B2C" w:rsidP="00F51B2C">
      <w:pPr>
        <w:pStyle w:val="SingleTxtG"/>
        <w:rPr>
          <w:lang w:val="fr-FR"/>
        </w:rPr>
      </w:pPr>
      <w:r w:rsidRPr="00005684">
        <w:rPr>
          <w:lang w:val="fr-FR"/>
        </w:rPr>
        <w:t>2.</w:t>
      </w:r>
      <w:r w:rsidRPr="00005684">
        <w:rPr>
          <w:lang w:val="fr-FR"/>
        </w:rPr>
        <w:tab/>
        <w:t xml:space="preserve">Le présent document tient compte : des dispositions pertinentes de la Convention et du Protocole, du </w:t>
      </w:r>
      <w:r w:rsidR="00FB4624" w:rsidRPr="00005684">
        <w:rPr>
          <w:lang w:val="fr-FR"/>
        </w:rPr>
        <w:t>R</w:t>
      </w:r>
      <w:r w:rsidRPr="00005684">
        <w:rPr>
          <w:lang w:val="fr-FR"/>
        </w:rPr>
        <w:t xml:space="preserve">èglement intérieur de la Réunion des Parties à la Convention (ECE/MP.EIA/2, annexe I, décision I/1), lequel s’applique </w:t>
      </w:r>
      <w:r w:rsidRPr="00005684">
        <w:rPr>
          <w:i/>
          <w:iCs/>
          <w:lang w:val="fr-FR"/>
        </w:rPr>
        <w:t>mutatis mutandis</w:t>
      </w:r>
      <w:r w:rsidRPr="00005684">
        <w:rPr>
          <w:lang w:val="fr-FR"/>
        </w:rPr>
        <w:t xml:space="preserve"> à la Réunion des Parties au Protocole (par.</w:t>
      </w:r>
      <w:r w:rsidR="003F638C" w:rsidRPr="00005684">
        <w:rPr>
          <w:lang w:val="fr-FR"/>
        </w:rPr>
        <w:t> </w:t>
      </w:r>
      <w:r w:rsidRPr="00005684">
        <w:rPr>
          <w:lang w:val="fr-FR"/>
        </w:rPr>
        <w:t>5 de l’article 14 du Protocole) et aux organes subsidiaires constitués par les Réunions des Parties (en l’absence de règles spécifiques adoptées par ces organes), des décisions pertinentes des Réunions des Parties et de la pratique établie au titre des deux traités.</w:t>
      </w:r>
    </w:p>
    <w:p w14:paraId="3CDD0C4A" w14:textId="6CD681D8" w:rsidR="00F51B2C" w:rsidRPr="00005684" w:rsidRDefault="00F51B2C" w:rsidP="00F51B2C">
      <w:pPr>
        <w:pStyle w:val="SingleTxtG"/>
        <w:rPr>
          <w:lang w:val="fr-FR"/>
        </w:rPr>
      </w:pPr>
      <w:r w:rsidRPr="00005684">
        <w:rPr>
          <w:lang w:val="fr-FR"/>
        </w:rPr>
        <w:t>3.</w:t>
      </w:r>
      <w:r w:rsidRPr="00005684">
        <w:rPr>
          <w:lang w:val="fr-FR"/>
        </w:rPr>
        <w:tab/>
      </w:r>
      <w:bookmarkStart w:id="18" w:name="_Hlk62745409"/>
      <w:r w:rsidRPr="00005684">
        <w:rPr>
          <w:lang w:val="fr-FR"/>
        </w:rPr>
        <w:t xml:space="preserve">L’article 2.6 du </w:t>
      </w:r>
      <w:r w:rsidR="00FB4624" w:rsidRPr="00005684">
        <w:rPr>
          <w:lang w:val="fr-FR"/>
        </w:rPr>
        <w:t>R</w:t>
      </w:r>
      <w:r w:rsidRPr="00005684">
        <w:rPr>
          <w:lang w:val="fr-FR"/>
        </w:rPr>
        <w:t xml:space="preserve">èglement intérieur dispose que « Le terme </w:t>
      </w:r>
      <w:r w:rsidR="00FB4624" w:rsidRPr="00005684">
        <w:t>“</w:t>
      </w:r>
      <w:r w:rsidRPr="00005684">
        <w:rPr>
          <w:lang w:val="fr-FR"/>
        </w:rPr>
        <w:t>Bureau</w:t>
      </w:r>
      <w:r w:rsidR="00FB4624" w:rsidRPr="00005684">
        <w:t>”</w:t>
      </w:r>
      <w:r w:rsidRPr="00005684">
        <w:rPr>
          <w:lang w:val="fr-FR"/>
        </w:rPr>
        <w:t xml:space="preserve"> désigne le Président et le ou les Vice-Président(s) élu(s) conformément à l’article</w:t>
      </w:r>
      <w:r w:rsidR="003F638C" w:rsidRPr="00005684">
        <w:rPr>
          <w:lang w:val="fr-FR"/>
        </w:rPr>
        <w:t> </w:t>
      </w:r>
      <w:r w:rsidRPr="00005684">
        <w:rPr>
          <w:lang w:val="fr-FR"/>
        </w:rPr>
        <w:t xml:space="preserve">19 du </w:t>
      </w:r>
      <w:r w:rsidR="00FB4624" w:rsidRPr="00005684">
        <w:rPr>
          <w:lang w:val="fr-FR"/>
        </w:rPr>
        <w:t>R</w:t>
      </w:r>
      <w:r w:rsidRPr="00005684">
        <w:rPr>
          <w:lang w:val="fr-FR"/>
        </w:rPr>
        <w:t>èglement intérieur »</w:t>
      </w:r>
      <w:r w:rsidRPr="00005684">
        <w:rPr>
          <w:rStyle w:val="Appelnotedebasdep"/>
        </w:rPr>
        <w:footnoteReference w:id="6"/>
      </w:r>
      <w:r w:rsidR="00FB4624" w:rsidRPr="00005684">
        <w:rPr>
          <w:lang w:val="fr-FR"/>
        </w:rPr>
        <w:t>,</w:t>
      </w:r>
      <w:r w:rsidRPr="00005684">
        <w:rPr>
          <w:lang w:val="fr-FR"/>
        </w:rPr>
        <w:t xml:space="preserve"> mais contient peu d’autres précisions concernant le Bureau.</w:t>
      </w:r>
    </w:p>
    <w:bookmarkEnd w:id="18"/>
    <w:p w14:paraId="072D3D84" w14:textId="77777777" w:rsidR="00F51B2C" w:rsidRPr="00005684" w:rsidRDefault="00F51B2C" w:rsidP="00F51B2C">
      <w:pPr>
        <w:pStyle w:val="HChG"/>
        <w:rPr>
          <w:lang w:val="fr-FR"/>
        </w:rPr>
      </w:pPr>
      <w:r w:rsidRPr="00005684">
        <w:rPr>
          <w:lang w:val="fr-FR"/>
        </w:rPr>
        <w:tab/>
        <w:t>II.</w:t>
      </w:r>
      <w:r w:rsidRPr="00005684">
        <w:rPr>
          <w:lang w:val="fr-FR"/>
        </w:rPr>
        <w:tab/>
        <w:t>Effectif</w:t>
      </w:r>
    </w:p>
    <w:p w14:paraId="6D9DA121" w14:textId="0DCB2E63" w:rsidR="00F51B2C" w:rsidRPr="00005684" w:rsidRDefault="00F51B2C" w:rsidP="00F51B2C">
      <w:pPr>
        <w:pStyle w:val="SingleTxtG"/>
        <w:rPr>
          <w:lang w:val="fr-FR"/>
        </w:rPr>
      </w:pPr>
      <w:r w:rsidRPr="00005684">
        <w:rPr>
          <w:lang w:val="fr-FR"/>
        </w:rPr>
        <w:t>4.</w:t>
      </w:r>
      <w:r w:rsidRPr="00005684">
        <w:rPr>
          <w:lang w:val="fr-FR"/>
        </w:rPr>
        <w:tab/>
        <w:t xml:space="preserve">Pour que ses délibérations soient aussi efficaces que possible, le Bureau devrait être composé de 11 membres au maximum et inclure, conformément à la pratique établie, les cinq membres de droit suivants : le/la Président(e) et le/la </w:t>
      </w:r>
      <w:r w:rsidR="00E55617" w:rsidRPr="00005684">
        <w:rPr>
          <w:lang w:val="fr-FR"/>
        </w:rPr>
        <w:t>P</w:t>
      </w:r>
      <w:r w:rsidRPr="00005684">
        <w:rPr>
          <w:lang w:val="fr-FR"/>
        </w:rPr>
        <w:t>remier/</w:t>
      </w:r>
      <w:r w:rsidR="00E55617" w:rsidRPr="00005684">
        <w:rPr>
          <w:lang w:val="fr-FR"/>
        </w:rPr>
        <w:t>P</w:t>
      </w:r>
      <w:r w:rsidRPr="00005684">
        <w:rPr>
          <w:lang w:val="fr-FR"/>
        </w:rPr>
        <w:t>remière Vice-Président(e) du Comité d’application ; le/la Président(e) et les Vice-Président(e)s du Groupe de travail de l’EIE et de l’ESE ; et, le cas échéant, un(e) représentant(e) du pays qui accueillera les prochaines sessions des Réunions des Parties</w:t>
      </w:r>
      <w:r w:rsidR="00FB4624" w:rsidRPr="00005684">
        <w:rPr>
          <w:lang w:val="fr-FR"/>
        </w:rPr>
        <w:t>.</w:t>
      </w:r>
    </w:p>
    <w:p w14:paraId="533B6753" w14:textId="4B2D4A2B" w:rsidR="00F51B2C" w:rsidRPr="00005684" w:rsidRDefault="00F51B2C" w:rsidP="00F51B2C">
      <w:pPr>
        <w:pStyle w:val="SingleTxtG"/>
        <w:rPr>
          <w:lang w:val="fr-FR"/>
        </w:rPr>
      </w:pPr>
      <w:r w:rsidRPr="00005684">
        <w:rPr>
          <w:lang w:val="fr-FR"/>
        </w:rPr>
        <w:t>5.</w:t>
      </w:r>
      <w:r w:rsidRPr="00005684">
        <w:rPr>
          <w:lang w:val="fr-FR"/>
        </w:rPr>
        <w:tab/>
        <w:t>Dans la pratique, s’il y a lieu pour l’examen de certains points de l’ordre du jour, le Bureau invite les parties concernées à participer en tant qu’observateurs à ses réunions, ou à certaines parties de ces réunions.</w:t>
      </w:r>
    </w:p>
    <w:p w14:paraId="28F7AA34" w14:textId="0E8CEB54" w:rsidR="00F51B2C" w:rsidRPr="00005684" w:rsidRDefault="00F51B2C" w:rsidP="00F51B2C">
      <w:pPr>
        <w:pStyle w:val="HChG"/>
        <w:rPr>
          <w:lang w:val="fr-FR"/>
        </w:rPr>
      </w:pPr>
      <w:r w:rsidRPr="00005684">
        <w:rPr>
          <w:lang w:val="fr-FR"/>
        </w:rPr>
        <w:tab/>
        <w:t>III.</w:t>
      </w:r>
      <w:r w:rsidRPr="00005684">
        <w:rPr>
          <w:lang w:val="fr-FR"/>
        </w:rPr>
        <w:tab/>
        <w:t>Critères régissant l’élection des membres et composition</w:t>
      </w:r>
    </w:p>
    <w:p w14:paraId="40495892" w14:textId="77777777" w:rsidR="00F51B2C" w:rsidRPr="00005684" w:rsidRDefault="00F51B2C" w:rsidP="00F51B2C">
      <w:pPr>
        <w:pStyle w:val="SingleTxtG"/>
        <w:rPr>
          <w:lang w:val="fr-FR"/>
        </w:rPr>
      </w:pPr>
      <w:r w:rsidRPr="00005684">
        <w:rPr>
          <w:lang w:val="fr-FR"/>
        </w:rPr>
        <w:t>6.</w:t>
      </w:r>
      <w:r w:rsidRPr="00005684">
        <w:rPr>
          <w:lang w:val="fr-FR"/>
        </w:rPr>
        <w:tab/>
      </w:r>
      <w:bookmarkStart w:id="19" w:name="_Hlk62743181"/>
      <w:r w:rsidRPr="00005684">
        <w:rPr>
          <w:lang w:val="fr-FR"/>
        </w:rPr>
        <w:t xml:space="preserve">Les membres du Bureau sont élus par les Réunions des Parties. </w:t>
      </w:r>
      <w:bookmarkEnd w:id="19"/>
      <w:r w:rsidRPr="00005684">
        <w:rPr>
          <w:lang w:val="fr-FR"/>
        </w:rPr>
        <w:t>Au moins trois critères essentiels doivent être remplis, à savoir :</w:t>
      </w:r>
    </w:p>
    <w:p w14:paraId="58D79E0C" w14:textId="77C7D16B" w:rsidR="00F51B2C" w:rsidRPr="00005684" w:rsidRDefault="00F51B2C" w:rsidP="00F51B2C">
      <w:pPr>
        <w:pStyle w:val="SingleTxtG"/>
        <w:ind w:firstLine="567"/>
        <w:rPr>
          <w:lang w:val="fr-FR"/>
        </w:rPr>
      </w:pPr>
      <w:r w:rsidRPr="00005684">
        <w:rPr>
          <w:lang w:val="fr-FR"/>
        </w:rPr>
        <w:t>a)</w:t>
      </w:r>
      <w:r w:rsidRPr="00005684">
        <w:rPr>
          <w:lang w:val="fr-FR"/>
        </w:rPr>
        <w:tab/>
        <w:t>Représentation adéquate des sous-régions de la Commission économique pour l’Europe (CEE)</w:t>
      </w:r>
      <w:r w:rsidRPr="00005684">
        <w:rPr>
          <w:rStyle w:val="Appelnotedebasdep"/>
        </w:rPr>
        <w:footnoteReference w:id="7"/>
      </w:r>
      <w:r w:rsidR="00E55617" w:rsidRPr="00005684">
        <w:rPr>
          <w:lang w:val="fr-FR"/>
        </w:rPr>
        <w:t> </w:t>
      </w:r>
      <w:r w:rsidRPr="00005684">
        <w:rPr>
          <w:lang w:val="fr-FR"/>
        </w:rPr>
        <w:t>;</w:t>
      </w:r>
    </w:p>
    <w:p w14:paraId="62D7175C" w14:textId="5027B1B0" w:rsidR="00F51B2C" w:rsidRPr="00005684" w:rsidRDefault="00F51B2C" w:rsidP="00F51B2C">
      <w:pPr>
        <w:pStyle w:val="SingleTxtG"/>
        <w:ind w:firstLine="567"/>
        <w:rPr>
          <w:lang w:val="fr-FR"/>
        </w:rPr>
      </w:pPr>
      <w:r w:rsidRPr="00005684">
        <w:rPr>
          <w:lang w:val="fr-FR"/>
        </w:rPr>
        <w:t>b)</w:t>
      </w:r>
      <w:r w:rsidRPr="00005684">
        <w:rPr>
          <w:lang w:val="fr-FR"/>
        </w:rPr>
        <w:tab/>
        <w:t>Représentation à part égale de la Convention et du Protocole ;</w:t>
      </w:r>
    </w:p>
    <w:p w14:paraId="70A81EED" w14:textId="1DD8A041" w:rsidR="00F51B2C" w:rsidRPr="00005684" w:rsidRDefault="00F51B2C" w:rsidP="00F51B2C">
      <w:pPr>
        <w:pStyle w:val="SingleTxtG"/>
        <w:ind w:firstLine="567"/>
        <w:rPr>
          <w:lang w:val="fr-FR"/>
        </w:rPr>
      </w:pPr>
      <w:r w:rsidRPr="00005684">
        <w:rPr>
          <w:lang w:val="fr-FR"/>
        </w:rPr>
        <w:t>c)</w:t>
      </w:r>
      <w:r w:rsidRPr="00005684">
        <w:rPr>
          <w:lang w:val="fr-FR"/>
        </w:rPr>
        <w:tab/>
        <w:t>Compétences linguistiques : parfaite maîtrise de l’anglais, qui est la langue de travail du Bureau (les réunions du Bureau se tiennent uniquement en anglais).</w:t>
      </w:r>
    </w:p>
    <w:p w14:paraId="7CB7699F" w14:textId="2CF0C2E3" w:rsidR="00F51B2C" w:rsidRPr="00005684" w:rsidRDefault="00F51B2C" w:rsidP="00F51B2C">
      <w:pPr>
        <w:pStyle w:val="SingleTxtG"/>
        <w:rPr>
          <w:lang w:val="fr-FR"/>
        </w:rPr>
      </w:pPr>
      <w:r w:rsidRPr="00005684">
        <w:rPr>
          <w:lang w:val="fr-FR"/>
        </w:rPr>
        <w:t>7.</w:t>
      </w:r>
      <w:r w:rsidRPr="00005684">
        <w:rPr>
          <w:lang w:val="fr-FR"/>
        </w:rPr>
        <w:tab/>
        <w:t>Le Bureau doit également être composé d’un nombre égal de représentants des Parties à la Convention et au Protocole. Le Protocole (par</w:t>
      </w:r>
      <w:r w:rsidR="00124E51" w:rsidRPr="00005684">
        <w:rPr>
          <w:lang w:val="fr-FR"/>
        </w:rPr>
        <w:t>. </w:t>
      </w:r>
      <w:r w:rsidRPr="00005684">
        <w:rPr>
          <w:lang w:val="fr-FR"/>
        </w:rPr>
        <w:t>3 de l’article 14) dispose que tout membre du Bureau de la Réunion des Parties représentant une Partie à la Convention qui n’est pas, au moment considéré, partie au Protocole, est remplacé par un autre membre (ou « suppléant ») qui sera élu par les Parties à cet instrument et parmi celles-ci. La Réunion des Parties au Protocole a en outre précisé que le mandat du membre suppléant du Bureau pour les questions relatives au Protocole « expire en même temps que celui du membre du Bureau qu’il remplace » (ECE/MP.EIA/SEA/2, deuxième partie, décision I/1, p</w:t>
      </w:r>
      <w:r w:rsidR="00E55617" w:rsidRPr="00005684">
        <w:rPr>
          <w:lang w:val="fr-FR"/>
        </w:rPr>
        <w:t>ar. </w:t>
      </w:r>
      <w:r w:rsidRPr="00005684">
        <w:rPr>
          <w:lang w:val="fr-FR"/>
        </w:rPr>
        <w:t>1, modifiant l’article</w:t>
      </w:r>
      <w:r w:rsidR="00E55617" w:rsidRPr="00005684">
        <w:rPr>
          <w:lang w:val="fr-FR"/>
        </w:rPr>
        <w:t> </w:t>
      </w:r>
      <w:r w:rsidRPr="00005684">
        <w:rPr>
          <w:lang w:val="fr-FR"/>
        </w:rPr>
        <w:t xml:space="preserve">19 du </w:t>
      </w:r>
      <w:r w:rsidR="0063342A" w:rsidRPr="00005684">
        <w:rPr>
          <w:lang w:val="fr-FR"/>
        </w:rPr>
        <w:t>R</w:t>
      </w:r>
      <w:r w:rsidRPr="00005684">
        <w:rPr>
          <w:lang w:val="fr-FR"/>
        </w:rPr>
        <w:t>èglement intérieur).</w:t>
      </w:r>
    </w:p>
    <w:p w14:paraId="235BFEF6" w14:textId="77777777" w:rsidR="00F51B2C" w:rsidRPr="00005684" w:rsidRDefault="00F51B2C" w:rsidP="00F51B2C">
      <w:pPr>
        <w:pStyle w:val="HChG"/>
        <w:spacing w:before="320"/>
        <w:rPr>
          <w:lang w:val="fr-FR"/>
        </w:rPr>
      </w:pPr>
      <w:r w:rsidRPr="00005684">
        <w:rPr>
          <w:lang w:val="fr-FR"/>
        </w:rPr>
        <w:tab/>
        <w:t>IV.</w:t>
      </w:r>
      <w:r w:rsidRPr="00005684">
        <w:rPr>
          <w:lang w:val="fr-FR"/>
        </w:rPr>
        <w:tab/>
        <w:t>Mandats</w:t>
      </w:r>
    </w:p>
    <w:p w14:paraId="1B50E322" w14:textId="111915E0" w:rsidR="00F51B2C" w:rsidRPr="00005684" w:rsidRDefault="00F51B2C" w:rsidP="00F51B2C">
      <w:pPr>
        <w:pStyle w:val="SingleTxtG"/>
        <w:rPr>
          <w:lang w:val="fr-FR"/>
        </w:rPr>
      </w:pPr>
      <w:r w:rsidRPr="00005684">
        <w:rPr>
          <w:lang w:val="fr-FR"/>
        </w:rPr>
        <w:t>8.</w:t>
      </w:r>
      <w:r w:rsidRPr="00005684">
        <w:rPr>
          <w:lang w:val="fr-FR"/>
        </w:rPr>
        <w:tab/>
        <w:t>Pour assurer un bon roulement parmi les membres du Bureau, chaque Partie à la Convention et au Protocole (à l’exception de la Commission européenne, qui représente une organisation d’intégration économique régionale) ne devrait pouvoir effectuer que deux mandats consécutifs (correspondant à deux périodes intersessions) au maximum. Les Parties qui n’ont jamais nommé de membres du Bureau ou des organes subsidiaires, ou ne l’ont pas fait récemment, devraient être encouragées à le faire.</w:t>
      </w:r>
    </w:p>
    <w:p w14:paraId="092658EF" w14:textId="77777777" w:rsidR="00F51B2C" w:rsidRPr="00005684" w:rsidRDefault="00F51B2C" w:rsidP="00F51B2C">
      <w:pPr>
        <w:pStyle w:val="HChG"/>
        <w:spacing w:before="320"/>
        <w:rPr>
          <w:lang w:val="fr-FR"/>
        </w:rPr>
      </w:pPr>
      <w:r w:rsidRPr="00005684">
        <w:rPr>
          <w:lang w:val="fr-FR"/>
        </w:rPr>
        <w:tab/>
        <w:t>V.</w:t>
      </w:r>
      <w:r w:rsidRPr="00005684">
        <w:rPr>
          <w:lang w:val="fr-FR"/>
        </w:rPr>
        <w:tab/>
        <w:t>Fonctions et tâches</w:t>
      </w:r>
    </w:p>
    <w:p w14:paraId="1F2E8A8A" w14:textId="4B76EF0D" w:rsidR="00F51B2C" w:rsidRPr="00005684" w:rsidRDefault="00F51B2C" w:rsidP="00F51B2C">
      <w:pPr>
        <w:pStyle w:val="SingleTxtG"/>
        <w:rPr>
          <w:lang w:val="fr-FR"/>
        </w:rPr>
      </w:pPr>
      <w:r w:rsidRPr="00005684">
        <w:rPr>
          <w:lang w:val="fr-FR"/>
        </w:rPr>
        <w:t>9.</w:t>
      </w:r>
      <w:r w:rsidRPr="00005684">
        <w:rPr>
          <w:lang w:val="fr-FR"/>
        </w:rPr>
        <w:tab/>
        <w:t xml:space="preserve">Aux termes de l’article 19 du </w:t>
      </w:r>
      <w:r w:rsidR="00124E51" w:rsidRPr="00005684">
        <w:rPr>
          <w:lang w:val="fr-FR"/>
        </w:rPr>
        <w:t>R</w:t>
      </w:r>
      <w:r w:rsidRPr="00005684">
        <w:rPr>
          <w:lang w:val="fr-FR"/>
        </w:rPr>
        <w:t>èglement intérieur : « La Réunion des Parties peut charger le Bureau de s’acquitter de tâches particulières avant la réunion suivante ». Dans la pratique, le Bureau se réunit au moins une fois par an et le secrétariat le consulte régulièrement par voie électronique. Il mène ses activités avec l’aide du secrétariat.</w:t>
      </w:r>
    </w:p>
    <w:p w14:paraId="57858F12" w14:textId="77777777" w:rsidR="00F51B2C" w:rsidRPr="00005684" w:rsidRDefault="00F51B2C" w:rsidP="00F51B2C">
      <w:pPr>
        <w:pStyle w:val="SingleTxtG"/>
        <w:rPr>
          <w:lang w:val="fr-FR"/>
        </w:rPr>
      </w:pPr>
      <w:r w:rsidRPr="00005684">
        <w:rPr>
          <w:lang w:val="fr-FR"/>
        </w:rPr>
        <w:t>10.</w:t>
      </w:r>
      <w:r w:rsidRPr="00005684">
        <w:rPr>
          <w:lang w:val="fr-FR"/>
        </w:rPr>
        <w:tab/>
        <w:t>Les principales fonctions du Bureau sont les suivantes :</w:t>
      </w:r>
    </w:p>
    <w:p w14:paraId="39CE958F" w14:textId="2CBDAB1A" w:rsidR="00F51B2C" w:rsidRPr="00005684" w:rsidRDefault="00F51B2C" w:rsidP="00F51B2C">
      <w:pPr>
        <w:pStyle w:val="SingleTxtG"/>
        <w:ind w:firstLine="567"/>
        <w:rPr>
          <w:lang w:val="fr-FR"/>
        </w:rPr>
      </w:pPr>
      <w:r w:rsidRPr="00005684">
        <w:rPr>
          <w:lang w:val="fr-FR"/>
        </w:rPr>
        <w:t>a)</w:t>
      </w:r>
      <w:r w:rsidRPr="00005684">
        <w:rPr>
          <w:lang w:val="fr-FR"/>
        </w:rPr>
        <w:tab/>
        <w:t>Assurer la mise en œuvre des programmes de travail et des décisions et recommandations des Réunions des Parties et en faciliter le suivi pendant les périodes intersessions , donner des conseils et des orientations et, si nécessaire, formuler des recommandations concernant la poursuite de l’élaboration des programmes de travail ou leur adaptation en fonction de l’évolution de la situation ;</w:t>
      </w:r>
    </w:p>
    <w:p w14:paraId="454C57A1" w14:textId="0359D512" w:rsidR="00F51B2C" w:rsidRPr="00005684" w:rsidRDefault="00F51B2C" w:rsidP="00F51B2C">
      <w:pPr>
        <w:pStyle w:val="SingleTxtG"/>
        <w:ind w:firstLine="567"/>
        <w:rPr>
          <w:lang w:val="fr-FR"/>
        </w:rPr>
      </w:pPr>
      <w:r w:rsidRPr="00005684">
        <w:rPr>
          <w:lang w:val="fr-FR"/>
        </w:rPr>
        <w:t>b)</w:t>
      </w:r>
      <w:r w:rsidRPr="00005684">
        <w:rPr>
          <w:lang w:val="fr-FR"/>
        </w:rPr>
        <w:tab/>
        <w:t>Aider à contrôler que les fonds sont utilisés conformément aux décisions relatives aux dispositions budgétaires et financières des Réunions des Parties, notamment en examinant les rapports financiers annuels établis par le secrétariat et en approuvant leur publication afin d’informer les Parties, en se prononçant sur l’aide financière à accorder aux participants aux réunions, en particulier les représentants d’organisations non gouvernementales (ONG) et de pays extérieurs à la région de la CEE ;</w:t>
      </w:r>
    </w:p>
    <w:p w14:paraId="1CCA9CAC" w14:textId="742FDA69" w:rsidR="00F51B2C" w:rsidRPr="00005684" w:rsidRDefault="00F51B2C" w:rsidP="00F51B2C">
      <w:pPr>
        <w:pStyle w:val="SingleTxtG"/>
        <w:ind w:firstLine="567"/>
        <w:rPr>
          <w:lang w:val="fr-FR"/>
        </w:rPr>
      </w:pPr>
      <w:r w:rsidRPr="00005684">
        <w:rPr>
          <w:lang w:val="fr-FR"/>
        </w:rPr>
        <w:t>c)</w:t>
      </w:r>
      <w:r w:rsidRPr="00005684">
        <w:rPr>
          <w:lang w:val="fr-FR"/>
        </w:rPr>
        <w:tab/>
        <w:t>Aider à préparer au mieux les réunions du Groupe de travail et les sessions des Réunions des Parties à la Convention et au Protocole, notamment en approuvant des projets d’ordre du jour et des projets de document, et en modifiant les documents en fonction des observations reçues ;</w:t>
      </w:r>
    </w:p>
    <w:p w14:paraId="23E93C84" w14:textId="0AE4EC84" w:rsidR="00F51B2C" w:rsidRPr="00005684" w:rsidRDefault="00F51B2C" w:rsidP="00F51B2C">
      <w:pPr>
        <w:pStyle w:val="SingleTxtG"/>
        <w:ind w:firstLine="567"/>
        <w:rPr>
          <w:lang w:val="fr-FR"/>
        </w:rPr>
      </w:pPr>
      <w:r w:rsidRPr="00005684">
        <w:rPr>
          <w:lang w:val="fr-FR"/>
        </w:rPr>
        <w:t>d)</w:t>
      </w:r>
      <w:r w:rsidRPr="00005684">
        <w:rPr>
          <w:lang w:val="fr-FR"/>
        </w:rPr>
        <w:tab/>
        <w:t xml:space="preserve">Contribuer au bon déroulement des préparatifs et de la tenue des réunions des organes conventionnels en pleine conformité avec le </w:t>
      </w:r>
      <w:r w:rsidR="0063342A" w:rsidRPr="00005684">
        <w:rPr>
          <w:lang w:val="fr-FR"/>
        </w:rPr>
        <w:t>R</w:t>
      </w:r>
      <w:r w:rsidRPr="00005684">
        <w:rPr>
          <w:lang w:val="fr-FR"/>
        </w:rPr>
        <w:t>èglement intérieur, et faciliter la formation de consensus et la conclusion d’accords sur les décisions et les recommandations (à moins que les Parties n’en décident autrement, le/la Président(e) ou un(e) Vice</w:t>
      </w:r>
      <w:r w:rsidR="00124E51" w:rsidRPr="00005684">
        <w:rPr>
          <w:lang w:val="fr-FR"/>
        </w:rPr>
        <w:noBreakHyphen/>
      </w:r>
      <w:r w:rsidRPr="00005684">
        <w:rPr>
          <w:lang w:val="fr-FR"/>
        </w:rPr>
        <w:t>Président(e) du Bureau préside le débat général des sessions des Réunions des Parties)</w:t>
      </w:r>
      <w:r w:rsidR="00124E51" w:rsidRPr="00005684">
        <w:rPr>
          <w:lang w:val="fr-FR"/>
        </w:rPr>
        <w:t> </w:t>
      </w:r>
      <w:r w:rsidRPr="00005684">
        <w:rPr>
          <w:lang w:val="fr-FR"/>
        </w:rPr>
        <w:t>;</w:t>
      </w:r>
    </w:p>
    <w:p w14:paraId="45C3591D" w14:textId="786A40C0" w:rsidR="00F51B2C" w:rsidRPr="00005684" w:rsidRDefault="00F51B2C" w:rsidP="00F51B2C">
      <w:pPr>
        <w:pStyle w:val="SingleTxtG"/>
        <w:ind w:firstLine="567"/>
        <w:rPr>
          <w:lang w:val="fr-FR"/>
        </w:rPr>
      </w:pPr>
      <w:r w:rsidRPr="00005684">
        <w:rPr>
          <w:lang w:val="fr-FR"/>
        </w:rPr>
        <w:t>e)</w:t>
      </w:r>
      <w:r w:rsidRPr="00005684">
        <w:rPr>
          <w:lang w:val="fr-FR"/>
        </w:rPr>
        <w:tab/>
        <w:t>Prendre des initiatives et faire des recommandations visant à renforcer et faciliter l’application de la Convention et du Protocole ;</w:t>
      </w:r>
    </w:p>
    <w:p w14:paraId="723E7A1C" w14:textId="5F2AFE05" w:rsidR="00F51B2C" w:rsidRPr="00005684" w:rsidRDefault="00F51B2C" w:rsidP="00F51B2C">
      <w:pPr>
        <w:pStyle w:val="SingleTxtG"/>
        <w:ind w:firstLine="567"/>
        <w:rPr>
          <w:lang w:val="fr-FR"/>
        </w:rPr>
      </w:pPr>
      <w:r w:rsidRPr="00005684">
        <w:rPr>
          <w:lang w:val="fr-FR"/>
        </w:rPr>
        <w:t>f)</w:t>
      </w:r>
      <w:r w:rsidRPr="00005684">
        <w:rPr>
          <w:lang w:val="fr-FR"/>
        </w:rPr>
        <w:tab/>
        <w:t>En coopération avec les partenaires concernés, y compris les organes directeurs d’autres accords multilatéraux de la CEE sur l’environnement et le Comité des politiques de l’environnement de la CEE, les organisations et programmes internationaux, les instances multilatérales et les représentants de la société civile et des ONG, mener à bien et coordonner les activités entreprises et échanger des informations sur la mise en œuvre de la Convention et du Protocole, ainsi que de leurs plans de travail ;</w:t>
      </w:r>
    </w:p>
    <w:p w14:paraId="71A86B27" w14:textId="0285493F" w:rsidR="00F51B2C" w:rsidRPr="00150DB2" w:rsidRDefault="00F51B2C" w:rsidP="00F51B2C">
      <w:pPr>
        <w:pStyle w:val="SingleTxtG"/>
        <w:ind w:firstLine="567"/>
      </w:pPr>
      <w:r w:rsidRPr="00005684">
        <w:rPr>
          <w:lang w:val="fr-FR"/>
        </w:rPr>
        <w:t>g)</w:t>
      </w:r>
      <w:r w:rsidRPr="00005684">
        <w:rPr>
          <w:lang w:val="fr-FR"/>
        </w:rPr>
        <w:tab/>
        <w:t>S’acquitter des autres tâches que lui confient</w:t>
      </w:r>
      <w:r w:rsidRPr="00005684">
        <w:rPr>
          <w:rFonts w:eastAsia="Calibri"/>
          <w:lang w:val="fr-FR"/>
        </w:rPr>
        <w:t xml:space="preserve"> les Réunions des Parties.</w:t>
      </w:r>
    </w:p>
    <w:p w14:paraId="0836A8BE" w14:textId="4E57A730" w:rsidR="00447F9A" w:rsidRPr="00F51B2C" w:rsidRDefault="00F51B2C" w:rsidP="00F51B2C">
      <w:pPr>
        <w:pStyle w:val="SingleTxtG"/>
        <w:spacing w:before="240" w:after="0"/>
        <w:jc w:val="center"/>
        <w:rPr>
          <w:u w:val="single"/>
        </w:rPr>
      </w:pPr>
      <w:r>
        <w:rPr>
          <w:u w:val="single"/>
        </w:rPr>
        <w:tab/>
      </w:r>
      <w:r>
        <w:rPr>
          <w:u w:val="single"/>
        </w:rPr>
        <w:tab/>
      </w:r>
      <w:r>
        <w:rPr>
          <w:u w:val="single"/>
        </w:rPr>
        <w:tab/>
      </w:r>
    </w:p>
    <w:sectPr w:rsidR="00447F9A" w:rsidRPr="00F51B2C" w:rsidSect="00F51B2C">
      <w:footnotePr>
        <w:numRestart w:val="eachSect"/>
      </w:footnotePr>
      <w:endnotePr>
        <w:numFmt w:val="decimal"/>
      </w:endnotePr>
      <w:pgSz w:w="11906" w:h="16838" w:code="9"/>
      <w:pgMar w:top="1417"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044B0" w14:textId="77777777" w:rsidR="00D85BFA" w:rsidRDefault="00D85BFA" w:rsidP="00F95C08">
      <w:pPr>
        <w:spacing w:line="240" w:lineRule="auto"/>
      </w:pPr>
    </w:p>
  </w:endnote>
  <w:endnote w:type="continuationSeparator" w:id="0">
    <w:p w14:paraId="3E777ED5" w14:textId="77777777" w:rsidR="00D85BFA" w:rsidRPr="00AC3823" w:rsidRDefault="00D85BFA" w:rsidP="00AC3823">
      <w:pPr>
        <w:pStyle w:val="Pieddepage"/>
      </w:pPr>
    </w:p>
  </w:endnote>
  <w:endnote w:type="continuationNotice" w:id="1">
    <w:p w14:paraId="653257BB" w14:textId="77777777" w:rsidR="00D85BFA" w:rsidRDefault="00D85B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D95B" w14:textId="6831D452" w:rsidR="00D85BFA" w:rsidRPr="00447F9A" w:rsidRDefault="00D85BFA" w:rsidP="00447F9A">
    <w:pPr>
      <w:pStyle w:val="Pieddepage"/>
      <w:tabs>
        <w:tab w:val="right" w:pos="9638"/>
      </w:tabs>
    </w:pPr>
    <w:r w:rsidRPr="00447F9A">
      <w:rPr>
        <w:b/>
        <w:sz w:val="18"/>
      </w:rPr>
      <w:fldChar w:fldCharType="begin"/>
    </w:r>
    <w:r w:rsidRPr="00447F9A">
      <w:rPr>
        <w:b/>
        <w:sz w:val="18"/>
      </w:rPr>
      <w:instrText xml:space="preserve"> PAGE  \* MERGEFORMAT </w:instrText>
    </w:r>
    <w:r w:rsidRPr="00447F9A">
      <w:rPr>
        <w:b/>
        <w:sz w:val="18"/>
      </w:rPr>
      <w:fldChar w:fldCharType="separate"/>
    </w:r>
    <w:r w:rsidRPr="00447F9A">
      <w:rPr>
        <w:b/>
        <w:noProof/>
        <w:sz w:val="18"/>
      </w:rPr>
      <w:t>2</w:t>
    </w:r>
    <w:r w:rsidRPr="00447F9A">
      <w:rPr>
        <w:b/>
        <w:sz w:val="18"/>
      </w:rPr>
      <w:fldChar w:fldCharType="end"/>
    </w:r>
    <w:r>
      <w:rPr>
        <w:b/>
        <w:sz w:val="18"/>
      </w:rPr>
      <w:tab/>
    </w:r>
    <w:r>
      <w:t>GE.21-01858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FCE1" w14:textId="5F5BF1C0" w:rsidR="00D85BFA" w:rsidRPr="00447F9A" w:rsidRDefault="00D85BFA" w:rsidP="00447F9A">
    <w:pPr>
      <w:pStyle w:val="Pieddepage"/>
      <w:tabs>
        <w:tab w:val="right" w:pos="9638"/>
      </w:tabs>
      <w:rPr>
        <w:b/>
        <w:sz w:val="18"/>
      </w:rPr>
    </w:pPr>
    <w:r>
      <w:t>GE.21-01858</w:t>
    </w:r>
    <w:r>
      <w:tab/>
    </w:r>
    <w:r w:rsidRPr="00447F9A">
      <w:rPr>
        <w:b/>
        <w:sz w:val="18"/>
      </w:rPr>
      <w:fldChar w:fldCharType="begin"/>
    </w:r>
    <w:r w:rsidRPr="00447F9A">
      <w:rPr>
        <w:b/>
        <w:sz w:val="18"/>
      </w:rPr>
      <w:instrText xml:space="preserve"> PAGE  \* MERGEFORMAT </w:instrText>
    </w:r>
    <w:r w:rsidRPr="00447F9A">
      <w:rPr>
        <w:b/>
        <w:sz w:val="18"/>
      </w:rPr>
      <w:fldChar w:fldCharType="separate"/>
    </w:r>
    <w:r w:rsidRPr="00447F9A">
      <w:rPr>
        <w:b/>
        <w:noProof/>
        <w:sz w:val="18"/>
      </w:rPr>
      <w:t>3</w:t>
    </w:r>
    <w:r w:rsidRPr="00447F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61F70" w14:textId="29FBD28B" w:rsidR="00D85BFA" w:rsidRPr="00447F9A" w:rsidRDefault="00D85BFA" w:rsidP="00447F9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0835D79" wp14:editId="7E73A53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21-01858  (F)</w:t>
    </w:r>
    <w:r>
      <w:rPr>
        <w:noProof/>
        <w:sz w:val="20"/>
      </w:rPr>
      <w:drawing>
        <wp:anchor distT="0" distB="0" distL="114300" distR="114300" simplePos="0" relativeHeight="251660288" behindDoc="0" locked="0" layoutInCell="1" allowOverlap="1" wp14:anchorId="7F5B4D93" wp14:editId="6F779FA4">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070621    080621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98128" w14:textId="77777777" w:rsidR="00D85BFA" w:rsidRPr="00AC3823" w:rsidRDefault="00D85BFA" w:rsidP="00AC3823">
      <w:pPr>
        <w:pStyle w:val="Pieddepage"/>
        <w:tabs>
          <w:tab w:val="right" w:pos="2155"/>
        </w:tabs>
        <w:spacing w:after="80" w:line="240" w:lineRule="atLeast"/>
        <w:ind w:left="680"/>
        <w:rPr>
          <w:u w:val="single"/>
        </w:rPr>
      </w:pPr>
      <w:r>
        <w:rPr>
          <w:u w:val="single"/>
        </w:rPr>
        <w:tab/>
      </w:r>
    </w:p>
  </w:footnote>
  <w:footnote w:type="continuationSeparator" w:id="0">
    <w:p w14:paraId="5448295D" w14:textId="77777777" w:rsidR="00D85BFA" w:rsidRPr="00AC3823" w:rsidRDefault="00D85BFA" w:rsidP="00AC3823">
      <w:pPr>
        <w:pStyle w:val="Pieddepage"/>
        <w:tabs>
          <w:tab w:val="right" w:pos="2155"/>
        </w:tabs>
        <w:spacing w:after="80" w:line="240" w:lineRule="atLeast"/>
        <w:ind w:left="680"/>
        <w:rPr>
          <w:u w:val="single"/>
        </w:rPr>
      </w:pPr>
      <w:r>
        <w:rPr>
          <w:u w:val="single"/>
        </w:rPr>
        <w:tab/>
      </w:r>
    </w:p>
  </w:footnote>
  <w:footnote w:type="continuationNotice" w:id="1">
    <w:p w14:paraId="78861794" w14:textId="77777777" w:rsidR="00D85BFA" w:rsidRPr="00AC3823" w:rsidRDefault="00D85BFA">
      <w:pPr>
        <w:spacing w:line="240" w:lineRule="auto"/>
        <w:rPr>
          <w:sz w:val="2"/>
          <w:szCs w:val="2"/>
        </w:rPr>
      </w:pPr>
    </w:p>
  </w:footnote>
  <w:footnote w:id="2">
    <w:p w14:paraId="2F3B48FF" w14:textId="1065C95E" w:rsidR="00D85BFA" w:rsidRPr="00653AA4" w:rsidRDefault="00D85BFA" w:rsidP="00110059">
      <w:pPr>
        <w:pStyle w:val="Notedebasdepage"/>
      </w:pPr>
      <w:r>
        <w:tab/>
      </w:r>
      <w:r w:rsidRPr="00110059">
        <w:rPr>
          <w:rStyle w:val="Appelnotedebasdep"/>
        </w:rPr>
        <w:footnoteRef/>
      </w:r>
      <w:r w:rsidRPr="00653AA4">
        <w:tab/>
        <w:t xml:space="preserve"> </w:t>
      </w:r>
      <w:r w:rsidRPr="00653AA4">
        <w:rPr>
          <w:color w:val="000000" w:themeColor="text1"/>
        </w:rPr>
        <w:t>On trouvera à l</w:t>
      </w:r>
      <w:r>
        <w:rPr>
          <w:color w:val="000000" w:themeColor="text1"/>
        </w:rPr>
        <w:t>’</w:t>
      </w:r>
      <w:r w:rsidRPr="00653AA4">
        <w:rPr>
          <w:color w:val="000000" w:themeColor="text1"/>
        </w:rPr>
        <w:t xml:space="preserve">adresse </w:t>
      </w:r>
      <w:hyperlink r:id="rId1" w:history="1">
        <w:r w:rsidRPr="00653AA4">
          <w:rPr>
            <w:rStyle w:val="Lienhypertexte"/>
          </w:rPr>
          <w:t>www.unece.org/environmental-policy/events/meeting-parties-espoo-convention-8th-session-and-meeting-parties</w:t>
        </w:r>
      </w:hyperlink>
      <w:r w:rsidRPr="00653AA4">
        <w:rPr>
          <w:color w:val="000000" w:themeColor="text1"/>
        </w:rPr>
        <w:t xml:space="preserve"> tous les documents officiels et informels soumis aux sessions, ainsi que le programme de la manifestation parallèle et les autres informations, notamment les supports d</w:t>
      </w:r>
      <w:r>
        <w:rPr>
          <w:color w:val="000000" w:themeColor="text1"/>
        </w:rPr>
        <w:t>’</w:t>
      </w:r>
      <w:r w:rsidRPr="00653AA4">
        <w:rPr>
          <w:color w:val="000000" w:themeColor="text1"/>
        </w:rPr>
        <w:t>exposés qui ont été communiqués au secrétariat et la liste des participants.</w:t>
      </w:r>
    </w:p>
  </w:footnote>
  <w:footnote w:id="3">
    <w:p w14:paraId="106C188F" w14:textId="45C3EF78" w:rsidR="00D85BFA" w:rsidRPr="00653AA4" w:rsidRDefault="00D85BFA" w:rsidP="00110059">
      <w:pPr>
        <w:pStyle w:val="Notedebasdepage"/>
      </w:pPr>
      <w:r w:rsidRPr="00653AA4">
        <w:tab/>
      </w:r>
      <w:r w:rsidRPr="00110059">
        <w:rPr>
          <w:rStyle w:val="Appelnotedebasdep"/>
        </w:rPr>
        <w:footnoteRef/>
      </w:r>
      <w:r w:rsidRPr="00653AA4">
        <w:tab/>
        <w:t xml:space="preserve">Disponible </w:t>
      </w:r>
      <w:r w:rsidRPr="00653AA4">
        <w:rPr>
          <w:color w:val="000000" w:themeColor="text1"/>
        </w:rPr>
        <w:t>à l</w:t>
      </w:r>
      <w:r>
        <w:rPr>
          <w:color w:val="000000" w:themeColor="text1"/>
        </w:rPr>
        <w:t>’</w:t>
      </w:r>
      <w:r w:rsidRPr="00653AA4">
        <w:rPr>
          <w:color w:val="000000" w:themeColor="text1"/>
        </w:rPr>
        <w:t>adresse</w:t>
      </w:r>
      <w:r w:rsidRPr="00653AA4">
        <w:t xml:space="preserve"> </w:t>
      </w:r>
      <w:hyperlink r:id="rId2" w:history="1">
        <w:r w:rsidRPr="00110059">
          <w:rPr>
            <w:rStyle w:val="Lienhypertexte"/>
          </w:rPr>
          <w:t>http://staging2.unece.org.net4all.ch/fileadmin/DAM/env/eia/documents/</w:t>
        </w:r>
        <w:r>
          <w:rPr>
            <w:rStyle w:val="Lienhypertexte"/>
          </w:rPr>
          <w:t xml:space="preserve"> </w:t>
        </w:r>
        <w:r w:rsidRPr="00110059">
          <w:rPr>
            <w:rStyle w:val="Lienhypertexte"/>
          </w:rPr>
          <w:t>MOP8_Vilnius/Informal_docs/Note_on_procedural_issues_MOP8_and_MOPMOP4_FINAL_</w:t>
        </w:r>
        <w:r w:rsidR="001F09E0">
          <w:rPr>
            <w:rStyle w:val="Lienhypertexte"/>
          </w:rPr>
          <w:t xml:space="preserve"> </w:t>
        </w:r>
        <w:r w:rsidRPr="00110059">
          <w:rPr>
            <w:rStyle w:val="Lienhypertexte"/>
          </w:rPr>
          <w:t>by_Bureau_revNov2020.pdf</w:t>
        </w:r>
      </w:hyperlink>
      <w:r w:rsidRPr="00653AA4">
        <w:t>.</w:t>
      </w:r>
    </w:p>
  </w:footnote>
  <w:footnote w:id="4">
    <w:p w14:paraId="1DF6E916" w14:textId="21B93EB1" w:rsidR="00D85BFA" w:rsidRPr="00110059" w:rsidRDefault="00D85BFA" w:rsidP="00110059">
      <w:pPr>
        <w:pStyle w:val="Notedebasdepage"/>
      </w:pPr>
      <w:r w:rsidRPr="00653AA4">
        <w:tab/>
      </w:r>
      <w:r w:rsidRPr="00110059">
        <w:rPr>
          <w:rStyle w:val="Appelnotedebasdep"/>
        </w:rPr>
        <w:footnoteRef/>
      </w:r>
      <w:r w:rsidRPr="00653AA4">
        <w:tab/>
        <w:t>La délégation bélarussienne a demandé qu</w:t>
      </w:r>
      <w:r>
        <w:t>’</w:t>
      </w:r>
      <w:r w:rsidRPr="00653AA4">
        <w:t>il soit indiqué dans le rapport sur la réunion que le Bélarus avait accepté la proposition de l</w:t>
      </w:r>
      <w:r>
        <w:t>’</w:t>
      </w:r>
      <w:r w:rsidRPr="00653AA4">
        <w:t>Union européenne, dans un esprit de coopération et de compromis, et considérait le séminaire thématique, qui pourrait éventuellement se dérouler pendant la prochaine période intersessions, comme une étape préliminaire à l</w:t>
      </w:r>
      <w:r>
        <w:t>’</w:t>
      </w:r>
      <w:r w:rsidRPr="00653AA4">
        <w:t>élaboration d</w:t>
      </w:r>
      <w:r>
        <w:t>’</w:t>
      </w:r>
      <w:r w:rsidRPr="00653AA4">
        <w:t>orientations. Par ailleurs, ayant conscience de l</w:t>
      </w:r>
      <w:r>
        <w:t>’</w:t>
      </w:r>
      <w:r w:rsidRPr="00653AA4">
        <w:t>intérêt de l</w:t>
      </w:r>
      <w:r>
        <w:t>’</w:t>
      </w:r>
      <w:r w:rsidRPr="00653AA4">
        <w:t>Union européenne pour cette question, la délégation a souhaité que l</w:t>
      </w:r>
      <w:r>
        <w:t>’</w:t>
      </w:r>
      <w:r w:rsidRPr="00653AA4">
        <w:t>Union européenne soit associée à l</w:t>
      </w:r>
      <w:r>
        <w:t>’</w:t>
      </w:r>
      <w:r w:rsidRPr="00653AA4">
        <w:t>organisation dudit séminaire.</w:t>
      </w:r>
    </w:p>
  </w:footnote>
  <w:footnote w:id="5">
    <w:p w14:paraId="2458C13E" w14:textId="6A89DBD8" w:rsidR="00D85BFA" w:rsidRPr="00653AA4" w:rsidRDefault="00D85BFA" w:rsidP="00110059">
      <w:pPr>
        <w:pStyle w:val="Notedebasdepage"/>
      </w:pPr>
      <w:r w:rsidRPr="00653AA4">
        <w:tab/>
      </w:r>
      <w:r w:rsidRPr="00110059">
        <w:rPr>
          <w:rStyle w:val="Appelnotedebasdep"/>
        </w:rPr>
        <w:footnoteRef/>
      </w:r>
      <w:r w:rsidRPr="00D85BFA">
        <w:rPr>
          <w:lang w:val="en-US"/>
        </w:rPr>
        <w:tab/>
        <w:t xml:space="preserve">Tea </w:t>
      </w:r>
      <w:proofErr w:type="spellStart"/>
      <w:r w:rsidRPr="00D85BFA">
        <w:rPr>
          <w:lang w:val="en-US"/>
        </w:rPr>
        <w:t>Aulavuo</w:t>
      </w:r>
      <w:proofErr w:type="spellEnd"/>
      <w:r w:rsidRPr="00D85BFA">
        <w:rPr>
          <w:lang w:val="en-US"/>
        </w:rPr>
        <w:t xml:space="preserve">, « Convention on Environmental Impact Assessment in a Transboundary Context », </w:t>
      </w:r>
      <w:proofErr w:type="spellStart"/>
      <w:r w:rsidRPr="00D85BFA">
        <w:rPr>
          <w:lang w:val="en-US"/>
        </w:rPr>
        <w:t>FasTips</w:t>
      </w:r>
      <w:proofErr w:type="spellEnd"/>
      <w:r w:rsidRPr="00D85BFA">
        <w:rPr>
          <w:lang w:val="en-US"/>
        </w:rPr>
        <w:t xml:space="preserve"> </w:t>
      </w:r>
      <w:r w:rsidR="00271D98" w:rsidRPr="00271D98">
        <w:rPr>
          <w:rFonts w:eastAsia="MS Mincho"/>
          <w:szCs w:val="22"/>
          <w:lang w:val="en-US"/>
        </w:rPr>
        <w:t>n</w:t>
      </w:r>
      <w:r w:rsidR="00271D98" w:rsidRPr="00271D98">
        <w:rPr>
          <w:rFonts w:eastAsia="MS Mincho"/>
          <w:szCs w:val="22"/>
          <w:vertAlign w:val="superscript"/>
          <w:lang w:val="en-US"/>
        </w:rPr>
        <w:t>o</w:t>
      </w:r>
      <w:r w:rsidR="00271D98">
        <w:rPr>
          <w:lang w:val="en-US"/>
        </w:rPr>
        <w:t> </w:t>
      </w:r>
      <w:r w:rsidRPr="00D85BFA">
        <w:rPr>
          <w:lang w:val="en-US"/>
        </w:rPr>
        <w:t>21 (</w:t>
      </w:r>
      <w:proofErr w:type="spellStart"/>
      <w:r w:rsidRPr="00D85BFA">
        <w:rPr>
          <w:lang w:val="en-US"/>
        </w:rPr>
        <w:t>mai</w:t>
      </w:r>
      <w:proofErr w:type="spellEnd"/>
      <w:r w:rsidRPr="00D85BFA">
        <w:rPr>
          <w:lang w:val="en-US"/>
        </w:rPr>
        <w:t xml:space="preserve"> 2020). </w:t>
      </w:r>
      <w:r w:rsidRPr="00653AA4">
        <w:t>Disponible à l</w:t>
      </w:r>
      <w:r>
        <w:t>’</w:t>
      </w:r>
      <w:r w:rsidRPr="00653AA4">
        <w:t xml:space="preserve">adresse </w:t>
      </w:r>
      <w:hyperlink r:id="rId3" w:history="1">
        <w:r w:rsidRPr="006E25CC">
          <w:rPr>
            <w:rStyle w:val="Lienhypertexte"/>
          </w:rPr>
          <w:t>https://www.iaia.org/fasttips.php</w:t>
        </w:r>
      </w:hyperlink>
      <w:r w:rsidRPr="00653AA4">
        <w:t>.</w:t>
      </w:r>
    </w:p>
  </w:footnote>
  <w:footnote w:id="6">
    <w:p w14:paraId="54CF80AD" w14:textId="2FF1FABE" w:rsidR="00D85BFA" w:rsidRPr="00653AA4" w:rsidRDefault="00D85BFA" w:rsidP="00110059">
      <w:pPr>
        <w:pStyle w:val="Notedebasdepage"/>
      </w:pPr>
      <w:r w:rsidRPr="00653AA4">
        <w:tab/>
      </w:r>
      <w:r w:rsidRPr="00110059">
        <w:rPr>
          <w:rStyle w:val="Appelnotedebasdep"/>
        </w:rPr>
        <w:footnoteRef/>
      </w:r>
      <w:r w:rsidRPr="00653AA4">
        <w:tab/>
        <w:t xml:space="preserve">En application des consignes relatives à la langue inclusive adoptées depuis, on écrira désormais </w:t>
      </w:r>
      <w:r>
        <w:t>« </w:t>
      </w:r>
      <w:r w:rsidRPr="00653AA4">
        <w:t>Président(e)</w:t>
      </w:r>
      <w:r>
        <w:t> »</w:t>
      </w:r>
      <w:r w:rsidRPr="00653AA4">
        <w:t xml:space="preserve"> et </w:t>
      </w:r>
      <w:r>
        <w:t>« </w:t>
      </w:r>
      <w:r w:rsidRPr="00653AA4">
        <w:t>Vice-Président(e)s</w:t>
      </w:r>
      <w:r>
        <w:t> »</w:t>
      </w:r>
      <w:r w:rsidRPr="00653AA4">
        <w:t>.</w:t>
      </w:r>
    </w:p>
  </w:footnote>
  <w:footnote w:id="7">
    <w:p w14:paraId="37884C75" w14:textId="6588926A" w:rsidR="00D85BFA" w:rsidRPr="00650537" w:rsidRDefault="00D85BFA" w:rsidP="00110059">
      <w:pPr>
        <w:pStyle w:val="Notedebasdepage"/>
      </w:pPr>
      <w:r w:rsidRPr="00653AA4">
        <w:tab/>
      </w:r>
      <w:r w:rsidRPr="00110059">
        <w:rPr>
          <w:rStyle w:val="Appelnotedebasdep"/>
        </w:rPr>
        <w:footnoteRef/>
      </w:r>
      <w:r w:rsidRPr="00650537">
        <w:tab/>
      </w:r>
      <w:r>
        <w:t>Art. </w:t>
      </w:r>
      <w:r w:rsidRPr="00650537">
        <w:t>19</w:t>
      </w:r>
      <w:r>
        <w:t>.1</w:t>
      </w:r>
      <w:r w:rsidRPr="00650537">
        <w:t xml:space="preserve"> </w:t>
      </w:r>
      <w:r>
        <w:t>du Règlement intérieur.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2613" w14:textId="031E388A" w:rsidR="00D85BFA" w:rsidRPr="00447F9A" w:rsidRDefault="00D85BFA">
    <w:pPr>
      <w:pStyle w:val="En-tte"/>
      <w:rPr>
        <w:lang w:val="es-ES"/>
      </w:rPr>
    </w:pPr>
    <w:r>
      <w:fldChar w:fldCharType="begin"/>
    </w:r>
    <w:r w:rsidRPr="00447F9A">
      <w:rPr>
        <w:lang w:val="es-ES"/>
      </w:rPr>
      <w:instrText xml:space="preserve"> TITLE  \* MERGEFORMAT </w:instrText>
    </w:r>
    <w:r>
      <w:fldChar w:fldCharType="separate"/>
    </w:r>
    <w:r w:rsidR="001F09E0">
      <w:rPr>
        <w:lang w:val="es-ES"/>
      </w:rPr>
      <w:t>ECE/MP.EIA/30</w:t>
    </w:r>
    <w:r>
      <w:fldChar w:fldCharType="end"/>
    </w:r>
    <w:r w:rsidRPr="00447F9A">
      <w:rPr>
        <w:lang w:val="es-ES"/>
      </w:rPr>
      <w:br/>
    </w:r>
    <w:r>
      <w:fldChar w:fldCharType="begin"/>
    </w:r>
    <w:r w:rsidRPr="00447F9A">
      <w:rPr>
        <w:lang w:val="es-ES"/>
      </w:rPr>
      <w:instrText xml:space="preserve"> KEYWORDS  \* MERGEFORMAT </w:instrText>
    </w:r>
    <w:r>
      <w:fldChar w:fldCharType="separate"/>
    </w:r>
    <w:r w:rsidR="001F09E0">
      <w:rPr>
        <w:lang w:val="es-ES"/>
      </w:rPr>
      <w:t>ECE/MP.EIA/SEA/13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62FB" w14:textId="560EC9EF" w:rsidR="00D85BFA" w:rsidRPr="00447F9A" w:rsidRDefault="00D85BFA" w:rsidP="00447F9A">
    <w:pPr>
      <w:pStyle w:val="En-tte"/>
      <w:jc w:val="right"/>
      <w:rPr>
        <w:lang w:val="es-ES"/>
      </w:rPr>
    </w:pPr>
    <w:r>
      <w:fldChar w:fldCharType="begin"/>
    </w:r>
    <w:r w:rsidRPr="00447F9A">
      <w:rPr>
        <w:lang w:val="es-ES"/>
      </w:rPr>
      <w:instrText xml:space="preserve"> TITLE  \* MERGEFORMAT </w:instrText>
    </w:r>
    <w:r>
      <w:fldChar w:fldCharType="separate"/>
    </w:r>
    <w:r w:rsidR="001F09E0">
      <w:rPr>
        <w:lang w:val="es-ES"/>
      </w:rPr>
      <w:t>ECE/MP.EIA/30</w:t>
    </w:r>
    <w:r>
      <w:fldChar w:fldCharType="end"/>
    </w:r>
    <w:r w:rsidRPr="00447F9A">
      <w:rPr>
        <w:lang w:val="es-ES"/>
      </w:rPr>
      <w:br/>
    </w:r>
    <w:r>
      <w:fldChar w:fldCharType="begin"/>
    </w:r>
    <w:r w:rsidRPr="00447F9A">
      <w:rPr>
        <w:lang w:val="es-ES"/>
      </w:rPr>
      <w:instrText xml:space="preserve"> KEYWORDS  \* MERGEFORMAT </w:instrText>
    </w:r>
    <w:r>
      <w:fldChar w:fldCharType="separate"/>
    </w:r>
    <w:r w:rsidR="001F09E0">
      <w:rPr>
        <w:lang w:val="es-ES"/>
      </w:rPr>
      <w:t>ECE/MP.EIA/SEA/13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Titre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Titre2"/>
      <w:lvlText w:val="%2."/>
      <w:lvlJc w:val="left"/>
      <w:pPr>
        <w:tabs>
          <w:tab w:val="num" w:pos="1440"/>
        </w:tabs>
        <w:ind w:left="1440" w:hanging="360"/>
      </w:pPr>
    </w:lvl>
    <w:lvl w:ilvl="2" w:tplc="0409001B" w:tentative="1">
      <w:start w:val="1"/>
      <w:numFmt w:val="lowerRoman"/>
      <w:pStyle w:val="Titre3"/>
      <w:lvlText w:val="%3."/>
      <w:lvlJc w:val="right"/>
      <w:pPr>
        <w:tabs>
          <w:tab w:val="num" w:pos="2160"/>
        </w:tabs>
        <w:ind w:left="2160" w:hanging="180"/>
      </w:pPr>
    </w:lvl>
    <w:lvl w:ilvl="3" w:tplc="0409000F" w:tentative="1">
      <w:start w:val="1"/>
      <w:numFmt w:val="decimal"/>
      <w:pStyle w:val="Titre4"/>
      <w:lvlText w:val="%4."/>
      <w:lvlJc w:val="left"/>
      <w:pPr>
        <w:tabs>
          <w:tab w:val="num" w:pos="2880"/>
        </w:tabs>
        <w:ind w:left="2880" w:hanging="360"/>
      </w:pPr>
    </w:lvl>
    <w:lvl w:ilvl="4" w:tplc="04090019" w:tentative="1">
      <w:start w:val="1"/>
      <w:numFmt w:val="lowerLetter"/>
      <w:pStyle w:val="Titre5"/>
      <w:lvlText w:val="%5."/>
      <w:lvlJc w:val="left"/>
      <w:pPr>
        <w:tabs>
          <w:tab w:val="num" w:pos="3600"/>
        </w:tabs>
        <w:ind w:left="3600" w:hanging="360"/>
      </w:pPr>
    </w:lvl>
    <w:lvl w:ilvl="5" w:tplc="0409001B" w:tentative="1">
      <w:start w:val="1"/>
      <w:numFmt w:val="lowerRoman"/>
      <w:pStyle w:val="Titre6"/>
      <w:lvlText w:val="%6."/>
      <w:lvlJc w:val="right"/>
      <w:pPr>
        <w:tabs>
          <w:tab w:val="num" w:pos="4320"/>
        </w:tabs>
        <w:ind w:left="4320" w:hanging="180"/>
      </w:pPr>
    </w:lvl>
    <w:lvl w:ilvl="6" w:tplc="0409000F" w:tentative="1">
      <w:start w:val="1"/>
      <w:numFmt w:val="decimal"/>
      <w:pStyle w:val="Titre7"/>
      <w:lvlText w:val="%7."/>
      <w:lvlJc w:val="left"/>
      <w:pPr>
        <w:tabs>
          <w:tab w:val="num" w:pos="5040"/>
        </w:tabs>
        <w:ind w:left="5040" w:hanging="360"/>
      </w:pPr>
    </w:lvl>
    <w:lvl w:ilvl="7" w:tplc="04090019" w:tentative="1">
      <w:start w:val="1"/>
      <w:numFmt w:val="lowerLetter"/>
      <w:pStyle w:val="Titre8"/>
      <w:lvlText w:val="%8."/>
      <w:lvlJc w:val="left"/>
      <w:pPr>
        <w:tabs>
          <w:tab w:val="num" w:pos="5760"/>
        </w:tabs>
        <w:ind w:left="5760" w:hanging="360"/>
      </w:pPr>
    </w:lvl>
    <w:lvl w:ilvl="8" w:tplc="0409001B" w:tentative="1">
      <w:start w:val="1"/>
      <w:numFmt w:val="lowerRoman"/>
      <w:pStyle w:val="Titre9"/>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351DF6"/>
    <w:multiLevelType w:val="hybridMultilevel"/>
    <w:tmpl w:val="5A68BC4C"/>
    <w:lvl w:ilvl="0" w:tplc="2834B10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0F7238F0"/>
    <w:multiLevelType w:val="hybridMultilevel"/>
    <w:tmpl w:val="F782F4C2"/>
    <w:lvl w:ilvl="0" w:tplc="040C000F">
      <w:start w:val="1"/>
      <w:numFmt w:val="decimal"/>
      <w:lvlText w:val="%1."/>
      <w:lvlJc w:val="left"/>
      <w:pPr>
        <w:ind w:left="720" w:hanging="360"/>
      </w:pPr>
      <w:rPr>
        <w:rFont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5D84212"/>
    <w:multiLevelType w:val="hybridMultilevel"/>
    <w:tmpl w:val="F4F29A5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8D52FA"/>
    <w:multiLevelType w:val="hybridMultilevel"/>
    <w:tmpl w:val="57247206"/>
    <w:lvl w:ilvl="0" w:tplc="38BA82A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C30CB9"/>
    <w:multiLevelType w:val="hybridMultilevel"/>
    <w:tmpl w:val="8C3660F4"/>
    <w:lvl w:ilvl="0" w:tplc="792AACA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200BF5"/>
    <w:multiLevelType w:val="hybridMultilevel"/>
    <w:tmpl w:val="59A81384"/>
    <w:lvl w:ilvl="0" w:tplc="979CBA3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2C962DC7"/>
    <w:multiLevelType w:val="hybridMultilevel"/>
    <w:tmpl w:val="4A1A17E0"/>
    <w:lvl w:ilvl="0" w:tplc="100E5048">
      <w:start w:val="1"/>
      <w:numFmt w:val="decimal"/>
      <w:lvlText w:val="%1."/>
      <w:lvlJc w:val="left"/>
      <w:pPr>
        <w:ind w:left="1500" w:hanging="1140"/>
      </w:pPr>
      <w:rPr>
        <w:rFonts w:hint="default"/>
      </w:rPr>
    </w:lvl>
    <w:lvl w:ilvl="1" w:tplc="2E40B2D0">
      <w:start w:val="1"/>
      <w:numFmt w:val="upperLetter"/>
      <w:lvlText w:val="%2."/>
      <w:lvlJc w:val="left"/>
      <w:pPr>
        <w:ind w:left="1605" w:hanging="525"/>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2EA813D1"/>
    <w:multiLevelType w:val="hybridMultilevel"/>
    <w:tmpl w:val="14463CE0"/>
    <w:lvl w:ilvl="0" w:tplc="36747182">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96C1927"/>
    <w:multiLevelType w:val="hybridMultilevel"/>
    <w:tmpl w:val="3DA430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3A2E297F"/>
    <w:multiLevelType w:val="hybridMultilevel"/>
    <w:tmpl w:val="35C2CCA6"/>
    <w:lvl w:ilvl="0" w:tplc="792AACAC">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792AACAC">
      <w:start w:val="1"/>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414A02F6"/>
    <w:multiLevelType w:val="hybridMultilevel"/>
    <w:tmpl w:val="8F82FD08"/>
    <w:lvl w:ilvl="0" w:tplc="00CE1BAA">
      <w:start w:val="1"/>
      <w:numFmt w:val="upp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31" w15:restartNumberingAfterBreak="0">
    <w:nsid w:val="4464746C"/>
    <w:multiLevelType w:val="hybridMultilevel"/>
    <w:tmpl w:val="45460322"/>
    <w:lvl w:ilvl="0" w:tplc="1F20740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15:restartNumberingAfterBreak="0">
    <w:nsid w:val="49080CA0"/>
    <w:multiLevelType w:val="hybridMultilevel"/>
    <w:tmpl w:val="07B62818"/>
    <w:lvl w:ilvl="0" w:tplc="040C000F">
      <w:start w:val="1"/>
      <w:numFmt w:val="decimal"/>
      <w:lvlText w:val="%1."/>
      <w:lvlJc w:val="left"/>
      <w:pPr>
        <w:ind w:left="720" w:hanging="360"/>
      </w:pPr>
      <w:rPr>
        <w:rFont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4A1C630F"/>
    <w:multiLevelType w:val="hybridMultilevel"/>
    <w:tmpl w:val="F20A095E"/>
    <w:lvl w:ilvl="0" w:tplc="792AACAC">
      <w:start w:val="1"/>
      <w:numFmt w:val="bullet"/>
      <w:lvlText w:val="‾"/>
      <w:lvlJc w:val="left"/>
      <w:pPr>
        <w:ind w:left="2988" w:hanging="360"/>
      </w:pPr>
      <w:rPr>
        <w:rFonts w:ascii="Times New Roman"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4" w15:restartNumberingAfterBreak="0">
    <w:nsid w:val="5F2B43CB"/>
    <w:multiLevelType w:val="hybridMultilevel"/>
    <w:tmpl w:val="2E8C2E0C"/>
    <w:lvl w:ilvl="0" w:tplc="5FA4860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8CD3E8A"/>
    <w:multiLevelType w:val="hybridMultilevel"/>
    <w:tmpl w:val="DA407CF0"/>
    <w:lvl w:ilvl="0" w:tplc="DD64F5D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36660F9"/>
    <w:multiLevelType w:val="hybridMultilevel"/>
    <w:tmpl w:val="7DACD1C8"/>
    <w:lvl w:ilvl="0" w:tplc="E79CFBC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A57839"/>
    <w:multiLevelType w:val="hybridMultilevel"/>
    <w:tmpl w:val="F13C422C"/>
    <w:lvl w:ilvl="0" w:tplc="792AACAC">
      <w:start w:val="1"/>
      <w:numFmt w:val="bullet"/>
      <w:lvlText w:val="‾"/>
      <w:lvlJc w:val="left"/>
      <w:pPr>
        <w:ind w:left="720" w:hanging="360"/>
      </w:pPr>
      <w:rPr>
        <w:rFonts w:ascii="Times New Roman" w:hAnsi="Times New Roman" w:cs="Times New Roman" w:hint="default"/>
      </w:rPr>
    </w:lvl>
    <w:lvl w:ilvl="1" w:tplc="792AACAC">
      <w:start w:val="1"/>
      <w:numFmt w:val="bullet"/>
      <w:lvlText w:val="‾"/>
      <w:lvlJc w:val="left"/>
      <w:pPr>
        <w:ind w:left="1440" w:hanging="360"/>
      </w:pPr>
      <w:rPr>
        <w:rFonts w:ascii="Times New Roman" w:hAnsi="Times New Roman" w:cs="Times New Roman" w:hint="default"/>
      </w:rPr>
    </w:lvl>
    <w:lvl w:ilvl="2" w:tplc="792AACAC">
      <w:start w:val="1"/>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43D71"/>
    <w:multiLevelType w:val="hybridMultilevel"/>
    <w:tmpl w:val="ED8EE504"/>
    <w:lvl w:ilvl="0" w:tplc="AA8667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DD6548D"/>
    <w:multiLevelType w:val="hybridMultilevel"/>
    <w:tmpl w:val="1504798E"/>
    <w:lvl w:ilvl="0" w:tplc="CC3825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7"/>
  </w:num>
  <w:num w:numId="2">
    <w:abstractNumId w:val="29"/>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7"/>
  </w:num>
  <w:num w:numId="15">
    <w:abstractNumId w:val="29"/>
  </w:num>
  <w:num w:numId="16">
    <w:abstractNumId w:val="12"/>
  </w:num>
  <w:num w:numId="17">
    <w:abstractNumId w:val="25"/>
  </w:num>
  <w:num w:numId="18">
    <w:abstractNumId w:val="20"/>
  </w:num>
  <w:num w:numId="19">
    <w:abstractNumId w:val="10"/>
  </w:num>
  <w:num w:numId="20">
    <w:abstractNumId w:val="17"/>
  </w:num>
  <w:num w:numId="21">
    <w:abstractNumId w:val="26"/>
  </w:num>
  <w:num w:numId="22">
    <w:abstractNumId w:val="19"/>
  </w:num>
  <w:num w:numId="23">
    <w:abstractNumId w:val="36"/>
  </w:num>
  <w:num w:numId="24">
    <w:abstractNumId w:val="40"/>
  </w:num>
  <w:num w:numId="25">
    <w:abstractNumId w:val="35"/>
  </w:num>
  <w:num w:numId="26">
    <w:abstractNumId w:val="16"/>
  </w:num>
  <w:num w:numId="27">
    <w:abstractNumId w:val="11"/>
  </w:num>
  <w:num w:numId="28">
    <w:abstractNumId w:val="33"/>
  </w:num>
  <w:num w:numId="29">
    <w:abstractNumId w:val="21"/>
  </w:num>
  <w:num w:numId="30">
    <w:abstractNumId w:val="28"/>
  </w:num>
  <w:num w:numId="31">
    <w:abstractNumId w:val="41"/>
  </w:num>
  <w:num w:numId="32">
    <w:abstractNumId w:val="27"/>
  </w:num>
  <w:num w:numId="33">
    <w:abstractNumId w:val="31"/>
  </w:num>
  <w:num w:numId="34">
    <w:abstractNumId w:val="30"/>
  </w:num>
  <w:num w:numId="35">
    <w:abstractNumId w:val="24"/>
  </w:num>
  <w:num w:numId="36">
    <w:abstractNumId w:val="34"/>
  </w:num>
  <w:num w:numId="37">
    <w:abstractNumId w:val="39"/>
  </w:num>
  <w:num w:numId="38">
    <w:abstractNumId w:val="18"/>
  </w:num>
  <w:num w:numId="39">
    <w:abstractNumId w:val="38"/>
  </w:num>
  <w:num w:numId="40">
    <w:abstractNumId w:val="43"/>
  </w:num>
  <w:num w:numId="41">
    <w:abstractNumId w:val="42"/>
  </w:num>
  <w:num w:numId="42">
    <w:abstractNumId w:val="22"/>
  </w:num>
  <w:num w:numId="43">
    <w:abstractNumId w:val="13"/>
  </w:num>
  <w:num w:numId="44">
    <w:abstractNumId w:val="15"/>
  </w:num>
  <w:num w:numId="45">
    <w:abstractNumId w:val="23"/>
  </w:num>
  <w:num w:numId="46">
    <w:abstractNumId w:val="3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FB"/>
    <w:rsid w:val="00005684"/>
    <w:rsid w:val="00017F94"/>
    <w:rsid w:val="00023842"/>
    <w:rsid w:val="00031189"/>
    <w:rsid w:val="0003340D"/>
    <w:rsid w:val="000334F9"/>
    <w:rsid w:val="0007796D"/>
    <w:rsid w:val="000B7790"/>
    <w:rsid w:val="00110059"/>
    <w:rsid w:val="00111F2F"/>
    <w:rsid w:val="00124E51"/>
    <w:rsid w:val="0014365E"/>
    <w:rsid w:val="00176178"/>
    <w:rsid w:val="001968F5"/>
    <w:rsid w:val="001B40DA"/>
    <w:rsid w:val="001F09E0"/>
    <w:rsid w:val="001F525A"/>
    <w:rsid w:val="00223272"/>
    <w:rsid w:val="0023323C"/>
    <w:rsid w:val="0024779E"/>
    <w:rsid w:val="00254C90"/>
    <w:rsid w:val="00271D98"/>
    <w:rsid w:val="002832AC"/>
    <w:rsid w:val="002B40F9"/>
    <w:rsid w:val="002D7C93"/>
    <w:rsid w:val="002F0517"/>
    <w:rsid w:val="003D6A4E"/>
    <w:rsid w:val="003F638C"/>
    <w:rsid w:val="00410D0A"/>
    <w:rsid w:val="00441C3B"/>
    <w:rsid w:val="00446FE5"/>
    <w:rsid w:val="00447F9A"/>
    <w:rsid w:val="00452396"/>
    <w:rsid w:val="004A7F97"/>
    <w:rsid w:val="004E468C"/>
    <w:rsid w:val="005031FB"/>
    <w:rsid w:val="005060AE"/>
    <w:rsid w:val="00523DFB"/>
    <w:rsid w:val="005505B7"/>
    <w:rsid w:val="00573BE5"/>
    <w:rsid w:val="00586ED3"/>
    <w:rsid w:val="00596AA9"/>
    <w:rsid w:val="005A384C"/>
    <w:rsid w:val="005D3CE6"/>
    <w:rsid w:val="005D6D16"/>
    <w:rsid w:val="005F26E5"/>
    <w:rsid w:val="006149EF"/>
    <w:rsid w:val="0063342A"/>
    <w:rsid w:val="006C0E3B"/>
    <w:rsid w:val="006E25CC"/>
    <w:rsid w:val="00712648"/>
    <w:rsid w:val="0071601D"/>
    <w:rsid w:val="007A5FC4"/>
    <w:rsid w:val="007A62E6"/>
    <w:rsid w:val="007D3A2B"/>
    <w:rsid w:val="007E02B9"/>
    <w:rsid w:val="0080684C"/>
    <w:rsid w:val="00870C7F"/>
    <w:rsid w:val="00871C75"/>
    <w:rsid w:val="00872960"/>
    <w:rsid w:val="008776DC"/>
    <w:rsid w:val="008D6B3F"/>
    <w:rsid w:val="0090540F"/>
    <w:rsid w:val="009705C8"/>
    <w:rsid w:val="009C1CF4"/>
    <w:rsid w:val="009F2D0C"/>
    <w:rsid w:val="00A14420"/>
    <w:rsid w:val="00A30353"/>
    <w:rsid w:val="00AC3823"/>
    <w:rsid w:val="00AE323C"/>
    <w:rsid w:val="00B00181"/>
    <w:rsid w:val="00B00B0D"/>
    <w:rsid w:val="00B14312"/>
    <w:rsid w:val="00B61815"/>
    <w:rsid w:val="00B765F7"/>
    <w:rsid w:val="00BA0CA9"/>
    <w:rsid w:val="00C02897"/>
    <w:rsid w:val="00C02EB4"/>
    <w:rsid w:val="00C554CE"/>
    <w:rsid w:val="00CA5081"/>
    <w:rsid w:val="00CE265F"/>
    <w:rsid w:val="00CE26D2"/>
    <w:rsid w:val="00D3439C"/>
    <w:rsid w:val="00D503D3"/>
    <w:rsid w:val="00D85BFA"/>
    <w:rsid w:val="00DA5425"/>
    <w:rsid w:val="00DB1831"/>
    <w:rsid w:val="00DD3BFD"/>
    <w:rsid w:val="00DD742A"/>
    <w:rsid w:val="00DF5712"/>
    <w:rsid w:val="00DF6678"/>
    <w:rsid w:val="00E17F0C"/>
    <w:rsid w:val="00E55617"/>
    <w:rsid w:val="00E96BD6"/>
    <w:rsid w:val="00EA0890"/>
    <w:rsid w:val="00ED3771"/>
    <w:rsid w:val="00ED5F56"/>
    <w:rsid w:val="00EE22F9"/>
    <w:rsid w:val="00EE50F0"/>
    <w:rsid w:val="00EF2E22"/>
    <w:rsid w:val="00F274A2"/>
    <w:rsid w:val="00F51B2C"/>
    <w:rsid w:val="00F660DF"/>
    <w:rsid w:val="00F95C08"/>
    <w:rsid w:val="00FB462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10C909"/>
  <w15:docId w15:val="{8CCF7FC6-239A-45BC-9CC2-ADFA29C8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4420"/>
    <w:rPr>
      <w:rFonts w:ascii="Tahoma" w:hAnsi="Tahoma" w:cs="Tahoma"/>
      <w:sz w:val="16"/>
      <w:szCs w:val="16"/>
      <w:lang w:eastAsia="en-US"/>
    </w:rPr>
  </w:style>
  <w:style w:type="character" w:customStyle="1" w:styleId="H23GChar">
    <w:name w:val="_ H_2/3_G Char"/>
    <w:link w:val="H23G"/>
    <w:rsid w:val="00447F9A"/>
    <w:rPr>
      <w:rFonts w:ascii="Times New Roman" w:eastAsiaTheme="minorHAnsi" w:hAnsi="Times New Roman" w:cs="Times New Roman"/>
      <w:b/>
      <w:sz w:val="20"/>
      <w:szCs w:val="20"/>
      <w:lang w:eastAsia="en-US"/>
    </w:rPr>
  </w:style>
  <w:style w:type="character" w:customStyle="1" w:styleId="HChGChar">
    <w:name w:val="_ H _Ch_G Char"/>
    <w:link w:val="HChG"/>
    <w:rsid w:val="00447F9A"/>
    <w:rPr>
      <w:rFonts w:ascii="Times New Roman" w:eastAsiaTheme="minorHAnsi" w:hAnsi="Times New Roman" w:cs="Times New Roman"/>
      <w:b/>
      <w:sz w:val="28"/>
      <w:szCs w:val="20"/>
      <w:lang w:eastAsia="en-US"/>
    </w:rPr>
  </w:style>
  <w:style w:type="paragraph" w:styleId="Commentaire">
    <w:name w:val="annotation text"/>
    <w:basedOn w:val="Normal"/>
    <w:link w:val="CommentaireCar"/>
    <w:rsid w:val="00447F9A"/>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rsid w:val="00447F9A"/>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rsid w:val="00447F9A"/>
    <w:rPr>
      <w:b/>
      <w:bCs/>
    </w:rPr>
  </w:style>
  <w:style w:type="character" w:customStyle="1" w:styleId="ObjetducommentaireCar">
    <w:name w:val="Objet du commentaire Car"/>
    <w:basedOn w:val="CommentaireCar"/>
    <w:link w:val="Objetducommentaire"/>
    <w:rsid w:val="00447F9A"/>
    <w:rPr>
      <w:rFonts w:ascii="Times New Roman" w:hAnsi="Times New Roman" w:cs="Times New Roman"/>
      <w:b/>
      <w:bCs/>
      <w:sz w:val="20"/>
      <w:szCs w:val="20"/>
      <w:lang w:val="en-GB" w:eastAsia="en-US"/>
    </w:rPr>
  </w:style>
  <w:style w:type="paragraph" w:styleId="Textebrut">
    <w:name w:val="Plain Text"/>
    <w:basedOn w:val="Normal"/>
    <w:link w:val="TextebrutCar"/>
    <w:rsid w:val="00447F9A"/>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447F9A"/>
    <w:rPr>
      <w:rFonts w:ascii="Times New Roman" w:hAnsi="Times New Roman" w:cs="Courier New"/>
      <w:sz w:val="20"/>
      <w:szCs w:val="20"/>
      <w:lang w:val="en-GB" w:eastAsia="en-US"/>
    </w:rPr>
  </w:style>
  <w:style w:type="paragraph" w:styleId="Corpsdetexte">
    <w:name w:val="Body Text"/>
    <w:basedOn w:val="Normal"/>
    <w:next w:val="Normal"/>
    <w:link w:val="CorpsdetexteCar"/>
    <w:rsid w:val="00447F9A"/>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rsid w:val="00447F9A"/>
    <w:rPr>
      <w:rFonts w:ascii="Times New Roman" w:hAnsi="Times New Roman" w:cs="Times New Roman"/>
      <w:sz w:val="20"/>
      <w:szCs w:val="20"/>
      <w:lang w:val="en-GB" w:eastAsia="en-US"/>
    </w:rPr>
  </w:style>
  <w:style w:type="paragraph" w:styleId="Retraitcorpsdetexte">
    <w:name w:val="Body Text Indent"/>
    <w:basedOn w:val="Normal"/>
    <w:link w:val="RetraitcorpsdetexteCar"/>
    <w:rsid w:val="00447F9A"/>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rsid w:val="00447F9A"/>
    <w:rPr>
      <w:rFonts w:ascii="Times New Roman" w:hAnsi="Times New Roman" w:cs="Times New Roman"/>
      <w:sz w:val="20"/>
      <w:szCs w:val="20"/>
      <w:lang w:val="en-GB" w:eastAsia="en-US"/>
    </w:rPr>
  </w:style>
  <w:style w:type="paragraph" w:styleId="Normalcentr">
    <w:name w:val="Block Text"/>
    <w:basedOn w:val="Normal"/>
    <w:rsid w:val="00447F9A"/>
    <w:pPr>
      <w:kinsoku/>
      <w:overflowPunct/>
      <w:autoSpaceDE/>
      <w:autoSpaceDN/>
      <w:adjustRightInd/>
      <w:snapToGrid/>
      <w:ind w:left="1440" w:right="1440"/>
    </w:pPr>
    <w:rPr>
      <w:rFonts w:eastAsia="Times New Roman"/>
      <w:lang w:val="en-GB"/>
    </w:rPr>
  </w:style>
  <w:style w:type="character" w:styleId="Marquedecommentaire">
    <w:name w:val="annotation reference"/>
    <w:rsid w:val="00447F9A"/>
    <w:rPr>
      <w:sz w:val="6"/>
    </w:rPr>
  </w:style>
  <w:style w:type="character" w:styleId="Numrodeligne">
    <w:name w:val="line number"/>
    <w:rsid w:val="00447F9A"/>
    <w:rPr>
      <w:sz w:val="14"/>
    </w:rPr>
  </w:style>
  <w:style w:type="numbering" w:styleId="111111">
    <w:name w:val="Outline List 2"/>
    <w:basedOn w:val="Aucuneliste"/>
    <w:rsid w:val="00447F9A"/>
  </w:style>
  <w:style w:type="numbering" w:styleId="1ai">
    <w:name w:val="Outline List 1"/>
    <w:basedOn w:val="Aucuneliste"/>
    <w:rsid w:val="00447F9A"/>
  </w:style>
  <w:style w:type="numbering" w:styleId="ArticleSection">
    <w:name w:val="Outline List 3"/>
    <w:basedOn w:val="Aucuneliste"/>
    <w:rsid w:val="00447F9A"/>
  </w:style>
  <w:style w:type="paragraph" w:styleId="Corpsdetexte2">
    <w:name w:val="Body Text 2"/>
    <w:basedOn w:val="Normal"/>
    <w:link w:val="Corpsdetexte2Car"/>
    <w:rsid w:val="00447F9A"/>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447F9A"/>
    <w:rPr>
      <w:rFonts w:ascii="Times New Roman" w:hAnsi="Times New Roman" w:cs="Times New Roman"/>
      <w:sz w:val="20"/>
      <w:szCs w:val="20"/>
      <w:lang w:val="en-GB" w:eastAsia="en-US"/>
    </w:rPr>
  </w:style>
  <w:style w:type="paragraph" w:styleId="Corpsdetexte3">
    <w:name w:val="Body Text 3"/>
    <w:basedOn w:val="Normal"/>
    <w:link w:val="Corpsdetexte3Car"/>
    <w:rsid w:val="00447F9A"/>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447F9A"/>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447F9A"/>
    <w:pPr>
      <w:spacing w:after="120"/>
      <w:ind w:firstLine="210"/>
    </w:pPr>
  </w:style>
  <w:style w:type="character" w:customStyle="1" w:styleId="Retrait1religneCar">
    <w:name w:val="Retrait 1re ligne Car"/>
    <w:basedOn w:val="CorpsdetexteCar"/>
    <w:link w:val="Retrait1religne"/>
    <w:rsid w:val="00447F9A"/>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447F9A"/>
    <w:pPr>
      <w:ind w:firstLine="210"/>
    </w:pPr>
  </w:style>
  <w:style w:type="character" w:customStyle="1" w:styleId="Retraitcorpset1religCar">
    <w:name w:val="Retrait corps et 1re lig. Car"/>
    <w:basedOn w:val="RetraitcorpsdetexteCar"/>
    <w:link w:val="Retraitcorpset1relig"/>
    <w:rsid w:val="00447F9A"/>
    <w:rPr>
      <w:rFonts w:ascii="Times New Roman" w:hAnsi="Times New Roman" w:cs="Times New Roman"/>
      <w:sz w:val="20"/>
      <w:szCs w:val="20"/>
      <w:lang w:val="en-GB" w:eastAsia="en-US"/>
    </w:rPr>
  </w:style>
  <w:style w:type="paragraph" w:styleId="Retraitcorpsdetexte2">
    <w:name w:val="Body Text Indent 2"/>
    <w:basedOn w:val="Normal"/>
    <w:link w:val="Retraitcorpsdetexte2Car"/>
    <w:rsid w:val="00447F9A"/>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rsid w:val="00447F9A"/>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447F9A"/>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447F9A"/>
    <w:rPr>
      <w:rFonts w:ascii="Times New Roman" w:hAnsi="Times New Roman" w:cs="Times New Roman"/>
      <w:sz w:val="16"/>
      <w:szCs w:val="16"/>
      <w:lang w:val="en-GB" w:eastAsia="en-US"/>
    </w:rPr>
  </w:style>
  <w:style w:type="paragraph" w:styleId="Formuledepolitesse">
    <w:name w:val="Closing"/>
    <w:basedOn w:val="Normal"/>
    <w:link w:val="FormuledepolitesseCar"/>
    <w:rsid w:val="00447F9A"/>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447F9A"/>
    <w:rPr>
      <w:rFonts w:ascii="Times New Roman" w:hAnsi="Times New Roman" w:cs="Times New Roman"/>
      <w:sz w:val="20"/>
      <w:szCs w:val="20"/>
      <w:lang w:val="en-GB" w:eastAsia="en-US"/>
    </w:rPr>
  </w:style>
  <w:style w:type="paragraph" w:styleId="Date">
    <w:name w:val="Date"/>
    <w:basedOn w:val="Normal"/>
    <w:next w:val="Normal"/>
    <w:link w:val="DateCar"/>
    <w:rsid w:val="00447F9A"/>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447F9A"/>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447F9A"/>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447F9A"/>
    <w:rPr>
      <w:rFonts w:ascii="Times New Roman" w:hAnsi="Times New Roman" w:cs="Times New Roman"/>
      <w:sz w:val="20"/>
      <w:szCs w:val="20"/>
      <w:lang w:val="en-GB" w:eastAsia="en-US"/>
    </w:rPr>
  </w:style>
  <w:style w:type="character" w:styleId="Accentuation">
    <w:name w:val="Emphasis"/>
    <w:qFormat/>
    <w:rsid w:val="00447F9A"/>
    <w:rPr>
      <w:i/>
      <w:iCs/>
    </w:rPr>
  </w:style>
  <w:style w:type="paragraph" w:styleId="Adresseexpditeur">
    <w:name w:val="envelope return"/>
    <w:basedOn w:val="Normal"/>
    <w:rsid w:val="00447F9A"/>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rsid w:val="00447F9A"/>
  </w:style>
  <w:style w:type="paragraph" w:styleId="AdresseHTML">
    <w:name w:val="HTML Address"/>
    <w:basedOn w:val="Normal"/>
    <w:link w:val="AdresseHTMLCar"/>
    <w:rsid w:val="00447F9A"/>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447F9A"/>
    <w:rPr>
      <w:rFonts w:ascii="Times New Roman" w:hAnsi="Times New Roman" w:cs="Times New Roman"/>
      <w:i/>
      <w:iCs/>
      <w:sz w:val="20"/>
      <w:szCs w:val="20"/>
      <w:lang w:val="en-GB" w:eastAsia="en-US"/>
    </w:rPr>
  </w:style>
  <w:style w:type="character" w:styleId="CitationHTML">
    <w:name w:val="HTML Cite"/>
    <w:rsid w:val="00447F9A"/>
    <w:rPr>
      <w:i/>
      <w:iCs/>
    </w:rPr>
  </w:style>
  <w:style w:type="character" w:styleId="CodeHTML">
    <w:name w:val="HTML Code"/>
    <w:rsid w:val="00447F9A"/>
    <w:rPr>
      <w:rFonts w:ascii="Courier New" w:hAnsi="Courier New" w:cs="Courier New"/>
      <w:sz w:val="20"/>
      <w:szCs w:val="20"/>
    </w:rPr>
  </w:style>
  <w:style w:type="character" w:styleId="DfinitionHTML">
    <w:name w:val="HTML Definition"/>
    <w:rsid w:val="00447F9A"/>
    <w:rPr>
      <w:i/>
      <w:iCs/>
    </w:rPr>
  </w:style>
  <w:style w:type="character" w:styleId="ClavierHTML">
    <w:name w:val="HTML Keyboard"/>
    <w:rsid w:val="00447F9A"/>
    <w:rPr>
      <w:rFonts w:ascii="Courier New" w:hAnsi="Courier New" w:cs="Courier New"/>
      <w:sz w:val="20"/>
      <w:szCs w:val="20"/>
    </w:rPr>
  </w:style>
  <w:style w:type="paragraph" w:styleId="PrformatHTML">
    <w:name w:val="HTML Preformatted"/>
    <w:basedOn w:val="Normal"/>
    <w:link w:val="PrformatHTMLCar"/>
    <w:rsid w:val="00447F9A"/>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447F9A"/>
    <w:rPr>
      <w:rFonts w:ascii="Courier New" w:hAnsi="Courier New" w:cs="Courier New"/>
      <w:sz w:val="20"/>
      <w:szCs w:val="20"/>
      <w:lang w:val="en-GB" w:eastAsia="en-US"/>
    </w:rPr>
  </w:style>
  <w:style w:type="character" w:styleId="ExempleHTML">
    <w:name w:val="HTML Sample"/>
    <w:rsid w:val="00447F9A"/>
    <w:rPr>
      <w:rFonts w:ascii="Courier New" w:hAnsi="Courier New" w:cs="Courier New"/>
    </w:rPr>
  </w:style>
  <w:style w:type="character" w:styleId="MachinecrireHTML">
    <w:name w:val="HTML Typewriter"/>
    <w:rsid w:val="00447F9A"/>
    <w:rPr>
      <w:rFonts w:ascii="Courier New" w:hAnsi="Courier New" w:cs="Courier New"/>
      <w:sz w:val="20"/>
      <w:szCs w:val="20"/>
    </w:rPr>
  </w:style>
  <w:style w:type="character" w:styleId="VariableHTML">
    <w:name w:val="HTML Variable"/>
    <w:rsid w:val="00447F9A"/>
    <w:rPr>
      <w:i/>
      <w:iCs/>
    </w:rPr>
  </w:style>
  <w:style w:type="paragraph" w:styleId="Liste">
    <w:name w:val="List"/>
    <w:basedOn w:val="Normal"/>
    <w:rsid w:val="00447F9A"/>
    <w:pPr>
      <w:kinsoku/>
      <w:overflowPunct/>
      <w:autoSpaceDE/>
      <w:autoSpaceDN/>
      <w:adjustRightInd/>
      <w:snapToGrid/>
      <w:ind w:left="283" w:hanging="283"/>
    </w:pPr>
    <w:rPr>
      <w:rFonts w:eastAsia="Times New Roman"/>
      <w:lang w:val="en-GB"/>
    </w:rPr>
  </w:style>
  <w:style w:type="paragraph" w:styleId="Liste2">
    <w:name w:val="List 2"/>
    <w:basedOn w:val="Normal"/>
    <w:rsid w:val="00447F9A"/>
    <w:pPr>
      <w:kinsoku/>
      <w:overflowPunct/>
      <w:autoSpaceDE/>
      <w:autoSpaceDN/>
      <w:adjustRightInd/>
      <w:snapToGrid/>
      <w:ind w:left="566" w:hanging="283"/>
    </w:pPr>
    <w:rPr>
      <w:rFonts w:eastAsia="Times New Roman"/>
      <w:lang w:val="en-GB"/>
    </w:rPr>
  </w:style>
  <w:style w:type="paragraph" w:styleId="Liste3">
    <w:name w:val="List 3"/>
    <w:basedOn w:val="Normal"/>
    <w:rsid w:val="00447F9A"/>
    <w:pPr>
      <w:kinsoku/>
      <w:overflowPunct/>
      <w:autoSpaceDE/>
      <w:autoSpaceDN/>
      <w:adjustRightInd/>
      <w:snapToGrid/>
      <w:ind w:left="849" w:hanging="283"/>
    </w:pPr>
    <w:rPr>
      <w:rFonts w:eastAsia="Times New Roman"/>
      <w:lang w:val="en-GB"/>
    </w:rPr>
  </w:style>
  <w:style w:type="paragraph" w:styleId="Liste4">
    <w:name w:val="List 4"/>
    <w:basedOn w:val="Normal"/>
    <w:rsid w:val="00447F9A"/>
    <w:pPr>
      <w:kinsoku/>
      <w:overflowPunct/>
      <w:autoSpaceDE/>
      <w:autoSpaceDN/>
      <w:adjustRightInd/>
      <w:snapToGrid/>
      <w:ind w:left="1132" w:hanging="283"/>
    </w:pPr>
    <w:rPr>
      <w:rFonts w:eastAsia="Times New Roman"/>
      <w:lang w:val="en-GB"/>
    </w:rPr>
  </w:style>
  <w:style w:type="paragraph" w:styleId="Liste5">
    <w:name w:val="List 5"/>
    <w:basedOn w:val="Normal"/>
    <w:rsid w:val="00447F9A"/>
    <w:pPr>
      <w:kinsoku/>
      <w:overflowPunct/>
      <w:autoSpaceDE/>
      <w:autoSpaceDN/>
      <w:adjustRightInd/>
      <w:snapToGrid/>
      <w:ind w:left="1415" w:hanging="283"/>
    </w:pPr>
    <w:rPr>
      <w:rFonts w:eastAsia="Times New Roman"/>
      <w:lang w:val="en-GB"/>
    </w:rPr>
  </w:style>
  <w:style w:type="paragraph" w:styleId="Listepuces">
    <w:name w:val="List Bullet"/>
    <w:basedOn w:val="Normal"/>
    <w:rsid w:val="00447F9A"/>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447F9A"/>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447F9A"/>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447F9A"/>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447F9A"/>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447F9A"/>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447F9A"/>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447F9A"/>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447F9A"/>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447F9A"/>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447F9A"/>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447F9A"/>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447F9A"/>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447F9A"/>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447F9A"/>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447F9A"/>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447F9A"/>
    <w:rPr>
      <w:rFonts w:ascii="Arial" w:hAnsi="Arial" w:cs="Arial"/>
      <w:sz w:val="24"/>
      <w:szCs w:val="24"/>
      <w:shd w:val="pct20" w:color="auto" w:fill="auto"/>
      <w:lang w:val="en-GB" w:eastAsia="en-US"/>
    </w:rPr>
  </w:style>
  <w:style w:type="paragraph" w:styleId="NormalWeb">
    <w:name w:val="Normal (Web)"/>
    <w:basedOn w:val="Normal"/>
    <w:uiPriority w:val="99"/>
    <w:rsid w:val="00447F9A"/>
    <w:pPr>
      <w:kinsoku/>
      <w:overflowPunct/>
      <w:autoSpaceDE/>
      <w:autoSpaceDN/>
      <w:adjustRightInd/>
      <w:snapToGrid/>
    </w:pPr>
    <w:rPr>
      <w:rFonts w:eastAsia="Times New Roman"/>
      <w:sz w:val="24"/>
      <w:szCs w:val="24"/>
      <w:lang w:val="en-GB"/>
    </w:rPr>
  </w:style>
  <w:style w:type="paragraph" w:styleId="Retraitnormal">
    <w:name w:val="Normal Indent"/>
    <w:basedOn w:val="Normal"/>
    <w:rsid w:val="00447F9A"/>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447F9A"/>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447F9A"/>
    <w:rPr>
      <w:rFonts w:ascii="Times New Roman" w:hAnsi="Times New Roman" w:cs="Times New Roman"/>
      <w:sz w:val="20"/>
      <w:szCs w:val="20"/>
      <w:lang w:val="en-GB" w:eastAsia="en-US"/>
    </w:rPr>
  </w:style>
  <w:style w:type="paragraph" w:styleId="Salutations">
    <w:name w:val="Salutation"/>
    <w:basedOn w:val="Normal"/>
    <w:next w:val="Normal"/>
    <w:link w:val="SalutationsCar"/>
    <w:rsid w:val="00447F9A"/>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447F9A"/>
    <w:rPr>
      <w:rFonts w:ascii="Times New Roman" w:hAnsi="Times New Roman" w:cs="Times New Roman"/>
      <w:sz w:val="20"/>
      <w:szCs w:val="20"/>
      <w:lang w:val="en-GB" w:eastAsia="en-US"/>
    </w:rPr>
  </w:style>
  <w:style w:type="paragraph" w:styleId="Signature">
    <w:name w:val="Signature"/>
    <w:basedOn w:val="Normal"/>
    <w:link w:val="SignatureCar"/>
    <w:rsid w:val="00447F9A"/>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447F9A"/>
    <w:rPr>
      <w:rFonts w:ascii="Times New Roman" w:hAnsi="Times New Roman" w:cs="Times New Roman"/>
      <w:sz w:val="20"/>
      <w:szCs w:val="20"/>
      <w:lang w:val="en-GB" w:eastAsia="en-US"/>
    </w:rPr>
  </w:style>
  <w:style w:type="character" w:styleId="lev">
    <w:name w:val="Strong"/>
    <w:qFormat/>
    <w:rsid w:val="00447F9A"/>
    <w:rPr>
      <w:b/>
      <w:bCs/>
    </w:rPr>
  </w:style>
  <w:style w:type="paragraph" w:styleId="Sous-titre">
    <w:name w:val="Subtitle"/>
    <w:basedOn w:val="Normal"/>
    <w:link w:val="Sous-titreCar"/>
    <w:qFormat/>
    <w:rsid w:val="00447F9A"/>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447F9A"/>
    <w:rPr>
      <w:rFonts w:ascii="Arial" w:hAnsi="Arial" w:cs="Arial"/>
      <w:sz w:val="24"/>
      <w:szCs w:val="24"/>
      <w:lang w:val="en-GB" w:eastAsia="en-US"/>
    </w:rPr>
  </w:style>
  <w:style w:type="table" w:styleId="Effetsdetableau3D1">
    <w:name w:val="Table 3D effects 1"/>
    <w:basedOn w:val="TableauNormal"/>
    <w:rsid w:val="00447F9A"/>
    <w:pPr>
      <w:suppressAutoHyphens/>
      <w:spacing w:after="0" w:line="240" w:lineRule="atLeast"/>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447F9A"/>
    <w:pPr>
      <w:suppressAutoHyphens/>
      <w:spacing w:after="0" w:line="240" w:lineRule="atLeast"/>
    </w:pPr>
    <w:rPr>
      <w:rFonts w:ascii="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447F9A"/>
    <w:pPr>
      <w:suppressAutoHyphens/>
      <w:spacing w:after="0" w:line="240" w:lineRule="atLeast"/>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447F9A"/>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447F9A"/>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447F9A"/>
    <w:pPr>
      <w:suppressAutoHyphens/>
      <w:spacing w:after="0" w:line="240" w:lineRule="atLeast"/>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447F9A"/>
    <w:pPr>
      <w:suppressAutoHyphens/>
      <w:spacing w:after="0" w:line="240" w:lineRule="atLeast"/>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447F9A"/>
    <w:pPr>
      <w:suppressAutoHyphens/>
      <w:spacing w:after="0" w:line="240" w:lineRule="atLeast"/>
    </w:pPr>
    <w:rPr>
      <w:rFonts w:ascii="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447F9A"/>
    <w:pPr>
      <w:suppressAutoHyphens/>
      <w:spacing w:after="0" w:line="240" w:lineRule="atLeast"/>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447F9A"/>
    <w:pPr>
      <w:suppressAutoHyphens/>
      <w:spacing w:after="0" w:line="240" w:lineRule="atLeast"/>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447F9A"/>
    <w:pPr>
      <w:suppressAutoHyphens/>
      <w:spacing w:after="0" w:line="240" w:lineRule="atLeast"/>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447F9A"/>
    <w:pPr>
      <w:suppressAutoHyphens/>
      <w:spacing w:after="0" w:line="240" w:lineRule="atLeast"/>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447F9A"/>
    <w:pPr>
      <w:suppressAutoHyphens/>
      <w:spacing w:after="0" w:line="240" w:lineRule="atLeast"/>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447F9A"/>
    <w:pPr>
      <w:suppressAutoHyphens/>
      <w:spacing w:after="0" w:line="240" w:lineRule="atLeast"/>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447F9A"/>
    <w:pPr>
      <w:suppressAutoHyphens/>
      <w:spacing w:after="0" w:line="240" w:lineRule="atLeast"/>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447F9A"/>
    <w:pPr>
      <w:suppressAutoHyphens/>
      <w:spacing w:after="0" w:line="240" w:lineRule="atLeast"/>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447F9A"/>
    <w:pPr>
      <w:suppressAutoHyphens/>
      <w:spacing w:after="0" w:line="240" w:lineRule="atLeast"/>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447F9A"/>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447F9A"/>
    <w:pPr>
      <w:suppressAutoHyphens/>
      <w:spacing w:after="0" w:line="240" w:lineRule="atLeast"/>
    </w:pPr>
    <w:rPr>
      <w:rFonts w:ascii="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447F9A"/>
    <w:pPr>
      <w:suppressAutoHyphens/>
      <w:spacing w:after="0" w:line="240" w:lineRule="atLeast"/>
    </w:pPr>
    <w:rPr>
      <w:rFonts w:ascii="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447F9A"/>
    <w:pPr>
      <w:suppressAutoHyphens/>
      <w:spacing w:after="0" w:line="240" w:lineRule="atLeast"/>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447F9A"/>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447F9A"/>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447F9A"/>
    <w:pPr>
      <w:suppressAutoHyphens/>
      <w:spacing w:after="0" w:line="240" w:lineRule="atLeast"/>
    </w:pPr>
    <w:rPr>
      <w:rFonts w:ascii="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447F9A"/>
    <w:pPr>
      <w:suppressAutoHyphens/>
      <w:spacing w:after="0" w:line="240" w:lineRule="atLeast"/>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447F9A"/>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447F9A"/>
    <w:pPr>
      <w:suppressAutoHyphens/>
      <w:spacing w:after="0" w:line="240" w:lineRule="atLeast"/>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447F9A"/>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447F9A"/>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447F9A"/>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447F9A"/>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447F9A"/>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447F9A"/>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447F9A"/>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447F9A"/>
    <w:pPr>
      <w:suppressAutoHyphens/>
      <w:spacing w:after="0" w:line="240" w:lineRule="atLeast"/>
    </w:pPr>
    <w:rPr>
      <w:rFonts w:ascii="Times New Roman" w:hAnsi="Times New Roman" w:cs="Times New Roman"/>
      <w:sz w:val="20"/>
      <w:szCs w:val="20"/>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447F9A"/>
    <w:pPr>
      <w:suppressAutoHyphens/>
      <w:spacing w:after="0" w:line="240" w:lineRule="atLeast"/>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447F9A"/>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447F9A"/>
    <w:pPr>
      <w:suppressAutoHyphens/>
      <w:spacing w:after="0" w:line="240" w:lineRule="atLeast"/>
    </w:pPr>
    <w:rPr>
      <w:rFonts w:ascii="Times New Roman" w:hAnsi="Times New Roman" w:cs="Times New Roman"/>
      <w:sz w:val="20"/>
      <w:szCs w:val="20"/>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447F9A"/>
    <w:pPr>
      <w:suppressAutoHyphens/>
      <w:spacing w:after="0" w:line="240" w:lineRule="atLeast"/>
    </w:pPr>
    <w:rPr>
      <w:rFonts w:ascii="Times New Roman" w:hAnsi="Times New Roman" w:cs="Times New Roman"/>
      <w:sz w:val="20"/>
      <w:szCs w:val="20"/>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447F9A"/>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447F9A"/>
    <w:pPr>
      <w:suppressAutoHyphens/>
      <w:spacing w:after="0" w:line="240" w:lineRule="atLeast"/>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447F9A"/>
    <w:pPr>
      <w:suppressAutoHyphens/>
      <w:spacing w:after="0" w:line="240" w:lineRule="atLeast"/>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447F9A"/>
    <w:pPr>
      <w:suppressAutoHyphens/>
      <w:spacing w:after="0" w:line="240" w:lineRule="atLeast"/>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447F9A"/>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447F9A"/>
    <w:rPr>
      <w:rFonts w:ascii="Arial" w:hAnsi="Arial" w:cs="Arial"/>
      <w:b/>
      <w:bCs/>
      <w:kern w:val="28"/>
      <w:sz w:val="32"/>
      <w:szCs w:val="32"/>
      <w:lang w:val="en-GB" w:eastAsia="en-US"/>
    </w:rPr>
  </w:style>
  <w:style w:type="paragraph" w:styleId="Adressedestinataire">
    <w:name w:val="envelope address"/>
    <w:basedOn w:val="Normal"/>
    <w:rsid w:val="00447F9A"/>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1GChar">
    <w:name w:val="_ H_1_G Char"/>
    <w:link w:val="H1G"/>
    <w:rsid w:val="00447F9A"/>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447F9A"/>
    <w:rPr>
      <w:rFonts w:ascii="Times New Roman" w:eastAsiaTheme="minorHAnsi" w:hAnsi="Times New Roman" w:cs="Times New Roman"/>
      <w:sz w:val="20"/>
      <w:szCs w:val="20"/>
      <w:lang w:eastAsia="en-US"/>
    </w:rPr>
  </w:style>
  <w:style w:type="paragraph" w:customStyle="1" w:styleId="ListParagraph1">
    <w:name w:val="List Paragraph1"/>
    <w:aliases w:val="Heading Number"/>
    <w:basedOn w:val="Normal"/>
    <w:link w:val="ListParagraphChar"/>
    <w:uiPriority w:val="34"/>
    <w:qFormat/>
    <w:rsid w:val="00447F9A"/>
    <w:pPr>
      <w:suppressAutoHyphens w:val="0"/>
      <w:kinsoku/>
      <w:overflowPunct/>
      <w:autoSpaceDE/>
      <w:autoSpaceDN/>
      <w:adjustRightInd/>
      <w:snapToGrid/>
      <w:spacing w:line="240" w:lineRule="auto"/>
      <w:ind w:left="720"/>
    </w:pPr>
    <w:rPr>
      <w:rFonts w:eastAsia="Times New Roman"/>
      <w:sz w:val="24"/>
      <w:szCs w:val="24"/>
      <w:lang w:val="en-GB" w:eastAsia="en-GB"/>
    </w:rPr>
  </w:style>
  <w:style w:type="character" w:customStyle="1" w:styleId="ListParagraphChar">
    <w:name w:val="List Paragraph Char"/>
    <w:aliases w:val="Heading Number Char"/>
    <w:link w:val="ListParagraph1"/>
    <w:uiPriority w:val="34"/>
    <w:rsid w:val="00447F9A"/>
    <w:rPr>
      <w:rFonts w:ascii="Times New Roman" w:hAnsi="Times New Roman" w:cs="Times New Roman"/>
      <w:sz w:val="24"/>
      <w:szCs w:val="24"/>
      <w:lang w:val="en-GB" w:eastAsia="en-GB"/>
    </w:rPr>
  </w:style>
  <w:style w:type="paragraph" w:styleId="Rvision">
    <w:name w:val="Revision"/>
    <w:hidden/>
    <w:uiPriority w:val="99"/>
    <w:semiHidden/>
    <w:rsid w:val="00447F9A"/>
    <w:pPr>
      <w:spacing w:after="0" w:line="240" w:lineRule="auto"/>
    </w:pPr>
    <w:rPr>
      <w:rFonts w:ascii="Times New Roman" w:hAnsi="Times New Roman" w:cs="Times New Roman"/>
      <w:sz w:val="20"/>
      <w:szCs w:val="20"/>
      <w:lang w:val="en-GB" w:eastAsia="en-US"/>
    </w:rPr>
  </w:style>
  <w:style w:type="numbering" w:customStyle="1" w:styleId="1111111">
    <w:name w:val="1 / 1.1 / 1.1.11"/>
    <w:basedOn w:val="Aucuneliste"/>
    <w:next w:val="111111"/>
    <w:semiHidden/>
    <w:rsid w:val="00447F9A"/>
    <w:pPr>
      <w:numPr>
        <w:numId w:val="25"/>
      </w:numPr>
    </w:pPr>
  </w:style>
  <w:style w:type="numbering" w:customStyle="1" w:styleId="1ai1">
    <w:name w:val="1 / a / i1"/>
    <w:basedOn w:val="Aucuneliste"/>
    <w:next w:val="1ai"/>
    <w:semiHidden/>
    <w:rsid w:val="00447F9A"/>
    <w:pPr>
      <w:numPr>
        <w:numId w:val="26"/>
      </w:numPr>
    </w:pPr>
  </w:style>
  <w:style w:type="numbering" w:customStyle="1" w:styleId="ArticleSection1">
    <w:name w:val="Article / Section1"/>
    <w:basedOn w:val="Aucuneliste"/>
    <w:next w:val="ArticleSection"/>
    <w:semiHidden/>
    <w:rsid w:val="00447F9A"/>
    <w:pPr>
      <w:numPr>
        <w:numId w:val="27"/>
      </w:numPr>
    </w:pPr>
  </w:style>
  <w:style w:type="table" w:customStyle="1" w:styleId="Table3Deffects11">
    <w:name w:val="Table 3D effects 11"/>
    <w:basedOn w:val="TableauNormal"/>
    <w:next w:val="Effetsdetableau3D1"/>
    <w:semiHidden/>
    <w:rsid w:val="00447F9A"/>
    <w:pPr>
      <w:suppressAutoHyphens/>
      <w:spacing w:after="0" w:line="240" w:lineRule="atLeast"/>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auNormal"/>
    <w:next w:val="Effetsdetableau3D3"/>
    <w:semiHidden/>
    <w:rsid w:val="00447F9A"/>
    <w:pPr>
      <w:suppressAutoHyphens/>
      <w:spacing w:after="0" w:line="240" w:lineRule="atLeast"/>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auNormal"/>
    <w:next w:val="Tableauclassique1"/>
    <w:semiHidden/>
    <w:rsid w:val="00447F9A"/>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auNormal"/>
    <w:next w:val="Tableauclassique2"/>
    <w:semiHidden/>
    <w:rsid w:val="00447F9A"/>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auNormal"/>
    <w:next w:val="Tableauclassique3"/>
    <w:semiHidden/>
    <w:rsid w:val="00447F9A"/>
    <w:pPr>
      <w:suppressAutoHyphens/>
      <w:spacing w:after="0" w:line="240" w:lineRule="atLeast"/>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auNormal"/>
    <w:next w:val="Tableauclassique4"/>
    <w:semiHidden/>
    <w:rsid w:val="00447F9A"/>
    <w:pPr>
      <w:suppressAutoHyphens/>
      <w:spacing w:after="0" w:line="240" w:lineRule="atLeast"/>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auNormal"/>
    <w:next w:val="Tableaucolor2"/>
    <w:semiHidden/>
    <w:rsid w:val="00447F9A"/>
    <w:pPr>
      <w:suppressAutoHyphens/>
      <w:spacing w:after="0" w:line="240" w:lineRule="atLeast"/>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auNormal"/>
    <w:next w:val="Tableaucolor3"/>
    <w:semiHidden/>
    <w:rsid w:val="00447F9A"/>
    <w:pPr>
      <w:suppressAutoHyphens/>
      <w:spacing w:after="0" w:line="240" w:lineRule="atLeast"/>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auNormal"/>
    <w:next w:val="Colonnesdetableau1"/>
    <w:semiHidden/>
    <w:rsid w:val="00447F9A"/>
    <w:pPr>
      <w:suppressAutoHyphens/>
      <w:spacing w:after="0" w:line="240" w:lineRule="atLeast"/>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auNormal"/>
    <w:next w:val="Colonnesdetableau2"/>
    <w:semiHidden/>
    <w:rsid w:val="00447F9A"/>
    <w:pPr>
      <w:suppressAutoHyphens/>
      <w:spacing w:after="0" w:line="240" w:lineRule="atLeast"/>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auNormal"/>
    <w:next w:val="Colonnesdetableau3"/>
    <w:semiHidden/>
    <w:rsid w:val="00447F9A"/>
    <w:pPr>
      <w:suppressAutoHyphens/>
      <w:spacing w:after="0" w:line="240" w:lineRule="atLeast"/>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auNormal"/>
    <w:next w:val="Colonnesdetableau4"/>
    <w:semiHidden/>
    <w:rsid w:val="00447F9A"/>
    <w:pPr>
      <w:suppressAutoHyphens/>
      <w:spacing w:after="0" w:line="240" w:lineRule="atLeast"/>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auNormal"/>
    <w:next w:val="Colonnesdetableau5"/>
    <w:semiHidden/>
    <w:rsid w:val="00447F9A"/>
    <w:pPr>
      <w:suppressAutoHyphens/>
      <w:spacing w:after="0" w:line="240" w:lineRule="atLeast"/>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auNormal"/>
    <w:next w:val="Tableaucontemporain"/>
    <w:semiHidden/>
    <w:rsid w:val="00447F9A"/>
    <w:pPr>
      <w:suppressAutoHyphens/>
      <w:spacing w:after="0" w:line="240" w:lineRule="atLeast"/>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auNormal"/>
    <w:next w:val="Tableaulgant"/>
    <w:semiHidden/>
    <w:rsid w:val="00447F9A"/>
    <w:pPr>
      <w:suppressAutoHyphens/>
      <w:spacing w:after="0" w:line="240" w:lineRule="atLeast"/>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auNormal"/>
    <w:next w:val="Grilledetableau4"/>
    <w:semiHidden/>
    <w:rsid w:val="00447F9A"/>
    <w:pPr>
      <w:suppressAutoHyphens/>
      <w:spacing w:after="0" w:line="240" w:lineRule="atLeast"/>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auNormal"/>
    <w:next w:val="Grilledetableau6"/>
    <w:semiHidden/>
    <w:rsid w:val="00447F9A"/>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auNormal"/>
    <w:next w:val="Grilledetableau8"/>
    <w:semiHidden/>
    <w:rsid w:val="00447F9A"/>
    <w:pPr>
      <w:suppressAutoHyphens/>
      <w:spacing w:after="0" w:line="240" w:lineRule="atLeast"/>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auNormal"/>
    <w:next w:val="Tableauliste1"/>
    <w:semiHidden/>
    <w:rsid w:val="00447F9A"/>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auNormal"/>
    <w:next w:val="Tableauliste2"/>
    <w:semiHidden/>
    <w:rsid w:val="00447F9A"/>
    <w:pPr>
      <w:suppressAutoHyphens/>
      <w:spacing w:after="0" w:line="240" w:lineRule="atLeast"/>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auNormal"/>
    <w:next w:val="Tableauliste3"/>
    <w:semiHidden/>
    <w:rsid w:val="00447F9A"/>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auNormal"/>
    <w:next w:val="Tableauliste4"/>
    <w:semiHidden/>
    <w:rsid w:val="00447F9A"/>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auNormal"/>
    <w:next w:val="Tableauliste7"/>
    <w:semiHidden/>
    <w:rsid w:val="00447F9A"/>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auNormal"/>
    <w:next w:val="Tableauliste8"/>
    <w:semiHidden/>
    <w:rsid w:val="00447F9A"/>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auNormal"/>
    <w:next w:val="Tableauprofessionnel"/>
    <w:semiHidden/>
    <w:rsid w:val="00447F9A"/>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auNormal"/>
    <w:next w:val="Tableausimple2"/>
    <w:semiHidden/>
    <w:rsid w:val="00447F9A"/>
    <w:pPr>
      <w:suppressAutoHyphens/>
      <w:spacing w:after="0" w:line="240" w:lineRule="atLeast"/>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auNormal"/>
    <w:next w:val="Tableausimple3"/>
    <w:semiHidden/>
    <w:rsid w:val="00447F9A"/>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auNormal"/>
    <w:next w:val="Tableauweb1"/>
    <w:semiHidden/>
    <w:rsid w:val="00447F9A"/>
    <w:pPr>
      <w:suppressAutoHyphens/>
      <w:spacing w:after="0" w:line="240" w:lineRule="atLeast"/>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auNormal"/>
    <w:next w:val="Tableauweb2"/>
    <w:semiHidden/>
    <w:rsid w:val="00447F9A"/>
    <w:pPr>
      <w:suppressAutoHyphens/>
      <w:spacing w:after="0" w:line="240" w:lineRule="atLeast"/>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auNormal"/>
    <w:next w:val="Tableauweb3"/>
    <w:semiHidden/>
    <w:rsid w:val="00447F9A"/>
    <w:pPr>
      <w:suppressAutoHyphens/>
      <w:spacing w:after="0" w:line="240" w:lineRule="atLeast"/>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mmentTextChar1">
    <w:name w:val="Comment Text Char1"/>
    <w:rsid w:val="00447F9A"/>
    <w:rPr>
      <w:lang w:eastAsia="en-US"/>
    </w:rPr>
  </w:style>
  <w:style w:type="character" w:customStyle="1" w:styleId="st">
    <w:name w:val="st"/>
    <w:rsid w:val="00447F9A"/>
  </w:style>
  <w:style w:type="character" w:customStyle="1" w:styleId="UnresolvedMention1">
    <w:name w:val="Unresolved Mention1"/>
    <w:basedOn w:val="Policepardfaut"/>
    <w:uiPriority w:val="99"/>
    <w:semiHidden/>
    <w:unhideWhenUsed/>
    <w:rsid w:val="00447F9A"/>
    <w:rPr>
      <w:color w:val="605E5C"/>
      <w:shd w:val="clear" w:color="auto" w:fill="E1DFDD"/>
    </w:rPr>
  </w:style>
  <w:style w:type="paragraph" w:styleId="Paragraphedeliste">
    <w:name w:val="List Paragraph"/>
    <w:basedOn w:val="Normal"/>
    <w:uiPriority w:val="34"/>
    <w:qFormat/>
    <w:rsid w:val="00447F9A"/>
    <w:pPr>
      <w:kinsoku/>
      <w:overflowPunct/>
      <w:autoSpaceDE/>
      <w:autoSpaceDN/>
      <w:adjustRightInd/>
      <w:snapToGrid/>
      <w:ind w:left="720"/>
      <w:contextualSpacing/>
    </w:pPr>
    <w:rPr>
      <w:rFonts w:eastAsia="Times New Roman"/>
      <w:lang w:val="en-GB" w:eastAsia="fr-FR"/>
    </w:rPr>
  </w:style>
  <w:style w:type="character" w:styleId="Mentionnonrsolue">
    <w:name w:val="Unresolved Mention"/>
    <w:basedOn w:val="Policepardfaut"/>
    <w:uiPriority w:val="99"/>
    <w:semiHidden/>
    <w:unhideWhenUsed/>
    <w:rsid w:val="00447F9A"/>
    <w:rPr>
      <w:color w:val="605E5C"/>
      <w:shd w:val="clear" w:color="auto" w:fill="E1DFDD"/>
    </w:rPr>
  </w:style>
  <w:style w:type="character" w:customStyle="1" w:styleId="content">
    <w:name w:val="content"/>
    <w:basedOn w:val="Policepardfaut"/>
    <w:rsid w:val="00447F9A"/>
  </w:style>
  <w:style w:type="character" w:customStyle="1" w:styleId="commented">
    <w:name w:val="commented"/>
    <w:basedOn w:val="Policepardfaut"/>
    <w:rsid w:val="0044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iaia.org/fasttips.php" TargetMode="External"/><Relationship Id="rId2" Type="http://schemas.openxmlformats.org/officeDocument/2006/relationships/hyperlink" Target="http://staging2.unece.org.net4all.ch/fileadmin/DAM/env/eia/documents/MOP8_Vilnius/Informal_docs/Note_on_procedural_issues_MOP8_and_MOPMOP4_FINAL_by_Bureau_revNov2020.pdf" TargetMode="External"/><Relationship Id="rId1" Type="http://schemas.openxmlformats.org/officeDocument/2006/relationships/hyperlink" Target="http://www.unece.org/environmental-policy/events/meeting-parties-espoo-convention-8th-session-and-meeting-par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A6334EBF-7C27-4966-9CD8-2F80072A6C88}"/>
</file>

<file path=customXml/itemProps2.xml><?xml version="1.0" encoding="utf-8"?>
<ds:datastoreItem xmlns:ds="http://schemas.openxmlformats.org/officeDocument/2006/customXml" ds:itemID="{D798B821-5441-49E8-9C0D-89495850899D}"/>
</file>

<file path=customXml/itemProps3.xml><?xml version="1.0" encoding="utf-8"?>
<ds:datastoreItem xmlns:ds="http://schemas.openxmlformats.org/officeDocument/2006/customXml" ds:itemID="{543BD1A9-A6D1-4685-9E1D-D3A93C841B2C}"/>
</file>

<file path=docProps/app.xml><?xml version="1.0" encoding="utf-8"?>
<Properties xmlns="http://schemas.openxmlformats.org/officeDocument/2006/extended-properties" xmlns:vt="http://schemas.openxmlformats.org/officeDocument/2006/docPropsVTypes">
  <Template>ECE_MP.dotm</Template>
  <TotalTime>4</TotalTime>
  <Pages>20</Pages>
  <Words>8747</Words>
  <Characters>49862</Characters>
  <Application>Microsoft Office Word</Application>
  <DocSecurity>0</DocSecurity>
  <Lines>415</Lines>
  <Paragraphs>116</Paragraphs>
  <ScaleCrop>false</ScaleCrop>
  <HeadingPairs>
    <vt:vector size="4" baseType="variant">
      <vt:variant>
        <vt:lpstr>Titre</vt:lpstr>
      </vt:variant>
      <vt:variant>
        <vt:i4>1</vt:i4>
      </vt:variant>
      <vt:variant>
        <vt:lpstr>Titres</vt:lpstr>
      </vt:variant>
      <vt:variant>
        <vt:i4>28</vt:i4>
      </vt:variant>
    </vt:vector>
  </HeadingPairs>
  <TitlesOfParts>
    <vt:vector size="29" baseType="lpstr">
      <vt:lpstr>ECE/MP.EIA/30</vt:lpstr>
      <vt:lpstr>    Rapport de la Réunion des Parties à la Convention  sur sa huitième session et </vt:lpstr>
      <vt:lpstr>    I.	Introduction</vt:lpstr>
      <vt:lpstr>        A.	Participation</vt:lpstr>
      <vt:lpstr>        B.	Questions d’organisation</vt:lpstr>
      <vt:lpstr>    II.	Questions en suspens</vt:lpstr>
      <vt:lpstr>        A.	Questions en suspens relatives à la Convention et au Protocole</vt:lpstr>
      <vt:lpstr>        B.		Questions en suspens relatives à la Convention</vt:lpstr>
      <vt:lpstr>        C.	Questions en suspens concernant le Protocole</vt:lpstr>
      <vt:lpstr>    III.	Examen du plan de travail</vt:lpstr>
      <vt:lpstr>        A.	Respect des dispositions et application de la Convention et du Protocole</vt:lpstr>
      <vt:lpstr>        B.	Coopération et renforcement des capacités au niveau sous-régional</vt:lpstr>
      <vt:lpstr>        C.	Promotion de la ratification et de l’application du Protocole  et de la Conv</vt:lpstr>
      <vt:lpstr>    IV.	Cérémonie d’ouverture du débat de haut niveau</vt:lpstr>
      <vt:lpstr>    V.	Manifestation de haut niveau pour la célébration  du trentième anniversaire </vt:lpstr>
      <vt:lpstr>    VI.	Déclarations de ministres et de représentants de haut niveau</vt:lpstr>
      <vt:lpstr>    VII.	Adoption des décisions et de la déclaration de Vilnius</vt:lpstr>
      <vt:lpstr>    VIII.	Élection du Bureau pour la prochaine période intersessions</vt:lpstr>
      <vt:lpstr>    IX.	Date et lieu des prochaines sessions</vt:lpstr>
      <vt:lpstr>    X.	Clôture de la session</vt:lpstr>
      <vt:lpstr>    Annexe I</vt:lpstr>
      <vt:lpstr>    Contributions annoncées au budget pour la période 2021-2023</vt:lpstr>
      <vt:lpstr>    Annexe II</vt:lpstr>
      <vt:lpstr>    Bureau des Réunions des Parties à la Convention sur l’évaluation de l’impact s</vt:lpstr>
      <vt:lpstr>    I.	Introduction</vt:lpstr>
      <vt:lpstr>    II.	Effectif</vt:lpstr>
      <vt:lpstr>    III.	Critères régissant l’élection des membres et composition</vt:lpstr>
      <vt:lpstr>    IV.	Mandats</vt:lpstr>
      <vt:lpstr>    V.	Fonctions et tâches</vt:lpstr>
    </vt:vector>
  </TitlesOfParts>
  <Company>DCM</Company>
  <LinksUpToDate>false</LinksUpToDate>
  <CharactersWithSpaces>58493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ECE/MP.EIA/30</dc:title>
  <dc:creator>Corinne ROBERT</dc:creator>
  <cp:keywords>ECE/MP.EIA/SEA/13</cp:keywords>
  <cp:lastModifiedBy>Corinne ROBERT</cp:lastModifiedBy>
  <cp:revision>3</cp:revision>
  <cp:lastPrinted>2021-06-08T09:11:00Z</cp:lastPrinted>
  <dcterms:created xsi:type="dcterms:W3CDTF">2021-06-08T09:10:00Z</dcterms:created>
  <dcterms:modified xsi:type="dcterms:W3CDTF">2021-06-08T09:14:00Z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