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D3716" w14:paraId="62207122" w14:textId="77777777" w:rsidTr="00B20551">
        <w:trPr>
          <w:cantSplit/>
          <w:trHeight w:hRule="exact" w:val="851"/>
        </w:trPr>
        <w:tc>
          <w:tcPr>
            <w:tcW w:w="1276" w:type="dxa"/>
            <w:tcBorders>
              <w:bottom w:val="single" w:sz="4" w:space="0" w:color="auto"/>
            </w:tcBorders>
            <w:vAlign w:val="bottom"/>
          </w:tcPr>
          <w:p w14:paraId="4DBD5904"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740CD04E" w14:textId="77777777" w:rsidR="009E6CB7" w:rsidRPr="00685BB1" w:rsidRDefault="009E6CB7" w:rsidP="00B20551">
            <w:pPr>
              <w:spacing w:after="80" w:line="300" w:lineRule="exact"/>
              <w:rPr>
                <w:b/>
                <w:sz w:val="24"/>
                <w:szCs w:val="24"/>
              </w:rPr>
            </w:pPr>
            <w:r w:rsidRPr="00685BB1">
              <w:rPr>
                <w:sz w:val="28"/>
                <w:szCs w:val="28"/>
              </w:rPr>
              <w:t>United Nations</w:t>
            </w:r>
          </w:p>
        </w:tc>
        <w:tc>
          <w:tcPr>
            <w:tcW w:w="6095" w:type="dxa"/>
            <w:gridSpan w:val="2"/>
            <w:tcBorders>
              <w:bottom w:val="single" w:sz="4" w:space="0" w:color="auto"/>
            </w:tcBorders>
            <w:vAlign w:val="bottom"/>
          </w:tcPr>
          <w:p w14:paraId="2AA04915" w14:textId="0522B8D9" w:rsidR="00DB152C" w:rsidRPr="00685BB1" w:rsidRDefault="00DB152C" w:rsidP="00DB152C">
            <w:pPr>
              <w:jc w:val="right"/>
              <w:rPr>
                <w:lang w:val="es-ES"/>
              </w:rPr>
            </w:pPr>
            <w:r w:rsidRPr="00DB152C">
              <w:rPr>
                <w:sz w:val="40"/>
                <w:lang w:val="es-ES"/>
              </w:rPr>
              <w:t>ECE</w:t>
            </w:r>
            <w:r>
              <w:rPr>
                <w:lang w:val="es-ES"/>
              </w:rPr>
              <w:t>/MP.EIA/30−</w:t>
            </w:r>
            <w:r w:rsidRPr="00DB152C">
              <w:rPr>
                <w:sz w:val="40"/>
                <w:lang w:val="es-ES"/>
              </w:rPr>
              <w:t>ECE</w:t>
            </w:r>
            <w:r>
              <w:rPr>
                <w:lang w:val="es-ES"/>
              </w:rPr>
              <w:t>/MP.EIA/SEA/13</w:t>
            </w:r>
          </w:p>
        </w:tc>
      </w:tr>
      <w:tr w:rsidR="009E6CB7" w:rsidRPr="00685BB1" w14:paraId="44486D7F" w14:textId="77777777" w:rsidTr="00B20551">
        <w:trPr>
          <w:cantSplit/>
          <w:trHeight w:hRule="exact" w:val="2835"/>
        </w:trPr>
        <w:tc>
          <w:tcPr>
            <w:tcW w:w="1276" w:type="dxa"/>
            <w:tcBorders>
              <w:top w:val="single" w:sz="4" w:space="0" w:color="auto"/>
              <w:bottom w:val="single" w:sz="12" w:space="0" w:color="auto"/>
            </w:tcBorders>
          </w:tcPr>
          <w:p w14:paraId="11A122A3" w14:textId="77777777" w:rsidR="009E6CB7" w:rsidRPr="00685BB1" w:rsidRDefault="00686A48" w:rsidP="00B20551">
            <w:pPr>
              <w:spacing w:before="120"/>
            </w:pPr>
            <w:r w:rsidRPr="00685BB1">
              <w:rPr>
                <w:noProof/>
                <w:lang w:eastAsia="zh-CN"/>
              </w:rPr>
              <w:drawing>
                <wp:inline distT="0" distB="0" distL="0" distR="0" wp14:anchorId="2C9AED7F" wp14:editId="4E95F0B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697CAE" w14:textId="77777777" w:rsidR="009E6CB7" w:rsidRPr="00CD6FCF" w:rsidRDefault="009E6CB7" w:rsidP="00B20551">
            <w:pPr>
              <w:spacing w:before="120" w:line="420" w:lineRule="exact"/>
              <w:rPr>
                <w:b/>
                <w:sz w:val="40"/>
                <w:szCs w:val="40"/>
              </w:rPr>
            </w:pPr>
            <w:r w:rsidRPr="00CD6FCF">
              <w:rPr>
                <w:b/>
                <w:sz w:val="40"/>
                <w:szCs w:val="40"/>
              </w:rPr>
              <w:t>Economic and Social Council</w:t>
            </w:r>
          </w:p>
          <w:p w14:paraId="58AA40D3" w14:textId="77777777" w:rsidR="007335FD" w:rsidRPr="00CD6FCF" w:rsidRDefault="007335FD" w:rsidP="00B20551">
            <w:pPr>
              <w:spacing w:before="120" w:line="420" w:lineRule="exact"/>
              <w:rPr>
                <w:b/>
                <w:sz w:val="40"/>
                <w:szCs w:val="40"/>
              </w:rPr>
            </w:pPr>
          </w:p>
          <w:p w14:paraId="35F94F58" w14:textId="77777777" w:rsidR="007335FD" w:rsidRPr="00CD6FCF" w:rsidRDefault="007335FD" w:rsidP="00B20551">
            <w:pPr>
              <w:spacing w:before="120" w:line="420" w:lineRule="exact"/>
              <w:rPr>
                <w:sz w:val="40"/>
                <w:szCs w:val="40"/>
              </w:rPr>
            </w:pPr>
          </w:p>
          <w:p w14:paraId="6DBA6F4D" w14:textId="6728D379" w:rsidR="00620E9E" w:rsidRPr="00CD6FCF" w:rsidRDefault="00620E9E" w:rsidP="00B20551">
            <w:pPr>
              <w:spacing w:before="120" w:line="420" w:lineRule="exact"/>
              <w:rPr>
                <w:sz w:val="40"/>
                <w:szCs w:val="40"/>
              </w:rPr>
            </w:pPr>
          </w:p>
        </w:tc>
        <w:tc>
          <w:tcPr>
            <w:tcW w:w="2835" w:type="dxa"/>
            <w:tcBorders>
              <w:top w:val="single" w:sz="4" w:space="0" w:color="auto"/>
              <w:bottom w:val="single" w:sz="12" w:space="0" w:color="auto"/>
            </w:tcBorders>
          </w:tcPr>
          <w:p w14:paraId="52622B30" w14:textId="77777777" w:rsidR="006424A8" w:rsidRDefault="00DB152C" w:rsidP="00DB152C">
            <w:pPr>
              <w:spacing w:before="240" w:line="240" w:lineRule="exact"/>
            </w:pPr>
            <w:r>
              <w:t>Distr.: General</w:t>
            </w:r>
          </w:p>
          <w:p w14:paraId="5E49BC30" w14:textId="3EF8E850" w:rsidR="00DB152C" w:rsidRDefault="00DD72CB" w:rsidP="00DB152C">
            <w:pPr>
              <w:spacing w:line="240" w:lineRule="exact"/>
            </w:pPr>
            <w:r>
              <w:t>1</w:t>
            </w:r>
            <w:r w:rsidR="00874B0C">
              <w:t>1</w:t>
            </w:r>
            <w:r w:rsidR="00DB152C">
              <w:t xml:space="preserve"> February 2021</w:t>
            </w:r>
          </w:p>
          <w:p w14:paraId="2A35C7FD" w14:textId="77777777" w:rsidR="00DB152C" w:rsidRDefault="00DB152C" w:rsidP="00DB152C">
            <w:pPr>
              <w:spacing w:line="240" w:lineRule="exact"/>
            </w:pPr>
          </w:p>
          <w:p w14:paraId="709CA3E5" w14:textId="6C45F665" w:rsidR="00DB152C" w:rsidRPr="00685BB1" w:rsidRDefault="00DB152C" w:rsidP="00DB152C">
            <w:pPr>
              <w:spacing w:line="240" w:lineRule="exact"/>
            </w:pPr>
            <w:r>
              <w:t>Original: English</w:t>
            </w:r>
          </w:p>
        </w:tc>
      </w:tr>
    </w:tbl>
    <w:p w14:paraId="7B93E1F7" w14:textId="77777777" w:rsidR="001F0A12" w:rsidRPr="00685BB1" w:rsidRDefault="001F0A12" w:rsidP="001F0A12">
      <w:pPr>
        <w:spacing w:before="120"/>
        <w:rPr>
          <w:b/>
          <w:sz w:val="28"/>
          <w:szCs w:val="28"/>
        </w:rPr>
      </w:pPr>
      <w:r w:rsidRPr="00685BB1">
        <w:rPr>
          <w:b/>
          <w:sz w:val="28"/>
          <w:szCs w:val="28"/>
        </w:rPr>
        <w:t>Economic Commission for Europe</w:t>
      </w:r>
    </w:p>
    <w:p w14:paraId="7350C354" w14:textId="3DE753CC" w:rsidR="001F0A12" w:rsidRPr="00685BB1" w:rsidRDefault="001F0A12" w:rsidP="001F0A12">
      <w:pPr>
        <w:spacing w:before="120"/>
        <w:rPr>
          <w:bCs/>
          <w:sz w:val="28"/>
          <w:szCs w:val="28"/>
        </w:rPr>
      </w:pPr>
      <w:r w:rsidRPr="00685BB1">
        <w:rPr>
          <w:bCs/>
          <w:sz w:val="28"/>
          <w:szCs w:val="28"/>
        </w:rPr>
        <w:t xml:space="preserve">Meeting of the Parties to the Convention </w:t>
      </w:r>
      <w:r w:rsidRPr="00685BB1">
        <w:rPr>
          <w:bCs/>
          <w:sz w:val="28"/>
          <w:szCs w:val="28"/>
        </w:rPr>
        <w:br/>
        <w:t xml:space="preserve">on Environmental Impact Assessment </w:t>
      </w:r>
      <w:r w:rsidRPr="00685BB1">
        <w:rPr>
          <w:bCs/>
          <w:sz w:val="28"/>
          <w:szCs w:val="28"/>
        </w:rPr>
        <w:br/>
        <w:t>in a Transboundary Context</w:t>
      </w:r>
    </w:p>
    <w:p w14:paraId="247569A8" w14:textId="509A4D1F" w:rsidR="00BB069F" w:rsidRPr="00685BB1" w:rsidRDefault="00BB069F" w:rsidP="00BB069F">
      <w:pPr>
        <w:spacing w:before="120"/>
      </w:pPr>
      <w:bookmarkStart w:id="1" w:name="_Hlk60849689"/>
      <w:bookmarkStart w:id="2" w:name="_Hlk60849371"/>
      <w:r w:rsidRPr="00685BB1">
        <w:rPr>
          <w:b/>
        </w:rPr>
        <w:t>Eighth</w:t>
      </w:r>
      <w:bookmarkEnd w:id="1"/>
      <w:r w:rsidRPr="00685BB1">
        <w:rPr>
          <w:b/>
        </w:rPr>
        <w:t xml:space="preserve"> session</w:t>
      </w:r>
    </w:p>
    <w:bookmarkEnd w:id="2"/>
    <w:p w14:paraId="7C625E6E" w14:textId="77777777" w:rsidR="001F0A12" w:rsidRPr="00685BB1" w:rsidRDefault="001F0A12" w:rsidP="001F0A12">
      <w:pPr>
        <w:autoSpaceDE w:val="0"/>
        <w:autoSpaceDN w:val="0"/>
        <w:adjustRightInd w:val="0"/>
        <w:spacing w:before="120"/>
        <w:rPr>
          <w:sz w:val="28"/>
          <w:szCs w:val="28"/>
        </w:rPr>
      </w:pPr>
      <w:r w:rsidRPr="00685BB1">
        <w:rPr>
          <w:sz w:val="28"/>
          <w:szCs w:val="28"/>
        </w:rPr>
        <w:t xml:space="preserve">Meeting of the Parties to the Convention </w:t>
      </w:r>
      <w:r w:rsidRPr="00685BB1">
        <w:rPr>
          <w:sz w:val="28"/>
          <w:szCs w:val="28"/>
        </w:rPr>
        <w:br/>
        <w:t xml:space="preserve">on Environmental Impact Assessment in </w:t>
      </w:r>
      <w:r w:rsidRPr="00685BB1">
        <w:rPr>
          <w:sz w:val="28"/>
          <w:szCs w:val="28"/>
        </w:rPr>
        <w:br/>
        <w:t xml:space="preserve">a Transboundary Context serving as the </w:t>
      </w:r>
      <w:r w:rsidRPr="00685BB1">
        <w:rPr>
          <w:sz w:val="28"/>
          <w:szCs w:val="28"/>
        </w:rPr>
        <w:br/>
        <w:t xml:space="preserve">Meeting of the Parties to the Protocol on </w:t>
      </w:r>
      <w:r w:rsidRPr="00685BB1">
        <w:rPr>
          <w:sz w:val="28"/>
          <w:szCs w:val="28"/>
        </w:rPr>
        <w:br/>
        <w:t>Strategic Environmental Assessment</w:t>
      </w:r>
    </w:p>
    <w:p w14:paraId="7CDAEC69" w14:textId="4542BC09" w:rsidR="00871E21" w:rsidRPr="00685BB1" w:rsidRDefault="00BB069F" w:rsidP="009E5A6B">
      <w:pPr>
        <w:spacing w:before="120"/>
        <w:rPr>
          <w:b/>
        </w:rPr>
      </w:pPr>
      <w:bookmarkStart w:id="3" w:name="_Hlk60849391"/>
      <w:r w:rsidRPr="00685BB1">
        <w:rPr>
          <w:b/>
        </w:rPr>
        <w:t>Fourth</w:t>
      </w:r>
      <w:r w:rsidR="00871E21" w:rsidRPr="00685BB1">
        <w:rPr>
          <w:b/>
        </w:rPr>
        <w:t xml:space="preserve"> session</w:t>
      </w:r>
    </w:p>
    <w:p w14:paraId="75AC7798" w14:textId="6D7CBC63" w:rsidR="00871E21" w:rsidRPr="00685BB1" w:rsidRDefault="004C08B5" w:rsidP="00874B0C">
      <w:pPr>
        <w:spacing w:before="120"/>
      </w:pPr>
      <w:bookmarkStart w:id="4" w:name="_Hlk60849714"/>
      <w:r w:rsidRPr="00685BB1">
        <w:t>Vilnius (o</w:t>
      </w:r>
      <w:r w:rsidR="00BB069F" w:rsidRPr="00685BB1">
        <w:t>nline</w:t>
      </w:r>
      <w:r w:rsidRPr="00685BB1">
        <w:t>)</w:t>
      </w:r>
      <w:r w:rsidR="00871E21" w:rsidRPr="00685BB1">
        <w:t xml:space="preserve">, </w:t>
      </w:r>
      <w:r w:rsidR="00BB069F" w:rsidRPr="00685BB1">
        <w:t>8</w:t>
      </w:r>
      <w:r w:rsidR="00871E21" w:rsidRPr="00685BB1">
        <w:t>–</w:t>
      </w:r>
      <w:r w:rsidR="00BB069F" w:rsidRPr="00685BB1">
        <w:t>11</w:t>
      </w:r>
      <w:r w:rsidR="00871E21" w:rsidRPr="00685BB1">
        <w:t xml:space="preserve"> </w:t>
      </w:r>
      <w:r w:rsidR="00BB069F" w:rsidRPr="00685BB1">
        <w:t>December</w:t>
      </w:r>
      <w:r w:rsidR="00871E21" w:rsidRPr="00685BB1">
        <w:t xml:space="preserve"> 20</w:t>
      </w:r>
      <w:r w:rsidR="00BB069F" w:rsidRPr="00685BB1">
        <w:t>20</w:t>
      </w:r>
      <w:bookmarkEnd w:id="4"/>
    </w:p>
    <w:bookmarkEnd w:id="3"/>
    <w:p w14:paraId="7475015F" w14:textId="0EE7C929" w:rsidR="00871E21" w:rsidRPr="00685BB1" w:rsidRDefault="00F81E78" w:rsidP="00F81E78">
      <w:pPr>
        <w:pStyle w:val="HChG"/>
      </w:pPr>
      <w:r w:rsidRPr="00685BB1">
        <w:tab/>
      </w:r>
      <w:r w:rsidRPr="00685BB1">
        <w:tab/>
      </w:r>
      <w:bookmarkStart w:id="5" w:name="_Hlk60849411"/>
      <w:r w:rsidRPr="00685BB1">
        <w:t xml:space="preserve">Report of the Meeting of the Parties to the Convention </w:t>
      </w:r>
      <w:r w:rsidR="00BB069F" w:rsidRPr="00685BB1">
        <w:t xml:space="preserve">on its eighth session </w:t>
      </w:r>
      <w:r w:rsidRPr="00685BB1">
        <w:t>and of the Meeting of the Parties to the</w:t>
      </w:r>
      <w:r w:rsidR="002D0F03">
        <w:t xml:space="preserve"> </w:t>
      </w:r>
      <w:r w:rsidRPr="00685BB1">
        <w:t>Convention serving as the Meeting of the Parties to the</w:t>
      </w:r>
      <w:r w:rsidR="002D0F03">
        <w:t xml:space="preserve"> </w:t>
      </w:r>
      <w:r w:rsidRPr="00685BB1">
        <w:t>Protocol on</w:t>
      </w:r>
      <w:r w:rsidR="00BB069F" w:rsidRPr="00685BB1">
        <w:t xml:space="preserve"> its fourth </w:t>
      </w:r>
      <w:r w:rsidRPr="00685BB1">
        <w:t>session</w:t>
      </w:r>
    </w:p>
    <w:bookmarkEnd w:id="5"/>
    <w:p w14:paraId="47C27CCB" w14:textId="77777777" w:rsidR="00AE1A16" w:rsidRPr="00685BB1" w:rsidRDefault="00AE1A16" w:rsidP="009A7627">
      <w:pPr>
        <w:spacing w:after="120"/>
        <w:rPr>
          <w:sz w:val="28"/>
          <w:lang w:val="fr-CH"/>
        </w:rPr>
      </w:pPr>
      <w:r w:rsidRPr="00685BB1">
        <w:rPr>
          <w:sz w:val="28"/>
          <w:lang w:val="fr-CH"/>
        </w:rPr>
        <w:t>Contents</w:t>
      </w:r>
    </w:p>
    <w:p w14:paraId="0B3A4527" w14:textId="77777777" w:rsidR="00AE1A16" w:rsidRPr="00685BB1" w:rsidRDefault="00AE1A16" w:rsidP="009A7627">
      <w:pPr>
        <w:tabs>
          <w:tab w:val="right" w:pos="9638"/>
        </w:tabs>
        <w:spacing w:after="120"/>
        <w:ind w:left="283"/>
        <w:rPr>
          <w:sz w:val="18"/>
          <w:lang w:val="fr-CH"/>
        </w:rPr>
      </w:pPr>
      <w:r w:rsidRPr="00685BB1">
        <w:rPr>
          <w:i/>
          <w:sz w:val="18"/>
          <w:lang w:val="fr-CH"/>
        </w:rPr>
        <w:tab/>
        <w:t>Page</w:t>
      </w:r>
    </w:p>
    <w:p w14:paraId="557B8EA2" w14:textId="4B0A9F51" w:rsidR="00AE1A16" w:rsidRPr="00685BB1" w:rsidRDefault="00AE1A16" w:rsidP="00AE1A16">
      <w:pPr>
        <w:tabs>
          <w:tab w:val="right" w:pos="850"/>
          <w:tab w:val="left" w:pos="1134"/>
          <w:tab w:val="left" w:pos="1559"/>
          <w:tab w:val="left" w:pos="1984"/>
          <w:tab w:val="left" w:leader="dot" w:pos="7654"/>
          <w:tab w:val="right" w:pos="8929"/>
          <w:tab w:val="right" w:pos="9638"/>
        </w:tabs>
        <w:spacing w:after="120"/>
        <w:rPr>
          <w:lang w:val="fr-CH"/>
        </w:rPr>
      </w:pPr>
      <w:r w:rsidRPr="00685BB1">
        <w:rPr>
          <w:lang w:val="fr-CH"/>
        </w:rPr>
        <w:tab/>
        <w:t>I.</w:t>
      </w:r>
      <w:r w:rsidRPr="00685BB1">
        <w:rPr>
          <w:lang w:val="fr-CH"/>
        </w:rPr>
        <w:tab/>
        <w:t>Introduction</w:t>
      </w:r>
      <w:r w:rsidRPr="00685BB1">
        <w:rPr>
          <w:lang w:val="fr-CH"/>
        </w:rPr>
        <w:tab/>
      </w:r>
      <w:r w:rsidR="00874B0C">
        <w:rPr>
          <w:lang w:val="fr-CH"/>
        </w:rPr>
        <w:tab/>
      </w:r>
      <w:r w:rsidRPr="00685BB1">
        <w:rPr>
          <w:lang w:val="fr-CH"/>
        </w:rPr>
        <w:tab/>
      </w:r>
      <w:r w:rsidR="00CC6355" w:rsidRPr="00685BB1">
        <w:rPr>
          <w:lang w:val="fr-CH"/>
        </w:rPr>
        <w:t>3</w:t>
      </w:r>
    </w:p>
    <w:p w14:paraId="001BAFCD" w14:textId="34871C0C" w:rsidR="00AE1A16" w:rsidRPr="00620E9E" w:rsidRDefault="00AE1A16" w:rsidP="00AE1A16">
      <w:pPr>
        <w:tabs>
          <w:tab w:val="right" w:pos="850"/>
          <w:tab w:val="left" w:pos="1134"/>
          <w:tab w:val="left" w:pos="1559"/>
          <w:tab w:val="left" w:pos="1984"/>
          <w:tab w:val="left" w:leader="dot" w:pos="7654"/>
          <w:tab w:val="right" w:pos="8929"/>
          <w:tab w:val="right" w:pos="9638"/>
        </w:tabs>
        <w:spacing w:after="120"/>
        <w:rPr>
          <w:lang w:val="fr-CH"/>
        </w:rPr>
      </w:pPr>
      <w:r w:rsidRPr="00685BB1">
        <w:rPr>
          <w:lang w:val="fr-CH"/>
        </w:rPr>
        <w:tab/>
      </w:r>
      <w:r w:rsidRPr="00685BB1">
        <w:rPr>
          <w:lang w:val="fr-CH"/>
        </w:rPr>
        <w:tab/>
        <w:t>A.</w:t>
      </w:r>
      <w:r w:rsidRPr="00685BB1">
        <w:rPr>
          <w:lang w:val="fr-CH"/>
        </w:rPr>
        <w:tab/>
      </w:r>
      <w:r w:rsidRPr="00620E9E">
        <w:rPr>
          <w:lang w:val="fr-CH"/>
        </w:rPr>
        <w:t>Attendance</w:t>
      </w:r>
      <w:r w:rsidRPr="00620E9E">
        <w:rPr>
          <w:lang w:val="fr-CH"/>
        </w:rPr>
        <w:tab/>
      </w:r>
      <w:r w:rsidR="00874B0C" w:rsidRPr="00620E9E">
        <w:rPr>
          <w:lang w:val="fr-CH"/>
        </w:rPr>
        <w:tab/>
      </w:r>
      <w:r w:rsidRPr="00620E9E">
        <w:rPr>
          <w:lang w:val="fr-CH"/>
        </w:rPr>
        <w:tab/>
      </w:r>
      <w:r w:rsidR="00CC6355" w:rsidRPr="00620E9E">
        <w:rPr>
          <w:lang w:val="fr-CH"/>
        </w:rPr>
        <w:t>3</w:t>
      </w:r>
    </w:p>
    <w:p w14:paraId="413401DF" w14:textId="3E4BB5BA" w:rsidR="00AE1A16" w:rsidRPr="00685BB1" w:rsidRDefault="00AE1A16" w:rsidP="00AE1A16">
      <w:pPr>
        <w:tabs>
          <w:tab w:val="right" w:pos="850"/>
          <w:tab w:val="left" w:pos="1134"/>
          <w:tab w:val="left" w:pos="1559"/>
          <w:tab w:val="left" w:pos="1984"/>
          <w:tab w:val="left" w:leader="dot" w:pos="7654"/>
          <w:tab w:val="right" w:pos="8929"/>
          <w:tab w:val="right" w:pos="9638"/>
        </w:tabs>
        <w:spacing w:after="120"/>
      </w:pPr>
      <w:r w:rsidRPr="00620E9E">
        <w:rPr>
          <w:lang w:val="fr-CH"/>
        </w:rPr>
        <w:tab/>
      </w:r>
      <w:r w:rsidRPr="00620E9E">
        <w:rPr>
          <w:lang w:val="fr-CH"/>
        </w:rPr>
        <w:tab/>
      </w:r>
      <w:r w:rsidRPr="00685BB1">
        <w:t>B.</w:t>
      </w:r>
      <w:r w:rsidRPr="00685BB1">
        <w:tab/>
        <w:t>Organizational matters</w:t>
      </w:r>
      <w:r w:rsidRPr="00685BB1">
        <w:tab/>
      </w:r>
      <w:r w:rsidR="00874B0C">
        <w:tab/>
      </w:r>
      <w:r w:rsidRPr="00685BB1">
        <w:tab/>
      </w:r>
      <w:r w:rsidR="00CC6355" w:rsidRPr="00685BB1">
        <w:t>3</w:t>
      </w:r>
    </w:p>
    <w:p w14:paraId="03389CE9" w14:textId="1654EBE7" w:rsidR="00AE1A16" w:rsidRPr="00685BB1" w:rsidRDefault="00AE1A16" w:rsidP="00AE1A16">
      <w:pPr>
        <w:tabs>
          <w:tab w:val="right" w:pos="850"/>
          <w:tab w:val="left" w:pos="1134"/>
          <w:tab w:val="left" w:pos="1559"/>
          <w:tab w:val="left" w:pos="1984"/>
          <w:tab w:val="left" w:leader="dot" w:pos="7654"/>
          <w:tab w:val="right" w:pos="8929"/>
          <w:tab w:val="right" w:pos="9638"/>
        </w:tabs>
        <w:spacing w:after="120"/>
        <w:ind w:left="1134" w:hanging="1134"/>
      </w:pPr>
      <w:r w:rsidRPr="00685BB1">
        <w:tab/>
        <w:t>II.</w:t>
      </w:r>
      <w:r w:rsidRPr="00685BB1">
        <w:tab/>
        <w:t>Outstanding issues</w:t>
      </w:r>
      <w:r w:rsidRPr="00685BB1">
        <w:tab/>
      </w:r>
      <w:r w:rsidR="00874B0C">
        <w:tab/>
      </w:r>
      <w:r w:rsidRPr="00685BB1">
        <w:tab/>
      </w:r>
      <w:r w:rsidR="00CC6355" w:rsidRPr="00685BB1">
        <w:t>4</w:t>
      </w:r>
    </w:p>
    <w:p w14:paraId="2DE850CA" w14:textId="52EAB2F1" w:rsidR="00AE1A16" w:rsidRPr="00685BB1" w:rsidRDefault="00AE1A16" w:rsidP="00AE1A16">
      <w:pPr>
        <w:tabs>
          <w:tab w:val="right" w:pos="850"/>
          <w:tab w:val="left" w:pos="1134"/>
          <w:tab w:val="left" w:pos="1559"/>
          <w:tab w:val="left" w:pos="1984"/>
          <w:tab w:val="left" w:leader="dot" w:pos="7654"/>
          <w:tab w:val="right" w:pos="8929"/>
          <w:tab w:val="right" w:pos="9638"/>
        </w:tabs>
        <w:spacing w:after="120"/>
      </w:pPr>
      <w:r w:rsidRPr="00685BB1">
        <w:tab/>
      </w:r>
      <w:r w:rsidRPr="00685BB1">
        <w:tab/>
        <w:t>A.</w:t>
      </w:r>
      <w:r w:rsidRPr="00685BB1">
        <w:tab/>
      </w:r>
      <w:r w:rsidR="008E0BB0" w:rsidRPr="00685BB1">
        <w:t>Outstanding i</w:t>
      </w:r>
      <w:r w:rsidRPr="00685BB1">
        <w:t>ssues relevant to the Convention</w:t>
      </w:r>
      <w:r w:rsidR="00E44689" w:rsidRPr="00685BB1">
        <w:t xml:space="preserve"> and the Protocol</w:t>
      </w:r>
      <w:r w:rsidRPr="00685BB1">
        <w:tab/>
      </w:r>
      <w:r w:rsidR="00874B0C">
        <w:tab/>
      </w:r>
      <w:r w:rsidRPr="00685BB1">
        <w:tab/>
      </w:r>
      <w:r w:rsidR="00A52237" w:rsidRPr="00685BB1">
        <w:t>5</w:t>
      </w:r>
    </w:p>
    <w:p w14:paraId="44702D6D" w14:textId="10DF9FF8" w:rsidR="00AE1A16" w:rsidRPr="00685BB1" w:rsidRDefault="00AE1A16" w:rsidP="00AE1A16">
      <w:pPr>
        <w:tabs>
          <w:tab w:val="right" w:pos="850"/>
          <w:tab w:val="left" w:pos="1134"/>
          <w:tab w:val="left" w:pos="1559"/>
          <w:tab w:val="left" w:pos="1984"/>
          <w:tab w:val="left" w:leader="dot" w:pos="7654"/>
          <w:tab w:val="right" w:pos="8929"/>
          <w:tab w:val="right" w:pos="9638"/>
        </w:tabs>
        <w:spacing w:after="120"/>
      </w:pPr>
      <w:r w:rsidRPr="00685BB1">
        <w:tab/>
      </w:r>
      <w:r w:rsidRPr="00685BB1">
        <w:tab/>
        <w:t>B.</w:t>
      </w:r>
      <w:r w:rsidRPr="00685BB1">
        <w:tab/>
      </w:r>
      <w:r w:rsidR="008E0BB0" w:rsidRPr="00685BB1">
        <w:t>Outstanding i</w:t>
      </w:r>
      <w:r w:rsidRPr="00685BB1">
        <w:t>ssues relevant to the Convention</w:t>
      </w:r>
      <w:r w:rsidRPr="00685BB1">
        <w:tab/>
      </w:r>
      <w:r w:rsidR="00874B0C">
        <w:tab/>
      </w:r>
      <w:r w:rsidRPr="00685BB1">
        <w:tab/>
      </w:r>
      <w:r w:rsidR="004509AC" w:rsidRPr="00685BB1">
        <w:t>6</w:t>
      </w:r>
    </w:p>
    <w:p w14:paraId="4A7E7081" w14:textId="6E08AD74" w:rsidR="00E44689" w:rsidRPr="00685BB1" w:rsidRDefault="00E44689" w:rsidP="00AE1A16">
      <w:pPr>
        <w:tabs>
          <w:tab w:val="right" w:pos="850"/>
          <w:tab w:val="left" w:pos="1134"/>
          <w:tab w:val="left" w:pos="1559"/>
          <w:tab w:val="left" w:pos="1984"/>
          <w:tab w:val="left" w:leader="dot" w:pos="7654"/>
          <w:tab w:val="right" w:pos="8929"/>
          <w:tab w:val="right" w:pos="9638"/>
        </w:tabs>
        <w:spacing w:after="120"/>
      </w:pPr>
      <w:r w:rsidRPr="00685BB1">
        <w:tab/>
      </w:r>
      <w:r w:rsidRPr="00685BB1">
        <w:tab/>
        <w:t>C.</w:t>
      </w:r>
      <w:r w:rsidRPr="00685BB1">
        <w:tab/>
        <w:t>Outstanding issues relevant to the Protocol</w:t>
      </w:r>
      <w:r w:rsidRPr="00685BB1">
        <w:tab/>
      </w:r>
      <w:r w:rsidR="00874B0C">
        <w:tab/>
      </w:r>
      <w:r w:rsidRPr="00685BB1">
        <w:tab/>
      </w:r>
      <w:r w:rsidR="00A52237" w:rsidRPr="00685BB1">
        <w:t>7</w:t>
      </w:r>
    </w:p>
    <w:p w14:paraId="1E8B897D" w14:textId="5DF33C77" w:rsidR="00AF09B7" w:rsidRPr="00685BB1" w:rsidRDefault="00AF09B7" w:rsidP="00AF09B7">
      <w:pPr>
        <w:tabs>
          <w:tab w:val="right" w:pos="850"/>
          <w:tab w:val="left" w:pos="1134"/>
          <w:tab w:val="left" w:pos="1559"/>
          <w:tab w:val="left" w:pos="1984"/>
          <w:tab w:val="left" w:leader="dot" w:pos="7654"/>
          <w:tab w:val="right" w:pos="8929"/>
          <w:tab w:val="right" w:pos="9638"/>
        </w:tabs>
        <w:spacing w:after="120"/>
        <w:ind w:left="567"/>
      </w:pPr>
      <w:r w:rsidRPr="00685BB1">
        <w:t>III.</w:t>
      </w:r>
      <w:r w:rsidRPr="00685BB1">
        <w:tab/>
      </w:r>
      <w:r w:rsidRPr="00685BB1">
        <w:tab/>
        <w:t>Review of the workplan</w:t>
      </w:r>
      <w:r w:rsidRPr="00685BB1">
        <w:tab/>
      </w:r>
      <w:r w:rsidR="00874B0C">
        <w:tab/>
      </w:r>
      <w:r w:rsidRPr="00685BB1">
        <w:tab/>
      </w:r>
      <w:r w:rsidR="00986ECB" w:rsidRPr="00685BB1">
        <w:t>7</w:t>
      </w:r>
    </w:p>
    <w:p w14:paraId="5F0A8A5C" w14:textId="5EEF6358" w:rsidR="00E44689" w:rsidRPr="00685BB1" w:rsidRDefault="00BC043D" w:rsidP="00BC043D">
      <w:pPr>
        <w:tabs>
          <w:tab w:val="right" w:pos="850"/>
          <w:tab w:val="left" w:pos="1134"/>
          <w:tab w:val="left" w:pos="1559"/>
          <w:tab w:val="left" w:pos="1984"/>
          <w:tab w:val="left" w:leader="dot" w:pos="7654"/>
          <w:tab w:val="right" w:pos="8929"/>
          <w:tab w:val="right" w:pos="9638"/>
        </w:tabs>
        <w:spacing w:after="120"/>
        <w:ind w:left="1500" w:hanging="360"/>
      </w:pPr>
      <w:r w:rsidRPr="00685BB1">
        <w:t>A.</w:t>
      </w:r>
      <w:r w:rsidRPr="00685BB1">
        <w:tab/>
      </w:r>
      <w:r w:rsidR="00E44689" w:rsidRPr="00685BB1">
        <w:t>Compliance with and implementation of the Convention and the Protocol</w:t>
      </w:r>
      <w:r w:rsidR="00B11B0B" w:rsidRPr="00685BB1">
        <w:tab/>
      </w:r>
      <w:r w:rsidR="00874B0C">
        <w:tab/>
      </w:r>
      <w:r w:rsidR="00B11B0B" w:rsidRPr="00685BB1">
        <w:tab/>
      </w:r>
      <w:r w:rsidR="00CC2B23">
        <w:t>8</w:t>
      </w:r>
    </w:p>
    <w:p w14:paraId="41F165B4" w14:textId="216C1112" w:rsidR="009A7627" w:rsidRPr="00685BB1" w:rsidRDefault="00B11B0B" w:rsidP="00B11B0B">
      <w:pPr>
        <w:tabs>
          <w:tab w:val="right" w:pos="850"/>
          <w:tab w:val="left" w:pos="1134"/>
          <w:tab w:val="left" w:pos="1559"/>
          <w:tab w:val="left" w:pos="1984"/>
          <w:tab w:val="left" w:leader="dot" w:pos="7654"/>
          <w:tab w:val="right" w:pos="8929"/>
          <w:tab w:val="right" w:pos="9638"/>
        </w:tabs>
        <w:spacing w:after="120"/>
      </w:pPr>
      <w:r w:rsidRPr="00685BB1">
        <w:tab/>
      </w:r>
      <w:r w:rsidRPr="00685BB1">
        <w:tab/>
        <w:t>B.</w:t>
      </w:r>
      <w:r w:rsidRPr="00685BB1">
        <w:tab/>
      </w:r>
      <w:proofErr w:type="spellStart"/>
      <w:r w:rsidR="004210C1" w:rsidRPr="00685BB1">
        <w:t>Subregional</w:t>
      </w:r>
      <w:proofErr w:type="spellEnd"/>
      <w:r w:rsidR="004210C1" w:rsidRPr="00685BB1">
        <w:t xml:space="preserve"> cooperation and capacity-building……………………………</w:t>
      </w:r>
      <w:r w:rsidR="004210C1" w:rsidRPr="00685BB1">
        <w:tab/>
      </w:r>
      <w:r w:rsidR="00874B0C">
        <w:tab/>
      </w:r>
      <w:r w:rsidR="004210C1" w:rsidRPr="00685BB1">
        <w:tab/>
      </w:r>
      <w:r w:rsidR="00A52237" w:rsidRPr="00685BB1">
        <w:t>8</w:t>
      </w:r>
    </w:p>
    <w:p w14:paraId="1C10062B" w14:textId="786F63EA" w:rsidR="004210C1" w:rsidRPr="00685BB1" w:rsidRDefault="00B11B0B" w:rsidP="00B11B0B">
      <w:pPr>
        <w:tabs>
          <w:tab w:val="right" w:pos="850"/>
          <w:tab w:val="left" w:pos="1134"/>
          <w:tab w:val="left" w:pos="1559"/>
          <w:tab w:val="left" w:pos="1984"/>
          <w:tab w:val="left" w:leader="dot" w:pos="7654"/>
          <w:tab w:val="right" w:pos="8929"/>
          <w:tab w:val="right" w:pos="9638"/>
        </w:tabs>
        <w:spacing w:after="120"/>
      </w:pPr>
      <w:r w:rsidRPr="00685BB1">
        <w:tab/>
      </w:r>
      <w:r w:rsidRPr="00685BB1">
        <w:tab/>
        <w:t>C.</w:t>
      </w:r>
      <w:r w:rsidRPr="00685BB1">
        <w:tab/>
      </w:r>
      <w:r w:rsidR="00A52237" w:rsidRPr="00685BB1">
        <w:t>Promoting ratification and application of the Protocol and the Convention</w:t>
      </w:r>
      <w:r w:rsidR="004210C1" w:rsidRPr="00685BB1">
        <w:tab/>
      </w:r>
      <w:r w:rsidR="00874B0C">
        <w:tab/>
      </w:r>
      <w:r w:rsidR="005E3F53" w:rsidRPr="00685BB1">
        <w:tab/>
      </w:r>
      <w:r w:rsidR="00CC2B23">
        <w:t>9</w:t>
      </w:r>
    </w:p>
    <w:p w14:paraId="58872748" w14:textId="71CD687B" w:rsidR="00AF09B7" w:rsidRPr="00685BB1" w:rsidRDefault="00AF09B7" w:rsidP="005E3F53">
      <w:pPr>
        <w:tabs>
          <w:tab w:val="right" w:pos="850"/>
          <w:tab w:val="left" w:pos="1134"/>
          <w:tab w:val="left" w:pos="1559"/>
          <w:tab w:val="left" w:pos="1984"/>
          <w:tab w:val="left" w:leader="dot" w:pos="7654"/>
          <w:tab w:val="right" w:pos="8929"/>
          <w:tab w:val="right" w:pos="9638"/>
        </w:tabs>
        <w:spacing w:after="120"/>
      </w:pPr>
      <w:r w:rsidRPr="00685BB1">
        <w:tab/>
      </w:r>
      <w:r w:rsidR="00E44689" w:rsidRPr="00685BB1">
        <w:t>I</w:t>
      </w:r>
      <w:r w:rsidRPr="00685BB1">
        <w:t>V.</w:t>
      </w:r>
      <w:r w:rsidRPr="00685BB1">
        <w:tab/>
        <w:t>Opening ceremony of the high-level segment</w:t>
      </w:r>
      <w:r w:rsidRPr="00685BB1">
        <w:tab/>
      </w:r>
      <w:r w:rsidR="00874B0C">
        <w:tab/>
      </w:r>
      <w:r w:rsidRPr="00685BB1">
        <w:tab/>
      </w:r>
      <w:r w:rsidR="00986ECB" w:rsidRPr="00685BB1">
        <w:t>9</w:t>
      </w:r>
    </w:p>
    <w:p w14:paraId="49E24E9C" w14:textId="702E1FCE" w:rsidR="00E44689" w:rsidRPr="00685BB1" w:rsidRDefault="00E44689" w:rsidP="00E44689">
      <w:pPr>
        <w:tabs>
          <w:tab w:val="right" w:pos="850"/>
          <w:tab w:val="left" w:pos="1134"/>
          <w:tab w:val="left" w:pos="1559"/>
          <w:tab w:val="left" w:pos="1984"/>
          <w:tab w:val="left" w:leader="dot" w:pos="7654"/>
          <w:tab w:val="right" w:pos="8929"/>
          <w:tab w:val="right" w:pos="9638"/>
        </w:tabs>
        <w:spacing w:after="120"/>
        <w:ind w:left="1134" w:hanging="1134"/>
      </w:pPr>
      <w:r w:rsidRPr="00685BB1">
        <w:tab/>
        <w:t>V.</w:t>
      </w:r>
      <w:r w:rsidRPr="00685BB1">
        <w:tab/>
        <w:t>High-level event to mark the thirtieth anniversary of the Convention.</w:t>
      </w:r>
      <w:r w:rsidRPr="00685BB1">
        <w:tab/>
      </w:r>
      <w:r w:rsidR="00874B0C">
        <w:tab/>
      </w:r>
      <w:r w:rsidR="00B11B0B" w:rsidRPr="00685BB1">
        <w:tab/>
      </w:r>
      <w:r w:rsidR="00A52237" w:rsidRPr="00685BB1">
        <w:t>9</w:t>
      </w:r>
    </w:p>
    <w:p w14:paraId="53FAC8A0" w14:textId="5DD71BAB" w:rsidR="00AF09B7" w:rsidRPr="00685BB1" w:rsidRDefault="00AF09B7" w:rsidP="00AF09B7">
      <w:pPr>
        <w:tabs>
          <w:tab w:val="right" w:pos="850"/>
          <w:tab w:val="left" w:pos="1134"/>
          <w:tab w:val="left" w:pos="1559"/>
          <w:tab w:val="left" w:pos="1984"/>
          <w:tab w:val="left" w:leader="dot" w:pos="7654"/>
          <w:tab w:val="right" w:pos="8929"/>
          <w:tab w:val="right" w:pos="9638"/>
        </w:tabs>
        <w:spacing w:after="120"/>
        <w:ind w:left="1134" w:hanging="1134"/>
      </w:pPr>
      <w:r w:rsidRPr="00685BB1">
        <w:lastRenderedPageBreak/>
        <w:tab/>
        <w:t>VI.</w:t>
      </w:r>
      <w:r w:rsidRPr="00685BB1">
        <w:tab/>
        <w:t>Statements by ministers and high-level representatives</w:t>
      </w:r>
      <w:r w:rsidRPr="00685BB1">
        <w:tab/>
      </w:r>
      <w:r w:rsidRPr="00685BB1">
        <w:tab/>
      </w:r>
      <w:r w:rsidR="00874B0C">
        <w:tab/>
      </w:r>
      <w:r w:rsidR="004210C1" w:rsidRPr="00685BB1">
        <w:t>1</w:t>
      </w:r>
      <w:r w:rsidR="00CC2B23">
        <w:t>1</w:t>
      </w:r>
    </w:p>
    <w:p w14:paraId="56EF894D" w14:textId="5272FA54" w:rsidR="00AF09B7" w:rsidRPr="00685BB1" w:rsidRDefault="00AF09B7" w:rsidP="00AF09B7">
      <w:pPr>
        <w:tabs>
          <w:tab w:val="right" w:pos="850"/>
          <w:tab w:val="left" w:pos="1134"/>
          <w:tab w:val="left" w:pos="1559"/>
          <w:tab w:val="left" w:pos="1984"/>
          <w:tab w:val="left" w:leader="dot" w:pos="7654"/>
          <w:tab w:val="right" w:pos="8929"/>
          <w:tab w:val="right" w:pos="9638"/>
        </w:tabs>
        <w:spacing w:after="120"/>
        <w:ind w:left="1134" w:hanging="1134"/>
      </w:pPr>
      <w:r w:rsidRPr="00685BB1">
        <w:tab/>
        <w:t>VII.</w:t>
      </w:r>
      <w:r w:rsidRPr="00685BB1">
        <w:tab/>
        <w:t>Adoption of decisions</w:t>
      </w:r>
      <w:r w:rsidR="00E44689" w:rsidRPr="00685BB1">
        <w:t xml:space="preserve"> and the Vilnius Declaration</w:t>
      </w:r>
      <w:r w:rsidRPr="00685BB1">
        <w:tab/>
      </w:r>
      <w:r w:rsidRPr="00685BB1">
        <w:tab/>
      </w:r>
      <w:r w:rsidR="00874B0C">
        <w:tab/>
      </w:r>
      <w:r w:rsidR="00986ECB" w:rsidRPr="00685BB1">
        <w:t>1</w:t>
      </w:r>
      <w:r w:rsidR="00CC2B23">
        <w:t>1</w:t>
      </w:r>
    </w:p>
    <w:p w14:paraId="3E732D62" w14:textId="3BE2512E" w:rsidR="00AF09B7" w:rsidRPr="00685BB1" w:rsidRDefault="00AF09B7" w:rsidP="00AF09B7">
      <w:pPr>
        <w:tabs>
          <w:tab w:val="right" w:pos="850"/>
          <w:tab w:val="left" w:pos="1134"/>
          <w:tab w:val="left" w:pos="1559"/>
          <w:tab w:val="left" w:pos="1984"/>
          <w:tab w:val="left" w:leader="dot" w:pos="7654"/>
          <w:tab w:val="right" w:pos="8929"/>
          <w:tab w:val="right" w:pos="9638"/>
        </w:tabs>
        <w:spacing w:after="120"/>
      </w:pPr>
      <w:r w:rsidRPr="00685BB1">
        <w:tab/>
        <w:t>VIII.</w:t>
      </w:r>
      <w:r w:rsidRPr="00685BB1">
        <w:tab/>
        <w:t xml:space="preserve">Election of </w:t>
      </w:r>
      <w:r w:rsidR="00E44689" w:rsidRPr="00685BB1">
        <w:t>officers for the next intersessional period</w:t>
      </w:r>
      <w:r w:rsidRPr="00685BB1">
        <w:tab/>
      </w:r>
      <w:r w:rsidRPr="00685BB1">
        <w:tab/>
      </w:r>
      <w:r w:rsidR="00874B0C">
        <w:tab/>
      </w:r>
      <w:r w:rsidR="00EE27FD" w:rsidRPr="00685BB1">
        <w:t>1</w:t>
      </w:r>
      <w:r w:rsidR="00986ECB" w:rsidRPr="00685BB1">
        <w:t>1</w:t>
      </w:r>
    </w:p>
    <w:p w14:paraId="38D556D4" w14:textId="5F9F656B" w:rsidR="00986ECB" w:rsidRPr="00685BB1" w:rsidRDefault="00AF09B7" w:rsidP="00E44689">
      <w:pPr>
        <w:tabs>
          <w:tab w:val="right" w:pos="850"/>
          <w:tab w:val="left" w:pos="1134"/>
          <w:tab w:val="left" w:pos="1559"/>
          <w:tab w:val="left" w:pos="1984"/>
          <w:tab w:val="left" w:leader="dot" w:pos="7654"/>
          <w:tab w:val="right" w:pos="8929"/>
          <w:tab w:val="right" w:pos="9638"/>
        </w:tabs>
        <w:spacing w:after="120"/>
        <w:ind w:left="1134" w:hanging="1134"/>
      </w:pPr>
      <w:r w:rsidRPr="00685BB1">
        <w:tab/>
      </w:r>
      <w:r w:rsidR="00E44689" w:rsidRPr="00685BB1">
        <w:t>I</w:t>
      </w:r>
      <w:r w:rsidRPr="00685BB1">
        <w:t>X.</w:t>
      </w:r>
      <w:r w:rsidRPr="00685BB1">
        <w:tab/>
        <w:t>Date and venue of next meetings</w:t>
      </w:r>
      <w:r w:rsidRPr="00685BB1">
        <w:tab/>
      </w:r>
      <w:r w:rsidRPr="00685BB1">
        <w:tab/>
      </w:r>
      <w:r w:rsidR="00874B0C">
        <w:tab/>
      </w:r>
      <w:r w:rsidR="00EE27FD" w:rsidRPr="00685BB1">
        <w:t>1</w:t>
      </w:r>
      <w:r w:rsidR="00CC2B23">
        <w:t>2</w:t>
      </w:r>
    </w:p>
    <w:p w14:paraId="32EEA408" w14:textId="01029D74" w:rsidR="00AF09B7" w:rsidRDefault="00AF09B7" w:rsidP="00AF09B7">
      <w:pPr>
        <w:tabs>
          <w:tab w:val="right" w:pos="850"/>
          <w:tab w:val="left" w:pos="1134"/>
          <w:tab w:val="left" w:pos="1559"/>
          <w:tab w:val="left" w:pos="1984"/>
          <w:tab w:val="left" w:leader="dot" w:pos="7654"/>
          <w:tab w:val="right" w:pos="8929"/>
          <w:tab w:val="right" w:pos="9638"/>
        </w:tabs>
        <w:spacing w:after="120"/>
        <w:ind w:left="1134" w:hanging="1134"/>
      </w:pPr>
      <w:r w:rsidRPr="00685BB1">
        <w:tab/>
        <w:t>X.</w:t>
      </w:r>
      <w:r w:rsidRPr="00685BB1">
        <w:tab/>
        <w:t>Conclusion of the session</w:t>
      </w:r>
      <w:r w:rsidRPr="00685BB1">
        <w:tab/>
      </w:r>
      <w:r w:rsidRPr="00685BB1">
        <w:tab/>
      </w:r>
      <w:r w:rsidR="00874B0C">
        <w:tab/>
      </w:r>
      <w:r w:rsidR="008E0BB0" w:rsidRPr="00685BB1">
        <w:t>1</w:t>
      </w:r>
      <w:r w:rsidR="004509AC" w:rsidRPr="00685BB1">
        <w:t>2</w:t>
      </w:r>
    </w:p>
    <w:p w14:paraId="5C5F2DFA" w14:textId="166F8F74" w:rsidR="00CC2B23" w:rsidRDefault="00C84451" w:rsidP="00AF09B7">
      <w:pPr>
        <w:tabs>
          <w:tab w:val="right" w:pos="850"/>
          <w:tab w:val="left" w:pos="1134"/>
          <w:tab w:val="left" w:pos="1559"/>
          <w:tab w:val="left" w:pos="1984"/>
          <w:tab w:val="left" w:leader="dot" w:pos="7654"/>
          <w:tab w:val="right" w:pos="8929"/>
          <w:tab w:val="right" w:pos="9638"/>
        </w:tabs>
        <w:spacing w:after="120"/>
        <w:ind w:left="1134" w:hanging="1134"/>
      </w:pPr>
      <w:r>
        <w:tab/>
      </w:r>
      <w:r w:rsidR="00CC2B23" w:rsidRPr="00CC2B23">
        <w:t>Annex I</w:t>
      </w:r>
    </w:p>
    <w:p w14:paraId="3111CEB2" w14:textId="1A3D25D6" w:rsidR="00CC2B23" w:rsidRDefault="00CC2B23" w:rsidP="00CC2B23">
      <w:pPr>
        <w:tabs>
          <w:tab w:val="right" w:pos="850"/>
          <w:tab w:val="left" w:pos="1134"/>
          <w:tab w:val="left" w:pos="1559"/>
          <w:tab w:val="left" w:pos="1984"/>
          <w:tab w:val="left" w:leader="dot" w:pos="7654"/>
          <w:tab w:val="right" w:pos="8929"/>
          <w:tab w:val="right" w:pos="9638"/>
        </w:tabs>
        <w:spacing w:after="120"/>
        <w:ind w:left="1134" w:hanging="1134"/>
      </w:pPr>
      <w:r>
        <w:tab/>
      </w:r>
      <w:r w:rsidR="00C84451">
        <w:tab/>
      </w:r>
      <w:r w:rsidRPr="00CC2B23">
        <w:t>Pledges to the budget for the intersessional period 2021–2023</w:t>
      </w:r>
      <w:r>
        <w:tab/>
      </w:r>
      <w:r>
        <w:tab/>
      </w:r>
      <w:r>
        <w:tab/>
        <w:t>13</w:t>
      </w:r>
    </w:p>
    <w:p w14:paraId="44C6C89B" w14:textId="50DF1BDF" w:rsidR="00CC2B23" w:rsidRDefault="00C84451" w:rsidP="00CC2B23">
      <w:pPr>
        <w:tabs>
          <w:tab w:val="right" w:pos="850"/>
          <w:tab w:val="left" w:pos="1134"/>
          <w:tab w:val="left" w:pos="1559"/>
          <w:tab w:val="left" w:pos="1984"/>
          <w:tab w:val="left" w:leader="dot" w:pos="7654"/>
          <w:tab w:val="right" w:pos="8929"/>
          <w:tab w:val="right" w:pos="9638"/>
        </w:tabs>
        <w:spacing w:after="120"/>
        <w:ind w:left="1134" w:hanging="1134"/>
      </w:pPr>
      <w:r>
        <w:tab/>
      </w:r>
      <w:r w:rsidR="00CC2B23" w:rsidRPr="00CC2B23">
        <w:t>Annex II</w:t>
      </w:r>
    </w:p>
    <w:p w14:paraId="3B5A5A8F" w14:textId="47A13D9B" w:rsidR="00CC2B23" w:rsidRDefault="00C84451" w:rsidP="00CC2B23">
      <w:pPr>
        <w:tabs>
          <w:tab w:val="right" w:pos="850"/>
          <w:tab w:val="left" w:pos="1134"/>
          <w:tab w:val="left" w:pos="1559"/>
          <w:tab w:val="left" w:pos="1984"/>
          <w:tab w:val="left" w:leader="dot" w:pos="7654"/>
          <w:tab w:val="right" w:pos="8929"/>
          <w:tab w:val="right" w:pos="9638"/>
        </w:tabs>
        <w:spacing w:after="120"/>
        <w:ind w:left="1134" w:hanging="1134"/>
      </w:pPr>
      <w:r>
        <w:tab/>
      </w:r>
      <w:r>
        <w:tab/>
      </w:r>
      <w:r w:rsidR="00CC2B23" w:rsidRPr="00CC2B23">
        <w:t xml:space="preserve">Bureau to the Meetings of the Parties to the Convention on Environmental Impact </w:t>
      </w:r>
      <w:r>
        <w:br/>
      </w:r>
      <w:r w:rsidR="00CC2B23" w:rsidRPr="00CC2B23">
        <w:t>Assessment in a Transboundary</w:t>
      </w:r>
      <w:r>
        <w:t xml:space="preserve"> </w:t>
      </w:r>
      <w:r w:rsidR="00CC2B23" w:rsidRPr="00CC2B23">
        <w:t xml:space="preserve">Context and the Protocol on Strategic Environmental </w:t>
      </w:r>
      <w:r>
        <w:br/>
      </w:r>
      <w:r w:rsidR="00CC2B23" w:rsidRPr="00CC2B23">
        <w:t>Assessment - Election criteria for the officers and guidance on tasks and procedures</w:t>
      </w:r>
      <w:r w:rsidR="00CC2B23">
        <w:tab/>
      </w:r>
      <w:r w:rsidR="00CC2B23">
        <w:tab/>
        <w:t>17</w:t>
      </w:r>
    </w:p>
    <w:p w14:paraId="5E3B4272" w14:textId="041F962B" w:rsidR="00FD28F2" w:rsidRDefault="00FD28F2" w:rsidP="00DD72CB">
      <w:pPr>
        <w:tabs>
          <w:tab w:val="right" w:pos="850"/>
          <w:tab w:val="left" w:pos="1134"/>
          <w:tab w:val="left" w:pos="1559"/>
          <w:tab w:val="left" w:pos="1984"/>
          <w:tab w:val="left" w:leader="dot" w:pos="7654"/>
          <w:tab w:val="right" w:pos="8929"/>
          <w:tab w:val="right" w:pos="9638"/>
        </w:tabs>
        <w:spacing w:after="120"/>
        <w:ind w:left="1134" w:hanging="1134"/>
      </w:pPr>
      <w:r>
        <w:tab/>
      </w:r>
    </w:p>
    <w:p w14:paraId="0A26B5D4" w14:textId="77777777" w:rsidR="0078073F" w:rsidRDefault="0078073F" w:rsidP="00AE1A16">
      <w:pPr>
        <w:sectPr w:rsidR="0078073F" w:rsidSect="00DB152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pPr>
    </w:p>
    <w:p w14:paraId="0DAF6EDD" w14:textId="7BD62842" w:rsidR="00AF09B7" w:rsidRPr="00874B0C" w:rsidRDefault="00874B0C" w:rsidP="00874B0C">
      <w:pPr>
        <w:pStyle w:val="HChG"/>
      </w:pPr>
      <w:r>
        <w:lastRenderedPageBreak/>
        <w:tab/>
      </w:r>
      <w:r w:rsidR="00AF09B7" w:rsidRPr="00685BB1">
        <w:t>I.</w:t>
      </w:r>
      <w:r w:rsidR="00AF09B7" w:rsidRPr="00685BB1">
        <w:tab/>
        <w:t>Introduction</w:t>
      </w:r>
    </w:p>
    <w:p w14:paraId="1E3CCDFB" w14:textId="5F78E9C0" w:rsidR="00AF09B7" w:rsidRPr="00685BB1" w:rsidRDefault="00AF09B7" w:rsidP="00FA5E5E">
      <w:pPr>
        <w:pStyle w:val="SingleTxtG"/>
      </w:pPr>
      <w:r w:rsidRPr="00685BB1">
        <w:t>1.</w:t>
      </w:r>
      <w:r w:rsidRPr="00685BB1">
        <w:tab/>
        <w:t xml:space="preserve">The </w:t>
      </w:r>
      <w:r w:rsidR="00E44689" w:rsidRPr="00685BB1">
        <w:t xml:space="preserve">eighth </w:t>
      </w:r>
      <w:r w:rsidRPr="00685BB1">
        <w:t xml:space="preserve">session of the Meeting of the Parties to the Convention on Environmental Impact Assessment in a Transboundary Context (Espoo Convention) and the </w:t>
      </w:r>
      <w:r w:rsidR="00E44689" w:rsidRPr="00685BB1">
        <w:t xml:space="preserve">fourth session of the </w:t>
      </w:r>
      <w:r w:rsidRPr="00685BB1">
        <w:t xml:space="preserve">Meeting of the Parties to the Convention serving as the Meeting of the Parties to the Protocol on Strategic Environmental Assessment (Meeting of the Parties to the Protocol) were held from </w:t>
      </w:r>
      <w:r w:rsidR="00E44689" w:rsidRPr="00685BB1">
        <w:t>8</w:t>
      </w:r>
      <w:r w:rsidRPr="00685BB1">
        <w:t xml:space="preserve"> to </w:t>
      </w:r>
      <w:r w:rsidR="00E44689" w:rsidRPr="00685BB1">
        <w:t>11</w:t>
      </w:r>
      <w:r w:rsidRPr="00685BB1">
        <w:t> </w:t>
      </w:r>
      <w:r w:rsidR="00E44689" w:rsidRPr="00685BB1">
        <w:t xml:space="preserve">December </w:t>
      </w:r>
      <w:r w:rsidRPr="00685BB1">
        <w:t>20</w:t>
      </w:r>
      <w:r w:rsidR="00E44689" w:rsidRPr="00685BB1">
        <w:t xml:space="preserve">20. </w:t>
      </w:r>
      <w:r w:rsidR="00D000A0" w:rsidRPr="00685BB1">
        <w:t xml:space="preserve">Initially planned </w:t>
      </w:r>
      <w:r w:rsidR="00D94D5B" w:rsidRPr="00685BB1">
        <w:t>to take place in Vilnius, at the invitation of the Government of Lithuania, the sessions were held remotely due to coronavirus disease (COVID–19)</w:t>
      </w:r>
      <w:r w:rsidR="009714F5" w:rsidRPr="00685BB1">
        <w:t xml:space="preserve"> pandemic-</w:t>
      </w:r>
      <w:r w:rsidR="00D94D5B" w:rsidRPr="00685BB1">
        <w:t>related restrictions</w:t>
      </w:r>
      <w:r w:rsidR="00BB2936" w:rsidRPr="00685BB1">
        <w:t xml:space="preserve"> on </w:t>
      </w:r>
      <w:r w:rsidR="00725F32" w:rsidRPr="00685BB1">
        <w:t xml:space="preserve">physical meetings and </w:t>
      </w:r>
      <w:r w:rsidR="00156B18" w:rsidRPr="00685BB1">
        <w:t>travel</w:t>
      </w:r>
      <w:r w:rsidR="00D94D5B" w:rsidRPr="00685BB1">
        <w:t xml:space="preserve">. The Government of Lithuania provided for the online platform and </w:t>
      </w:r>
      <w:r w:rsidR="00F1498A" w:rsidRPr="00685BB1">
        <w:t xml:space="preserve">the </w:t>
      </w:r>
      <w:r w:rsidR="00D94D5B" w:rsidRPr="00685BB1">
        <w:t>interpretation.</w:t>
      </w:r>
    </w:p>
    <w:p w14:paraId="1DB6EAC8" w14:textId="7F1E14E2" w:rsidR="00AF09B7" w:rsidRPr="00685BB1" w:rsidRDefault="00AF09B7" w:rsidP="00874B0C">
      <w:pPr>
        <w:pStyle w:val="SingleTxtG"/>
      </w:pPr>
      <w:r w:rsidRPr="00685BB1">
        <w:t>2.</w:t>
      </w:r>
      <w:r w:rsidRPr="00685BB1">
        <w:tab/>
        <w:t xml:space="preserve">The Meetings of the Parties to the Convention and the Protocol convened in joint and individual meetings throughout the sessional period. The present report </w:t>
      </w:r>
      <w:r w:rsidR="005C6A49" w:rsidRPr="00685BB1">
        <w:t xml:space="preserve">summarizes </w:t>
      </w:r>
      <w:r w:rsidRPr="00685BB1">
        <w:t xml:space="preserve">the work of both sessions. The </w:t>
      </w:r>
      <w:r w:rsidR="00EB662D" w:rsidRPr="00685BB1">
        <w:t xml:space="preserve">term </w:t>
      </w:r>
      <w:r w:rsidR="009D311D" w:rsidRPr="00685BB1">
        <w:t>“</w:t>
      </w:r>
      <w:r w:rsidRPr="00685BB1">
        <w:t>Meetings of the Parties</w:t>
      </w:r>
      <w:r w:rsidR="009D311D" w:rsidRPr="00685BB1">
        <w:t>”</w:t>
      </w:r>
      <w:r w:rsidRPr="00685BB1">
        <w:t xml:space="preserve"> refers to both bodies meeting in a joint session. For practical reasons, the decisions adopted at the sessions </w:t>
      </w:r>
      <w:r w:rsidR="00AF6839" w:rsidRPr="00685BB1">
        <w:t>a</w:t>
      </w:r>
      <w:r w:rsidRPr="00685BB1">
        <w:t>re being issued in</w:t>
      </w:r>
      <w:r w:rsidR="00C62DBA" w:rsidRPr="00685BB1">
        <w:t xml:space="preserve"> </w:t>
      </w:r>
      <w:r w:rsidRPr="00685BB1">
        <w:t>addend</w:t>
      </w:r>
      <w:r w:rsidR="00EB2649" w:rsidRPr="00685BB1">
        <w:t xml:space="preserve">a </w:t>
      </w:r>
      <w:r w:rsidRPr="00685BB1">
        <w:t>to the present report.</w:t>
      </w:r>
    </w:p>
    <w:p w14:paraId="0D59B0E8" w14:textId="77777777" w:rsidR="00AF09B7" w:rsidRPr="00685BB1" w:rsidRDefault="00AF09B7" w:rsidP="00874B0C">
      <w:pPr>
        <w:pStyle w:val="H1G"/>
      </w:pPr>
      <w:r w:rsidRPr="00685BB1">
        <w:tab/>
        <w:t>A.</w:t>
      </w:r>
      <w:r w:rsidRPr="00685BB1">
        <w:tab/>
      </w:r>
      <w:r w:rsidRPr="00874B0C">
        <w:t>Attendance</w:t>
      </w:r>
    </w:p>
    <w:p w14:paraId="44E47B3D" w14:textId="61D35865" w:rsidR="00AF09B7" w:rsidRPr="00685BB1" w:rsidRDefault="00AF09B7" w:rsidP="00874B0C">
      <w:pPr>
        <w:pStyle w:val="SingleTxtG"/>
      </w:pPr>
      <w:r w:rsidRPr="00685BB1">
        <w:t>3.</w:t>
      </w:r>
      <w:r w:rsidRPr="00685BB1">
        <w:tab/>
        <w:t xml:space="preserve">The meeting was attended by delegations from the following Parties to the Convention and the Protocol, as well as other member States of </w:t>
      </w:r>
      <w:r w:rsidRPr="00874B0C">
        <w:t>the</w:t>
      </w:r>
      <w:r w:rsidRPr="00685BB1">
        <w:t xml:space="preserve"> United Nations Economic Commission for Europe (ECE): Armenia, Austria, Azerbaijan, Belarus, Belgium, Bulgaria, </w:t>
      </w:r>
      <w:r w:rsidR="00D350E8" w:rsidRPr="00685BB1">
        <w:t xml:space="preserve">Canada, </w:t>
      </w:r>
      <w:r w:rsidRPr="00685BB1">
        <w:t>Croatia, Czechia, Denmark, Estonia, Finland, France, Georgia, Germany, Greece, Hungary, Ireland, Italy, K</w:t>
      </w:r>
      <w:r w:rsidR="006639FB" w:rsidRPr="00685BB1">
        <w:t>azakhstan</w:t>
      </w:r>
      <w:r w:rsidRPr="00685BB1">
        <w:t>, Latvia, Lithuania, Luxembourg, Malta, Montenegro, Netherlands, Norway, Poland, Portugal, Republic of Moldova, Romania, Russian Federation, Slovakia, Slovenia, Spain, Sweden, Switzerland, Ukraine</w:t>
      </w:r>
      <w:r w:rsidR="00C62DBA" w:rsidRPr="00685BB1">
        <w:t>,</w:t>
      </w:r>
      <w:r w:rsidRPr="00685BB1">
        <w:t xml:space="preserve"> United Kingdom of Great Britain and Northern Ireland and Uzbekistan. The European Union was represented by the European Commission. Statements on behalf of the European Union and its member States were made by </w:t>
      </w:r>
      <w:r w:rsidR="00942C0F" w:rsidRPr="00685BB1">
        <w:t>Germany</w:t>
      </w:r>
      <w:r w:rsidRPr="00685BB1">
        <w:t xml:space="preserve">, which held the Presidency of the Council of the European Union in the </w:t>
      </w:r>
      <w:r w:rsidR="00942C0F" w:rsidRPr="00685BB1">
        <w:t>second</w:t>
      </w:r>
      <w:r w:rsidRPr="00685BB1">
        <w:t xml:space="preserve"> half of 20</w:t>
      </w:r>
      <w:r w:rsidR="00942C0F" w:rsidRPr="00685BB1">
        <w:t>20</w:t>
      </w:r>
      <w:r w:rsidRPr="00685BB1">
        <w:t>, and by the European Commission.</w:t>
      </w:r>
    </w:p>
    <w:p w14:paraId="0C58AD87" w14:textId="395CADC5" w:rsidR="00AF09B7" w:rsidRPr="00685BB1" w:rsidRDefault="00AF09B7" w:rsidP="00874B0C">
      <w:pPr>
        <w:pStyle w:val="SingleTxtG"/>
      </w:pPr>
      <w:r w:rsidRPr="00685BB1">
        <w:t>4.</w:t>
      </w:r>
      <w:r w:rsidRPr="00685BB1">
        <w:tab/>
        <w:t xml:space="preserve">Representatives of the </w:t>
      </w:r>
      <w:r w:rsidR="00A2502D" w:rsidRPr="00685BB1">
        <w:t xml:space="preserve">ECE </w:t>
      </w:r>
      <w:r w:rsidRPr="00685BB1">
        <w:t xml:space="preserve">secretariat attended the meeting. Representatives of </w:t>
      </w:r>
      <w:r w:rsidR="00DF649B" w:rsidRPr="00685BB1">
        <w:t xml:space="preserve">the </w:t>
      </w:r>
      <w:r w:rsidR="00890CA3" w:rsidRPr="00685BB1">
        <w:t xml:space="preserve">three </w:t>
      </w:r>
      <w:r w:rsidR="009714F5" w:rsidRPr="00685BB1">
        <w:t xml:space="preserve">following </w:t>
      </w:r>
      <w:r w:rsidR="00890CA3" w:rsidRPr="00685BB1">
        <w:t>United Nations bodies</w:t>
      </w:r>
      <w:r w:rsidR="00B941A1" w:rsidRPr="00685BB1">
        <w:t xml:space="preserve"> </w:t>
      </w:r>
      <w:r w:rsidR="00D77BDA" w:rsidRPr="00685BB1">
        <w:t xml:space="preserve">participated: </w:t>
      </w:r>
      <w:r w:rsidR="009714F5" w:rsidRPr="00685BB1">
        <w:t xml:space="preserve">the </w:t>
      </w:r>
      <w:r w:rsidR="005C3353" w:rsidRPr="00874B0C">
        <w:t>International</w:t>
      </w:r>
      <w:r w:rsidR="005C3353" w:rsidRPr="00685BB1">
        <w:t xml:space="preserve"> Atomic Energy Agency</w:t>
      </w:r>
      <w:r w:rsidR="00F9009D" w:rsidRPr="00685BB1">
        <w:t xml:space="preserve"> </w:t>
      </w:r>
      <w:r w:rsidR="009714F5" w:rsidRPr="00685BB1">
        <w:t xml:space="preserve">the </w:t>
      </w:r>
      <w:r w:rsidR="00F9009D" w:rsidRPr="00685BB1">
        <w:t>United Nations Environment Programme</w:t>
      </w:r>
      <w:r w:rsidR="00ED7F27" w:rsidRPr="00685BB1">
        <w:t xml:space="preserve">; </w:t>
      </w:r>
      <w:r w:rsidR="00B941A1" w:rsidRPr="00685BB1">
        <w:t xml:space="preserve">and </w:t>
      </w:r>
      <w:r w:rsidRPr="00685BB1">
        <w:t xml:space="preserve">the World Health Organization (WHO). </w:t>
      </w:r>
      <w:r w:rsidR="004A322A" w:rsidRPr="00685BB1">
        <w:t>T</w:t>
      </w:r>
      <w:r w:rsidR="00D0303A" w:rsidRPr="00685BB1">
        <w:t>he</w:t>
      </w:r>
      <w:r w:rsidRPr="00685BB1">
        <w:t xml:space="preserve"> following </w:t>
      </w:r>
      <w:r w:rsidR="005C3353" w:rsidRPr="00685BB1">
        <w:t xml:space="preserve">other </w:t>
      </w:r>
      <w:r w:rsidRPr="00685BB1">
        <w:t xml:space="preserve">intergovernmental organizations took part: </w:t>
      </w:r>
      <w:r w:rsidR="00954E13" w:rsidRPr="00685BB1">
        <w:t xml:space="preserve">the </w:t>
      </w:r>
      <w:r w:rsidRPr="00685BB1">
        <w:t>Organization for Security and Cooperation in Europe (O</w:t>
      </w:r>
      <w:r w:rsidR="001A5A77" w:rsidRPr="00685BB1">
        <w:t>S</w:t>
      </w:r>
      <w:r w:rsidRPr="00685BB1">
        <w:t>CE)</w:t>
      </w:r>
      <w:r w:rsidR="002F5A6A" w:rsidRPr="00685BB1">
        <w:t>;</w:t>
      </w:r>
      <w:r w:rsidRPr="00685BB1">
        <w:t xml:space="preserve"> </w:t>
      </w:r>
      <w:r w:rsidR="00954E13" w:rsidRPr="00685BB1">
        <w:t>the</w:t>
      </w:r>
      <w:r w:rsidRPr="00685BB1">
        <w:t xml:space="preserve"> </w:t>
      </w:r>
      <w:r w:rsidRPr="00685BB1">
        <w:rPr>
          <w:rStyle w:val="st"/>
        </w:rPr>
        <w:t>Organi</w:t>
      </w:r>
      <w:r w:rsidR="00954E13" w:rsidRPr="00685BB1">
        <w:rPr>
          <w:rStyle w:val="st"/>
        </w:rPr>
        <w:t>z</w:t>
      </w:r>
      <w:r w:rsidRPr="00685BB1">
        <w:rPr>
          <w:rStyle w:val="st"/>
        </w:rPr>
        <w:t>ation for Economic Cooperation and Development</w:t>
      </w:r>
      <w:r w:rsidR="00954E13" w:rsidRPr="00685BB1">
        <w:rPr>
          <w:rStyle w:val="st"/>
        </w:rPr>
        <w:t xml:space="preserve"> and </w:t>
      </w:r>
      <w:r w:rsidR="00003F65" w:rsidRPr="00685BB1">
        <w:rPr>
          <w:rStyle w:val="st"/>
        </w:rPr>
        <w:t xml:space="preserve">its </w:t>
      </w:r>
      <w:r w:rsidRPr="00685BB1">
        <w:rPr>
          <w:rStyle w:val="st"/>
        </w:rPr>
        <w:t xml:space="preserve">Nuclear Energy Agency. </w:t>
      </w:r>
      <w:r w:rsidR="008314EB" w:rsidRPr="00685BB1">
        <w:t xml:space="preserve">The European Investment Bank also took part. </w:t>
      </w:r>
      <w:r w:rsidRPr="00685BB1">
        <w:rPr>
          <w:rStyle w:val="st"/>
        </w:rPr>
        <w:t xml:space="preserve">The following </w:t>
      </w:r>
      <w:r w:rsidRPr="00685BB1">
        <w:t xml:space="preserve">non-governmental organizations (NGOs) were represented: </w:t>
      </w:r>
      <w:r w:rsidR="00425F51" w:rsidRPr="00685BB1">
        <w:t xml:space="preserve">the </w:t>
      </w:r>
      <w:r w:rsidRPr="00685BB1">
        <w:t xml:space="preserve">Caucasus Environmental NGO Network; </w:t>
      </w:r>
      <w:proofErr w:type="spellStart"/>
      <w:r w:rsidR="00425B53" w:rsidRPr="00685BB1">
        <w:t>Eco</w:t>
      </w:r>
      <w:r w:rsidR="007373DF" w:rsidRPr="00685BB1">
        <w:t>home</w:t>
      </w:r>
      <w:proofErr w:type="spellEnd"/>
      <w:r w:rsidR="007373DF" w:rsidRPr="00685BB1">
        <w:t xml:space="preserve"> (Belarus); </w:t>
      </w:r>
      <w:r w:rsidR="00425F51" w:rsidRPr="00685BB1">
        <w:t xml:space="preserve">the </w:t>
      </w:r>
      <w:r w:rsidR="00E143DB" w:rsidRPr="00685BB1">
        <w:t xml:space="preserve">European Atomic Forum; </w:t>
      </w:r>
      <w:r w:rsidRPr="00685BB1">
        <w:t>Friends of the Earth Europe (Belgium);</w:t>
      </w:r>
      <w:r w:rsidR="0008435C" w:rsidRPr="00685BB1">
        <w:t xml:space="preserve"> </w:t>
      </w:r>
      <w:r w:rsidR="00CA2CF5" w:rsidRPr="00685BB1">
        <w:t>Greenpeace International</w:t>
      </w:r>
      <w:r w:rsidR="001A4A83" w:rsidRPr="00685BB1">
        <w:t xml:space="preserve">; </w:t>
      </w:r>
      <w:r w:rsidR="0008435C" w:rsidRPr="00685BB1">
        <w:t>Green</w:t>
      </w:r>
      <w:r w:rsidR="00425F51" w:rsidRPr="00685BB1">
        <w:t xml:space="preserve"> W</w:t>
      </w:r>
      <w:r w:rsidR="0008435C" w:rsidRPr="00685BB1">
        <w:t xml:space="preserve">omen Analytical Environmental Agency (Kazakhstan); </w:t>
      </w:r>
      <w:proofErr w:type="spellStart"/>
      <w:r w:rsidR="00594288" w:rsidRPr="00685BB1">
        <w:t>Guta</w:t>
      </w:r>
      <w:proofErr w:type="spellEnd"/>
      <w:r w:rsidR="00594288" w:rsidRPr="00685BB1">
        <w:t xml:space="preserve"> Environmental Law Association (Hungary); </w:t>
      </w:r>
      <w:r w:rsidR="001A4A83" w:rsidRPr="00685BB1">
        <w:t>Independent Ecological Expertise (</w:t>
      </w:r>
      <w:r w:rsidR="001F242E" w:rsidRPr="00685BB1">
        <w:t xml:space="preserve">Kyrgyzstan); </w:t>
      </w:r>
      <w:r w:rsidR="00954E13" w:rsidRPr="00685BB1">
        <w:t xml:space="preserve">the </w:t>
      </w:r>
      <w:r w:rsidRPr="00685BB1">
        <w:t xml:space="preserve">International Association for Impact Assessment; Nuclear Transparency Watch; Society and Environment (Ukraine); </w:t>
      </w:r>
      <w:r w:rsidR="00563BA6" w:rsidRPr="00685BB1">
        <w:t>t</w:t>
      </w:r>
      <w:r w:rsidR="00954E13" w:rsidRPr="00685BB1">
        <w:t xml:space="preserve">he </w:t>
      </w:r>
      <w:r w:rsidRPr="00685BB1">
        <w:t xml:space="preserve">World </w:t>
      </w:r>
      <w:r w:rsidR="00563BA6" w:rsidRPr="00685BB1">
        <w:t xml:space="preserve">Nuclear Association </w:t>
      </w:r>
      <w:r w:rsidRPr="00685BB1">
        <w:t>(</w:t>
      </w:r>
      <w:r w:rsidR="00563BA6" w:rsidRPr="00685BB1">
        <w:t>United Kingdom of Great Britain and Northern Ireland</w:t>
      </w:r>
      <w:r w:rsidR="001A5A77" w:rsidRPr="00685BB1">
        <w:t>)</w:t>
      </w:r>
      <w:r w:rsidR="00563BA6" w:rsidRPr="00685BB1">
        <w:t>; and</w:t>
      </w:r>
      <w:r w:rsidR="00CC74D5" w:rsidRPr="00685BB1">
        <w:t xml:space="preserve"> </w:t>
      </w:r>
      <w:proofErr w:type="spellStart"/>
      <w:r w:rsidR="00CC74D5" w:rsidRPr="00685BB1">
        <w:t>Ök</w:t>
      </w:r>
      <w:r w:rsidR="00FB3072" w:rsidRPr="00685BB1">
        <w:t>obüro</w:t>
      </w:r>
      <w:proofErr w:type="spellEnd"/>
      <w:r w:rsidR="00FB3072" w:rsidRPr="00685BB1">
        <w:t xml:space="preserve"> (Austria)</w:t>
      </w:r>
      <w:r w:rsidRPr="00685BB1">
        <w:t xml:space="preserve">. In addition, academics from Hokkaido University (Japan) </w:t>
      </w:r>
      <w:r w:rsidR="00D42B8A" w:rsidRPr="00685BB1">
        <w:t xml:space="preserve">and </w:t>
      </w:r>
      <w:r w:rsidR="00425F51" w:rsidRPr="00685BB1">
        <w:t xml:space="preserve">the </w:t>
      </w:r>
      <w:r w:rsidR="00D42B8A" w:rsidRPr="00685BB1">
        <w:t>National Univer</w:t>
      </w:r>
      <w:r w:rsidR="0006037F" w:rsidRPr="00685BB1">
        <w:t xml:space="preserve">sity of Singapore </w:t>
      </w:r>
      <w:r w:rsidRPr="00685BB1">
        <w:t>attended the meeting.</w:t>
      </w:r>
    </w:p>
    <w:p w14:paraId="4105C9C4" w14:textId="77777777" w:rsidR="00AF09B7" w:rsidRPr="00685BB1" w:rsidRDefault="00AF09B7" w:rsidP="00874B0C">
      <w:pPr>
        <w:pStyle w:val="H1G"/>
      </w:pPr>
      <w:r w:rsidRPr="00685BB1">
        <w:tab/>
        <w:t>B.</w:t>
      </w:r>
      <w:r w:rsidRPr="00685BB1">
        <w:tab/>
        <w:t>Organizational matters</w:t>
      </w:r>
    </w:p>
    <w:p w14:paraId="161A471D" w14:textId="3286C54C" w:rsidR="00AF09B7" w:rsidRPr="00685BB1" w:rsidRDefault="00AF09B7" w:rsidP="00874B0C">
      <w:pPr>
        <w:pStyle w:val="SingleTxtG"/>
      </w:pPr>
      <w:r w:rsidRPr="00685BB1">
        <w:t>5.</w:t>
      </w:r>
      <w:r w:rsidRPr="00685BB1">
        <w:tab/>
        <w:t xml:space="preserve">The Chair of the Bureau, </w:t>
      </w:r>
      <w:r w:rsidR="00EB662D" w:rsidRPr="00685BB1">
        <w:t xml:space="preserve">Mr. </w:t>
      </w:r>
      <w:r w:rsidRPr="00685BB1">
        <w:t>G</w:t>
      </w:r>
      <w:r w:rsidR="00C024C1" w:rsidRPr="00685BB1">
        <w:t>eorge</w:t>
      </w:r>
      <w:r w:rsidRPr="00685BB1">
        <w:t xml:space="preserve"> </w:t>
      </w:r>
      <w:proofErr w:type="spellStart"/>
      <w:r w:rsidRPr="00685BB1">
        <w:t>Kremlis</w:t>
      </w:r>
      <w:proofErr w:type="spellEnd"/>
      <w:r w:rsidRPr="00685BB1">
        <w:t xml:space="preserve">, </w:t>
      </w:r>
      <w:r w:rsidRPr="00874B0C">
        <w:t>opened</w:t>
      </w:r>
      <w:r w:rsidRPr="00685BB1">
        <w:t xml:space="preserve"> the meeting. The Secretary to the Convention and the Protocol informed the delegations that the </w:t>
      </w:r>
      <w:r w:rsidR="004F73BB" w:rsidRPr="00685BB1">
        <w:t>Working Group on Environmental Impact Assessment and Strategic Environmental Assessment</w:t>
      </w:r>
      <w:r w:rsidR="00EB662D" w:rsidRPr="00685BB1">
        <w:t>,</w:t>
      </w:r>
      <w:r w:rsidR="004F73BB" w:rsidRPr="00685BB1">
        <w:t xml:space="preserve"> together </w:t>
      </w:r>
      <w:r w:rsidR="00025C3A" w:rsidRPr="00685BB1">
        <w:t>with</w:t>
      </w:r>
      <w:r w:rsidR="005A66E8" w:rsidRPr="00685BB1">
        <w:t xml:space="preserve"> the </w:t>
      </w:r>
      <w:r w:rsidRPr="00685BB1">
        <w:t>Bureau</w:t>
      </w:r>
      <w:r w:rsidR="00EB662D" w:rsidRPr="00685BB1">
        <w:t>,</w:t>
      </w:r>
      <w:r w:rsidRPr="00685BB1">
        <w:t xml:space="preserve"> had recommended that Mr. </w:t>
      </w:r>
      <w:proofErr w:type="spellStart"/>
      <w:r w:rsidRPr="00685BB1">
        <w:t>Kremlis</w:t>
      </w:r>
      <w:proofErr w:type="spellEnd"/>
      <w:r w:rsidRPr="00685BB1">
        <w:t xml:space="preserve"> be elected as Chair of the general segment of the sessions. The Meetings of the Parties elected Mr. </w:t>
      </w:r>
      <w:proofErr w:type="spellStart"/>
      <w:r w:rsidRPr="00685BB1">
        <w:t>Kremlis</w:t>
      </w:r>
      <w:proofErr w:type="spellEnd"/>
      <w:r w:rsidRPr="00685BB1">
        <w:t xml:space="preserve"> accordingly.</w:t>
      </w:r>
    </w:p>
    <w:p w14:paraId="0926CE06" w14:textId="083602FE" w:rsidR="00AF09B7" w:rsidRPr="00685BB1" w:rsidRDefault="00AF09B7" w:rsidP="00874B0C">
      <w:pPr>
        <w:pStyle w:val="SingleTxtG"/>
      </w:pPr>
      <w:r w:rsidRPr="00685BB1">
        <w:t>6.</w:t>
      </w:r>
      <w:r w:rsidRPr="00685BB1">
        <w:tab/>
      </w:r>
      <w:r w:rsidR="00481CC7" w:rsidRPr="00685BB1">
        <w:t xml:space="preserve">The </w:t>
      </w:r>
      <w:r w:rsidR="00F23E8A" w:rsidRPr="00685BB1">
        <w:t xml:space="preserve">Acting </w:t>
      </w:r>
      <w:r w:rsidR="00E7541A" w:rsidRPr="00685BB1">
        <w:t xml:space="preserve">Minister of Environment of Lithuania, His Excellency Mr. </w:t>
      </w:r>
      <w:proofErr w:type="spellStart"/>
      <w:r w:rsidR="00F23E8A" w:rsidRPr="00685BB1">
        <w:t>Kęstutis</w:t>
      </w:r>
      <w:proofErr w:type="spellEnd"/>
      <w:r w:rsidR="00F23E8A" w:rsidRPr="00685BB1">
        <w:t xml:space="preserve"> </w:t>
      </w:r>
      <w:proofErr w:type="spellStart"/>
      <w:r w:rsidR="00F23E8A" w:rsidRPr="00685BB1">
        <w:t>Mažeika</w:t>
      </w:r>
      <w:proofErr w:type="spellEnd"/>
      <w:r w:rsidR="00E7541A" w:rsidRPr="00685BB1">
        <w:t xml:space="preserve">, </w:t>
      </w:r>
      <w:r w:rsidRPr="00685BB1">
        <w:t xml:space="preserve">welcomed </w:t>
      </w:r>
      <w:r w:rsidR="00DC7E37" w:rsidRPr="00685BB1">
        <w:t xml:space="preserve">the </w:t>
      </w:r>
      <w:r w:rsidRPr="00685BB1">
        <w:t>delegates.</w:t>
      </w:r>
    </w:p>
    <w:p w14:paraId="30BA6F48" w14:textId="0A091BA1" w:rsidR="00AF09B7" w:rsidRPr="00685BB1" w:rsidRDefault="00AF09B7" w:rsidP="00874B0C">
      <w:pPr>
        <w:pStyle w:val="SingleTxtG"/>
      </w:pPr>
      <w:r w:rsidRPr="00685BB1">
        <w:lastRenderedPageBreak/>
        <w:t>7.</w:t>
      </w:r>
      <w:r w:rsidRPr="00685BB1">
        <w:tab/>
        <w:t>The Meetings of the Parties adopted their agenda (ECE/MP.EIA/2</w:t>
      </w:r>
      <w:r w:rsidR="00BA3415" w:rsidRPr="00685BB1">
        <w:t>9</w:t>
      </w:r>
      <w:r w:rsidRPr="00685BB1">
        <w:t>–ECE/MP.EIA/SEA/1</w:t>
      </w:r>
      <w:r w:rsidR="00EA01B4" w:rsidRPr="00685BB1">
        <w:t>2</w:t>
      </w:r>
      <w:r w:rsidRPr="00685BB1">
        <w:t>),</w:t>
      </w:r>
      <w:r w:rsidRPr="00685BB1">
        <w:rPr>
          <w:rStyle w:val="FootnoteReference"/>
        </w:rPr>
        <w:footnoteReference w:id="2"/>
      </w:r>
      <w:r w:rsidRPr="00685BB1">
        <w:t xml:space="preserve"> which had been prepared by the secretariat in agreement with the Bureau</w:t>
      </w:r>
      <w:r w:rsidR="00C72A2E" w:rsidRPr="00685BB1">
        <w:t xml:space="preserve"> and the Working Group </w:t>
      </w:r>
      <w:r w:rsidR="00C72A2E" w:rsidRPr="00874B0C">
        <w:t>on</w:t>
      </w:r>
      <w:r w:rsidR="00C72A2E" w:rsidRPr="00685BB1">
        <w:t xml:space="preserve"> Environmental Impact Assessment and Strategic Environm</w:t>
      </w:r>
      <w:r w:rsidR="009E1781" w:rsidRPr="00685BB1">
        <w:t>ental Assessment</w:t>
      </w:r>
      <w:r w:rsidRPr="00685BB1">
        <w:t>.</w:t>
      </w:r>
    </w:p>
    <w:p w14:paraId="7E7C90B0" w14:textId="3B071BBF" w:rsidR="00135BC4" w:rsidRPr="00685BB1" w:rsidRDefault="00AF09B7" w:rsidP="00874B0C">
      <w:pPr>
        <w:pStyle w:val="SingleTxtG"/>
      </w:pPr>
      <w:r w:rsidRPr="00685BB1">
        <w:t>8.</w:t>
      </w:r>
      <w:r w:rsidRPr="00685BB1">
        <w:tab/>
      </w:r>
      <w:r w:rsidR="00135BC4" w:rsidRPr="00685BB1">
        <w:t>The Meetings of the Parties acknowledged</w:t>
      </w:r>
      <w:r w:rsidR="004479C7" w:rsidRPr="00685BB1">
        <w:t xml:space="preserve"> the informal note </w:t>
      </w:r>
      <w:r w:rsidR="00627B12" w:rsidRPr="00685BB1">
        <w:t xml:space="preserve">on procedural matters of relevance to meetings with remote participation </w:t>
      </w:r>
      <w:r w:rsidR="000169CC" w:rsidRPr="00685BB1">
        <w:t xml:space="preserve">due to </w:t>
      </w:r>
      <w:r w:rsidR="000169CC" w:rsidRPr="00874B0C">
        <w:t>extraordinary</w:t>
      </w:r>
      <w:r w:rsidR="000169CC" w:rsidRPr="00685BB1">
        <w:t xml:space="preserve"> circumstances that was </w:t>
      </w:r>
      <w:r w:rsidR="004479C7" w:rsidRPr="00685BB1">
        <w:t xml:space="preserve">prepared by the Bureau with support </w:t>
      </w:r>
      <w:r w:rsidR="00627B12" w:rsidRPr="00685BB1">
        <w:t xml:space="preserve">of </w:t>
      </w:r>
      <w:r w:rsidR="004479C7" w:rsidRPr="00685BB1">
        <w:t>the secretariat</w:t>
      </w:r>
      <w:r w:rsidR="001A5616" w:rsidRPr="00685BB1">
        <w:t xml:space="preserve"> </w:t>
      </w:r>
      <w:r w:rsidR="004F4C6E" w:rsidRPr="00685BB1">
        <w:t xml:space="preserve">and </w:t>
      </w:r>
      <w:r w:rsidR="00350D01" w:rsidRPr="00685BB1">
        <w:t xml:space="preserve">in consultation with </w:t>
      </w:r>
      <w:r w:rsidR="001A5616" w:rsidRPr="00685BB1">
        <w:t xml:space="preserve">the </w:t>
      </w:r>
      <w:r w:rsidR="00D910E7" w:rsidRPr="00685BB1">
        <w:t xml:space="preserve">Treaty Section of the </w:t>
      </w:r>
      <w:r w:rsidR="001A5616" w:rsidRPr="00685BB1">
        <w:t xml:space="preserve">Office of </w:t>
      </w:r>
      <w:r w:rsidR="00D910E7" w:rsidRPr="00685BB1">
        <w:t xml:space="preserve">Legal </w:t>
      </w:r>
      <w:r w:rsidR="001A5616" w:rsidRPr="00685BB1">
        <w:t>Affairs</w:t>
      </w:r>
      <w:r w:rsidR="001D4170" w:rsidRPr="00685BB1">
        <w:t>.</w:t>
      </w:r>
      <w:r w:rsidR="0078073F">
        <w:rPr>
          <w:rStyle w:val="FootnoteReference"/>
        </w:rPr>
        <w:footnoteReference w:id="3"/>
      </w:r>
      <w:r w:rsidR="001D4170" w:rsidRPr="00685BB1">
        <w:t xml:space="preserve"> </w:t>
      </w:r>
      <w:r w:rsidR="00C162E5" w:rsidRPr="00685BB1">
        <w:t xml:space="preserve">Further </w:t>
      </w:r>
      <w:r w:rsidR="00156995" w:rsidRPr="00685BB1">
        <w:t>to the proposal b</w:t>
      </w:r>
      <w:r w:rsidR="00BF3F7E" w:rsidRPr="00685BB1">
        <w:t>y the d</w:t>
      </w:r>
      <w:r w:rsidR="00701AF3" w:rsidRPr="00685BB1">
        <w:t xml:space="preserve">elegation of the </w:t>
      </w:r>
      <w:r w:rsidR="00BF3F7E" w:rsidRPr="00685BB1">
        <w:t>European Union</w:t>
      </w:r>
      <w:r w:rsidR="00C162E5" w:rsidRPr="00685BB1">
        <w:t>,</w:t>
      </w:r>
      <w:r w:rsidR="00156995" w:rsidRPr="00685BB1">
        <w:t xml:space="preserve"> </w:t>
      </w:r>
      <w:r w:rsidR="00C162E5" w:rsidRPr="00685BB1">
        <w:t xml:space="preserve">the Parties agreed </w:t>
      </w:r>
      <w:r w:rsidR="00156995" w:rsidRPr="00685BB1">
        <w:t xml:space="preserve">to </w:t>
      </w:r>
      <w:r w:rsidR="007A0B37" w:rsidRPr="00685BB1">
        <w:t xml:space="preserve">include in the workplan </w:t>
      </w:r>
      <w:r w:rsidR="00966F91" w:rsidRPr="00685BB1">
        <w:t xml:space="preserve">for 2021–2023 </w:t>
      </w:r>
      <w:r w:rsidR="0035679E" w:rsidRPr="00685BB1">
        <w:t>a</w:t>
      </w:r>
      <w:r w:rsidR="007B7CC5" w:rsidRPr="00685BB1">
        <w:t xml:space="preserve"> </w:t>
      </w:r>
      <w:r w:rsidR="00993C4C" w:rsidRPr="00685BB1">
        <w:t>possib</w:t>
      </w:r>
      <w:r w:rsidR="000A6433" w:rsidRPr="00685BB1">
        <w:t>le</w:t>
      </w:r>
      <w:r w:rsidR="0098219D" w:rsidRPr="00685BB1">
        <w:t xml:space="preserve"> further </w:t>
      </w:r>
      <w:r w:rsidR="00EB76A2" w:rsidRPr="00685BB1">
        <w:t>clarification of procedural matters</w:t>
      </w:r>
      <w:r w:rsidR="00732C00" w:rsidRPr="00685BB1">
        <w:t xml:space="preserve"> </w:t>
      </w:r>
      <w:r w:rsidR="00A76C54" w:rsidRPr="00685BB1">
        <w:t xml:space="preserve">of relevance to </w:t>
      </w:r>
      <w:r w:rsidR="00732C00" w:rsidRPr="00685BB1">
        <w:t>meetings</w:t>
      </w:r>
      <w:r w:rsidR="008305F5" w:rsidRPr="00685BB1">
        <w:t xml:space="preserve"> with remote participation</w:t>
      </w:r>
      <w:r w:rsidR="003C096E" w:rsidRPr="00685BB1">
        <w:t>.</w:t>
      </w:r>
    </w:p>
    <w:p w14:paraId="7B4BF259" w14:textId="1AC049E0" w:rsidR="00AF09B7" w:rsidRPr="00685BB1" w:rsidRDefault="00DC7916" w:rsidP="00874B0C">
      <w:pPr>
        <w:pStyle w:val="SingleTxtG"/>
      </w:pPr>
      <w:r w:rsidRPr="00685BB1">
        <w:t>9.</w:t>
      </w:r>
      <w:r w:rsidRPr="00685BB1">
        <w:tab/>
      </w:r>
      <w:r w:rsidR="00AF09B7" w:rsidRPr="00685BB1">
        <w:t xml:space="preserve">The Meetings of the Parties noted the Chair’s informal report on the credentials of the representatives of Parties </w:t>
      </w:r>
      <w:r w:rsidR="0071578C" w:rsidRPr="00685BB1">
        <w:t>attending</w:t>
      </w:r>
      <w:r w:rsidR="00103C71" w:rsidRPr="00685BB1">
        <w:t xml:space="preserve"> </w:t>
      </w:r>
      <w:r w:rsidR="00AF09B7" w:rsidRPr="00685BB1">
        <w:t xml:space="preserve">the sessions. </w:t>
      </w:r>
      <w:r w:rsidR="0010642E" w:rsidRPr="00685BB1">
        <w:t>Due to COVID-19</w:t>
      </w:r>
      <w:r w:rsidR="00D910E7" w:rsidRPr="00685BB1">
        <w:t>-</w:t>
      </w:r>
      <w:r w:rsidR="0010642E" w:rsidRPr="00685BB1">
        <w:t xml:space="preserve">related </w:t>
      </w:r>
      <w:r w:rsidR="00C34254" w:rsidRPr="00685BB1">
        <w:t xml:space="preserve">logistical challenges and delays </w:t>
      </w:r>
      <w:r w:rsidR="00D543CC" w:rsidRPr="00685BB1">
        <w:t>in</w:t>
      </w:r>
      <w:r w:rsidR="00C34254" w:rsidRPr="00685BB1">
        <w:t xml:space="preserve"> postal services</w:t>
      </w:r>
      <w:r w:rsidR="00D5756F" w:rsidRPr="00685BB1">
        <w:t>, the Meetings of the Parties</w:t>
      </w:r>
      <w:r w:rsidR="0024701D" w:rsidRPr="00685BB1">
        <w:t xml:space="preserve"> </w:t>
      </w:r>
      <w:r w:rsidR="002A16D3" w:rsidRPr="00874B0C">
        <w:t>exceptionally</w:t>
      </w:r>
      <w:r w:rsidR="002A16D3" w:rsidRPr="00685BB1">
        <w:t xml:space="preserve"> </w:t>
      </w:r>
      <w:r w:rsidR="009A3FAA" w:rsidRPr="00685BB1">
        <w:t xml:space="preserve">agreed to </w:t>
      </w:r>
      <w:r w:rsidR="00A60B46" w:rsidRPr="00685BB1">
        <w:t xml:space="preserve">also </w:t>
      </w:r>
      <w:r w:rsidR="002A16D3" w:rsidRPr="00685BB1">
        <w:t>accept copies of</w:t>
      </w:r>
      <w:r w:rsidR="00BF3F6B" w:rsidRPr="00685BB1">
        <w:t xml:space="preserve"> the</w:t>
      </w:r>
      <w:r w:rsidR="002A16D3" w:rsidRPr="00685BB1">
        <w:t xml:space="preserve"> </w:t>
      </w:r>
      <w:r w:rsidR="00206E4E" w:rsidRPr="00685BB1">
        <w:t xml:space="preserve">valid </w:t>
      </w:r>
      <w:r w:rsidR="00176441" w:rsidRPr="00685BB1">
        <w:t>credentials</w:t>
      </w:r>
      <w:r w:rsidR="005E597E" w:rsidRPr="00685BB1">
        <w:t>,</w:t>
      </w:r>
      <w:r w:rsidR="00A33219" w:rsidRPr="00685BB1">
        <w:t xml:space="preserve"> </w:t>
      </w:r>
      <w:r w:rsidR="005E597E" w:rsidRPr="00685BB1">
        <w:t xml:space="preserve">subject to </w:t>
      </w:r>
      <w:r w:rsidR="00236255" w:rsidRPr="00685BB1">
        <w:t xml:space="preserve">the </w:t>
      </w:r>
      <w:r w:rsidR="005E597E" w:rsidRPr="00685BB1">
        <w:t xml:space="preserve">subsequent submission </w:t>
      </w:r>
      <w:r w:rsidR="00236255" w:rsidRPr="00685BB1">
        <w:t xml:space="preserve">of </w:t>
      </w:r>
      <w:r w:rsidR="00C34254" w:rsidRPr="00685BB1">
        <w:t xml:space="preserve">the </w:t>
      </w:r>
      <w:r w:rsidR="00236255" w:rsidRPr="00685BB1">
        <w:t>or</w:t>
      </w:r>
      <w:r w:rsidR="00CB74CF" w:rsidRPr="00685BB1">
        <w:t>i</w:t>
      </w:r>
      <w:r w:rsidR="00236255" w:rsidRPr="00685BB1">
        <w:t>ginals</w:t>
      </w:r>
      <w:r w:rsidR="00CB74CF" w:rsidRPr="00685BB1">
        <w:t xml:space="preserve"> to the secretariat as soon as possible.</w:t>
      </w:r>
      <w:r w:rsidR="00417E32" w:rsidRPr="00685BB1">
        <w:t xml:space="preserve"> </w:t>
      </w:r>
      <w:r w:rsidR="00AF09B7" w:rsidRPr="00685BB1">
        <w:t>The Chair reported that</w:t>
      </w:r>
      <w:r w:rsidR="001E2F30" w:rsidRPr="00685BB1">
        <w:t>,</w:t>
      </w:r>
      <w:r w:rsidR="00AF09B7" w:rsidRPr="00685BB1">
        <w:t xml:space="preserve"> of the 45 Parties to the Convention, 37 Parties </w:t>
      </w:r>
      <w:r w:rsidR="001B4976" w:rsidRPr="00685BB1">
        <w:t xml:space="preserve">attended </w:t>
      </w:r>
      <w:r w:rsidR="00A73CC9" w:rsidRPr="00685BB1">
        <w:t xml:space="preserve">the sessions </w:t>
      </w:r>
      <w:r w:rsidR="00AF09B7" w:rsidRPr="00685BB1">
        <w:t xml:space="preserve">with credentials and </w:t>
      </w:r>
      <w:r w:rsidR="00D910E7" w:rsidRPr="00685BB1">
        <w:t>1</w:t>
      </w:r>
      <w:r w:rsidR="00AF09B7" w:rsidRPr="00685BB1">
        <w:t xml:space="preserve"> without them. </w:t>
      </w:r>
      <w:r w:rsidR="001E2F30" w:rsidRPr="00685BB1">
        <w:t>O</w:t>
      </w:r>
      <w:r w:rsidR="00AF09B7" w:rsidRPr="00685BB1">
        <w:t>f the 3</w:t>
      </w:r>
      <w:r w:rsidR="00976AB5" w:rsidRPr="00685BB1">
        <w:t>3</w:t>
      </w:r>
      <w:r w:rsidR="00AF09B7" w:rsidRPr="00685BB1">
        <w:t xml:space="preserve"> Parties to the Protocol, 2</w:t>
      </w:r>
      <w:r w:rsidR="00C32C4A" w:rsidRPr="00685BB1">
        <w:t>6</w:t>
      </w:r>
      <w:r w:rsidR="00AF09B7" w:rsidRPr="00685BB1">
        <w:t xml:space="preserve"> Parties </w:t>
      </w:r>
      <w:r w:rsidR="00C32C4A" w:rsidRPr="00685BB1">
        <w:t>attended w</w:t>
      </w:r>
      <w:r w:rsidR="00AF09B7" w:rsidRPr="00685BB1">
        <w:t>ith credentials</w:t>
      </w:r>
      <w:r w:rsidR="00C32C4A" w:rsidRPr="00685BB1">
        <w:t>.</w:t>
      </w:r>
    </w:p>
    <w:p w14:paraId="5351DA02" w14:textId="3EC512C4" w:rsidR="00AF09B7" w:rsidRPr="00685BB1" w:rsidRDefault="00A33219" w:rsidP="00874B0C">
      <w:pPr>
        <w:pStyle w:val="SingleTxtG"/>
      </w:pPr>
      <w:r w:rsidRPr="00685BB1">
        <w:t>10</w:t>
      </w:r>
      <w:r w:rsidR="00AF09B7" w:rsidRPr="00685BB1">
        <w:t>.</w:t>
      </w:r>
      <w:r w:rsidR="00AF09B7" w:rsidRPr="00685BB1">
        <w:tab/>
        <w:t xml:space="preserve">The secretariat </w:t>
      </w:r>
      <w:r w:rsidR="00B34BC2" w:rsidRPr="00685BB1">
        <w:t>reported o</w:t>
      </w:r>
      <w:r w:rsidR="00AF09B7" w:rsidRPr="00685BB1">
        <w:t xml:space="preserve">n the status of ratification of the Convention, its two amendments and the Protocol. The </w:t>
      </w:r>
      <w:r w:rsidR="00D647F7" w:rsidRPr="00685BB1">
        <w:t xml:space="preserve">Meetings of the </w:t>
      </w:r>
      <w:r w:rsidR="00AF09B7" w:rsidRPr="00685BB1">
        <w:t xml:space="preserve">Parties noted the steps </w:t>
      </w:r>
      <w:r w:rsidR="00AF6839" w:rsidRPr="00685BB1">
        <w:t xml:space="preserve">taken by </w:t>
      </w:r>
      <w:r w:rsidR="000530EA" w:rsidRPr="00685BB1">
        <w:t xml:space="preserve">delegations </w:t>
      </w:r>
      <w:r w:rsidR="00AF09B7" w:rsidRPr="00685BB1">
        <w:t xml:space="preserve">towards ratification, with </w:t>
      </w:r>
      <w:r w:rsidR="00940E61" w:rsidRPr="00685BB1">
        <w:t xml:space="preserve">Ukraine and </w:t>
      </w:r>
      <w:r w:rsidR="00B34BC2" w:rsidRPr="00685BB1">
        <w:t xml:space="preserve">the </w:t>
      </w:r>
      <w:r w:rsidR="00940E61" w:rsidRPr="00685BB1">
        <w:t xml:space="preserve">United Kingdom of Great Britain and Northern Ireland </w:t>
      </w:r>
      <w:r w:rsidR="007448B3" w:rsidRPr="00685BB1">
        <w:t>ha</w:t>
      </w:r>
      <w:r w:rsidR="003A233E" w:rsidRPr="00685BB1">
        <w:t xml:space="preserve">ving advanced the furthest </w:t>
      </w:r>
      <w:r w:rsidR="00A92D97" w:rsidRPr="00685BB1">
        <w:t xml:space="preserve">regarding </w:t>
      </w:r>
      <w:r w:rsidR="0022236E" w:rsidRPr="00685BB1">
        <w:t xml:space="preserve">the first </w:t>
      </w:r>
      <w:r w:rsidR="007448B3" w:rsidRPr="00685BB1">
        <w:t>amendment</w:t>
      </w:r>
      <w:r w:rsidR="00AF09B7" w:rsidRPr="00685BB1">
        <w:t>. However, the</w:t>
      </w:r>
      <w:r w:rsidR="00D647F7" w:rsidRPr="00685BB1">
        <w:t xml:space="preserve">y </w:t>
      </w:r>
      <w:r w:rsidR="00AF09B7" w:rsidRPr="00685BB1">
        <w:t xml:space="preserve">noted with concern that </w:t>
      </w:r>
      <w:r w:rsidR="0022236E" w:rsidRPr="00685BB1">
        <w:t>five</w:t>
      </w:r>
      <w:r w:rsidR="00AF09B7" w:rsidRPr="00685BB1">
        <w:t xml:space="preserve"> further ratifications were still needed for th</w:t>
      </w:r>
      <w:r w:rsidR="007A3714" w:rsidRPr="00685BB1">
        <w:t>at</w:t>
      </w:r>
      <w:r w:rsidR="00AF09B7" w:rsidRPr="00685BB1">
        <w:t xml:space="preserve"> amendment to become operational, allowing non-ECE countries to accede to the Convention. Consequently, they urged Armenia, Belgium, </w:t>
      </w:r>
      <w:r w:rsidR="00002118" w:rsidRPr="00685BB1">
        <w:t>North</w:t>
      </w:r>
      <w:r w:rsidR="00AF09B7" w:rsidRPr="00685BB1">
        <w:t xml:space="preserve"> Macedonia, Ukraine and the United Kingdom </w:t>
      </w:r>
      <w:r w:rsidR="00002118" w:rsidRPr="00685BB1">
        <w:t xml:space="preserve">of Great Britain and Northern Ireland </w:t>
      </w:r>
      <w:r w:rsidR="00AF09B7" w:rsidRPr="00685BB1">
        <w:t>to make every effort to ratify th</w:t>
      </w:r>
      <w:r w:rsidR="00FC2DE8" w:rsidRPr="00685BB1">
        <w:t>e first</w:t>
      </w:r>
      <w:r w:rsidR="00AF09B7" w:rsidRPr="00685BB1">
        <w:t xml:space="preserve"> amendment as soon as possible</w:t>
      </w:r>
      <w:r w:rsidR="00A10A42" w:rsidRPr="00685BB1">
        <w:t xml:space="preserve"> in</w:t>
      </w:r>
      <w:r w:rsidR="00FC1FEC" w:rsidRPr="00685BB1">
        <w:t xml:space="preserve"> the next intersessional period. </w:t>
      </w:r>
      <w:r w:rsidR="00A427FD" w:rsidRPr="00685BB1">
        <w:t xml:space="preserve">Moreover, </w:t>
      </w:r>
      <w:r w:rsidR="00AF09B7" w:rsidRPr="00685BB1">
        <w:t>all Parties that had not yet done so</w:t>
      </w:r>
      <w:r w:rsidR="00C829B5" w:rsidRPr="00685BB1">
        <w:t xml:space="preserve"> were urged</w:t>
      </w:r>
      <w:r w:rsidR="0020654E" w:rsidRPr="00685BB1">
        <w:t xml:space="preserve"> to ratify the second amendment</w:t>
      </w:r>
      <w:r w:rsidR="00AF09B7" w:rsidRPr="00685BB1">
        <w:t xml:space="preserve"> (i.e. Armenia, Belarus, Bosnia and Herzegovina, Ireland, Kazakhstan, Kyrgyzstan,</w:t>
      </w:r>
      <w:r w:rsidR="002C422F" w:rsidRPr="00685BB1">
        <w:t xml:space="preserve"> North Macedonia,</w:t>
      </w:r>
      <w:r w:rsidR="00AF09B7" w:rsidRPr="00685BB1">
        <w:t xml:space="preserve"> Ukraine and the United Kingdom</w:t>
      </w:r>
      <w:r w:rsidR="00002118" w:rsidRPr="00685BB1">
        <w:t xml:space="preserve"> </w:t>
      </w:r>
      <w:bookmarkStart w:id="6" w:name="_Hlk4586572"/>
      <w:r w:rsidR="00002118" w:rsidRPr="00685BB1">
        <w:t>of Great Britain and Northern Ireland</w:t>
      </w:r>
      <w:bookmarkEnd w:id="6"/>
      <w:r w:rsidR="00AF09B7" w:rsidRPr="00685BB1">
        <w:t xml:space="preserve">) </w:t>
      </w:r>
      <w:r w:rsidR="0020654E" w:rsidRPr="00685BB1">
        <w:t xml:space="preserve">to </w:t>
      </w:r>
      <w:r w:rsidR="00AF09B7" w:rsidRPr="00685BB1">
        <w:t xml:space="preserve">ensure unified application of the Convention by all </w:t>
      </w:r>
      <w:r w:rsidR="00553A82" w:rsidRPr="00685BB1">
        <w:t>the</w:t>
      </w:r>
      <w:r w:rsidR="00AF09B7" w:rsidRPr="00685BB1">
        <w:t xml:space="preserve"> Parties</w:t>
      </w:r>
      <w:r w:rsidR="00553A82" w:rsidRPr="00685BB1">
        <w:t xml:space="preserve"> thereto</w:t>
      </w:r>
      <w:r w:rsidR="00AF09B7" w:rsidRPr="00685BB1">
        <w:t xml:space="preserve">. </w:t>
      </w:r>
      <w:r w:rsidR="00E37725" w:rsidRPr="00685BB1">
        <w:t>Lastly, t</w:t>
      </w:r>
      <w:r w:rsidR="00AF09B7" w:rsidRPr="00685BB1">
        <w:t xml:space="preserve">he </w:t>
      </w:r>
      <w:r w:rsidR="003F6A53" w:rsidRPr="00685BB1">
        <w:t xml:space="preserve">Meetings of the </w:t>
      </w:r>
      <w:r w:rsidR="00AF09B7" w:rsidRPr="00685BB1">
        <w:t xml:space="preserve">Parties urged the signatories to the Protocol </w:t>
      </w:r>
      <w:r w:rsidR="00587174" w:rsidRPr="00685BB1">
        <w:t xml:space="preserve">that had not already done so </w:t>
      </w:r>
      <w:r w:rsidR="00AF09B7" w:rsidRPr="00685BB1">
        <w:t>(</w:t>
      </w:r>
      <w:r w:rsidR="00587174" w:rsidRPr="00685BB1">
        <w:t xml:space="preserve">i.e. </w:t>
      </w:r>
      <w:r w:rsidR="00AF09B7" w:rsidRPr="00685BB1">
        <w:t>Belgium, France, Georgia, Greece, Ireland and the United Kingdom</w:t>
      </w:r>
      <w:r w:rsidR="00002118" w:rsidRPr="00685BB1">
        <w:t xml:space="preserve"> of Great Britain and Northern Ireland</w:t>
      </w:r>
      <w:r w:rsidR="00AF09B7" w:rsidRPr="00685BB1">
        <w:t>) to ratify that instrument and encouraged the beneficiary countries of technical pre-accession assistance on strategic environmental assessment to accede t</w:t>
      </w:r>
      <w:r w:rsidR="00D910E7" w:rsidRPr="00685BB1">
        <w:t>hereto</w:t>
      </w:r>
      <w:r w:rsidR="00AF09B7" w:rsidRPr="00685BB1">
        <w:t xml:space="preserve">. </w:t>
      </w:r>
      <w:r w:rsidR="0002134B" w:rsidRPr="00685BB1">
        <w:t xml:space="preserve">Greece </w:t>
      </w:r>
      <w:r w:rsidR="00EB03F7" w:rsidRPr="00685BB1">
        <w:t xml:space="preserve">reported that </w:t>
      </w:r>
      <w:r w:rsidR="0002134B" w:rsidRPr="00685BB1">
        <w:t xml:space="preserve">it was currently considering </w:t>
      </w:r>
      <w:r w:rsidR="006F110F" w:rsidRPr="00685BB1">
        <w:t>the ratification of the Protocol</w:t>
      </w:r>
      <w:r w:rsidR="006007A2" w:rsidRPr="00685BB1">
        <w:t xml:space="preserve"> </w:t>
      </w:r>
      <w:r w:rsidR="00555737" w:rsidRPr="00685BB1">
        <w:t xml:space="preserve">and also </w:t>
      </w:r>
      <w:r w:rsidR="00991DEC" w:rsidRPr="00685BB1">
        <w:t xml:space="preserve">of </w:t>
      </w:r>
      <w:r w:rsidR="00AF09B7" w:rsidRPr="00685BB1">
        <w:t xml:space="preserve">the 2008 </w:t>
      </w:r>
      <w:r w:rsidR="00D910E7" w:rsidRPr="00685BB1">
        <w:t>M</w:t>
      </w:r>
      <w:r w:rsidR="00AF09B7" w:rsidRPr="00685BB1">
        <w:t>ultilateral agreement among the countries of South-Eastern Europe for implementation of the Convention on Environmental Impact Assessment in a Transboundary Context (the Bucharest Agreement)</w:t>
      </w:r>
      <w:r w:rsidR="00991DEC" w:rsidRPr="00685BB1">
        <w:t xml:space="preserve">. </w:t>
      </w:r>
      <w:r w:rsidR="00073C64" w:rsidRPr="00685BB1">
        <w:t xml:space="preserve">The Meetings of the </w:t>
      </w:r>
      <w:r w:rsidR="005A16C7" w:rsidRPr="00685BB1">
        <w:t xml:space="preserve">Parties </w:t>
      </w:r>
      <w:r w:rsidR="00D910E7" w:rsidRPr="00685BB1">
        <w:t xml:space="preserve">also </w:t>
      </w:r>
      <w:r w:rsidR="005A16C7" w:rsidRPr="00685BB1">
        <w:t xml:space="preserve">invited </w:t>
      </w:r>
      <w:r w:rsidR="00441929" w:rsidRPr="00685BB1">
        <w:t>B</w:t>
      </w:r>
      <w:r w:rsidR="00AF09B7" w:rsidRPr="00685BB1">
        <w:t>osnia and Hercegovina</w:t>
      </w:r>
      <w:r w:rsidR="00790B0F" w:rsidRPr="00685BB1">
        <w:t xml:space="preserve"> and </w:t>
      </w:r>
      <w:r w:rsidR="00AF09B7" w:rsidRPr="00685BB1">
        <w:t xml:space="preserve">Croatia </w:t>
      </w:r>
      <w:r w:rsidR="00790B0F" w:rsidRPr="00685BB1">
        <w:t xml:space="preserve">to </w:t>
      </w:r>
      <w:r w:rsidR="00780BB1" w:rsidRPr="00685BB1">
        <w:t>accede to/</w:t>
      </w:r>
      <w:r w:rsidR="00AF09B7" w:rsidRPr="00685BB1">
        <w:t xml:space="preserve">ratify the </w:t>
      </w:r>
      <w:r w:rsidR="005A16C7" w:rsidRPr="00685BB1">
        <w:t xml:space="preserve">Bucharest </w:t>
      </w:r>
      <w:r w:rsidR="00D910E7" w:rsidRPr="00685BB1">
        <w:t>A</w:t>
      </w:r>
      <w:r w:rsidR="00AF09B7" w:rsidRPr="00685BB1">
        <w:t xml:space="preserve">greement. </w:t>
      </w:r>
      <w:r w:rsidR="00441929" w:rsidRPr="00685BB1">
        <w:t xml:space="preserve">All concerned Parties were invited to report on progress towards ratification to </w:t>
      </w:r>
      <w:r w:rsidR="00F85F1E" w:rsidRPr="00685BB1">
        <w:t>the Bureau and the Working Group in 2021.</w:t>
      </w:r>
    </w:p>
    <w:p w14:paraId="63A0AEE1" w14:textId="77777777" w:rsidR="00AF09B7" w:rsidRPr="00685BB1" w:rsidRDefault="00AF09B7" w:rsidP="00874B0C">
      <w:pPr>
        <w:pStyle w:val="HChG"/>
      </w:pPr>
      <w:r w:rsidRPr="00685BB1">
        <w:tab/>
        <w:t>II.</w:t>
      </w:r>
      <w:r w:rsidRPr="00685BB1">
        <w:tab/>
      </w:r>
      <w:r w:rsidRPr="00874B0C">
        <w:t>Outstanding</w:t>
      </w:r>
      <w:r w:rsidRPr="00685BB1">
        <w:t xml:space="preserve"> issues</w:t>
      </w:r>
    </w:p>
    <w:p w14:paraId="6A762AE2" w14:textId="5DDEE7E5" w:rsidR="00003505" w:rsidRPr="00685BB1" w:rsidRDefault="00AF09B7" w:rsidP="00874B0C">
      <w:pPr>
        <w:pStyle w:val="SingleTxtG"/>
      </w:pPr>
      <w:r w:rsidRPr="00685BB1">
        <w:t>1</w:t>
      </w:r>
      <w:r w:rsidR="00F85F1E" w:rsidRPr="00685BB1">
        <w:t>1</w:t>
      </w:r>
      <w:r w:rsidRPr="00685BB1">
        <w:t>.</w:t>
      </w:r>
      <w:r w:rsidRPr="00685BB1">
        <w:tab/>
        <w:t xml:space="preserve">The Meetings of the Parties to the Convention and the Protocol </w:t>
      </w:r>
      <w:r w:rsidR="005465D6" w:rsidRPr="00685BB1">
        <w:t xml:space="preserve">reviewed and agreed </w:t>
      </w:r>
      <w:r w:rsidR="008F3CF7" w:rsidRPr="00685BB1">
        <w:t xml:space="preserve">on </w:t>
      </w:r>
      <w:r w:rsidRPr="00685BB1">
        <w:t>outstanding issues</w:t>
      </w:r>
      <w:r w:rsidR="00987963" w:rsidRPr="00685BB1">
        <w:t>, as</w:t>
      </w:r>
      <w:r w:rsidRPr="00685BB1">
        <w:t xml:space="preserve"> </w:t>
      </w:r>
      <w:r w:rsidR="00F66C35" w:rsidRPr="00685BB1">
        <w:t xml:space="preserve">outlined in </w:t>
      </w:r>
      <w:r w:rsidR="003616D7" w:rsidRPr="00685BB1">
        <w:t>para</w:t>
      </w:r>
      <w:r w:rsidR="00D910E7" w:rsidRPr="00685BB1">
        <w:t>graphs</w:t>
      </w:r>
      <w:r w:rsidR="003616D7" w:rsidRPr="00685BB1">
        <w:t xml:space="preserve"> 12–27 below, </w:t>
      </w:r>
      <w:r w:rsidRPr="00685BB1">
        <w:t xml:space="preserve">prior to </w:t>
      </w:r>
      <w:r w:rsidR="0038469E" w:rsidRPr="00685BB1">
        <w:t xml:space="preserve">forwarding them for adoption at </w:t>
      </w:r>
      <w:r w:rsidRPr="00685BB1">
        <w:t>the high-level segment.</w:t>
      </w:r>
      <w:r w:rsidR="007B0115" w:rsidRPr="00685BB1">
        <w:t xml:space="preserve"> </w:t>
      </w:r>
      <w:r w:rsidR="00501A3B" w:rsidRPr="00685BB1">
        <w:t xml:space="preserve">The </w:t>
      </w:r>
      <w:r w:rsidR="00C249B8" w:rsidRPr="00685BB1">
        <w:t>p</w:t>
      </w:r>
      <w:r w:rsidR="00373265" w:rsidRPr="00685BB1">
        <w:t xml:space="preserve">roposals for </w:t>
      </w:r>
      <w:r w:rsidR="003229C7" w:rsidRPr="00685BB1">
        <w:t>amendment</w:t>
      </w:r>
      <w:r w:rsidR="00373265" w:rsidRPr="00685BB1">
        <w:t>s</w:t>
      </w:r>
      <w:r w:rsidR="003229C7" w:rsidRPr="00685BB1">
        <w:t xml:space="preserve"> </w:t>
      </w:r>
      <w:r w:rsidR="009D1299" w:rsidRPr="00685BB1">
        <w:t xml:space="preserve">to the </w:t>
      </w:r>
      <w:r w:rsidR="007B7492" w:rsidRPr="00685BB1">
        <w:t xml:space="preserve">draft </w:t>
      </w:r>
      <w:r w:rsidR="009D1299" w:rsidRPr="00685BB1">
        <w:t xml:space="preserve">documents </w:t>
      </w:r>
      <w:r w:rsidR="00AB5832" w:rsidRPr="00685BB1">
        <w:t xml:space="preserve">that Parties had </w:t>
      </w:r>
      <w:r w:rsidR="004508FD" w:rsidRPr="00685BB1">
        <w:t xml:space="preserve">communicated </w:t>
      </w:r>
      <w:r w:rsidR="00AB5832" w:rsidRPr="00685BB1">
        <w:t xml:space="preserve">to the secretariat </w:t>
      </w:r>
      <w:r w:rsidR="00C249B8" w:rsidRPr="00685BB1">
        <w:t xml:space="preserve">had been made </w:t>
      </w:r>
      <w:r w:rsidR="000B1BE4" w:rsidRPr="00685BB1">
        <w:t>avail</w:t>
      </w:r>
      <w:r w:rsidR="00BA0FDD" w:rsidRPr="00685BB1">
        <w:t>able</w:t>
      </w:r>
      <w:r w:rsidR="001A22BD" w:rsidRPr="00685BB1">
        <w:t xml:space="preserve"> to the registered </w:t>
      </w:r>
      <w:r w:rsidR="0009441D" w:rsidRPr="00685BB1">
        <w:t>participants</w:t>
      </w:r>
      <w:r w:rsidR="00501A3B" w:rsidRPr="00685BB1">
        <w:t xml:space="preserve"> prior to the sessions. The secretariat</w:t>
      </w:r>
      <w:r w:rsidR="00B4165A" w:rsidRPr="00685BB1">
        <w:t xml:space="preserve"> had </w:t>
      </w:r>
      <w:r w:rsidR="00563E3A" w:rsidRPr="00685BB1">
        <w:t xml:space="preserve">also </w:t>
      </w:r>
      <w:r w:rsidR="00B4165A" w:rsidRPr="00685BB1">
        <w:t xml:space="preserve">compiled and </w:t>
      </w:r>
      <w:r w:rsidR="00382DCA" w:rsidRPr="00685BB1">
        <w:t xml:space="preserve">presented </w:t>
      </w:r>
      <w:r w:rsidR="0009441D" w:rsidRPr="00685BB1">
        <w:t xml:space="preserve">them on the screen </w:t>
      </w:r>
      <w:r w:rsidR="000F4B70" w:rsidRPr="00685BB1">
        <w:t>during the session</w:t>
      </w:r>
      <w:r w:rsidR="009841E4" w:rsidRPr="00685BB1">
        <w:t xml:space="preserve">. </w:t>
      </w:r>
      <w:r w:rsidR="00F82F82" w:rsidRPr="00685BB1">
        <w:t>A</w:t>
      </w:r>
      <w:r w:rsidR="009D1299" w:rsidRPr="00685BB1">
        <w:t>fter the deliberations</w:t>
      </w:r>
      <w:r w:rsidR="0076749A" w:rsidRPr="00685BB1">
        <w:t>,</w:t>
      </w:r>
      <w:r w:rsidR="00EB550F" w:rsidRPr="00685BB1">
        <w:t xml:space="preserve"> t</w:t>
      </w:r>
      <w:r w:rsidR="007B0115" w:rsidRPr="00685BB1">
        <w:t>he</w:t>
      </w:r>
      <w:r w:rsidR="00231293" w:rsidRPr="00685BB1">
        <w:t xml:space="preserve"> secretariat posted the</w:t>
      </w:r>
      <w:r w:rsidR="007B0115" w:rsidRPr="00685BB1">
        <w:t xml:space="preserve"> </w:t>
      </w:r>
      <w:r w:rsidR="00F82F82" w:rsidRPr="00685BB1">
        <w:t>finalized</w:t>
      </w:r>
      <w:r w:rsidR="00A44CB2" w:rsidRPr="00685BB1">
        <w:t xml:space="preserve">, </w:t>
      </w:r>
      <w:r w:rsidR="00C44B82" w:rsidRPr="00685BB1">
        <w:lastRenderedPageBreak/>
        <w:t xml:space="preserve">agreed </w:t>
      </w:r>
      <w:r w:rsidR="007B0115" w:rsidRPr="00685BB1">
        <w:t>text</w:t>
      </w:r>
      <w:r w:rsidR="00003505" w:rsidRPr="00685BB1">
        <w:t xml:space="preserve">s of </w:t>
      </w:r>
      <w:r w:rsidR="00A41AE4" w:rsidRPr="00685BB1">
        <w:t>the</w:t>
      </w:r>
      <w:r w:rsidR="00003505" w:rsidRPr="00685BB1">
        <w:t xml:space="preserve"> draft</w:t>
      </w:r>
      <w:r w:rsidR="00A41AE4" w:rsidRPr="00685BB1">
        <w:t xml:space="preserve"> </w:t>
      </w:r>
      <w:r w:rsidR="00255CC9" w:rsidRPr="00685BB1">
        <w:t>decisions</w:t>
      </w:r>
      <w:r w:rsidR="00003505" w:rsidRPr="00685BB1">
        <w:t xml:space="preserve"> </w:t>
      </w:r>
      <w:r w:rsidR="00D61CA6" w:rsidRPr="00685BB1">
        <w:t xml:space="preserve">and documents </w:t>
      </w:r>
      <w:r w:rsidR="0070779E" w:rsidRPr="00685BB1">
        <w:t>on the meeting web</w:t>
      </w:r>
      <w:r w:rsidR="00D15D40" w:rsidRPr="00685BB1">
        <w:t xml:space="preserve"> </w:t>
      </w:r>
      <w:r w:rsidR="0070779E" w:rsidRPr="00685BB1">
        <w:t xml:space="preserve">page </w:t>
      </w:r>
      <w:r w:rsidR="00C44B82" w:rsidRPr="00685BB1">
        <w:t xml:space="preserve">in </w:t>
      </w:r>
      <w:r w:rsidR="007865E7" w:rsidRPr="00685BB1">
        <w:t xml:space="preserve">track-changes </w:t>
      </w:r>
      <w:proofErr w:type="spellStart"/>
      <w:r w:rsidR="007865E7" w:rsidRPr="00685BB1">
        <w:t>markup</w:t>
      </w:r>
      <w:proofErr w:type="spellEnd"/>
      <w:r w:rsidR="00D50217" w:rsidRPr="00685BB1">
        <w:t xml:space="preserve">, </w:t>
      </w:r>
      <w:r w:rsidR="0077077C" w:rsidRPr="00685BB1">
        <w:t xml:space="preserve">to provide </w:t>
      </w:r>
      <w:r w:rsidR="006B4D69" w:rsidRPr="00685BB1">
        <w:t xml:space="preserve">a further possibility for the </w:t>
      </w:r>
      <w:r w:rsidR="00003505" w:rsidRPr="00685BB1">
        <w:t xml:space="preserve">Parties </w:t>
      </w:r>
      <w:r w:rsidR="00D3774F" w:rsidRPr="00685BB1">
        <w:t xml:space="preserve">to </w:t>
      </w:r>
      <w:r w:rsidR="00003505" w:rsidRPr="00685BB1">
        <w:t>verify</w:t>
      </w:r>
      <w:r w:rsidR="0076749A" w:rsidRPr="00685BB1">
        <w:t xml:space="preserve"> them</w:t>
      </w:r>
      <w:r w:rsidR="00637D7C" w:rsidRPr="00685BB1">
        <w:t>,</w:t>
      </w:r>
      <w:r w:rsidR="0076749A" w:rsidRPr="00685BB1">
        <w:t xml:space="preserve"> as needed</w:t>
      </w:r>
      <w:r w:rsidR="00637D7C" w:rsidRPr="00685BB1">
        <w:t>,</w:t>
      </w:r>
      <w:r w:rsidR="00925B6E" w:rsidRPr="00685BB1">
        <w:t xml:space="preserve"> prior to their adoption</w:t>
      </w:r>
      <w:r w:rsidR="00D50217" w:rsidRPr="00685BB1">
        <w:t xml:space="preserve">. </w:t>
      </w:r>
      <w:r w:rsidR="000F76F3" w:rsidRPr="00685BB1">
        <w:t xml:space="preserve">The Meetings of the Parties </w:t>
      </w:r>
      <w:r w:rsidR="00D15D40" w:rsidRPr="00685BB1">
        <w:t xml:space="preserve">expressed </w:t>
      </w:r>
      <w:r w:rsidR="0094059D" w:rsidRPr="00685BB1">
        <w:t>appreciat</w:t>
      </w:r>
      <w:r w:rsidR="00D15D40" w:rsidRPr="00685BB1">
        <w:t>ion for</w:t>
      </w:r>
      <w:r w:rsidR="007D4022" w:rsidRPr="00685BB1">
        <w:t xml:space="preserve"> the </w:t>
      </w:r>
      <w:r w:rsidR="000707E7" w:rsidRPr="00685BB1">
        <w:t xml:space="preserve">availability of </w:t>
      </w:r>
      <w:r w:rsidR="00D05851" w:rsidRPr="00685BB1">
        <w:t xml:space="preserve">most </w:t>
      </w:r>
      <w:r w:rsidR="000707E7" w:rsidRPr="00685BB1">
        <w:t xml:space="preserve">amendment proposals </w:t>
      </w:r>
      <w:r w:rsidR="00FB06A3" w:rsidRPr="00685BB1">
        <w:t xml:space="preserve">well </w:t>
      </w:r>
      <w:r w:rsidR="000707E7" w:rsidRPr="00685BB1">
        <w:t>in advance of the sessions</w:t>
      </w:r>
      <w:r w:rsidR="00D05851" w:rsidRPr="00685BB1">
        <w:t xml:space="preserve">, which </w:t>
      </w:r>
      <w:r w:rsidR="002A7F64" w:rsidRPr="00685BB1">
        <w:t xml:space="preserve">had </w:t>
      </w:r>
      <w:r w:rsidR="000707E7" w:rsidRPr="00685BB1">
        <w:t xml:space="preserve">considerably facilitated </w:t>
      </w:r>
      <w:r w:rsidR="000A0403" w:rsidRPr="00685BB1">
        <w:t>the meeting</w:t>
      </w:r>
      <w:r w:rsidR="000707E7" w:rsidRPr="00685BB1">
        <w:t xml:space="preserve"> preparat</w:t>
      </w:r>
      <w:r w:rsidR="000A0403" w:rsidRPr="00685BB1">
        <w:t>ions</w:t>
      </w:r>
      <w:r w:rsidR="00E62763" w:rsidRPr="00685BB1">
        <w:t xml:space="preserve"> and</w:t>
      </w:r>
      <w:r w:rsidR="00F27525" w:rsidRPr="00685BB1">
        <w:t xml:space="preserve"> the reaching of a</w:t>
      </w:r>
      <w:r w:rsidR="00E62763" w:rsidRPr="00685BB1">
        <w:t xml:space="preserve"> </w:t>
      </w:r>
      <w:r w:rsidR="00953E6D" w:rsidRPr="00685BB1">
        <w:t>co</w:t>
      </w:r>
      <w:r w:rsidR="002A7F64" w:rsidRPr="00685BB1">
        <w:t>nsensus on outstanding issues.</w:t>
      </w:r>
    </w:p>
    <w:p w14:paraId="11184018" w14:textId="58A6F8EF" w:rsidR="00AF09B7" w:rsidRPr="00685BB1" w:rsidRDefault="00AF09B7" w:rsidP="00874B0C">
      <w:pPr>
        <w:pStyle w:val="H1G"/>
      </w:pPr>
      <w:r w:rsidRPr="00685BB1">
        <w:tab/>
      </w:r>
      <w:bookmarkStart w:id="7" w:name="_Hlk60823270"/>
      <w:r w:rsidRPr="00685BB1">
        <w:t>A.</w:t>
      </w:r>
      <w:r w:rsidRPr="00685BB1">
        <w:tab/>
        <w:t>Outstanding issues relevant to the Convention</w:t>
      </w:r>
      <w:r w:rsidR="00546FE1" w:rsidRPr="00685BB1">
        <w:t xml:space="preserve"> and the Protocol</w:t>
      </w:r>
    </w:p>
    <w:bookmarkEnd w:id="7"/>
    <w:p w14:paraId="6FB27096" w14:textId="2A40EF20" w:rsidR="00546FE1" w:rsidRPr="00685BB1" w:rsidRDefault="00AF09B7" w:rsidP="00874B0C">
      <w:pPr>
        <w:pStyle w:val="H23G"/>
      </w:pPr>
      <w:r w:rsidRPr="00685BB1">
        <w:tab/>
        <w:t>1.</w:t>
      </w:r>
      <w:r w:rsidRPr="00685BB1">
        <w:tab/>
      </w:r>
      <w:r w:rsidR="00546FE1" w:rsidRPr="00685BB1">
        <w:t xml:space="preserve">Financial </w:t>
      </w:r>
      <w:r w:rsidR="00546FE1" w:rsidRPr="00874B0C">
        <w:t>arrangements</w:t>
      </w:r>
      <w:r w:rsidR="00546FE1" w:rsidRPr="00685BB1">
        <w:t xml:space="preserve"> for 2021–2023</w:t>
      </w:r>
    </w:p>
    <w:p w14:paraId="74805ECC" w14:textId="4AB1B3B4" w:rsidR="00546FE1" w:rsidRPr="00685BB1" w:rsidRDefault="00546FE1" w:rsidP="00874B0C">
      <w:pPr>
        <w:pStyle w:val="SingleTxtG"/>
      </w:pPr>
      <w:r w:rsidRPr="00685BB1">
        <w:t>1</w:t>
      </w:r>
      <w:r w:rsidR="007365D5" w:rsidRPr="00685BB1">
        <w:t>2</w:t>
      </w:r>
      <w:r w:rsidRPr="00685BB1">
        <w:t>.</w:t>
      </w:r>
      <w:r w:rsidRPr="00685BB1">
        <w:tab/>
        <w:t>The</w:t>
      </w:r>
      <w:r w:rsidR="00010D18" w:rsidRPr="00685BB1">
        <w:t xml:space="preserve"> secretariat </w:t>
      </w:r>
      <w:r w:rsidR="00805485" w:rsidRPr="00685BB1">
        <w:t>presented the draft report on the budget</w:t>
      </w:r>
      <w:r w:rsidR="003E61E0" w:rsidRPr="00685BB1">
        <w:t xml:space="preserve"> and financial arrangements </w:t>
      </w:r>
      <w:r w:rsidR="00236C8A" w:rsidRPr="00685BB1">
        <w:t>2017–2020</w:t>
      </w:r>
      <w:r w:rsidR="00BF3B49" w:rsidRPr="00685BB1">
        <w:rPr>
          <w:sz w:val="24"/>
          <w:szCs w:val="24"/>
          <w:lang w:eastAsia="en-US"/>
        </w:rPr>
        <w:t xml:space="preserve"> (</w:t>
      </w:r>
      <w:r w:rsidR="00BF3B49" w:rsidRPr="00685BB1">
        <w:t>ECE/MP.EIA/2020/2–ECE/MP.EIA/SEA/2020/2)</w:t>
      </w:r>
      <w:r w:rsidR="00F32E53" w:rsidRPr="00685BB1">
        <w:t>,</w:t>
      </w:r>
      <w:r w:rsidR="005E7330" w:rsidRPr="00685BB1">
        <w:t xml:space="preserve"> as well as </w:t>
      </w:r>
      <w:r w:rsidR="00FA6692" w:rsidRPr="00685BB1">
        <w:t xml:space="preserve">information on </w:t>
      </w:r>
      <w:r w:rsidR="009248BA" w:rsidRPr="00685BB1">
        <w:t>recent contributions to the trust fund of the Convention and the Protocol</w:t>
      </w:r>
      <w:r w:rsidR="00FE7E68" w:rsidRPr="00685BB1">
        <w:t xml:space="preserve"> </w:t>
      </w:r>
      <w:r w:rsidR="009248BA" w:rsidRPr="00685BB1">
        <w:t>(</w:t>
      </w:r>
      <w:r w:rsidR="00FE7E68" w:rsidRPr="00685BB1">
        <w:t>ECE/MP.EIA/2020/INF.4).</w:t>
      </w:r>
    </w:p>
    <w:p w14:paraId="632E16C6" w14:textId="2BDF1148" w:rsidR="00DC72A2" w:rsidRPr="00685BB1" w:rsidRDefault="00760761" w:rsidP="00874B0C">
      <w:pPr>
        <w:pStyle w:val="SingleTxtG"/>
      </w:pPr>
      <w:r w:rsidRPr="00685BB1">
        <w:t>1</w:t>
      </w:r>
      <w:r w:rsidR="007365D5" w:rsidRPr="00685BB1">
        <w:t>3</w:t>
      </w:r>
      <w:r w:rsidRPr="00685BB1">
        <w:t>.</w:t>
      </w:r>
      <w:r w:rsidRPr="00685BB1">
        <w:tab/>
      </w:r>
      <w:r w:rsidR="005E7330" w:rsidRPr="00685BB1">
        <w:t>The Meetings of the Parties n</w:t>
      </w:r>
      <w:r w:rsidRPr="00685BB1">
        <w:t xml:space="preserve">oted that contributions in </w:t>
      </w:r>
      <w:r w:rsidR="004E593A" w:rsidRPr="00685BB1">
        <w:t xml:space="preserve">the period </w:t>
      </w:r>
      <w:r w:rsidRPr="00685BB1">
        <w:t>2017</w:t>
      </w:r>
      <w:r w:rsidR="004E593A" w:rsidRPr="00685BB1">
        <w:t>–</w:t>
      </w:r>
      <w:r w:rsidRPr="00685BB1">
        <w:t>2020</w:t>
      </w:r>
      <w:r w:rsidR="004E593A" w:rsidRPr="00685BB1">
        <w:t xml:space="preserve"> </w:t>
      </w:r>
      <w:r w:rsidR="008201CB" w:rsidRPr="00685BB1">
        <w:t>had</w:t>
      </w:r>
      <w:r w:rsidR="00CD5E8A" w:rsidRPr="00685BB1">
        <w:t xml:space="preserve"> continued to be</w:t>
      </w:r>
      <w:r w:rsidR="008201CB" w:rsidRPr="00685BB1">
        <w:t xml:space="preserve"> </w:t>
      </w:r>
      <w:r w:rsidRPr="00685BB1">
        <w:t>insufficient</w:t>
      </w:r>
      <w:r w:rsidR="004E593A" w:rsidRPr="00685BB1">
        <w:t>,</w:t>
      </w:r>
      <w:r w:rsidRPr="00685BB1">
        <w:t xml:space="preserve"> unpredictable</w:t>
      </w:r>
      <w:r w:rsidR="004E593A" w:rsidRPr="00685BB1">
        <w:t>,</w:t>
      </w:r>
      <w:r w:rsidRPr="00685BB1">
        <w:t xml:space="preserve"> unequally distributed</w:t>
      </w:r>
      <w:r w:rsidR="000E4333" w:rsidRPr="00685BB1">
        <w:t xml:space="preserve"> and unsustainable</w:t>
      </w:r>
      <w:r w:rsidR="006B4DD6" w:rsidRPr="00685BB1">
        <w:t xml:space="preserve">, with </w:t>
      </w:r>
      <w:r w:rsidR="00F32E53" w:rsidRPr="00685BB1">
        <w:t>3</w:t>
      </w:r>
      <w:r w:rsidR="006B4DD6" w:rsidRPr="00685BB1">
        <w:t xml:space="preserve"> </w:t>
      </w:r>
      <w:r w:rsidRPr="00685BB1">
        <w:t xml:space="preserve">Parties </w:t>
      </w:r>
      <w:r w:rsidR="00D73C21" w:rsidRPr="00685BB1">
        <w:t>providing 60</w:t>
      </w:r>
      <w:r w:rsidR="008F5EFD" w:rsidRPr="00685BB1">
        <w:t xml:space="preserve"> per cent of </w:t>
      </w:r>
      <w:r w:rsidR="00E07C8D" w:rsidRPr="00685BB1">
        <w:t xml:space="preserve">all </w:t>
      </w:r>
      <w:r w:rsidR="001B1D88" w:rsidRPr="00685BB1">
        <w:t xml:space="preserve">the contributions </w:t>
      </w:r>
      <w:r w:rsidRPr="00685BB1">
        <w:t xml:space="preserve">and </w:t>
      </w:r>
      <w:r w:rsidR="001B1D88" w:rsidRPr="00685BB1">
        <w:t xml:space="preserve">12 </w:t>
      </w:r>
      <w:r w:rsidRPr="00685BB1">
        <w:t>Parties not contributing</w:t>
      </w:r>
      <w:r w:rsidR="00D73C21" w:rsidRPr="00685BB1">
        <w:t xml:space="preserve"> at all</w:t>
      </w:r>
      <w:r w:rsidR="001B1D88" w:rsidRPr="00685BB1">
        <w:t>.</w:t>
      </w:r>
      <w:r w:rsidR="003A1451" w:rsidRPr="00685BB1">
        <w:t xml:space="preserve"> The Meetings </w:t>
      </w:r>
      <w:r w:rsidR="00F32E53" w:rsidRPr="00685BB1">
        <w:t xml:space="preserve">expressed </w:t>
      </w:r>
      <w:r w:rsidR="003A1451" w:rsidRPr="00685BB1">
        <w:t>a</w:t>
      </w:r>
      <w:r w:rsidRPr="00685BB1">
        <w:t>ppreciat</w:t>
      </w:r>
      <w:r w:rsidR="00F32E53" w:rsidRPr="00685BB1">
        <w:t>ion for</w:t>
      </w:r>
      <w:r w:rsidRPr="00685BB1">
        <w:t xml:space="preserve"> </w:t>
      </w:r>
      <w:r w:rsidR="003A1451" w:rsidRPr="00685BB1">
        <w:t xml:space="preserve">the </w:t>
      </w:r>
      <w:r w:rsidRPr="00685BB1">
        <w:t xml:space="preserve">additional funding </w:t>
      </w:r>
      <w:r w:rsidR="002815C5" w:rsidRPr="00685BB1">
        <w:t xml:space="preserve">that </w:t>
      </w:r>
      <w:r w:rsidR="003D2B42" w:rsidRPr="00685BB1">
        <w:t xml:space="preserve">several </w:t>
      </w:r>
      <w:r w:rsidR="002815C5" w:rsidRPr="00685BB1">
        <w:t xml:space="preserve">Parties had provided </w:t>
      </w:r>
      <w:r w:rsidR="00F32E53" w:rsidRPr="00685BB1">
        <w:t>to fill</w:t>
      </w:r>
      <w:r w:rsidR="007C1419" w:rsidRPr="00685BB1">
        <w:t xml:space="preserve"> </w:t>
      </w:r>
      <w:r w:rsidR="002815C5" w:rsidRPr="00685BB1">
        <w:t xml:space="preserve">the </w:t>
      </w:r>
      <w:r w:rsidR="007C1419" w:rsidRPr="00685BB1">
        <w:t>six-</w:t>
      </w:r>
      <w:r w:rsidRPr="00685BB1">
        <w:t xml:space="preserve">month </w:t>
      </w:r>
      <w:r w:rsidR="007C1419" w:rsidRPr="00685BB1">
        <w:t xml:space="preserve">funding </w:t>
      </w:r>
      <w:r w:rsidRPr="00685BB1">
        <w:t xml:space="preserve">gap </w:t>
      </w:r>
      <w:r w:rsidR="007C1419" w:rsidRPr="00685BB1">
        <w:t xml:space="preserve">created by </w:t>
      </w:r>
      <w:r w:rsidR="002309B1" w:rsidRPr="00685BB1">
        <w:t xml:space="preserve">the </w:t>
      </w:r>
      <w:r w:rsidR="00BF7140" w:rsidRPr="00685BB1">
        <w:t xml:space="preserve">unbudgeted </w:t>
      </w:r>
      <w:r w:rsidR="002309B1" w:rsidRPr="00685BB1">
        <w:t xml:space="preserve">extension of the </w:t>
      </w:r>
      <w:r w:rsidRPr="00685BB1">
        <w:t xml:space="preserve">intersessional period </w:t>
      </w:r>
      <w:r w:rsidR="002309B1" w:rsidRPr="00685BB1">
        <w:t>until De</w:t>
      </w:r>
      <w:r w:rsidRPr="00685BB1">
        <w:t>c</w:t>
      </w:r>
      <w:r w:rsidR="002309B1" w:rsidRPr="00685BB1">
        <w:t>ember</w:t>
      </w:r>
      <w:r w:rsidRPr="00685BB1">
        <w:t xml:space="preserve"> 2020.</w:t>
      </w:r>
      <w:r w:rsidR="00BF7140" w:rsidRPr="00685BB1">
        <w:t xml:space="preserve"> The Meetings </w:t>
      </w:r>
      <w:r w:rsidR="001401E7" w:rsidRPr="00685BB1">
        <w:t xml:space="preserve">also </w:t>
      </w:r>
      <w:r w:rsidR="00BF7140" w:rsidRPr="00685BB1">
        <w:t>n</w:t>
      </w:r>
      <w:r w:rsidRPr="00685BB1">
        <w:t xml:space="preserve">oted </w:t>
      </w:r>
      <w:r w:rsidR="001401E7" w:rsidRPr="00685BB1">
        <w:t>th</w:t>
      </w:r>
      <w:r w:rsidR="004C5B57" w:rsidRPr="00685BB1">
        <w:t xml:space="preserve">e positive </w:t>
      </w:r>
      <w:r w:rsidR="00D55168" w:rsidRPr="00685BB1">
        <w:t xml:space="preserve">balance of the trust fund </w:t>
      </w:r>
      <w:r w:rsidRPr="00685BB1">
        <w:t xml:space="preserve">as at </w:t>
      </w:r>
      <w:r w:rsidR="00597882" w:rsidRPr="00685BB1">
        <w:t xml:space="preserve">the </w:t>
      </w:r>
      <w:r w:rsidRPr="00685BB1">
        <w:t xml:space="preserve">end </w:t>
      </w:r>
      <w:r w:rsidR="00597882" w:rsidRPr="00685BB1">
        <w:t xml:space="preserve">of </w:t>
      </w:r>
      <w:r w:rsidRPr="00685BB1">
        <w:t>Sept</w:t>
      </w:r>
      <w:r w:rsidR="00597882" w:rsidRPr="00685BB1">
        <w:t>ember</w:t>
      </w:r>
      <w:r w:rsidRPr="00685BB1">
        <w:t xml:space="preserve"> 2020</w:t>
      </w:r>
      <w:r w:rsidR="004C5B57" w:rsidRPr="00685BB1">
        <w:t xml:space="preserve">, </w:t>
      </w:r>
      <w:r w:rsidR="00E8179F" w:rsidRPr="00685BB1">
        <w:t xml:space="preserve">which was mainly due to </w:t>
      </w:r>
      <w:r w:rsidR="00D447E6" w:rsidRPr="00685BB1">
        <w:t xml:space="preserve">the savings </w:t>
      </w:r>
      <w:r w:rsidR="00062860" w:rsidRPr="00685BB1">
        <w:t xml:space="preserve">realized </w:t>
      </w:r>
      <w:r w:rsidR="00D447E6" w:rsidRPr="00685BB1">
        <w:t>in travel support</w:t>
      </w:r>
      <w:r w:rsidR="00827372" w:rsidRPr="00685BB1">
        <w:t xml:space="preserve"> of participants to meetings </w:t>
      </w:r>
      <w:r w:rsidR="009B3594" w:rsidRPr="00685BB1">
        <w:t xml:space="preserve">held online. </w:t>
      </w:r>
      <w:r w:rsidR="00E62175" w:rsidRPr="00685BB1">
        <w:t>The Parties e</w:t>
      </w:r>
      <w:r w:rsidRPr="00685BB1">
        <w:t xml:space="preserve">xpressed their satisfaction with </w:t>
      </w:r>
      <w:r w:rsidR="00472E98" w:rsidRPr="00685BB1">
        <w:t xml:space="preserve">the use of the </w:t>
      </w:r>
      <w:r w:rsidRPr="00685BB1">
        <w:t>trust fund</w:t>
      </w:r>
      <w:r w:rsidR="00472E98" w:rsidRPr="00685BB1">
        <w:t xml:space="preserve"> and i</w:t>
      </w:r>
      <w:r w:rsidRPr="00685BB1">
        <w:t xml:space="preserve">nvited </w:t>
      </w:r>
      <w:r w:rsidR="00472E98" w:rsidRPr="00685BB1">
        <w:t xml:space="preserve">the </w:t>
      </w:r>
      <w:r w:rsidRPr="00685BB1">
        <w:t xml:space="preserve">secretariat, in consultation with </w:t>
      </w:r>
      <w:r w:rsidR="00472E98" w:rsidRPr="00685BB1">
        <w:t xml:space="preserve">the </w:t>
      </w:r>
      <w:r w:rsidRPr="00685BB1">
        <w:t>Bureau, to finalize the financial report with data until end of 2020</w:t>
      </w:r>
      <w:r w:rsidR="00B8164F" w:rsidRPr="00685BB1">
        <w:t>.</w:t>
      </w:r>
    </w:p>
    <w:p w14:paraId="193A7994" w14:textId="3BAC5971" w:rsidR="00B8164F" w:rsidRPr="00685BB1" w:rsidRDefault="005F1742" w:rsidP="00874B0C">
      <w:pPr>
        <w:pStyle w:val="SingleTxtG"/>
      </w:pPr>
      <w:r w:rsidRPr="00685BB1">
        <w:t>1</w:t>
      </w:r>
      <w:r w:rsidR="007365D5" w:rsidRPr="00685BB1">
        <w:t>4</w:t>
      </w:r>
      <w:r w:rsidRPr="00685BB1">
        <w:t>.</w:t>
      </w:r>
      <w:r w:rsidRPr="00685BB1">
        <w:tab/>
      </w:r>
      <w:r w:rsidR="009A7F89" w:rsidRPr="00685BB1">
        <w:t>The</w:t>
      </w:r>
      <w:r w:rsidR="00187CBE" w:rsidRPr="00685BB1">
        <w:t xml:space="preserve"> Meetings of the Parties thanked delegations for </w:t>
      </w:r>
      <w:r w:rsidR="00033EF5" w:rsidRPr="00685BB1">
        <w:t xml:space="preserve">the contributions </w:t>
      </w:r>
      <w:r w:rsidR="00104B3F" w:rsidRPr="00685BB1">
        <w:t xml:space="preserve">they had pledged </w:t>
      </w:r>
      <w:r w:rsidR="00F21FD8" w:rsidRPr="00685BB1">
        <w:t xml:space="preserve">in advance of the sessions </w:t>
      </w:r>
      <w:r w:rsidR="00033EF5" w:rsidRPr="00685BB1">
        <w:t xml:space="preserve">to fund the </w:t>
      </w:r>
      <w:r w:rsidR="00C060EF" w:rsidRPr="00685BB1">
        <w:t xml:space="preserve">implementation of the </w:t>
      </w:r>
      <w:r w:rsidR="00033EF5" w:rsidRPr="00685BB1">
        <w:t xml:space="preserve">workplan for </w:t>
      </w:r>
      <w:r w:rsidR="00F10299" w:rsidRPr="00685BB1">
        <w:t xml:space="preserve">the </w:t>
      </w:r>
      <w:r w:rsidR="00D4224C" w:rsidRPr="00685BB1">
        <w:t xml:space="preserve">intersessional </w:t>
      </w:r>
      <w:r w:rsidR="00F10299" w:rsidRPr="00685BB1">
        <w:t>period 2021–2023</w:t>
      </w:r>
      <w:r w:rsidR="00C40645" w:rsidRPr="00685BB1">
        <w:t xml:space="preserve"> </w:t>
      </w:r>
      <w:r w:rsidR="00D3703B" w:rsidRPr="00685BB1">
        <w:t xml:space="preserve">(see annex </w:t>
      </w:r>
      <w:r w:rsidR="0096011E" w:rsidRPr="00685BB1">
        <w:t>I below</w:t>
      </w:r>
      <w:r w:rsidR="00D3703B" w:rsidRPr="00685BB1">
        <w:t>)</w:t>
      </w:r>
      <w:r w:rsidR="00044086" w:rsidRPr="00685BB1">
        <w:t xml:space="preserve">, </w:t>
      </w:r>
      <w:r w:rsidR="00F27525" w:rsidRPr="00685BB1">
        <w:t xml:space="preserve">expressing </w:t>
      </w:r>
      <w:r w:rsidR="00C326CC" w:rsidRPr="00685BB1">
        <w:t>appreciati</w:t>
      </w:r>
      <w:r w:rsidR="00F27525" w:rsidRPr="00685BB1">
        <w:t>on for</w:t>
      </w:r>
      <w:r w:rsidR="00C326CC" w:rsidRPr="00685BB1">
        <w:t xml:space="preserve"> th</w:t>
      </w:r>
      <w:r w:rsidR="00DB5357" w:rsidRPr="00685BB1">
        <w:t xml:space="preserve">e substantially increased pledges, in particular </w:t>
      </w:r>
      <w:r w:rsidR="007A031B" w:rsidRPr="00685BB1">
        <w:t>from</w:t>
      </w:r>
      <w:r w:rsidR="00FC2953" w:rsidRPr="00685BB1">
        <w:t xml:space="preserve"> </w:t>
      </w:r>
      <w:r w:rsidR="00785EA9" w:rsidRPr="00685BB1">
        <w:t xml:space="preserve">Italy, but also </w:t>
      </w:r>
      <w:r w:rsidR="007A031B" w:rsidRPr="00685BB1">
        <w:t>from</w:t>
      </w:r>
      <w:r w:rsidR="00FC2953" w:rsidRPr="00685BB1">
        <w:t xml:space="preserve"> </w:t>
      </w:r>
      <w:r w:rsidR="00785EA9" w:rsidRPr="00685BB1">
        <w:t xml:space="preserve">the European Union </w:t>
      </w:r>
      <w:r w:rsidR="00F32E53" w:rsidRPr="00685BB1">
        <w:t xml:space="preserve">and </w:t>
      </w:r>
      <w:r w:rsidR="00785EA9" w:rsidRPr="00685BB1">
        <w:t>a</w:t>
      </w:r>
      <w:r w:rsidR="00FC2953" w:rsidRPr="00685BB1">
        <w:t xml:space="preserve"> few o</w:t>
      </w:r>
      <w:r w:rsidR="00755B3A" w:rsidRPr="00685BB1">
        <w:t>ther Parties</w:t>
      </w:r>
      <w:r w:rsidR="00044086" w:rsidRPr="00685BB1">
        <w:t>.</w:t>
      </w:r>
      <w:r w:rsidR="0094228B" w:rsidRPr="00685BB1">
        <w:t xml:space="preserve"> </w:t>
      </w:r>
      <w:r w:rsidR="007C70F0" w:rsidRPr="00685BB1">
        <w:t xml:space="preserve">The Meetings </w:t>
      </w:r>
      <w:r w:rsidR="00F32E53" w:rsidRPr="00685BB1">
        <w:t xml:space="preserve">expressed </w:t>
      </w:r>
      <w:r w:rsidR="007C70F0" w:rsidRPr="00685BB1">
        <w:t>regret</w:t>
      </w:r>
      <w:r w:rsidR="000A65A7" w:rsidRPr="00685BB1">
        <w:t xml:space="preserve">, however, that the </w:t>
      </w:r>
      <w:r w:rsidR="00F46DCB" w:rsidRPr="00685BB1">
        <w:t xml:space="preserve">total value of </w:t>
      </w:r>
      <w:r w:rsidR="00A63CF8" w:rsidRPr="00685BB1">
        <w:t xml:space="preserve">the </w:t>
      </w:r>
      <w:r w:rsidR="000A65A7" w:rsidRPr="00685BB1">
        <w:t xml:space="preserve">pledges </w:t>
      </w:r>
      <w:r w:rsidR="000A61C5" w:rsidRPr="00685BB1">
        <w:t>remained</w:t>
      </w:r>
      <w:r w:rsidR="000A65A7" w:rsidRPr="00685BB1">
        <w:t xml:space="preserve"> largely insufficient </w:t>
      </w:r>
      <w:r w:rsidR="004D10E2" w:rsidRPr="00685BB1">
        <w:t xml:space="preserve">to cover the resource requirements </w:t>
      </w:r>
      <w:r w:rsidR="00887239" w:rsidRPr="00685BB1">
        <w:t>for the implementation of the</w:t>
      </w:r>
      <w:r w:rsidR="00196869" w:rsidRPr="00685BB1">
        <w:t xml:space="preserve"> workpla</w:t>
      </w:r>
      <w:r w:rsidR="00C060EF" w:rsidRPr="00685BB1">
        <w:t>n</w:t>
      </w:r>
      <w:r w:rsidR="0077728D" w:rsidRPr="00685BB1">
        <w:t xml:space="preserve"> </w:t>
      </w:r>
      <w:r w:rsidR="00323CF4" w:rsidRPr="00685BB1">
        <w:t xml:space="preserve">(leaving a deficit of </w:t>
      </w:r>
      <w:r w:rsidR="00C10E10" w:rsidRPr="00685BB1">
        <w:t xml:space="preserve">over </w:t>
      </w:r>
      <w:r w:rsidR="008A6318" w:rsidRPr="00685BB1">
        <w:t>$</w:t>
      </w:r>
      <w:r w:rsidR="00C10E10" w:rsidRPr="00685BB1">
        <w:t>320,</w:t>
      </w:r>
      <w:r w:rsidR="008A6318" w:rsidRPr="00685BB1">
        <w:t>000)</w:t>
      </w:r>
      <w:r w:rsidR="006213A9" w:rsidRPr="00685BB1">
        <w:t xml:space="preserve">. </w:t>
      </w:r>
      <w:r w:rsidR="009033C5" w:rsidRPr="009033C5">
        <w:t>Thanking Norway for its long-standing and substantial support, the Meetings noted the discontinuation, by Norway, of the large grant that, since 2012, had represented 25 per cent of the trust fund’s revenue</w:t>
      </w:r>
      <w:r w:rsidR="00AA202D">
        <w:t xml:space="preserve">. </w:t>
      </w:r>
      <w:r w:rsidR="000D3E0C" w:rsidRPr="00685BB1">
        <w:t xml:space="preserve">To </w:t>
      </w:r>
      <w:r w:rsidR="006B00E1" w:rsidRPr="00685BB1">
        <w:t>bridge the bud</w:t>
      </w:r>
      <w:r w:rsidR="00EF2EA6" w:rsidRPr="00685BB1">
        <w:t xml:space="preserve">getary </w:t>
      </w:r>
      <w:r w:rsidR="000D3E0C" w:rsidRPr="00685BB1">
        <w:t xml:space="preserve">gap, </w:t>
      </w:r>
      <w:r w:rsidR="00C211EF" w:rsidRPr="00685BB1">
        <w:t>t</w:t>
      </w:r>
      <w:r w:rsidR="006213A9" w:rsidRPr="00685BB1">
        <w:t xml:space="preserve">he Meetings urged Parties </w:t>
      </w:r>
      <w:r w:rsidR="000577A7" w:rsidRPr="00685BB1">
        <w:t xml:space="preserve">that had not </w:t>
      </w:r>
      <w:r w:rsidR="00EF2EA6" w:rsidRPr="00685BB1">
        <w:t xml:space="preserve">yet </w:t>
      </w:r>
      <w:r w:rsidR="00F90F4A" w:rsidRPr="00685BB1">
        <w:t xml:space="preserve">made pledges to do so </w:t>
      </w:r>
      <w:r w:rsidR="000577A7" w:rsidRPr="00685BB1">
        <w:t xml:space="preserve">by </w:t>
      </w:r>
      <w:r w:rsidR="00F90F4A" w:rsidRPr="00685BB1">
        <w:t>mid-</w:t>
      </w:r>
      <w:r w:rsidR="000577A7" w:rsidRPr="00685BB1">
        <w:t>January</w:t>
      </w:r>
      <w:r w:rsidR="00F90F4A" w:rsidRPr="00685BB1">
        <w:t xml:space="preserve"> </w:t>
      </w:r>
      <w:r w:rsidR="00D4224C" w:rsidRPr="00685BB1">
        <w:t xml:space="preserve">and/or to provide unpledged contributions </w:t>
      </w:r>
      <w:r w:rsidR="00C211EF" w:rsidRPr="00685BB1">
        <w:t xml:space="preserve">during the </w:t>
      </w:r>
      <w:r w:rsidR="00C12827" w:rsidRPr="00685BB1">
        <w:t xml:space="preserve">intersessional </w:t>
      </w:r>
      <w:r w:rsidR="00C211EF" w:rsidRPr="00685BB1">
        <w:t>period.</w:t>
      </w:r>
    </w:p>
    <w:p w14:paraId="3CD627E5" w14:textId="2F7210C1" w:rsidR="00CF083B" w:rsidRPr="00685BB1" w:rsidRDefault="00CF083B" w:rsidP="00874B0C">
      <w:pPr>
        <w:pStyle w:val="SingleTxtG"/>
      </w:pPr>
      <w:r w:rsidRPr="00685BB1">
        <w:t>1</w:t>
      </w:r>
      <w:r w:rsidR="007365D5" w:rsidRPr="00685BB1">
        <w:t>5</w:t>
      </w:r>
      <w:r w:rsidRPr="00685BB1">
        <w:t>.</w:t>
      </w:r>
      <w:r w:rsidRPr="00685BB1">
        <w:tab/>
      </w:r>
      <w:r w:rsidR="006642AC" w:rsidRPr="00685BB1">
        <w:t xml:space="preserve">The Meetings of the Parties </w:t>
      </w:r>
      <w:r w:rsidR="00D94688" w:rsidRPr="00685BB1">
        <w:t xml:space="preserve">then </w:t>
      </w:r>
      <w:r w:rsidR="00A72573" w:rsidRPr="00685BB1">
        <w:t xml:space="preserve">considered </w:t>
      </w:r>
      <w:r w:rsidR="00DA1D9E" w:rsidRPr="00685BB1">
        <w:t xml:space="preserve">and </w:t>
      </w:r>
      <w:r w:rsidR="00A72573" w:rsidRPr="00685BB1">
        <w:t xml:space="preserve">agreed on a </w:t>
      </w:r>
      <w:r w:rsidR="00CC62D4" w:rsidRPr="00685BB1">
        <w:t xml:space="preserve">revised </w:t>
      </w:r>
      <w:r w:rsidR="005C75E6" w:rsidRPr="00685BB1">
        <w:t>draft decision VIII/1–IV/1 on financial arrangements for 2021–2023</w:t>
      </w:r>
      <w:r w:rsidR="00D43766" w:rsidRPr="00685BB1">
        <w:t xml:space="preserve"> </w:t>
      </w:r>
      <w:r w:rsidR="00853568" w:rsidRPr="00685BB1">
        <w:t>(ECE/MP.EIA/2020/1–ECE/MP.EIA/SEA/2020/1)</w:t>
      </w:r>
      <w:r w:rsidR="00250665" w:rsidRPr="00685BB1">
        <w:t>.</w:t>
      </w:r>
      <w:r w:rsidR="009B7733" w:rsidRPr="009B7733">
        <w:t xml:space="preserve"> That decision established a financial scheme for funding the adopted workplans according to which all the Parties had a duty to contribute to the sharing of the costs that were not covered by the United Nations regular budget</w:t>
      </w:r>
    </w:p>
    <w:p w14:paraId="3022FC64" w14:textId="68291091" w:rsidR="00546FE1" w:rsidRPr="00685BB1" w:rsidRDefault="00546FE1" w:rsidP="00874B0C">
      <w:pPr>
        <w:pStyle w:val="H23G"/>
      </w:pPr>
      <w:r w:rsidRPr="00685BB1">
        <w:tab/>
        <w:t>2.</w:t>
      </w:r>
      <w:r w:rsidRPr="00685BB1">
        <w:tab/>
      </w:r>
      <w:r w:rsidRPr="00874B0C">
        <w:t>Adoption</w:t>
      </w:r>
      <w:r w:rsidRPr="00685BB1">
        <w:t xml:space="preserve"> of the workplan</w:t>
      </w:r>
    </w:p>
    <w:p w14:paraId="0A6D8975" w14:textId="5533B94F" w:rsidR="00E96DD6" w:rsidRPr="00685BB1" w:rsidRDefault="00E96DD6" w:rsidP="00874B0C">
      <w:pPr>
        <w:pStyle w:val="SingleTxtG"/>
      </w:pPr>
      <w:r w:rsidRPr="00685BB1">
        <w:tab/>
        <w:t>16.</w:t>
      </w:r>
      <w:r w:rsidRPr="00685BB1">
        <w:tab/>
        <w:t xml:space="preserve">The Meetings of the Parties </w:t>
      </w:r>
      <w:r w:rsidR="00A11A8C" w:rsidRPr="00685BB1">
        <w:t xml:space="preserve">reviewed and </w:t>
      </w:r>
      <w:r w:rsidR="00A66792" w:rsidRPr="00685BB1">
        <w:t xml:space="preserve">revised </w:t>
      </w:r>
      <w:r w:rsidRPr="00685BB1">
        <w:t xml:space="preserve">draft decision VIII/2–IV/2 on the adoption of the workplan for the implementation of the Convention and its Protocol for the period 2021–2023, </w:t>
      </w:r>
      <w:r w:rsidR="00E6794D" w:rsidRPr="00685BB1">
        <w:t xml:space="preserve">its </w:t>
      </w:r>
      <w:r w:rsidRPr="00685BB1">
        <w:t xml:space="preserve">annexes I </w:t>
      </w:r>
      <w:r w:rsidR="002522DC" w:rsidRPr="00685BB1">
        <w:t>and</w:t>
      </w:r>
      <w:r w:rsidRPr="00685BB1">
        <w:t xml:space="preserve"> II</w:t>
      </w:r>
      <w:r w:rsidR="004C252A" w:rsidRPr="00685BB1">
        <w:t xml:space="preserve"> </w:t>
      </w:r>
      <w:r w:rsidR="002879A2" w:rsidRPr="00685BB1">
        <w:t>ou</w:t>
      </w:r>
      <w:r w:rsidR="00A604AF" w:rsidRPr="00685BB1">
        <w:t xml:space="preserve">tlining </w:t>
      </w:r>
      <w:r w:rsidR="00DB44E5" w:rsidRPr="00685BB1">
        <w:t xml:space="preserve">the </w:t>
      </w:r>
      <w:r w:rsidR="00A604AF" w:rsidRPr="00685BB1">
        <w:t>wo</w:t>
      </w:r>
      <w:r w:rsidR="00BA3955" w:rsidRPr="00685BB1">
        <w:t xml:space="preserve">rkplan </w:t>
      </w:r>
      <w:r w:rsidR="00A604AF" w:rsidRPr="00685BB1">
        <w:t>activities</w:t>
      </w:r>
      <w:r w:rsidR="00FC7A19" w:rsidRPr="00685BB1">
        <w:t xml:space="preserve"> and t</w:t>
      </w:r>
      <w:r w:rsidR="00DB44E5" w:rsidRPr="00685BB1">
        <w:t>he</w:t>
      </w:r>
      <w:r w:rsidR="00C133F2" w:rsidRPr="00685BB1">
        <w:t xml:space="preserve"> </w:t>
      </w:r>
      <w:r w:rsidR="002C4F83" w:rsidRPr="00685BB1">
        <w:t xml:space="preserve">corresponding </w:t>
      </w:r>
      <w:r w:rsidR="00C133F2" w:rsidRPr="00685BB1">
        <w:t>resource requirements</w:t>
      </w:r>
      <w:r w:rsidR="005563CA" w:rsidRPr="00685BB1">
        <w:t xml:space="preserve">, </w:t>
      </w:r>
      <w:r w:rsidR="004B5A53" w:rsidRPr="00685BB1">
        <w:t xml:space="preserve">respectively, </w:t>
      </w:r>
      <w:r w:rsidR="008A4889" w:rsidRPr="00685BB1">
        <w:t>as well as i</w:t>
      </w:r>
      <w:r w:rsidR="005563CA" w:rsidRPr="00685BB1">
        <w:t>ts annex III</w:t>
      </w:r>
      <w:r w:rsidR="00C133F2" w:rsidRPr="00685BB1">
        <w:t xml:space="preserve"> </w:t>
      </w:r>
      <w:r w:rsidR="005563CA" w:rsidRPr="00685BB1">
        <w:t>listing</w:t>
      </w:r>
      <w:r w:rsidR="00FC7A19" w:rsidRPr="00685BB1">
        <w:t xml:space="preserve"> </w:t>
      </w:r>
      <w:r w:rsidR="005D12D5" w:rsidRPr="00685BB1">
        <w:t>a</w:t>
      </w:r>
      <w:r w:rsidR="00C133F2" w:rsidRPr="00685BB1">
        <w:t>dditional activities</w:t>
      </w:r>
      <w:r w:rsidR="008E650E" w:rsidRPr="00685BB1">
        <w:t xml:space="preserve"> that could be implemented</w:t>
      </w:r>
      <w:r w:rsidR="00C505CF" w:rsidRPr="00685BB1">
        <w:t xml:space="preserve"> subject to the </w:t>
      </w:r>
      <w:r w:rsidR="005325D5" w:rsidRPr="00685BB1">
        <w:t xml:space="preserve">availability of </w:t>
      </w:r>
      <w:r w:rsidR="00C505CF" w:rsidRPr="00685BB1">
        <w:t xml:space="preserve">funding </w:t>
      </w:r>
      <w:r w:rsidRPr="00685BB1">
        <w:t>(ECE/MP.EIA/2020/1–ECE/MP.EIA/SEA/2020/1).</w:t>
      </w:r>
      <w:r w:rsidR="00E04CBE" w:rsidRPr="00685BB1">
        <w:t xml:space="preserve"> Since</w:t>
      </w:r>
      <w:r w:rsidR="00E24EEF" w:rsidRPr="00685BB1">
        <w:t xml:space="preserve"> the contributions pledged by Parties</w:t>
      </w:r>
      <w:r w:rsidR="00D70A6B" w:rsidRPr="00685BB1">
        <w:t xml:space="preserve"> </w:t>
      </w:r>
      <w:r w:rsidR="00977CE8" w:rsidRPr="00685BB1">
        <w:t xml:space="preserve">had been </w:t>
      </w:r>
      <w:r w:rsidR="00327D3E" w:rsidRPr="00685BB1">
        <w:t>insufficient to</w:t>
      </w:r>
      <w:r w:rsidR="00B26BD2" w:rsidRPr="00685BB1">
        <w:t xml:space="preserve"> </w:t>
      </w:r>
      <w:r w:rsidR="00327D3E" w:rsidRPr="00685BB1">
        <w:t>fu</w:t>
      </w:r>
      <w:r w:rsidR="001357B3" w:rsidRPr="00685BB1">
        <w:t xml:space="preserve">nd </w:t>
      </w:r>
      <w:r w:rsidR="004D38CF" w:rsidRPr="00685BB1">
        <w:t xml:space="preserve">all </w:t>
      </w:r>
      <w:r w:rsidR="001357B3" w:rsidRPr="00685BB1">
        <w:t xml:space="preserve">the </w:t>
      </w:r>
      <w:r w:rsidR="00335B03" w:rsidRPr="00685BB1">
        <w:t xml:space="preserve">activities listed in </w:t>
      </w:r>
      <w:r w:rsidR="004D38CF" w:rsidRPr="00685BB1">
        <w:t>annex I</w:t>
      </w:r>
      <w:r w:rsidR="001357B3" w:rsidRPr="00685BB1">
        <w:t xml:space="preserve">, </w:t>
      </w:r>
      <w:r w:rsidR="007C520F" w:rsidRPr="00685BB1">
        <w:t>several o</w:t>
      </w:r>
      <w:r w:rsidR="0035007D" w:rsidRPr="00685BB1">
        <w:t>f them</w:t>
      </w:r>
      <w:r w:rsidR="00BB154B" w:rsidRPr="00685BB1">
        <w:t xml:space="preserve">, including </w:t>
      </w:r>
      <w:r w:rsidR="001953BB" w:rsidRPr="00685BB1">
        <w:t xml:space="preserve">financial </w:t>
      </w:r>
      <w:r w:rsidR="00BB154B" w:rsidRPr="00685BB1">
        <w:t>travel support to eligible participants,</w:t>
      </w:r>
      <w:r w:rsidR="00B26BD2" w:rsidRPr="00685BB1">
        <w:t xml:space="preserve"> </w:t>
      </w:r>
      <w:r w:rsidR="002477A5" w:rsidRPr="00685BB1">
        <w:t>had been</w:t>
      </w:r>
      <w:r w:rsidR="00A96EA1" w:rsidRPr="00685BB1">
        <w:t xml:space="preserve"> </w:t>
      </w:r>
      <w:r w:rsidR="00E84594" w:rsidRPr="00685BB1">
        <w:t xml:space="preserve">made </w:t>
      </w:r>
      <w:r w:rsidR="00245107" w:rsidRPr="00685BB1">
        <w:t xml:space="preserve">conditional to </w:t>
      </w:r>
      <w:r w:rsidR="002E5D6B" w:rsidRPr="00685BB1">
        <w:t>sufficient additional unpledged contributions being made available by Parties</w:t>
      </w:r>
      <w:r w:rsidR="00B51FCF" w:rsidRPr="00685BB1">
        <w:t>.</w:t>
      </w:r>
    </w:p>
    <w:p w14:paraId="4C42D4F7" w14:textId="3C58DC79" w:rsidR="00A15E24" w:rsidRPr="00685BB1" w:rsidRDefault="00C25C0F" w:rsidP="00874B0C">
      <w:pPr>
        <w:pStyle w:val="SingleTxtG"/>
      </w:pPr>
      <w:r w:rsidRPr="00685BB1">
        <w:t>17.</w:t>
      </w:r>
      <w:r w:rsidRPr="00685BB1">
        <w:tab/>
      </w:r>
      <w:r w:rsidR="0040234A" w:rsidRPr="00685BB1">
        <w:t>The Meetings of the Parties</w:t>
      </w:r>
      <w:r w:rsidR="003B7E41" w:rsidRPr="00685BB1">
        <w:t xml:space="preserve"> agreed on </w:t>
      </w:r>
      <w:r w:rsidR="003F1B07" w:rsidRPr="00685BB1">
        <w:t xml:space="preserve">the organization of </w:t>
      </w:r>
      <w:r w:rsidR="00063772" w:rsidRPr="00685BB1">
        <w:t>several thematic workshops or seminars during the meetings</w:t>
      </w:r>
      <w:r w:rsidR="00AF5CEF" w:rsidRPr="00685BB1">
        <w:t xml:space="preserve"> of the Working Group</w:t>
      </w:r>
      <w:r w:rsidR="004D2A3C" w:rsidRPr="00685BB1">
        <w:t xml:space="preserve"> and/or the next sessions of the </w:t>
      </w:r>
      <w:r w:rsidR="00193C76" w:rsidRPr="00685BB1">
        <w:t>M</w:t>
      </w:r>
      <w:r w:rsidR="004D2A3C" w:rsidRPr="00685BB1">
        <w:t xml:space="preserve">eetings of the </w:t>
      </w:r>
      <w:r w:rsidR="00C240AB" w:rsidRPr="00685BB1">
        <w:t>Parties</w:t>
      </w:r>
      <w:r w:rsidR="00CA0FA3" w:rsidRPr="00685BB1">
        <w:t xml:space="preserve"> </w:t>
      </w:r>
      <w:r w:rsidR="009C70D7" w:rsidRPr="00685BB1">
        <w:t>b</w:t>
      </w:r>
      <w:r w:rsidR="00CA0FA3" w:rsidRPr="00685BB1">
        <w:t xml:space="preserve">y </w:t>
      </w:r>
      <w:r w:rsidR="00787D46" w:rsidRPr="00685BB1">
        <w:t xml:space="preserve">the </w:t>
      </w:r>
      <w:r w:rsidR="00CA0FA3" w:rsidRPr="00685BB1">
        <w:t>volunteering lead countries and</w:t>
      </w:r>
      <w:r w:rsidR="002D307C" w:rsidRPr="00685BB1">
        <w:t xml:space="preserve"> organizations</w:t>
      </w:r>
      <w:r w:rsidR="00C240AB" w:rsidRPr="00685BB1">
        <w:t>.</w:t>
      </w:r>
      <w:r w:rsidR="00AA00D2" w:rsidRPr="00685BB1">
        <w:t xml:space="preserve"> </w:t>
      </w:r>
      <w:r w:rsidR="00282454" w:rsidRPr="00685BB1">
        <w:t xml:space="preserve">During the sessions, the </w:t>
      </w:r>
      <w:r w:rsidR="00A15E24" w:rsidRPr="00685BB1">
        <w:t>list of</w:t>
      </w:r>
      <w:r w:rsidR="00353187" w:rsidRPr="00685BB1">
        <w:t xml:space="preserve"> </w:t>
      </w:r>
      <w:r w:rsidR="00974156" w:rsidRPr="00685BB1">
        <w:t xml:space="preserve">the thematic </w:t>
      </w:r>
      <w:r w:rsidR="00266310" w:rsidRPr="00685BB1">
        <w:t>e</w:t>
      </w:r>
      <w:r w:rsidR="00A15E24" w:rsidRPr="00685BB1">
        <w:t xml:space="preserve">vents </w:t>
      </w:r>
      <w:r w:rsidR="00D7551D" w:rsidRPr="00D7551D">
        <w:t xml:space="preserve">for the next intersessional period </w:t>
      </w:r>
      <w:r w:rsidR="000355A9" w:rsidRPr="00685BB1">
        <w:t>was</w:t>
      </w:r>
      <w:r w:rsidR="00A15E24" w:rsidRPr="00685BB1">
        <w:t xml:space="preserve"> complemented</w:t>
      </w:r>
      <w:r w:rsidR="00E43B97" w:rsidRPr="00685BB1">
        <w:t xml:space="preserve"> with</w:t>
      </w:r>
      <w:r w:rsidR="003322DD" w:rsidRPr="00685BB1">
        <w:t xml:space="preserve"> the following</w:t>
      </w:r>
      <w:r w:rsidR="00A15E24" w:rsidRPr="00685BB1">
        <w:t>:</w:t>
      </w:r>
    </w:p>
    <w:p w14:paraId="49F46C5B" w14:textId="1BE425DF" w:rsidR="00100E91" w:rsidRPr="00685BB1" w:rsidRDefault="00A15E24" w:rsidP="00874B0C">
      <w:pPr>
        <w:pStyle w:val="SingleTxtG"/>
        <w:ind w:firstLine="567"/>
      </w:pPr>
      <w:r w:rsidRPr="00685BB1">
        <w:lastRenderedPageBreak/>
        <w:t>(a)</w:t>
      </w:r>
      <w:r w:rsidRPr="00685BB1">
        <w:tab/>
      </w:r>
      <w:r w:rsidR="005E18B3" w:rsidRPr="00E83FFB">
        <w:t>A seminar on the consideration of alternatives to and the rationale for selected options of the proposed activities in the environmental impact assessment documentation, to be organized by Belarus, the secretariat and interested Parties, with possible funding from the EU4Environment programme to be confirmed. Following discussions on the proposal of the delegation of Belarus to develop guidance on that topic, and further to a suggestion put forward by the delegation of the European Union, the Meetings of the Parties had agreed to the holding of the seminar</w:t>
      </w:r>
      <w:r w:rsidR="00100E91" w:rsidRPr="00685BB1">
        <w:t>;</w:t>
      </w:r>
      <w:r w:rsidR="00893D4E">
        <w:rPr>
          <w:rStyle w:val="FootnoteReference"/>
        </w:rPr>
        <w:footnoteReference w:id="4"/>
      </w:r>
    </w:p>
    <w:p w14:paraId="042B77C3" w14:textId="380EE074" w:rsidR="00C25C0F" w:rsidRPr="00685BB1" w:rsidRDefault="00100E91" w:rsidP="00874B0C">
      <w:pPr>
        <w:pStyle w:val="SingleTxtG"/>
        <w:ind w:firstLine="567"/>
      </w:pPr>
      <w:r w:rsidRPr="00685BB1">
        <w:t>(b)</w:t>
      </w:r>
      <w:r w:rsidRPr="00685BB1">
        <w:tab/>
      </w:r>
      <w:r w:rsidR="00DC7EB2" w:rsidRPr="00685BB1">
        <w:t>A seminar</w:t>
      </w:r>
      <w:r w:rsidR="003322DD" w:rsidRPr="00685BB1">
        <w:t>/</w:t>
      </w:r>
      <w:r w:rsidR="00DC7EB2" w:rsidRPr="00685BB1">
        <w:t>workshop</w:t>
      </w:r>
      <w:r w:rsidR="00162A1C" w:rsidRPr="00685BB1">
        <w:t xml:space="preserve"> for promoting the application of</w:t>
      </w:r>
      <w:r w:rsidR="001F5508" w:rsidRPr="00685BB1">
        <w:t xml:space="preserve"> strategic environmental</w:t>
      </w:r>
      <w:r w:rsidR="00250309" w:rsidRPr="00685BB1">
        <w:t xml:space="preserve"> assessment in development cooperation, to be organized by Italy and other interested Par</w:t>
      </w:r>
      <w:r w:rsidR="00E844C4" w:rsidRPr="00685BB1">
        <w:t>ties with support from the secretariat.</w:t>
      </w:r>
    </w:p>
    <w:p w14:paraId="4ABDA494" w14:textId="46EAE8B7" w:rsidR="00546FE1" w:rsidRPr="00685BB1" w:rsidRDefault="00546FE1" w:rsidP="00874B0C">
      <w:pPr>
        <w:pStyle w:val="H23G"/>
      </w:pPr>
      <w:r w:rsidRPr="00685BB1">
        <w:tab/>
        <w:t>3.</w:t>
      </w:r>
      <w:r w:rsidRPr="00685BB1">
        <w:tab/>
      </w:r>
      <w:r w:rsidRPr="00685BB1">
        <w:tab/>
        <w:t xml:space="preserve">Long-term strategy and the </w:t>
      </w:r>
      <w:r w:rsidRPr="00874B0C">
        <w:t>action</w:t>
      </w:r>
      <w:r w:rsidRPr="00685BB1">
        <w:t xml:space="preserve"> plan for the Convention and the Protocol</w:t>
      </w:r>
    </w:p>
    <w:p w14:paraId="22FE3499" w14:textId="46C2EA4B" w:rsidR="00A4312F" w:rsidRPr="00685BB1" w:rsidRDefault="00A4312F" w:rsidP="00874B0C">
      <w:pPr>
        <w:pStyle w:val="SingleTxtG"/>
      </w:pPr>
      <w:r w:rsidRPr="00685BB1">
        <w:tab/>
      </w:r>
      <w:r w:rsidR="007D42E6" w:rsidRPr="00685BB1">
        <w:t>18.</w:t>
      </w:r>
      <w:r w:rsidR="007D42E6" w:rsidRPr="00685BB1">
        <w:tab/>
        <w:t xml:space="preserve">The Meetings of the Parties </w:t>
      </w:r>
      <w:r w:rsidR="004A18C1" w:rsidRPr="00685BB1">
        <w:t xml:space="preserve">reviewed and </w:t>
      </w:r>
      <w:r w:rsidR="00A931CE" w:rsidRPr="00685BB1">
        <w:t xml:space="preserve">finalized </w:t>
      </w:r>
      <w:r w:rsidRPr="00685BB1">
        <w:t>the draft long-term strategy and the action plan for the Convention and the Protocol</w:t>
      </w:r>
      <w:r w:rsidR="00325FC8" w:rsidRPr="00685BB1">
        <w:t xml:space="preserve"> </w:t>
      </w:r>
      <w:r w:rsidR="00343DB8" w:rsidRPr="00685BB1">
        <w:t>(E</w:t>
      </w:r>
      <w:r w:rsidRPr="00685BB1">
        <w:t>CE/MP.EIA/2020/3–ECE/MP.EIA/SEA/2020/3</w:t>
      </w:r>
      <w:r w:rsidR="00343DB8" w:rsidRPr="00685BB1">
        <w:t>)</w:t>
      </w:r>
      <w:r w:rsidR="00D66D3F" w:rsidRPr="00685BB1">
        <w:t xml:space="preserve"> extending until 2030</w:t>
      </w:r>
      <w:r w:rsidRPr="00685BB1">
        <w:t>.</w:t>
      </w:r>
      <w:r w:rsidR="00325FC8" w:rsidRPr="00685BB1">
        <w:t xml:space="preserve"> </w:t>
      </w:r>
      <w:r w:rsidR="00F53352" w:rsidRPr="00685BB1">
        <w:t xml:space="preserve">The </w:t>
      </w:r>
      <w:r w:rsidR="006B2480" w:rsidRPr="00685BB1">
        <w:t xml:space="preserve">secretariat </w:t>
      </w:r>
      <w:r w:rsidR="00602500" w:rsidRPr="00685BB1">
        <w:t xml:space="preserve">described </w:t>
      </w:r>
      <w:r w:rsidR="00E06F96" w:rsidRPr="00685BB1">
        <w:t xml:space="preserve">the </w:t>
      </w:r>
      <w:r w:rsidR="00D728EC" w:rsidRPr="00685BB1">
        <w:t>f</w:t>
      </w:r>
      <w:r w:rsidR="00D82CA2" w:rsidRPr="00685BB1">
        <w:t>ormatt</w:t>
      </w:r>
      <w:r w:rsidR="004D0E36" w:rsidRPr="00685BB1">
        <w:t>ing</w:t>
      </w:r>
      <w:r w:rsidR="00990D5C" w:rsidRPr="00685BB1">
        <w:t xml:space="preserve"> and </w:t>
      </w:r>
      <w:r w:rsidR="008B5CF4" w:rsidRPr="00685BB1">
        <w:t>edit</w:t>
      </w:r>
      <w:r w:rsidR="00D728EC" w:rsidRPr="00685BB1">
        <w:t>orial changes</w:t>
      </w:r>
      <w:r w:rsidR="006C769D" w:rsidRPr="00685BB1">
        <w:t xml:space="preserve"> to</w:t>
      </w:r>
      <w:r w:rsidR="00EF7A71" w:rsidRPr="00685BB1">
        <w:t xml:space="preserve"> the document</w:t>
      </w:r>
      <w:r w:rsidR="00346729" w:rsidRPr="00685BB1">
        <w:t xml:space="preserve"> that </w:t>
      </w:r>
      <w:r w:rsidR="00515FCA" w:rsidRPr="00685BB1">
        <w:t>would be</w:t>
      </w:r>
      <w:r w:rsidR="00346729" w:rsidRPr="00685BB1">
        <w:t xml:space="preserve"> </w:t>
      </w:r>
      <w:r w:rsidR="004D1794" w:rsidRPr="00685BB1">
        <w:t>required</w:t>
      </w:r>
      <w:r w:rsidR="00E81D2D" w:rsidRPr="00685BB1">
        <w:t xml:space="preserve"> prior to its issuing. </w:t>
      </w:r>
      <w:r w:rsidR="00A931CE" w:rsidRPr="00685BB1">
        <w:t>The Parties noted the information.</w:t>
      </w:r>
    </w:p>
    <w:p w14:paraId="0A555509" w14:textId="296F15AE" w:rsidR="00654B28" w:rsidRPr="00685BB1" w:rsidRDefault="00654B28" w:rsidP="00874B0C">
      <w:pPr>
        <w:pStyle w:val="H23G"/>
      </w:pPr>
      <w:r w:rsidRPr="00685BB1">
        <w:tab/>
        <w:t>4.</w:t>
      </w:r>
      <w:r w:rsidRPr="00685BB1">
        <w:tab/>
      </w:r>
      <w:r w:rsidRPr="00685BB1">
        <w:tab/>
      </w:r>
      <w:r w:rsidRPr="00874B0C">
        <w:t>Declaration</w:t>
      </w:r>
    </w:p>
    <w:p w14:paraId="259F70E8" w14:textId="56E4C01B" w:rsidR="00AF68C2" w:rsidRPr="00685BB1" w:rsidRDefault="00082095" w:rsidP="00874B0C">
      <w:pPr>
        <w:pStyle w:val="SingleTxtG"/>
      </w:pPr>
      <w:r w:rsidRPr="00685BB1">
        <w:t>19.</w:t>
      </w:r>
      <w:r w:rsidRPr="00685BB1">
        <w:tab/>
        <w:t xml:space="preserve">The </w:t>
      </w:r>
      <w:r w:rsidR="00A4103B" w:rsidRPr="00685BB1">
        <w:t>Meetings of the Parties</w:t>
      </w:r>
      <w:r w:rsidR="00A40E39" w:rsidRPr="00685BB1">
        <w:t xml:space="preserve"> agreed on a revised version of the </w:t>
      </w:r>
      <w:r w:rsidR="00F57446" w:rsidRPr="00685BB1">
        <w:t>draft Vilnius declaration (</w:t>
      </w:r>
      <w:r w:rsidRPr="00685BB1">
        <w:t>ECE/MP.EIA/2020/5– ECE/MP.EIA/SEA/2020/5</w:t>
      </w:r>
      <w:r w:rsidR="00F57446" w:rsidRPr="00685BB1">
        <w:t>)</w:t>
      </w:r>
      <w:r w:rsidRPr="00685BB1">
        <w:t xml:space="preserve">. </w:t>
      </w:r>
      <w:r w:rsidR="00666DBC" w:rsidRPr="00685BB1">
        <w:t>The representative of WHO</w:t>
      </w:r>
      <w:r w:rsidR="00DD30A2" w:rsidRPr="00685BB1">
        <w:t xml:space="preserve"> stressed the importance of finalizing</w:t>
      </w:r>
      <w:r w:rsidR="00666DBC" w:rsidRPr="00685BB1">
        <w:t xml:space="preserve"> the guidance on assessing health impacts in strategic environmental assessment</w:t>
      </w:r>
      <w:r w:rsidR="00A906F1" w:rsidRPr="00685BB1">
        <w:t xml:space="preserve"> as a priority, </w:t>
      </w:r>
      <w:r w:rsidR="00CC57ED" w:rsidRPr="00685BB1">
        <w:t>including in the light of the current pandemic</w:t>
      </w:r>
      <w:r w:rsidR="00C05A9D" w:rsidRPr="00685BB1">
        <w:t xml:space="preserve"> (see also para. 33 below)</w:t>
      </w:r>
      <w:r w:rsidR="00CC57ED" w:rsidRPr="00685BB1">
        <w:t>.</w:t>
      </w:r>
    </w:p>
    <w:p w14:paraId="7FB0ADA5" w14:textId="3A7F9E72" w:rsidR="00654B28" w:rsidRPr="00685BB1" w:rsidRDefault="00654B28" w:rsidP="00874B0C">
      <w:pPr>
        <w:pStyle w:val="H23G"/>
      </w:pPr>
      <w:r w:rsidRPr="00685BB1">
        <w:tab/>
        <w:t>5.</w:t>
      </w:r>
      <w:r w:rsidRPr="00685BB1">
        <w:tab/>
      </w:r>
      <w:r w:rsidRPr="00874B0C">
        <w:t>Nomination</w:t>
      </w:r>
      <w:r w:rsidRPr="00685BB1">
        <w:t xml:space="preserve"> of officers</w:t>
      </w:r>
    </w:p>
    <w:p w14:paraId="57377033" w14:textId="20AABBE7" w:rsidR="00A72FD2" w:rsidRPr="00685BB1" w:rsidRDefault="007A3ABE" w:rsidP="00874B0C">
      <w:pPr>
        <w:pStyle w:val="SingleTxtG"/>
      </w:pPr>
      <w:r w:rsidRPr="00685BB1">
        <w:t>20.</w:t>
      </w:r>
      <w:r w:rsidRPr="00685BB1">
        <w:tab/>
      </w:r>
      <w:r w:rsidR="00A5417A" w:rsidRPr="00685BB1">
        <w:t>The secretariat presented</w:t>
      </w:r>
      <w:r w:rsidR="00B31CC2" w:rsidRPr="00685BB1">
        <w:t xml:space="preserve"> </w:t>
      </w:r>
      <w:r w:rsidR="00E37C14" w:rsidRPr="00685BB1">
        <w:t xml:space="preserve">an informal </w:t>
      </w:r>
      <w:r w:rsidR="00B31CC2" w:rsidRPr="00685BB1">
        <w:t>list of</w:t>
      </w:r>
      <w:r w:rsidR="00595A28" w:rsidRPr="00685BB1">
        <w:t xml:space="preserve"> </w:t>
      </w:r>
      <w:r w:rsidR="00E37C14" w:rsidRPr="00685BB1">
        <w:t xml:space="preserve">nominations </w:t>
      </w:r>
      <w:r w:rsidR="002D5FF3" w:rsidRPr="00685BB1">
        <w:t xml:space="preserve">of officers to </w:t>
      </w:r>
      <w:r w:rsidR="00E37C14" w:rsidRPr="00685BB1">
        <w:t>the Bureau</w:t>
      </w:r>
      <w:r w:rsidR="00FE062B" w:rsidRPr="00685BB1">
        <w:t>, the Working Group and the Implementation Committee</w:t>
      </w:r>
      <w:r w:rsidR="00EA1592" w:rsidRPr="00685BB1">
        <w:t>, as well as c</w:t>
      </w:r>
      <w:r w:rsidR="003F4E37" w:rsidRPr="00685BB1">
        <w:t xml:space="preserve">riteria for officers and other procedural guidance, regarding functions and tasks of the Bureau </w:t>
      </w:r>
      <w:r w:rsidR="001F3334" w:rsidRPr="00685BB1">
        <w:t>(ECE/MP.EIA/2020/INF.6)</w:t>
      </w:r>
      <w:r w:rsidR="000614B3" w:rsidRPr="00685BB1">
        <w:t xml:space="preserve">. The list </w:t>
      </w:r>
      <w:r w:rsidR="009B426C" w:rsidRPr="00685BB1">
        <w:t xml:space="preserve">of nominations </w:t>
      </w:r>
      <w:r w:rsidR="000614B3" w:rsidRPr="00685BB1">
        <w:t>was</w:t>
      </w:r>
      <w:r w:rsidR="00855EF0" w:rsidRPr="00685BB1">
        <w:t xml:space="preserve"> completed during the</w:t>
      </w:r>
      <w:r w:rsidR="00961FE2" w:rsidRPr="00685BB1">
        <w:t xml:space="preserve"> session</w:t>
      </w:r>
      <w:r w:rsidR="00FB0711" w:rsidRPr="00685BB1">
        <w:t xml:space="preserve"> </w:t>
      </w:r>
      <w:r w:rsidR="00CC6CF1" w:rsidRPr="00685BB1">
        <w:t>with the nomination</w:t>
      </w:r>
      <w:r w:rsidR="00C95162" w:rsidRPr="00685BB1">
        <w:t>s</w:t>
      </w:r>
      <w:r w:rsidR="00CC6CF1" w:rsidRPr="00685BB1">
        <w:t xml:space="preserve"> </w:t>
      </w:r>
      <w:r w:rsidR="00724609" w:rsidRPr="00685BB1">
        <w:t>by</w:t>
      </w:r>
      <w:r w:rsidR="00CC6CF1" w:rsidRPr="00685BB1">
        <w:t xml:space="preserve"> </w:t>
      </w:r>
      <w:r w:rsidR="00503826" w:rsidRPr="00685BB1">
        <w:t xml:space="preserve">Slovenia </w:t>
      </w:r>
      <w:r w:rsidR="00724609" w:rsidRPr="00685BB1">
        <w:t xml:space="preserve">of </w:t>
      </w:r>
      <w:r w:rsidR="00734DF4" w:rsidRPr="00685BB1">
        <w:t xml:space="preserve">an </w:t>
      </w:r>
      <w:r w:rsidR="00503826" w:rsidRPr="00685BB1">
        <w:t xml:space="preserve">alternate </w:t>
      </w:r>
      <w:r w:rsidR="00962F5C" w:rsidRPr="00685BB1">
        <w:t xml:space="preserve">Chair of the Bureau </w:t>
      </w:r>
      <w:r w:rsidR="00C95162" w:rsidRPr="00685BB1">
        <w:t xml:space="preserve">to </w:t>
      </w:r>
      <w:r w:rsidR="00503826" w:rsidRPr="00685BB1">
        <w:t>Greece</w:t>
      </w:r>
      <w:r w:rsidR="00962F5C" w:rsidRPr="00685BB1">
        <w:t xml:space="preserve"> </w:t>
      </w:r>
      <w:r w:rsidR="00C95162" w:rsidRPr="00685BB1">
        <w:t xml:space="preserve">and </w:t>
      </w:r>
      <w:r w:rsidR="00724609" w:rsidRPr="00685BB1">
        <w:t>by</w:t>
      </w:r>
      <w:r w:rsidR="00C95162" w:rsidRPr="00685BB1">
        <w:t xml:space="preserve"> </w:t>
      </w:r>
      <w:r w:rsidR="00BA28BF" w:rsidRPr="00685BB1">
        <w:t xml:space="preserve">Ukraine </w:t>
      </w:r>
      <w:r w:rsidR="00724609" w:rsidRPr="00685BB1">
        <w:t xml:space="preserve">of </w:t>
      </w:r>
      <w:r w:rsidR="00BA28BF" w:rsidRPr="00685BB1">
        <w:t>an alternate</w:t>
      </w:r>
      <w:r w:rsidR="00DD17A5" w:rsidRPr="00685BB1">
        <w:t xml:space="preserve"> </w:t>
      </w:r>
      <w:r w:rsidR="00522D68" w:rsidRPr="00685BB1">
        <w:t xml:space="preserve">Bureau </w:t>
      </w:r>
      <w:r w:rsidR="00DD17A5" w:rsidRPr="00685BB1">
        <w:t>member to Switzerland</w:t>
      </w:r>
      <w:r w:rsidR="000B70B9" w:rsidRPr="00685BB1">
        <w:t xml:space="preserve"> for </w:t>
      </w:r>
      <w:r w:rsidR="00DD17A5" w:rsidRPr="00685BB1">
        <w:t>Protocol matters</w:t>
      </w:r>
      <w:r w:rsidR="008647B9" w:rsidRPr="00685BB1">
        <w:t>.</w:t>
      </w:r>
      <w:r w:rsidR="00A72FD2" w:rsidRPr="00685BB1">
        <w:t xml:space="preserve"> </w:t>
      </w:r>
      <w:r w:rsidR="009B426C" w:rsidRPr="00685BB1">
        <w:t xml:space="preserve">The criteria </w:t>
      </w:r>
      <w:r w:rsidR="00D33DB2" w:rsidRPr="00685BB1">
        <w:t xml:space="preserve">and procedural guidance </w:t>
      </w:r>
      <w:r w:rsidR="009B426C" w:rsidRPr="00685BB1">
        <w:t>w</w:t>
      </w:r>
      <w:r w:rsidR="00FB0711" w:rsidRPr="00685BB1">
        <w:t>ere</w:t>
      </w:r>
      <w:r w:rsidR="009B426C" w:rsidRPr="00685BB1">
        <w:t xml:space="preserve"> agreed </w:t>
      </w:r>
      <w:r w:rsidR="007726B1" w:rsidRPr="00685BB1">
        <w:t>without amendments.</w:t>
      </w:r>
    </w:p>
    <w:p w14:paraId="5BFF5224" w14:textId="50F75C91" w:rsidR="00654B28" w:rsidRPr="00685BB1" w:rsidRDefault="00654B28" w:rsidP="00874B0C">
      <w:pPr>
        <w:pStyle w:val="H1G"/>
      </w:pPr>
      <w:r w:rsidRPr="00685BB1">
        <w:tab/>
      </w:r>
      <w:r w:rsidR="000461FB" w:rsidRPr="00685BB1">
        <w:t>B.</w:t>
      </w:r>
      <w:r w:rsidR="000461FB" w:rsidRPr="00685BB1">
        <w:tab/>
        <w:t>Outstanding issues relevant to the Convention</w:t>
      </w:r>
    </w:p>
    <w:p w14:paraId="6A5F9B54" w14:textId="5A6993E7" w:rsidR="00AF09B7" w:rsidRPr="00685BB1" w:rsidRDefault="00654B28" w:rsidP="00874B0C">
      <w:pPr>
        <w:pStyle w:val="H23G"/>
      </w:pPr>
      <w:r w:rsidRPr="00685BB1">
        <w:tab/>
      </w:r>
      <w:r w:rsidR="000461FB" w:rsidRPr="00685BB1">
        <w:t>1.</w:t>
      </w:r>
      <w:r w:rsidRPr="00685BB1">
        <w:tab/>
      </w:r>
      <w:bookmarkStart w:id="8" w:name="_Hlk60823382"/>
      <w:r w:rsidR="000461FB" w:rsidRPr="00685BB1">
        <w:t>R</w:t>
      </w:r>
      <w:r w:rsidR="00AF09B7" w:rsidRPr="00685BB1">
        <w:t xml:space="preserve">eview of compliance with </w:t>
      </w:r>
      <w:r w:rsidR="00AF09B7" w:rsidRPr="00874B0C">
        <w:t>the</w:t>
      </w:r>
      <w:r w:rsidR="00AF09B7" w:rsidRPr="00685BB1">
        <w:t xml:space="preserve"> Convention</w:t>
      </w:r>
    </w:p>
    <w:p w14:paraId="70D6D1B6" w14:textId="6E39D269" w:rsidR="00AF09B7" w:rsidRPr="00685BB1" w:rsidRDefault="00831AEB" w:rsidP="00874B0C">
      <w:pPr>
        <w:pStyle w:val="SingleTxtG"/>
      </w:pPr>
      <w:bookmarkStart w:id="9" w:name="_Hlk890741"/>
      <w:bookmarkStart w:id="10" w:name="_Hlk890635"/>
      <w:bookmarkStart w:id="11" w:name="_Hlk60822745"/>
      <w:bookmarkEnd w:id="8"/>
      <w:r w:rsidRPr="00685BB1">
        <w:t>2</w:t>
      </w:r>
      <w:r w:rsidR="00AF09B7" w:rsidRPr="00685BB1">
        <w:t>1.</w:t>
      </w:r>
      <w:bookmarkStart w:id="12" w:name="_Hlk890653"/>
      <w:r w:rsidR="00AF09B7" w:rsidRPr="00685BB1">
        <w:tab/>
      </w:r>
      <w:bookmarkEnd w:id="9"/>
      <w:bookmarkEnd w:id="12"/>
      <w:r w:rsidR="00AF09B7" w:rsidRPr="00685BB1">
        <w:t xml:space="preserve">The Chair of the Implementation Committee, </w:t>
      </w:r>
      <w:r w:rsidR="00C63F48" w:rsidRPr="00685BB1">
        <w:t xml:space="preserve">Mr. </w:t>
      </w:r>
      <w:proofErr w:type="spellStart"/>
      <w:r w:rsidR="00AF09B7" w:rsidRPr="00685BB1">
        <w:t>Romas</w:t>
      </w:r>
      <w:proofErr w:type="spellEnd"/>
      <w:r w:rsidR="00AF09B7" w:rsidRPr="00685BB1">
        <w:t xml:space="preserve"> </w:t>
      </w:r>
      <w:proofErr w:type="spellStart"/>
      <w:r w:rsidR="00AF09B7" w:rsidRPr="00685BB1">
        <w:t>Švedas</w:t>
      </w:r>
      <w:proofErr w:type="spellEnd"/>
      <w:r w:rsidR="00AF09B7" w:rsidRPr="00685BB1">
        <w:t xml:space="preserve"> (Lithuania)</w:t>
      </w:r>
      <w:r w:rsidR="00853905" w:rsidRPr="00685BB1">
        <w:t>,</w:t>
      </w:r>
      <w:r w:rsidR="00AF09B7" w:rsidRPr="00685BB1">
        <w:t xml:space="preserve"> presented draft decision </w:t>
      </w:r>
      <w:r w:rsidR="00E73E1B" w:rsidRPr="00685BB1">
        <w:t xml:space="preserve">VIII/4 </w:t>
      </w:r>
      <w:r w:rsidR="00AF09B7" w:rsidRPr="00685BB1">
        <w:t>on general issues of compliance with the Convention (</w:t>
      </w:r>
      <w:r w:rsidR="00DF5E23" w:rsidRPr="00685BB1">
        <w:t>ECE/MP.EIA/2020/10</w:t>
      </w:r>
      <w:r w:rsidR="00AF09B7" w:rsidRPr="00685BB1">
        <w:t xml:space="preserve">) and country-specific draft decisions on compliance </w:t>
      </w:r>
      <w:bookmarkStart w:id="13" w:name="_Hlk62233609"/>
      <w:r w:rsidR="00D27188" w:rsidRPr="00685BB1">
        <w:t>VIII/4</w:t>
      </w:r>
      <w:bookmarkEnd w:id="13"/>
      <w:r w:rsidR="00D27188" w:rsidRPr="00685BB1">
        <w:t>a</w:t>
      </w:r>
      <w:r w:rsidR="0038781E" w:rsidRPr="00685BB1">
        <w:t xml:space="preserve">, b, d and </w:t>
      </w:r>
      <w:r w:rsidR="00D27188" w:rsidRPr="00685BB1">
        <w:t>e</w:t>
      </w:r>
      <w:r w:rsidR="00AF09B7" w:rsidRPr="00685BB1">
        <w:t xml:space="preserve"> (</w:t>
      </w:r>
      <w:r w:rsidR="00A13235" w:rsidRPr="00685BB1">
        <w:t xml:space="preserve">respectively, </w:t>
      </w:r>
      <w:r w:rsidR="00AF09B7" w:rsidRPr="00685BB1">
        <w:t>ECE/MP.EIA/20</w:t>
      </w:r>
      <w:r w:rsidR="00DF5E23" w:rsidRPr="00685BB1">
        <w:t>20</w:t>
      </w:r>
      <w:r w:rsidR="00AF09B7" w:rsidRPr="00685BB1">
        <w:t>/</w:t>
      </w:r>
      <w:r w:rsidR="0038781E" w:rsidRPr="00685BB1">
        <w:t xml:space="preserve">11, </w:t>
      </w:r>
      <w:r w:rsidR="00A13235" w:rsidRPr="00685BB1">
        <w:t>ECE/MP.EIA/2020/</w:t>
      </w:r>
      <w:r w:rsidR="0038781E" w:rsidRPr="00685BB1">
        <w:t xml:space="preserve">12, </w:t>
      </w:r>
      <w:r w:rsidR="00A13235" w:rsidRPr="00685BB1">
        <w:t>ECE/MP.EIA/2020/</w:t>
      </w:r>
      <w:r w:rsidR="00B530CD" w:rsidRPr="00685BB1">
        <w:t>1</w:t>
      </w:r>
      <w:r w:rsidR="00AF09B7" w:rsidRPr="00685BB1">
        <w:t xml:space="preserve">4 and </w:t>
      </w:r>
      <w:r w:rsidR="00A13235" w:rsidRPr="00685BB1">
        <w:t>ECE/MP.EIA/2020/</w:t>
      </w:r>
      <w:r w:rsidR="00B530CD" w:rsidRPr="00685BB1">
        <w:t xml:space="preserve">15). </w:t>
      </w:r>
      <w:r w:rsidR="00AF09B7" w:rsidRPr="00685BB1">
        <w:t xml:space="preserve">The First Vice-Chair of the Committee, Maria do </w:t>
      </w:r>
      <w:proofErr w:type="spellStart"/>
      <w:r w:rsidR="00AF09B7" w:rsidRPr="00685BB1">
        <w:t>Carmo</w:t>
      </w:r>
      <w:proofErr w:type="spellEnd"/>
      <w:r w:rsidR="00AF09B7" w:rsidRPr="00685BB1">
        <w:t xml:space="preserve"> </w:t>
      </w:r>
      <w:proofErr w:type="spellStart"/>
      <w:r w:rsidR="00AF09B7" w:rsidRPr="00685BB1">
        <w:t>Figueira</w:t>
      </w:r>
      <w:proofErr w:type="spellEnd"/>
      <w:r w:rsidR="00AF09B7" w:rsidRPr="00685BB1">
        <w:t xml:space="preserve"> (Portugal), presented draft decision </w:t>
      </w:r>
      <w:r w:rsidR="00B530CD" w:rsidRPr="00685BB1">
        <w:t>VIII/4c</w:t>
      </w:r>
      <w:r w:rsidR="00AF09B7" w:rsidRPr="00685BB1">
        <w:t xml:space="preserve"> on </w:t>
      </w:r>
      <w:r w:rsidR="00AF09B7" w:rsidRPr="00874B0C">
        <w:t>compliance</w:t>
      </w:r>
      <w:r w:rsidR="00AF09B7" w:rsidRPr="00685BB1">
        <w:t xml:space="preserve"> by Belarus with its obligations under the Convention in respect of the Belarusian nuclear power plant in </w:t>
      </w:r>
      <w:proofErr w:type="spellStart"/>
      <w:r w:rsidR="00AF09B7" w:rsidRPr="00685BB1">
        <w:t>Ostrovets</w:t>
      </w:r>
      <w:proofErr w:type="spellEnd"/>
      <w:r w:rsidR="00AF09B7" w:rsidRPr="00685BB1">
        <w:t xml:space="preserve"> (ECE/MP.EIA/20</w:t>
      </w:r>
      <w:r w:rsidR="003E2E38" w:rsidRPr="00685BB1">
        <w:t>20</w:t>
      </w:r>
      <w:r w:rsidR="00AF09B7" w:rsidRPr="00685BB1">
        <w:t>/</w:t>
      </w:r>
      <w:r w:rsidR="003E2E38" w:rsidRPr="00685BB1">
        <w:t>13</w:t>
      </w:r>
      <w:r w:rsidR="00AF09B7" w:rsidRPr="00685BB1">
        <w:t>). They explained that</w:t>
      </w:r>
      <w:r w:rsidR="00321B78" w:rsidRPr="00685BB1">
        <w:t xml:space="preserve"> </w:t>
      </w:r>
      <w:r w:rsidR="00AF09B7" w:rsidRPr="00685BB1">
        <w:t xml:space="preserve">the Committee had </w:t>
      </w:r>
      <w:r w:rsidR="008947A4" w:rsidRPr="00685BB1">
        <w:t>finalized t</w:t>
      </w:r>
      <w:r w:rsidR="00AF09B7" w:rsidRPr="00685BB1">
        <w:t>he draft decisions</w:t>
      </w:r>
      <w:r w:rsidR="00792B79" w:rsidRPr="00685BB1">
        <w:t xml:space="preserve"> for consideration of the Meeting of the Parties</w:t>
      </w:r>
      <w:r w:rsidR="00AF09B7" w:rsidRPr="00685BB1">
        <w:t xml:space="preserve"> </w:t>
      </w:r>
      <w:r w:rsidR="008947A4" w:rsidRPr="00685BB1">
        <w:t>at its forty-eighth session (</w:t>
      </w:r>
      <w:r w:rsidR="00A13235" w:rsidRPr="00685BB1">
        <w:t xml:space="preserve">Geneva, </w:t>
      </w:r>
      <w:r w:rsidR="008947A4" w:rsidRPr="00685BB1">
        <w:t xml:space="preserve">1–4 September 2020), considering, as appropriate, the additional information and comments that Parties </w:t>
      </w:r>
      <w:r w:rsidR="00471068" w:rsidRPr="00685BB1">
        <w:t xml:space="preserve">had </w:t>
      </w:r>
      <w:r w:rsidR="008947A4" w:rsidRPr="00685BB1">
        <w:t xml:space="preserve">provided before, during and after the ninth meeting of the Working Group </w:t>
      </w:r>
      <w:r w:rsidR="0004763E" w:rsidRPr="00685BB1">
        <w:t>(Geneva, 24</w:t>
      </w:r>
      <w:r w:rsidR="009B369C" w:rsidRPr="00685BB1">
        <w:t>–</w:t>
      </w:r>
      <w:r w:rsidR="0004763E" w:rsidRPr="00685BB1">
        <w:t>26 August 2020).</w:t>
      </w:r>
      <w:bookmarkEnd w:id="10"/>
    </w:p>
    <w:bookmarkEnd w:id="11"/>
    <w:p w14:paraId="7C38180B" w14:textId="699D9BC7" w:rsidR="00AF09B7" w:rsidRPr="00685BB1" w:rsidRDefault="00973511" w:rsidP="00874B0C">
      <w:pPr>
        <w:pStyle w:val="SingleTxtG"/>
      </w:pPr>
      <w:r w:rsidRPr="00685BB1">
        <w:lastRenderedPageBreak/>
        <w:t>22</w:t>
      </w:r>
      <w:r w:rsidR="00AF09B7" w:rsidRPr="00685BB1">
        <w:t>.</w:t>
      </w:r>
      <w:r w:rsidR="00AF09B7" w:rsidRPr="00685BB1">
        <w:tab/>
        <w:t xml:space="preserve">The Meeting of the Parties to the Convention </w:t>
      </w:r>
      <w:r w:rsidR="008120C7" w:rsidRPr="00685BB1">
        <w:t xml:space="preserve">first </w:t>
      </w:r>
      <w:r w:rsidR="00ED1DB5" w:rsidRPr="00685BB1">
        <w:t xml:space="preserve">reviewed and </w:t>
      </w:r>
      <w:r w:rsidR="00AF09B7" w:rsidRPr="00685BB1">
        <w:t xml:space="preserve">deliberated on the country-specific </w:t>
      </w:r>
      <w:r w:rsidR="00585F71" w:rsidRPr="00685BB1">
        <w:t xml:space="preserve">draft </w:t>
      </w:r>
      <w:r w:rsidR="00AF09B7" w:rsidRPr="00685BB1">
        <w:t>decisions</w:t>
      </w:r>
      <w:r w:rsidR="00F614DC" w:rsidRPr="00685BB1">
        <w:t>,</w:t>
      </w:r>
      <w:r w:rsidR="00AF09B7" w:rsidRPr="00685BB1">
        <w:t xml:space="preserve"> prior to addressin</w:t>
      </w:r>
      <w:r w:rsidR="00774BBD" w:rsidRPr="00685BB1">
        <w:t>g</w:t>
      </w:r>
      <w:r w:rsidR="00AF09B7" w:rsidRPr="00685BB1">
        <w:t xml:space="preserve"> </w:t>
      </w:r>
      <w:r w:rsidR="00585F71" w:rsidRPr="00685BB1">
        <w:t xml:space="preserve">draft </w:t>
      </w:r>
      <w:r w:rsidR="00AF09B7" w:rsidRPr="00685BB1">
        <w:t xml:space="preserve">decision </w:t>
      </w:r>
      <w:r w:rsidR="00774BBD" w:rsidRPr="00685BB1">
        <w:t xml:space="preserve">VIII/4 </w:t>
      </w:r>
      <w:r w:rsidR="00AF09B7" w:rsidRPr="00685BB1">
        <w:t xml:space="preserve">on general issues of compliance. </w:t>
      </w:r>
      <w:r w:rsidR="007C6BF5" w:rsidRPr="00685BB1">
        <w:t>D</w:t>
      </w:r>
      <w:r w:rsidR="000874DF" w:rsidRPr="00685BB1">
        <w:t>raft d</w:t>
      </w:r>
      <w:r w:rsidR="007C6BF5" w:rsidRPr="00685BB1">
        <w:t>ecisions VIII/</w:t>
      </w:r>
      <w:r w:rsidR="00684DB2" w:rsidRPr="00685BB1">
        <w:t>4</w:t>
      </w:r>
      <w:r w:rsidR="00FD462C" w:rsidRPr="00685BB1">
        <w:t>a</w:t>
      </w:r>
      <w:r w:rsidR="002744CC" w:rsidRPr="00685BB1">
        <w:t xml:space="preserve">–c </w:t>
      </w:r>
      <w:r w:rsidR="00EB23D8" w:rsidRPr="00685BB1">
        <w:t xml:space="preserve">on </w:t>
      </w:r>
      <w:r w:rsidR="00EB23D8" w:rsidRPr="00874B0C">
        <w:t>compliance</w:t>
      </w:r>
      <w:r w:rsidR="00EB23D8" w:rsidRPr="00685BB1">
        <w:t xml:space="preserve"> by Ar</w:t>
      </w:r>
      <w:r w:rsidR="00102479" w:rsidRPr="00685BB1">
        <w:t>menia, Azerbaijan and Belarus</w:t>
      </w:r>
      <w:r w:rsidR="00E1140A" w:rsidRPr="00685BB1">
        <w:t xml:space="preserve"> with their obligations under the Convention</w:t>
      </w:r>
      <w:r w:rsidR="00C524E4" w:rsidRPr="00685BB1">
        <w:t xml:space="preserve">, respectively, were agreed </w:t>
      </w:r>
      <w:r w:rsidR="004F69BE" w:rsidRPr="00685BB1">
        <w:t xml:space="preserve">without </w:t>
      </w:r>
      <w:r w:rsidR="000F0C24" w:rsidRPr="00685BB1">
        <w:t>amendment</w:t>
      </w:r>
      <w:r w:rsidR="00A72695" w:rsidRPr="00685BB1">
        <w:t>. F</w:t>
      </w:r>
      <w:r w:rsidR="009B6D9D" w:rsidRPr="00685BB1">
        <w:t>or</w:t>
      </w:r>
      <w:r w:rsidR="004F69BE" w:rsidRPr="00685BB1">
        <w:t xml:space="preserve"> the </w:t>
      </w:r>
      <w:r w:rsidR="000874DF" w:rsidRPr="00685BB1">
        <w:t>remaining draft decisions</w:t>
      </w:r>
      <w:r w:rsidR="00CC67F6" w:rsidRPr="00685BB1">
        <w:t xml:space="preserve"> (</w:t>
      </w:r>
      <w:r w:rsidR="00684DB2" w:rsidRPr="00685BB1">
        <w:t xml:space="preserve">VIII/4 </w:t>
      </w:r>
      <w:r w:rsidR="00BE2ED3" w:rsidRPr="00685BB1">
        <w:t xml:space="preserve">on </w:t>
      </w:r>
      <w:r w:rsidR="00CC67F6" w:rsidRPr="00685BB1">
        <w:t>general issues and</w:t>
      </w:r>
      <w:r w:rsidR="0012558A" w:rsidRPr="00685BB1">
        <w:t xml:space="preserve"> </w:t>
      </w:r>
      <w:r w:rsidR="00346312" w:rsidRPr="00685BB1">
        <w:t>VIII/</w:t>
      </w:r>
      <w:r w:rsidR="00684DB2" w:rsidRPr="00685BB1">
        <w:t>4</w:t>
      </w:r>
      <w:r w:rsidR="0012558A" w:rsidRPr="00685BB1">
        <w:t xml:space="preserve">d and e on </w:t>
      </w:r>
      <w:r w:rsidR="00D10864" w:rsidRPr="00685BB1">
        <w:t>compliance by Ukraine with its obligations under the Convention)</w:t>
      </w:r>
      <w:r w:rsidR="00AF0938" w:rsidRPr="00685BB1">
        <w:t xml:space="preserve"> </w:t>
      </w:r>
      <w:r w:rsidR="00D13BED" w:rsidRPr="00685BB1">
        <w:t xml:space="preserve">the Parties </w:t>
      </w:r>
      <w:r w:rsidR="00AB6ADE" w:rsidRPr="00685BB1">
        <w:t xml:space="preserve">agreed </w:t>
      </w:r>
      <w:r w:rsidR="0049369B" w:rsidRPr="00685BB1">
        <w:t xml:space="preserve">on </w:t>
      </w:r>
      <w:r w:rsidR="00221AA2" w:rsidRPr="00685BB1">
        <w:t>a number of</w:t>
      </w:r>
      <w:r w:rsidR="00BA0936" w:rsidRPr="00685BB1">
        <w:t xml:space="preserve"> </w:t>
      </w:r>
      <w:r w:rsidR="0049369B" w:rsidRPr="00685BB1">
        <w:t>revisions</w:t>
      </w:r>
      <w:r w:rsidR="00AF09B7" w:rsidRPr="00685BB1">
        <w:t>.</w:t>
      </w:r>
    </w:p>
    <w:p w14:paraId="22AF613D" w14:textId="3ED96F78" w:rsidR="00AF09B7" w:rsidRPr="00685BB1" w:rsidRDefault="0043165F" w:rsidP="00874B0C">
      <w:pPr>
        <w:pStyle w:val="H23G"/>
      </w:pPr>
      <w:r w:rsidRPr="00685BB1">
        <w:tab/>
      </w:r>
      <w:r w:rsidR="00AF09B7" w:rsidRPr="00685BB1">
        <w:t>2.</w:t>
      </w:r>
      <w:r w:rsidR="00AF09B7" w:rsidRPr="00685BB1">
        <w:tab/>
      </w:r>
      <w:r w:rsidR="000461FB" w:rsidRPr="00685BB1">
        <w:t>A</w:t>
      </w:r>
      <w:r w:rsidR="00AF09B7" w:rsidRPr="00685BB1">
        <w:t xml:space="preserve">pplicability of the </w:t>
      </w:r>
      <w:r w:rsidR="00AF09B7" w:rsidRPr="00874B0C">
        <w:t>Convention</w:t>
      </w:r>
      <w:r w:rsidR="00AF09B7" w:rsidRPr="00685BB1">
        <w:t xml:space="preserve"> to the lifetime extension of nuclear power plants</w:t>
      </w:r>
    </w:p>
    <w:p w14:paraId="1B3B4E55" w14:textId="519D39CF" w:rsidR="00221572" w:rsidRPr="00685BB1" w:rsidRDefault="001B65AB" w:rsidP="00874B0C">
      <w:pPr>
        <w:pStyle w:val="SingleTxtG"/>
      </w:pPr>
      <w:r w:rsidRPr="00685BB1">
        <w:t>23</w:t>
      </w:r>
      <w:r w:rsidR="00AF09B7" w:rsidRPr="00685BB1">
        <w:t xml:space="preserve">. </w:t>
      </w:r>
      <w:r w:rsidR="00AF09B7" w:rsidRPr="00685BB1">
        <w:tab/>
        <w:t xml:space="preserve">The </w:t>
      </w:r>
      <w:r w:rsidR="00FD08F1" w:rsidRPr="00685BB1">
        <w:t xml:space="preserve">representatives of </w:t>
      </w:r>
      <w:r w:rsidR="00AF09B7" w:rsidRPr="00685BB1">
        <w:t>German</w:t>
      </w:r>
      <w:r w:rsidR="00FD08F1" w:rsidRPr="00685BB1">
        <w:t>y and the United Kingdom</w:t>
      </w:r>
      <w:r w:rsidR="00C12424" w:rsidRPr="00685BB1">
        <w:t xml:space="preserve"> of Great Britain and Northern Ireland</w:t>
      </w:r>
      <w:r w:rsidR="00773A2A" w:rsidRPr="00685BB1">
        <w:t xml:space="preserve"> </w:t>
      </w:r>
      <w:r w:rsidR="00DF6ABC" w:rsidRPr="00685BB1">
        <w:t xml:space="preserve">summarized the </w:t>
      </w:r>
      <w:r w:rsidR="002B45E9" w:rsidRPr="00685BB1">
        <w:t xml:space="preserve">preparatory </w:t>
      </w:r>
      <w:r w:rsidR="00DF6ABC" w:rsidRPr="00685BB1">
        <w:t xml:space="preserve">process </w:t>
      </w:r>
      <w:r w:rsidR="000C1C01" w:rsidRPr="00685BB1">
        <w:t>for the</w:t>
      </w:r>
      <w:r w:rsidR="00DF6ABC" w:rsidRPr="00685BB1">
        <w:t xml:space="preserve"> </w:t>
      </w:r>
      <w:r w:rsidR="00891E7C" w:rsidRPr="00685BB1">
        <w:t>draft guidance on the applicability of the Convention to the lifetime extension of nuclear power plants</w:t>
      </w:r>
      <w:r w:rsidR="000900A9" w:rsidRPr="00685BB1">
        <w:t xml:space="preserve"> </w:t>
      </w:r>
      <w:r w:rsidR="001E5D2C" w:rsidRPr="00685BB1">
        <w:t>(ECE/MP.EIA/2020/7)</w:t>
      </w:r>
      <w:r w:rsidR="00394A18" w:rsidRPr="00685BB1">
        <w:t xml:space="preserve"> </w:t>
      </w:r>
      <w:r w:rsidR="00FE7D3A" w:rsidRPr="00685BB1">
        <w:t xml:space="preserve">developed </w:t>
      </w:r>
      <w:r w:rsidR="00394A18" w:rsidRPr="00685BB1">
        <w:t xml:space="preserve">by an </w:t>
      </w:r>
      <w:r w:rsidR="00AE48CB" w:rsidRPr="00685BB1">
        <w:t xml:space="preserve">ad hoc </w:t>
      </w:r>
      <w:r w:rsidR="00CA34C3" w:rsidRPr="00685BB1">
        <w:t xml:space="preserve">working </w:t>
      </w:r>
      <w:r w:rsidR="00AF09B7" w:rsidRPr="00685BB1">
        <w:t>group</w:t>
      </w:r>
      <w:r w:rsidR="0070797E" w:rsidRPr="00685BB1">
        <w:t xml:space="preserve"> under their co-chairmanship</w:t>
      </w:r>
      <w:r w:rsidR="00353F6D" w:rsidRPr="00685BB1">
        <w:t xml:space="preserve"> during the intersessional period</w:t>
      </w:r>
      <w:r w:rsidR="0070797E" w:rsidRPr="00685BB1">
        <w:t>.</w:t>
      </w:r>
      <w:r w:rsidR="00AF09B7" w:rsidRPr="00685BB1">
        <w:t xml:space="preserve"> </w:t>
      </w:r>
      <w:r w:rsidR="00A41D9C" w:rsidRPr="00685BB1">
        <w:t xml:space="preserve">The Co-Chairs </w:t>
      </w:r>
      <w:r w:rsidR="007C7B62" w:rsidRPr="00874B0C">
        <w:t>stressed</w:t>
      </w:r>
      <w:r w:rsidR="007C7B62" w:rsidRPr="00685BB1">
        <w:t xml:space="preserve"> </w:t>
      </w:r>
      <w:r w:rsidR="004F6F01" w:rsidRPr="00685BB1">
        <w:t>the</w:t>
      </w:r>
      <w:r w:rsidR="00AE1F1F" w:rsidRPr="00685BB1">
        <w:t xml:space="preserve"> </w:t>
      </w:r>
      <w:r w:rsidR="00AA21FC" w:rsidRPr="00685BB1">
        <w:t>exten</w:t>
      </w:r>
      <w:r w:rsidR="008E5619" w:rsidRPr="00685BB1">
        <w:t>t of the</w:t>
      </w:r>
      <w:r w:rsidR="00EE79A3" w:rsidRPr="00685BB1">
        <w:t xml:space="preserve"> </w:t>
      </w:r>
      <w:r w:rsidR="00AA21FC" w:rsidRPr="00685BB1">
        <w:t>efforts</w:t>
      </w:r>
      <w:r w:rsidR="00FF1D34" w:rsidRPr="00685BB1">
        <w:t xml:space="preserve"> and </w:t>
      </w:r>
      <w:r w:rsidR="00D23B50" w:rsidRPr="00685BB1">
        <w:t xml:space="preserve">difficulties </w:t>
      </w:r>
      <w:r w:rsidR="009B2BDB" w:rsidRPr="00685BB1">
        <w:t xml:space="preserve">in </w:t>
      </w:r>
      <w:r w:rsidR="00E46FAB" w:rsidRPr="00685BB1">
        <w:t>producing a validated draft</w:t>
      </w:r>
      <w:r w:rsidR="00082A6C" w:rsidRPr="00685BB1">
        <w:t xml:space="preserve"> due to t</w:t>
      </w:r>
      <w:r w:rsidR="00B577A2" w:rsidRPr="00685BB1">
        <w:t xml:space="preserve">he </w:t>
      </w:r>
      <w:r w:rsidR="00E61B60" w:rsidRPr="00685BB1">
        <w:t>differing v</w:t>
      </w:r>
      <w:r w:rsidR="001F5BF7" w:rsidRPr="00685BB1">
        <w:t>iews</w:t>
      </w:r>
      <w:r w:rsidR="005E27D0" w:rsidRPr="00685BB1">
        <w:t xml:space="preserve"> o</w:t>
      </w:r>
      <w:r w:rsidR="00B577A2" w:rsidRPr="00685BB1">
        <w:t>f Parties on the topic</w:t>
      </w:r>
      <w:r w:rsidR="00082A6C" w:rsidRPr="00685BB1">
        <w:t xml:space="preserve"> and</w:t>
      </w:r>
      <w:r w:rsidR="009B2BDB" w:rsidRPr="00685BB1">
        <w:t xml:space="preserve"> the</w:t>
      </w:r>
      <w:r w:rsidR="007246CC" w:rsidRPr="00685BB1">
        <w:t xml:space="preserve"> </w:t>
      </w:r>
      <w:r w:rsidR="00C859EC" w:rsidRPr="00685BB1">
        <w:t>pandemi</w:t>
      </w:r>
      <w:r w:rsidR="00ED367A" w:rsidRPr="00685BB1">
        <w:t xml:space="preserve">c, outlining </w:t>
      </w:r>
      <w:r w:rsidR="00406E1E" w:rsidRPr="00685BB1">
        <w:t xml:space="preserve">also </w:t>
      </w:r>
      <w:r w:rsidR="00ED367A" w:rsidRPr="00685BB1">
        <w:t xml:space="preserve">the few </w:t>
      </w:r>
      <w:r w:rsidR="00406E1E" w:rsidRPr="00685BB1">
        <w:t xml:space="preserve">open </w:t>
      </w:r>
      <w:r w:rsidR="00ED367A" w:rsidRPr="00685BB1">
        <w:t>issues that the ad hoc group had</w:t>
      </w:r>
      <w:r w:rsidR="00406E1E" w:rsidRPr="00685BB1">
        <w:t xml:space="preserve"> left for the Meetings of the Parties to decide. </w:t>
      </w:r>
      <w:r w:rsidR="0037354E" w:rsidRPr="00685BB1">
        <w:t xml:space="preserve">The Meeting of the Parties </w:t>
      </w:r>
      <w:r w:rsidR="007D4FB2" w:rsidRPr="00685BB1">
        <w:t xml:space="preserve">to the Convention </w:t>
      </w:r>
      <w:r w:rsidR="00613D2D" w:rsidRPr="00685BB1">
        <w:t xml:space="preserve">welcomed the </w:t>
      </w:r>
      <w:r w:rsidR="004064FC" w:rsidRPr="00685BB1">
        <w:t xml:space="preserve">extensive </w:t>
      </w:r>
      <w:r w:rsidR="00613D2D" w:rsidRPr="00685BB1">
        <w:t>work</w:t>
      </w:r>
      <w:r w:rsidR="00AE1F1F" w:rsidRPr="00685BB1">
        <w:t xml:space="preserve"> </w:t>
      </w:r>
      <w:r w:rsidR="006A3FB7" w:rsidRPr="00685BB1">
        <w:t xml:space="preserve">of the ad hoc group </w:t>
      </w:r>
      <w:r w:rsidR="003F138C" w:rsidRPr="00685BB1">
        <w:t>in the drafting of the guidance</w:t>
      </w:r>
      <w:r w:rsidR="00B36F49" w:rsidRPr="00685BB1">
        <w:t xml:space="preserve">, </w:t>
      </w:r>
      <w:r w:rsidR="00353E3D" w:rsidRPr="00685BB1">
        <w:t>highlight</w:t>
      </w:r>
      <w:r w:rsidR="00ED5048" w:rsidRPr="00685BB1">
        <w:t>ing</w:t>
      </w:r>
      <w:r w:rsidR="00353E3D" w:rsidRPr="00685BB1">
        <w:t xml:space="preserve"> t</w:t>
      </w:r>
      <w:r w:rsidR="00B36F49" w:rsidRPr="00685BB1">
        <w:t xml:space="preserve">he key role </w:t>
      </w:r>
      <w:r w:rsidR="00EB3A6F" w:rsidRPr="00685BB1">
        <w:t>of t</w:t>
      </w:r>
      <w:r w:rsidR="00B36F49" w:rsidRPr="00685BB1">
        <w:t>he</w:t>
      </w:r>
      <w:r w:rsidR="00AA46F1" w:rsidRPr="00685BB1">
        <w:t xml:space="preserve"> Co-Chair</w:t>
      </w:r>
      <w:r w:rsidR="00ED5048" w:rsidRPr="00685BB1">
        <w:t>s</w:t>
      </w:r>
      <w:r w:rsidR="00076B2A" w:rsidRPr="00685BB1">
        <w:t xml:space="preserve"> i</w:t>
      </w:r>
      <w:r w:rsidR="00501453" w:rsidRPr="00685BB1">
        <w:t>n th</w:t>
      </w:r>
      <w:r w:rsidR="00774BBD" w:rsidRPr="00685BB1">
        <w:t>at</w:t>
      </w:r>
      <w:r w:rsidR="00501453" w:rsidRPr="00685BB1">
        <w:t xml:space="preserve"> regard</w:t>
      </w:r>
      <w:r w:rsidR="00ED5048" w:rsidRPr="00685BB1">
        <w:t>,</w:t>
      </w:r>
      <w:r w:rsidR="00A47D6A" w:rsidRPr="00685BB1">
        <w:t xml:space="preserve"> </w:t>
      </w:r>
      <w:r w:rsidR="00192DA5" w:rsidRPr="00685BB1">
        <w:t xml:space="preserve">and </w:t>
      </w:r>
      <w:r w:rsidR="004D1925" w:rsidRPr="00685BB1">
        <w:t xml:space="preserve">reiterated </w:t>
      </w:r>
      <w:r w:rsidR="00192DA5" w:rsidRPr="00685BB1">
        <w:t xml:space="preserve">the </w:t>
      </w:r>
      <w:r w:rsidR="00C37064" w:rsidRPr="00685BB1">
        <w:t>urgent need for guidance</w:t>
      </w:r>
      <w:r w:rsidR="00306818" w:rsidRPr="00685BB1">
        <w:t xml:space="preserve">. </w:t>
      </w:r>
      <w:r w:rsidR="0019479A" w:rsidRPr="00685BB1">
        <w:t xml:space="preserve">It agreed on </w:t>
      </w:r>
      <w:r w:rsidR="005F03C7" w:rsidRPr="00685BB1">
        <w:t xml:space="preserve">a finalized version of the </w:t>
      </w:r>
      <w:r w:rsidR="0011417E" w:rsidRPr="00685BB1">
        <w:t xml:space="preserve">draft </w:t>
      </w:r>
      <w:r w:rsidR="005F03C7" w:rsidRPr="00685BB1">
        <w:t xml:space="preserve">guidance based on </w:t>
      </w:r>
      <w:r w:rsidR="0019142B" w:rsidRPr="00685BB1">
        <w:t xml:space="preserve">compromise </w:t>
      </w:r>
      <w:r w:rsidR="0019479A" w:rsidRPr="00685BB1">
        <w:t>proposal</w:t>
      </w:r>
      <w:r w:rsidR="00927038" w:rsidRPr="00685BB1">
        <w:t>s</w:t>
      </w:r>
      <w:r w:rsidR="0019479A" w:rsidRPr="00685BB1">
        <w:t xml:space="preserve"> by t</w:t>
      </w:r>
      <w:r w:rsidR="00D53C3D" w:rsidRPr="00685BB1">
        <w:t xml:space="preserve">he delegation of </w:t>
      </w:r>
      <w:r w:rsidR="0019479A" w:rsidRPr="00685BB1">
        <w:t>the European Union</w:t>
      </w:r>
      <w:r w:rsidR="0005242E" w:rsidRPr="00685BB1">
        <w:t xml:space="preserve">, which had </w:t>
      </w:r>
      <w:r w:rsidR="0083648F" w:rsidRPr="00685BB1">
        <w:t xml:space="preserve">been circulated </w:t>
      </w:r>
      <w:r w:rsidR="00F52D51" w:rsidRPr="00685BB1">
        <w:t xml:space="preserve">to the registered participants </w:t>
      </w:r>
      <w:r w:rsidR="00330FD1" w:rsidRPr="00685BB1">
        <w:t>in advance of the sessions.</w:t>
      </w:r>
      <w:r w:rsidR="002E69B8" w:rsidRPr="00685BB1">
        <w:t xml:space="preserve"> </w:t>
      </w:r>
      <w:r w:rsidR="00FA7F0C" w:rsidRPr="00685BB1">
        <w:t>Upon endorsement</w:t>
      </w:r>
      <w:r w:rsidR="008420DB" w:rsidRPr="00685BB1">
        <w:t xml:space="preserve"> of the guidance</w:t>
      </w:r>
      <w:r w:rsidR="00FA7F0C" w:rsidRPr="00685BB1">
        <w:t xml:space="preserve"> at the high-level segment, the</w:t>
      </w:r>
      <w:r w:rsidR="00D65C5F" w:rsidRPr="00685BB1">
        <w:t xml:space="preserve"> Meetings of the Parties requested the </w:t>
      </w:r>
      <w:r w:rsidR="00FA7F0C" w:rsidRPr="00685BB1">
        <w:t>secretariat to arrange for its publication</w:t>
      </w:r>
      <w:r w:rsidR="00666AE5" w:rsidRPr="00685BB1">
        <w:t>.</w:t>
      </w:r>
    </w:p>
    <w:p w14:paraId="3D323468" w14:textId="02FD32BE" w:rsidR="00AF09B7" w:rsidRPr="00685BB1" w:rsidRDefault="00221572" w:rsidP="00874B0C">
      <w:pPr>
        <w:pStyle w:val="SingleTxtG"/>
      </w:pPr>
      <w:r w:rsidRPr="00685BB1">
        <w:t>24.</w:t>
      </w:r>
      <w:r w:rsidRPr="00685BB1">
        <w:tab/>
      </w:r>
      <w:r w:rsidR="00791AE8" w:rsidRPr="00685BB1">
        <w:t xml:space="preserve">The Meetings of the </w:t>
      </w:r>
      <w:r w:rsidR="006348D0" w:rsidRPr="00685BB1">
        <w:t xml:space="preserve">Parties </w:t>
      </w:r>
      <w:r w:rsidR="006C2E7D" w:rsidRPr="00685BB1">
        <w:t xml:space="preserve">also </w:t>
      </w:r>
      <w:r w:rsidR="00DB06C3" w:rsidRPr="00685BB1">
        <w:t xml:space="preserve">reviewed and </w:t>
      </w:r>
      <w:r w:rsidR="006C2E7D" w:rsidRPr="00685BB1">
        <w:t xml:space="preserve">agreed on a revised </w:t>
      </w:r>
      <w:r w:rsidRPr="00685BB1">
        <w:t xml:space="preserve">draft decision VIII/6 </w:t>
      </w:r>
      <w:r w:rsidR="0044606A" w:rsidRPr="00685BB1">
        <w:t xml:space="preserve">on the applicability of the </w:t>
      </w:r>
      <w:r w:rsidR="0044606A" w:rsidRPr="00874B0C">
        <w:t>Convention</w:t>
      </w:r>
      <w:r w:rsidR="0044606A" w:rsidRPr="00685BB1">
        <w:t xml:space="preserve"> to the lifetime extension of nuclear power plants (ECE/MP.EIA/2020/7)</w:t>
      </w:r>
      <w:r w:rsidR="0044356B" w:rsidRPr="00685BB1">
        <w:t>.</w:t>
      </w:r>
    </w:p>
    <w:p w14:paraId="1F09943D" w14:textId="12D321E6" w:rsidR="00AF09B7" w:rsidRPr="00685BB1" w:rsidRDefault="0043165F" w:rsidP="00874B0C">
      <w:pPr>
        <w:pStyle w:val="H23G"/>
        <w:rPr>
          <w:lang w:val="en-US"/>
        </w:rPr>
      </w:pPr>
      <w:r w:rsidRPr="00685BB1">
        <w:rPr>
          <w:lang w:val="en-US"/>
        </w:rPr>
        <w:tab/>
      </w:r>
      <w:r w:rsidR="00AF09B7" w:rsidRPr="00685BB1">
        <w:rPr>
          <w:lang w:val="en-US"/>
        </w:rPr>
        <w:t>3.</w:t>
      </w:r>
      <w:r w:rsidR="00AF09B7" w:rsidRPr="00685BB1">
        <w:rPr>
          <w:lang w:val="en-US"/>
        </w:rPr>
        <w:tab/>
      </w:r>
      <w:r w:rsidR="000461FB" w:rsidRPr="00685BB1">
        <w:rPr>
          <w:lang w:val="en-US"/>
        </w:rPr>
        <w:t xml:space="preserve">Reporting and review of implementation of </w:t>
      </w:r>
      <w:r w:rsidR="000461FB" w:rsidRPr="00874B0C">
        <w:t>the</w:t>
      </w:r>
      <w:r w:rsidR="000461FB" w:rsidRPr="00685BB1">
        <w:rPr>
          <w:lang w:val="en-US"/>
        </w:rPr>
        <w:t xml:space="preserve"> Convention </w:t>
      </w:r>
    </w:p>
    <w:p w14:paraId="11E0932D" w14:textId="17BF8B20" w:rsidR="00AF09B7" w:rsidRPr="00685BB1" w:rsidRDefault="00AF09B7" w:rsidP="00874B0C">
      <w:pPr>
        <w:pStyle w:val="SingleTxtG"/>
        <w:rPr>
          <w:lang w:val="en-US"/>
        </w:rPr>
      </w:pPr>
      <w:r w:rsidRPr="00685BB1">
        <w:t>2</w:t>
      </w:r>
      <w:r w:rsidR="00B2794E" w:rsidRPr="00685BB1">
        <w:t>5</w:t>
      </w:r>
      <w:r w:rsidRPr="00685BB1">
        <w:t>.</w:t>
      </w:r>
      <w:r w:rsidRPr="00685BB1">
        <w:tab/>
        <w:t xml:space="preserve"> </w:t>
      </w:r>
      <w:bookmarkStart w:id="14" w:name="_Hlk62488044"/>
      <w:r w:rsidR="005B79FB" w:rsidRPr="00685BB1">
        <w:t xml:space="preserve">The secretariat presented draft decision </w:t>
      </w:r>
      <w:r w:rsidR="00F8350E" w:rsidRPr="00685BB1">
        <w:t>VIII/5</w:t>
      </w:r>
      <w:r w:rsidR="00A03169" w:rsidRPr="00685BB1">
        <w:t xml:space="preserve"> </w:t>
      </w:r>
      <w:r w:rsidR="00F8350E" w:rsidRPr="00685BB1">
        <w:t>on reporting and review of implementation of the Convention (ECE/MP.EIA/2020/7)</w:t>
      </w:r>
      <w:r w:rsidR="00251CC8" w:rsidRPr="00685BB1">
        <w:t xml:space="preserve">, which </w:t>
      </w:r>
      <w:r w:rsidR="00937B65" w:rsidRPr="00685BB1">
        <w:t>re</w:t>
      </w:r>
      <w:r w:rsidR="00CF557D" w:rsidRPr="00685BB1">
        <w:t>produce</w:t>
      </w:r>
      <w:r w:rsidR="00937B65" w:rsidRPr="00685BB1">
        <w:t>d</w:t>
      </w:r>
      <w:r w:rsidR="00CF557D" w:rsidRPr="00685BB1">
        <w:t xml:space="preserve"> the </w:t>
      </w:r>
      <w:r w:rsidR="00DD5CE3" w:rsidRPr="00685BB1">
        <w:t>f</w:t>
      </w:r>
      <w:r w:rsidR="00CF557D" w:rsidRPr="00685BB1">
        <w:t xml:space="preserve">indings from the </w:t>
      </w:r>
      <w:r w:rsidR="00251CC8" w:rsidRPr="00685BB1">
        <w:t xml:space="preserve">draft </w:t>
      </w:r>
      <w:r w:rsidR="00F22A63" w:rsidRPr="00685BB1">
        <w:t xml:space="preserve">sixth </w:t>
      </w:r>
      <w:r w:rsidR="00CF557D" w:rsidRPr="00685BB1">
        <w:t xml:space="preserve">review of implementation </w:t>
      </w:r>
      <w:r w:rsidR="00DD5CE3" w:rsidRPr="00685BB1">
        <w:t xml:space="preserve">of the </w:t>
      </w:r>
      <w:r w:rsidR="00DD5CE3" w:rsidRPr="00874B0C">
        <w:t>Convention</w:t>
      </w:r>
      <w:r w:rsidR="00DD5CE3" w:rsidRPr="00685BB1">
        <w:t xml:space="preserve"> </w:t>
      </w:r>
      <w:r w:rsidR="003513A8" w:rsidRPr="00685BB1">
        <w:t>agreed by t</w:t>
      </w:r>
      <w:r w:rsidR="00CF557D" w:rsidRPr="00685BB1">
        <w:t xml:space="preserve">he Working Group at its </w:t>
      </w:r>
      <w:r w:rsidR="00774BBD" w:rsidRPr="00685BB1">
        <w:t>previous</w:t>
      </w:r>
      <w:r w:rsidR="00CF557D" w:rsidRPr="00685BB1">
        <w:t xml:space="preserve"> meeting</w:t>
      </w:r>
      <w:r w:rsidR="00F22A63" w:rsidRPr="00685BB1">
        <w:t xml:space="preserve"> (</w:t>
      </w:r>
      <w:r w:rsidR="00A03169" w:rsidRPr="00685BB1">
        <w:t>ECE/MP.EIA/</w:t>
      </w:r>
      <w:r w:rsidR="00060852" w:rsidRPr="00685BB1">
        <w:t>2020</w:t>
      </w:r>
      <w:r w:rsidR="006C36A7" w:rsidRPr="00685BB1">
        <w:t xml:space="preserve">/8). </w:t>
      </w:r>
      <w:bookmarkEnd w:id="14"/>
      <w:r w:rsidR="006C36A7" w:rsidRPr="00685BB1">
        <w:t xml:space="preserve">The Meeting of the Parties </w:t>
      </w:r>
      <w:r w:rsidR="00C42317" w:rsidRPr="00685BB1">
        <w:t>finalized the draft decision</w:t>
      </w:r>
      <w:r w:rsidR="00413B49" w:rsidRPr="00685BB1">
        <w:t>,</w:t>
      </w:r>
      <w:r w:rsidR="0047728F" w:rsidRPr="00685BB1">
        <w:t xml:space="preserve"> taking onboard revisions </w:t>
      </w:r>
      <w:r w:rsidR="003838D8" w:rsidRPr="00685BB1">
        <w:t>propos</w:t>
      </w:r>
      <w:r w:rsidR="0047728F" w:rsidRPr="00685BB1">
        <w:t>ed</w:t>
      </w:r>
      <w:r w:rsidR="003838D8" w:rsidRPr="00685BB1">
        <w:t xml:space="preserve"> by the delegation of the European Union.</w:t>
      </w:r>
    </w:p>
    <w:p w14:paraId="6F7AE136" w14:textId="79FBDB41" w:rsidR="00AF09B7" w:rsidRPr="00685BB1" w:rsidRDefault="00AF09B7" w:rsidP="00874B0C">
      <w:pPr>
        <w:pStyle w:val="H1G"/>
      </w:pPr>
      <w:r w:rsidRPr="00685BB1">
        <w:tab/>
      </w:r>
      <w:r w:rsidR="000461FB" w:rsidRPr="00685BB1">
        <w:t>C</w:t>
      </w:r>
      <w:r w:rsidRPr="00685BB1">
        <w:t>.</w:t>
      </w:r>
      <w:r w:rsidRPr="00685BB1">
        <w:tab/>
        <w:t>Outstanding issues relevant to the Protocol</w:t>
      </w:r>
    </w:p>
    <w:p w14:paraId="581ED9D7" w14:textId="16764F75" w:rsidR="00AF09B7" w:rsidRPr="00685BB1" w:rsidRDefault="00AF09B7" w:rsidP="00874B0C">
      <w:pPr>
        <w:pStyle w:val="H23G"/>
      </w:pPr>
      <w:r w:rsidRPr="00685BB1">
        <w:tab/>
      </w:r>
      <w:r w:rsidR="0043165F" w:rsidRPr="00685BB1">
        <w:t>1</w:t>
      </w:r>
      <w:r w:rsidRPr="00685BB1">
        <w:t>.</w:t>
      </w:r>
      <w:r w:rsidRPr="00685BB1">
        <w:tab/>
      </w:r>
      <w:r w:rsidR="000461FB" w:rsidRPr="00685BB1">
        <w:t>Review of compliance with the Protocol</w:t>
      </w:r>
    </w:p>
    <w:p w14:paraId="3297E572" w14:textId="35EE1EB1" w:rsidR="00AF09B7" w:rsidRPr="00685BB1" w:rsidRDefault="00AF09B7" w:rsidP="00874B0C">
      <w:pPr>
        <w:pStyle w:val="SingleTxtG"/>
      </w:pPr>
      <w:r w:rsidRPr="00685BB1">
        <w:t>2</w:t>
      </w:r>
      <w:r w:rsidR="00E35489" w:rsidRPr="00685BB1">
        <w:t>6</w:t>
      </w:r>
      <w:r w:rsidRPr="00685BB1">
        <w:t>.</w:t>
      </w:r>
      <w:r w:rsidRPr="00685BB1">
        <w:tab/>
      </w:r>
      <w:r w:rsidR="006B645E" w:rsidRPr="00685BB1">
        <w:t xml:space="preserve">The Chair of the Implementation Committee </w:t>
      </w:r>
      <w:r w:rsidR="007E7233" w:rsidRPr="00685BB1">
        <w:t xml:space="preserve">presented draft decision IV/4 on general issues of compliance with the </w:t>
      </w:r>
      <w:r w:rsidR="007E7233" w:rsidRPr="00874B0C">
        <w:t>Protocol</w:t>
      </w:r>
      <w:r w:rsidR="007E7233" w:rsidRPr="00685BB1">
        <w:t xml:space="preserve"> (ECE/MP.EIA/SEA/2020/9). The Meeting of the Parties </w:t>
      </w:r>
      <w:r w:rsidR="004E2EFC" w:rsidRPr="00685BB1">
        <w:t xml:space="preserve">to the Protocol </w:t>
      </w:r>
      <w:r w:rsidR="007E7233" w:rsidRPr="00685BB1">
        <w:t>agreed</w:t>
      </w:r>
      <w:r w:rsidR="00F162E3" w:rsidRPr="00685BB1">
        <w:t xml:space="preserve"> to forward the draft decision to the high-level segment </w:t>
      </w:r>
      <w:r w:rsidR="00763582" w:rsidRPr="00685BB1">
        <w:t>without amendment.</w:t>
      </w:r>
    </w:p>
    <w:p w14:paraId="084A262D" w14:textId="39B060D3" w:rsidR="00AF09B7" w:rsidRPr="00685BB1" w:rsidRDefault="00AF09B7" w:rsidP="00874B0C">
      <w:pPr>
        <w:pStyle w:val="H23G"/>
      </w:pPr>
      <w:r w:rsidRPr="00685BB1">
        <w:tab/>
      </w:r>
      <w:r w:rsidR="0043165F" w:rsidRPr="00685BB1">
        <w:t>2</w:t>
      </w:r>
      <w:r w:rsidRPr="00685BB1">
        <w:t>.</w:t>
      </w:r>
      <w:r w:rsidRPr="00685BB1">
        <w:tab/>
      </w:r>
      <w:r w:rsidR="000461FB" w:rsidRPr="00685BB1">
        <w:t xml:space="preserve">Reporting and review </w:t>
      </w:r>
      <w:r w:rsidR="000461FB" w:rsidRPr="00874B0C">
        <w:t>of</w:t>
      </w:r>
      <w:r w:rsidR="000461FB" w:rsidRPr="00685BB1">
        <w:t xml:space="preserve"> implementation of the Protocol </w:t>
      </w:r>
    </w:p>
    <w:p w14:paraId="1FA74512" w14:textId="4E45F1BC" w:rsidR="00AF09B7" w:rsidRPr="00685BB1" w:rsidRDefault="00AF09B7" w:rsidP="00874B0C">
      <w:pPr>
        <w:pStyle w:val="SingleTxtG"/>
        <w:rPr>
          <w:lang w:val="en-US"/>
        </w:rPr>
      </w:pPr>
      <w:r w:rsidRPr="00685BB1">
        <w:rPr>
          <w:lang w:val="en-US"/>
        </w:rPr>
        <w:t>2</w:t>
      </w:r>
      <w:r w:rsidR="00870B3A" w:rsidRPr="00685BB1">
        <w:rPr>
          <w:lang w:val="en-US"/>
        </w:rPr>
        <w:t>7</w:t>
      </w:r>
      <w:r w:rsidRPr="00685BB1">
        <w:rPr>
          <w:lang w:val="en-US"/>
        </w:rPr>
        <w:t>.</w:t>
      </w:r>
      <w:r w:rsidRPr="00685BB1">
        <w:rPr>
          <w:lang w:val="en-US"/>
        </w:rPr>
        <w:tab/>
      </w:r>
      <w:r w:rsidR="00165641" w:rsidRPr="00685BB1">
        <w:t xml:space="preserve">The secretariat presented draft decision </w:t>
      </w:r>
      <w:r w:rsidR="00923618" w:rsidRPr="00685BB1">
        <w:t>I</w:t>
      </w:r>
      <w:r w:rsidR="00165641" w:rsidRPr="00685BB1">
        <w:t>V/5 on reporting and review of implementation of the Convention (ECE/MP.EIA/</w:t>
      </w:r>
      <w:r w:rsidR="00413B49" w:rsidRPr="00685BB1">
        <w:t>SEA/</w:t>
      </w:r>
      <w:r w:rsidR="00165641" w:rsidRPr="00685BB1">
        <w:t>2020/7)</w:t>
      </w:r>
      <w:r w:rsidR="00413B49" w:rsidRPr="00685BB1">
        <w:t xml:space="preserve">, </w:t>
      </w:r>
      <w:r w:rsidR="00413B49" w:rsidRPr="00874B0C">
        <w:t>which</w:t>
      </w:r>
      <w:r w:rsidR="001379C0" w:rsidRPr="00685BB1">
        <w:t xml:space="preserve"> </w:t>
      </w:r>
      <w:r w:rsidR="00165641" w:rsidRPr="00685BB1">
        <w:t xml:space="preserve">reproduced the findings from the draft </w:t>
      </w:r>
      <w:r w:rsidR="00F76D79" w:rsidRPr="00685BB1">
        <w:t>third</w:t>
      </w:r>
      <w:r w:rsidR="00165641" w:rsidRPr="00685BB1">
        <w:t xml:space="preserve"> review of implementation of the </w:t>
      </w:r>
      <w:r w:rsidR="00F76D79" w:rsidRPr="00685BB1">
        <w:t xml:space="preserve">Protocol </w:t>
      </w:r>
      <w:r w:rsidR="00165641" w:rsidRPr="00685BB1">
        <w:t xml:space="preserve">agreed by the Working Group at its </w:t>
      </w:r>
      <w:r w:rsidR="00774BBD" w:rsidRPr="00685BB1">
        <w:t>previous</w:t>
      </w:r>
      <w:r w:rsidR="00165641" w:rsidRPr="00685BB1">
        <w:t xml:space="preserve"> meeting (ECE/MP.EIA/</w:t>
      </w:r>
      <w:r w:rsidR="00F76D79" w:rsidRPr="00685BB1">
        <w:t>SEA/</w:t>
      </w:r>
      <w:r w:rsidR="00165641" w:rsidRPr="00685BB1">
        <w:t>2020/</w:t>
      </w:r>
      <w:r w:rsidR="00F76D79" w:rsidRPr="00685BB1">
        <w:t>8</w:t>
      </w:r>
      <w:r w:rsidR="00165641" w:rsidRPr="00685BB1">
        <w:t>).</w:t>
      </w:r>
    </w:p>
    <w:p w14:paraId="6F118A45" w14:textId="53D2F892" w:rsidR="00AF09B7" w:rsidRPr="00685BB1" w:rsidRDefault="00AF09B7" w:rsidP="00874B0C">
      <w:pPr>
        <w:pStyle w:val="HChG"/>
      </w:pPr>
      <w:r w:rsidRPr="00685BB1">
        <w:tab/>
        <w:t>III.</w:t>
      </w:r>
      <w:r w:rsidRPr="00685BB1">
        <w:tab/>
        <w:t xml:space="preserve">Review of the </w:t>
      </w:r>
      <w:r w:rsidRPr="00874B0C">
        <w:t>workplan</w:t>
      </w:r>
    </w:p>
    <w:p w14:paraId="0EF264E4" w14:textId="505D4AEA" w:rsidR="00AF09B7" w:rsidRPr="00685BB1" w:rsidRDefault="00AF09B7" w:rsidP="000822FB">
      <w:pPr>
        <w:pStyle w:val="SingleTxtG"/>
        <w:rPr>
          <w:lang w:val="en-US"/>
        </w:rPr>
      </w:pPr>
      <w:r w:rsidRPr="00685BB1">
        <w:rPr>
          <w:lang w:val="en-US"/>
        </w:rPr>
        <w:t>2</w:t>
      </w:r>
      <w:r w:rsidR="008346E0" w:rsidRPr="00685BB1">
        <w:rPr>
          <w:lang w:val="en-US"/>
        </w:rPr>
        <w:t>8</w:t>
      </w:r>
      <w:r w:rsidRPr="00685BB1">
        <w:rPr>
          <w:lang w:val="en-US"/>
        </w:rPr>
        <w:t>.</w:t>
      </w:r>
      <w:r w:rsidRPr="00685BB1">
        <w:rPr>
          <w:lang w:val="en-US"/>
        </w:rPr>
        <w:tab/>
        <w:t xml:space="preserve">The Meetings of the Parties reviewed </w:t>
      </w:r>
      <w:r w:rsidR="005F7D8D" w:rsidRPr="00685BB1">
        <w:rPr>
          <w:lang w:val="en-US"/>
        </w:rPr>
        <w:t xml:space="preserve">recent </w:t>
      </w:r>
      <w:r w:rsidRPr="00685BB1">
        <w:t xml:space="preserve">progress in the implementation of the workplan for the </w:t>
      </w:r>
      <w:r w:rsidRPr="000822FB">
        <w:t>implementation</w:t>
      </w:r>
      <w:r w:rsidRPr="00685BB1">
        <w:t xml:space="preserve"> of the Convention and the Protocol for the period 201</w:t>
      </w:r>
      <w:r w:rsidR="005440AB" w:rsidRPr="00685BB1">
        <w:t>7</w:t>
      </w:r>
      <w:r w:rsidRPr="00685BB1">
        <w:t>–2020 (see ECE/MP.EIA/23/Add.1</w:t>
      </w:r>
      <w:r w:rsidR="00A97BE7" w:rsidRPr="00685BB1">
        <w:t>–</w:t>
      </w:r>
      <w:r w:rsidRPr="00685BB1">
        <w:t>ECE/MP.EIA/SEA/7/Add.1, decision VII/3–III/3</w:t>
      </w:r>
      <w:r w:rsidR="00413B49" w:rsidRPr="00685BB1">
        <w:t>, annex I</w:t>
      </w:r>
      <w:r w:rsidRPr="00685BB1">
        <w:t xml:space="preserve">), as presented in </w:t>
      </w:r>
      <w:r w:rsidRPr="00685BB1">
        <w:rPr>
          <w:lang w:val="en-US"/>
        </w:rPr>
        <w:t>informal document ECE/MP.EIA/20</w:t>
      </w:r>
      <w:r w:rsidR="00942C0F" w:rsidRPr="00685BB1">
        <w:rPr>
          <w:lang w:val="en-US"/>
        </w:rPr>
        <w:t>20</w:t>
      </w:r>
      <w:r w:rsidRPr="00685BB1">
        <w:rPr>
          <w:lang w:val="en-US"/>
        </w:rPr>
        <w:t>/INF.</w:t>
      </w:r>
      <w:r w:rsidR="00942C0F" w:rsidRPr="00685BB1">
        <w:rPr>
          <w:lang w:val="en-US"/>
        </w:rPr>
        <w:t>5</w:t>
      </w:r>
      <w:r w:rsidRPr="00685BB1">
        <w:rPr>
          <w:lang w:val="en-US"/>
        </w:rPr>
        <w:t xml:space="preserve">. </w:t>
      </w:r>
      <w:r w:rsidR="00ED5438" w:rsidRPr="00685BB1">
        <w:rPr>
          <w:lang w:val="en-US"/>
        </w:rPr>
        <w:t>T</w:t>
      </w:r>
      <w:r w:rsidR="009B5887" w:rsidRPr="00685BB1">
        <w:rPr>
          <w:lang w:val="en-US"/>
        </w:rPr>
        <w:t>he secretariat</w:t>
      </w:r>
      <w:r w:rsidR="0056157E" w:rsidRPr="00685BB1">
        <w:rPr>
          <w:lang w:val="en-US"/>
        </w:rPr>
        <w:t xml:space="preserve"> pointed out </w:t>
      </w:r>
      <w:r w:rsidR="0056157E" w:rsidRPr="00685BB1">
        <w:rPr>
          <w:lang w:val="en-US"/>
        </w:rPr>
        <w:lastRenderedPageBreak/>
        <w:t xml:space="preserve">that </w:t>
      </w:r>
      <w:r w:rsidR="00F8555F" w:rsidRPr="00685BB1">
        <w:rPr>
          <w:lang w:val="en-US"/>
        </w:rPr>
        <w:t xml:space="preserve">despite </w:t>
      </w:r>
      <w:r w:rsidR="00413B49" w:rsidRPr="00685BB1">
        <w:rPr>
          <w:lang w:val="en-US"/>
        </w:rPr>
        <w:t>pandemic-</w:t>
      </w:r>
      <w:r w:rsidR="00544B28" w:rsidRPr="00685BB1">
        <w:rPr>
          <w:lang w:val="en-US"/>
        </w:rPr>
        <w:t>related challenges</w:t>
      </w:r>
      <w:r w:rsidR="00F8555F" w:rsidRPr="00685BB1">
        <w:rPr>
          <w:lang w:val="en-US"/>
        </w:rPr>
        <w:t>, all the official meetings</w:t>
      </w:r>
      <w:r w:rsidR="00E61683" w:rsidRPr="00685BB1">
        <w:rPr>
          <w:lang w:val="en-US"/>
        </w:rPr>
        <w:t xml:space="preserve"> </w:t>
      </w:r>
      <w:r w:rsidR="00A06BDE" w:rsidRPr="00685BB1">
        <w:rPr>
          <w:lang w:val="en-US"/>
        </w:rPr>
        <w:t xml:space="preserve">had been </w:t>
      </w:r>
      <w:r w:rsidR="00E61683" w:rsidRPr="00685BB1">
        <w:rPr>
          <w:lang w:val="en-US"/>
        </w:rPr>
        <w:t>held</w:t>
      </w:r>
      <w:r w:rsidR="00A06BDE" w:rsidRPr="00685BB1">
        <w:rPr>
          <w:lang w:val="en-US"/>
        </w:rPr>
        <w:t xml:space="preserve"> a</w:t>
      </w:r>
      <w:r w:rsidR="00E61683" w:rsidRPr="00685BB1">
        <w:rPr>
          <w:lang w:val="en-US"/>
        </w:rPr>
        <w:t xml:space="preserve">nd </w:t>
      </w:r>
      <w:r w:rsidR="00B736EF" w:rsidRPr="00685BB1">
        <w:rPr>
          <w:lang w:val="en-US"/>
        </w:rPr>
        <w:t xml:space="preserve">approximately </w:t>
      </w:r>
      <w:r w:rsidR="00BF556A" w:rsidRPr="00685BB1">
        <w:rPr>
          <w:lang w:val="en-US"/>
        </w:rPr>
        <w:t>75 per cent of the workplan activities</w:t>
      </w:r>
      <w:r w:rsidR="00BF63C1" w:rsidRPr="00685BB1">
        <w:rPr>
          <w:lang w:val="en-US"/>
        </w:rPr>
        <w:t xml:space="preserve"> (including 100 per cent of the priority 1 activities) had been implemented and </w:t>
      </w:r>
      <w:r w:rsidR="00AD0ACD" w:rsidRPr="00685BB1">
        <w:rPr>
          <w:lang w:val="en-US"/>
        </w:rPr>
        <w:t xml:space="preserve">a further 15 per cent </w:t>
      </w:r>
      <w:r w:rsidR="007F7411" w:rsidRPr="00685BB1">
        <w:rPr>
          <w:lang w:val="en-US"/>
        </w:rPr>
        <w:t>w</w:t>
      </w:r>
      <w:r w:rsidR="001E6A33" w:rsidRPr="00685BB1">
        <w:rPr>
          <w:lang w:val="en-US"/>
        </w:rPr>
        <w:t xml:space="preserve">ere being </w:t>
      </w:r>
      <w:r w:rsidR="00AD0ACD" w:rsidRPr="00685BB1">
        <w:rPr>
          <w:lang w:val="en-US"/>
        </w:rPr>
        <w:t>completed</w:t>
      </w:r>
      <w:r w:rsidR="006945B7" w:rsidRPr="00685BB1">
        <w:rPr>
          <w:lang w:val="en-US"/>
        </w:rPr>
        <w:t xml:space="preserve">, representing a </w:t>
      </w:r>
      <w:r w:rsidR="00BA1BB7" w:rsidRPr="00685BB1">
        <w:rPr>
          <w:lang w:val="en-US"/>
        </w:rPr>
        <w:t xml:space="preserve">total implementation rate of 90 per cent. </w:t>
      </w:r>
      <w:r w:rsidR="00774BBD" w:rsidRPr="00685BB1">
        <w:rPr>
          <w:lang w:val="en-US"/>
        </w:rPr>
        <w:t>Furthermore</w:t>
      </w:r>
      <w:r w:rsidR="00BA1BB7" w:rsidRPr="00685BB1">
        <w:rPr>
          <w:lang w:val="en-US"/>
        </w:rPr>
        <w:t xml:space="preserve">, </w:t>
      </w:r>
      <w:r w:rsidR="000F74AE" w:rsidRPr="00685BB1">
        <w:rPr>
          <w:lang w:val="en-US"/>
        </w:rPr>
        <w:t xml:space="preserve">several additional activities </w:t>
      </w:r>
      <w:r w:rsidR="001116F3" w:rsidRPr="00685BB1">
        <w:rPr>
          <w:lang w:val="en-US"/>
        </w:rPr>
        <w:t xml:space="preserve">related to the workplan </w:t>
      </w:r>
      <w:r w:rsidR="000F74AE" w:rsidRPr="00685BB1">
        <w:rPr>
          <w:lang w:val="en-US"/>
        </w:rPr>
        <w:t>had been completed during the per</w:t>
      </w:r>
      <w:r w:rsidR="00337803" w:rsidRPr="00685BB1">
        <w:rPr>
          <w:lang w:val="en-US"/>
        </w:rPr>
        <w:t>i</w:t>
      </w:r>
      <w:r w:rsidR="000F74AE" w:rsidRPr="00685BB1">
        <w:rPr>
          <w:lang w:val="en-US"/>
        </w:rPr>
        <w:t>od.</w:t>
      </w:r>
    </w:p>
    <w:p w14:paraId="334DCFA8" w14:textId="7C8FD78C" w:rsidR="000461FB" w:rsidRPr="00685BB1" w:rsidRDefault="00AF09B7" w:rsidP="000822FB">
      <w:pPr>
        <w:pStyle w:val="H1G"/>
      </w:pPr>
      <w:r w:rsidRPr="00685BB1">
        <w:tab/>
        <w:t>A.</w:t>
      </w:r>
      <w:r w:rsidRPr="00685BB1">
        <w:tab/>
      </w:r>
      <w:r w:rsidR="000461FB" w:rsidRPr="00685BB1">
        <w:t xml:space="preserve">Compliance with and </w:t>
      </w:r>
      <w:r w:rsidR="000461FB" w:rsidRPr="000822FB">
        <w:t>implementation</w:t>
      </w:r>
      <w:r w:rsidR="000461FB" w:rsidRPr="00685BB1">
        <w:t xml:space="preserve"> of the Convention and the Protocol</w:t>
      </w:r>
    </w:p>
    <w:p w14:paraId="78B83977" w14:textId="527C432A" w:rsidR="00A541E8" w:rsidRPr="00685BB1" w:rsidRDefault="00D67907" w:rsidP="000822FB">
      <w:pPr>
        <w:pStyle w:val="SingleTxtG"/>
      </w:pPr>
      <w:r w:rsidRPr="00685BB1">
        <w:t>29.</w:t>
      </w:r>
      <w:r w:rsidR="00A541E8" w:rsidRPr="00685BB1">
        <w:tab/>
        <w:t>The Chair of the Implementation Committee reported on the Implementation Committee’s activities since the p</w:t>
      </w:r>
      <w:r w:rsidR="00B00CAF" w:rsidRPr="00685BB1">
        <w:t>revious</w:t>
      </w:r>
      <w:r w:rsidR="00A541E8" w:rsidRPr="00685BB1">
        <w:t xml:space="preserve"> sessions of the Meetings of the Parties in June 2017</w:t>
      </w:r>
      <w:r w:rsidR="00DD45C5" w:rsidRPr="00685BB1">
        <w:t xml:space="preserve"> </w:t>
      </w:r>
      <w:r w:rsidR="00BE0D7D" w:rsidRPr="00685BB1">
        <w:t>(ECE/MP.EIA/2020/4–ECE/MP.EIA/SEA/2020/4)</w:t>
      </w:r>
      <w:r w:rsidR="00A541E8" w:rsidRPr="00685BB1">
        <w:t>.</w:t>
      </w:r>
      <w:r w:rsidR="00141B3D" w:rsidRPr="00685BB1">
        <w:t xml:space="preserve"> </w:t>
      </w:r>
      <w:r w:rsidR="00A541E8" w:rsidRPr="00685BB1">
        <w:t xml:space="preserve">He highlighted </w:t>
      </w:r>
      <w:r w:rsidR="00081700" w:rsidRPr="00685BB1">
        <w:t xml:space="preserve">that </w:t>
      </w:r>
      <w:r w:rsidR="00E557A0" w:rsidRPr="00685BB1">
        <w:t xml:space="preserve">the mandated </w:t>
      </w:r>
      <w:r w:rsidR="00C0382E" w:rsidRPr="00685BB1">
        <w:t>revis</w:t>
      </w:r>
      <w:r w:rsidR="00366DC4" w:rsidRPr="00685BB1">
        <w:t>ion of</w:t>
      </w:r>
      <w:r w:rsidR="00C0382E" w:rsidRPr="00685BB1">
        <w:t xml:space="preserve"> </w:t>
      </w:r>
      <w:r w:rsidR="000734C3" w:rsidRPr="00685BB1">
        <w:t xml:space="preserve">draft </w:t>
      </w:r>
      <w:r w:rsidR="00C0382E" w:rsidRPr="000822FB">
        <w:t>decision</w:t>
      </w:r>
      <w:r w:rsidR="0010423F" w:rsidRPr="00685BB1">
        <w:t xml:space="preserve"> VII/2</w:t>
      </w:r>
      <w:r w:rsidR="00C0382E" w:rsidRPr="00685BB1">
        <w:t xml:space="preserve"> </w:t>
      </w:r>
      <w:r w:rsidR="0060582D" w:rsidRPr="00685BB1">
        <w:t>on</w:t>
      </w:r>
      <w:r w:rsidR="009B526B" w:rsidRPr="00685BB1">
        <w:t xml:space="preserve"> the review of</w:t>
      </w:r>
      <w:r w:rsidR="0060582D" w:rsidRPr="00685BB1">
        <w:t xml:space="preserve"> compliance </w:t>
      </w:r>
      <w:r w:rsidR="0010423F" w:rsidRPr="00685BB1">
        <w:t xml:space="preserve">with the Convention </w:t>
      </w:r>
      <w:r w:rsidR="009B526B" w:rsidRPr="00685BB1">
        <w:t xml:space="preserve">(ECE/MP.EIA/2017/8) </w:t>
      </w:r>
      <w:r w:rsidR="000734C3" w:rsidRPr="00685BB1">
        <w:t xml:space="preserve">in advance of </w:t>
      </w:r>
      <w:r w:rsidR="0060582D" w:rsidRPr="00685BB1">
        <w:t xml:space="preserve">the </w:t>
      </w:r>
      <w:r w:rsidR="008555CA" w:rsidRPr="00685BB1">
        <w:t>intermediary sessions of the Meetings of the Parties</w:t>
      </w:r>
      <w:r w:rsidR="00862B34" w:rsidRPr="00685BB1">
        <w:t xml:space="preserve"> </w:t>
      </w:r>
      <w:r w:rsidR="00F471BD" w:rsidRPr="00685BB1">
        <w:t>(</w:t>
      </w:r>
      <w:r w:rsidR="00A54F2B" w:rsidRPr="00685BB1">
        <w:t xml:space="preserve">Geneva, 2–5 February 2019) </w:t>
      </w:r>
      <w:r w:rsidR="008555CA" w:rsidRPr="00685BB1">
        <w:t>had</w:t>
      </w:r>
      <w:r w:rsidR="002E6A04" w:rsidRPr="00685BB1">
        <w:t xml:space="preserve"> </w:t>
      </w:r>
      <w:r w:rsidR="00A541E8" w:rsidRPr="00685BB1">
        <w:t xml:space="preserve">considerably delayed </w:t>
      </w:r>
      <w:r w:rsidR="002671F3" w:rsidRPr="00685BB1">
        <w:t>the Committee’s</w:t>
      </w:r>
      <w:r w:rsidR="00E557A0" w:rsidRPr="00685BB1">
        <w:t xml:space="preserve"> </w:t>
      </w:r>
      <w:r w:rsidR="00A541E8" w:rsidRPr="00685BB1">
        <w:t>consideration of numerous</w:t>
      </w:r>
      <w:r w:rsidR="00DD288C" w:rsidRPr="00685BB1">
        <w:t xml:space="preserve"> </w:t>
      </w:r>
      <w:r w:rsidR="00A541E8" w:rsidRPr="00685BB1">
        <w:t xml:space="preserve">pending and new compliance issues. </w:t>
      </w:r>
      <w:r w:rsidR="00693D88" w:rsidRPr="00685BB1">
        <w:t xml:space="preserve">Moreover, pending </w:t>
      </w:r>
      <w:r w:rsidR="000D7303" w:rsidRPr="00685BB1">
        <w:t xml:space="preserve">the development of </w:t>
      </w:r>
      <w:r w:rsidR="00A127F0" w:rsidRPr="00685BB1">
        <w:t xml:space="preserve">guidance on </w:t>
      </w:r>
      <w:r w:rsidR="00B21A00" w:rsidRPr="00685BB1">
        <w:t xml:space="preserve">the </w:t>
      </w:r>
      <w:r w:rsidR="00A127F0" w:rsidRPr="00685BB1">
        <w:t>lifetime extension of nuclear power plants</w:t>
      </w:r>
      <w:r w:rsidR="00B21A00" w:rsidRPr="00685BB1">
        <w:t>, th</w:t>
      </w:r>
      <w:r w:rsidR="00A541E8" w:rsidRPr="00685BB1">
        <w:t>e</w:t>
      </w:r>
      <w:r w:rsidR="00742934" w:rsidRPr="00685BB1">
        <w:t xml:space="preserve"> Committee</w:t>
      </w:r>
      <w:r w:rsidR="00B21A00" w:rsidRPr="00685BB1">
        <w:t xml:space="preserve"> </w:t>
      </w:r>
      <w:r w:rsidR="006A600E" w:rsidRPr="00685BB1">
        <w:t xml:space="preserve">could not </w:t>
      </w:r>
      <w:r w:rsidR="00F628F2" w:rsidRPr="00685BB1">
        <w:t xml:space="preserve">complete </w:t>
      </w:r>
      <w:r w:rsidR="00B31B72" w:rsidRPr="00685BB1">
        <w:t>its de</w:t>
      </w:r>
      <w:r w:rsidR="00742934" w:rsidRPr="00685BB1">
        <w:t xml:space="preserve">liberations </w:t>
      </w:r>
      <w:r w:rsidR="00166D15" w:rsidRPr="00685BB1">
        <w:t xml:space="preserve">on the related cases. </w:t>
      </w:r>
      <w:r w:rsidR="00253B1D" w:rsidRPr="00685BB1">
        <w:t xml:space="preserve">To tackle its </w:t>
      </w:r>
      <w:r w:rsidR="00D75142" w:rsidRPr="00685BB1">
        <w:t>considerable workload, the Committee</w:t>
      </w:r>
      <w:r w:rsidR="00794ECC" w:rsidRPr="00685BB1">
        <w:t xml:space="preserve"> </w:t>
      </w:r>
      <w:r w:rsidR="00BA54F7" w:rsidRPr="00685BB1">
        <w:t>had</w:t>
      </w:r>
      <w:r w:rsidR="009B526B" w:rsidRPr="00685BB1">
        <w:t>:</w:t>
      </w:r>
      <w:r w:rsidR="00BA54F7" w:rsidRPr="00685BB1">
        <w:t xml:space="preserve"> </w:t>
      </w:r>
      <w:r w:rsidR="00761123" w:rsidRPr="00685BB1">
        <w:t>examined ways to improve the efficiency of its working methods</w:t>
      </w:r>
      <w:r w:rsidR="00DE228E" w:rsidRPr="00685BB1">
        <w:t xml:space="preserve">; </w:t>
      </w:r>
      <w:r w:rsidR="00794ECC" w:rsidRPr="00685BB1">
        <w:t>extended its sessions by one day</w:t>
      </w:r>
      <w:r w:rsidR="00DE228E" w:rsidRPr="00685BB1">
        <w:t>;</w:t>
      </w:r>
      <w:r w:rsidR="00794ECC" w:rsidRPr="00685BB1">
        <w:t xml:space="preserve"> </w:t>
      </w:r>
      <w:r w:rsidR="00D14A8D" w:rsidRPr="00685BB1">
        <w:t xml:space="preserve">and </w:t>
      </w:r>
      <w:r w:rsidR="00794ECC" w:rsidRPr="00685BB1">
        <w:t>held</w:t>
      </w:r>
      <w:r w:rsidR="00D97516" w:rsidRPr="00685BB1">
        <w:t xml:space="preserve"> </w:t>
      </w:r>
      <w:r w:rsidR="000B284F" w:rsidRPr="00685BB1">
        <w:t>one</w:t>
      </w:r>
      <w:r w:rsidR="00D97516" w:rsidRPr="00685BB1">
        <w:t xml:space="preserve"> additional session </w:t>
      </w:r>
      <w:r w:rsidR="00F23E8A" w:rsidRPr="00685BB1">
        <w:t xml:space="preserve">(1–4 </w:t>
      </w:r>
      <w:r w:rsidR="00D97516" w:rsidRPr="00685BB1">
        <w:t xml:space="preserve"> September 2020</w:t>
      </w:r>
      <w:r w:rsidR="00F23E8A" w:rsidRPr="00685BB1">
        <w:t>)</w:t>
      </w:r>
      <w:r w:rsidR="00A558CC" w:rsidRPr="00685BB1">
        <w:t>, as well as</w:t>
      </w:r>
      <w:r w:rsidR="00794ECC" w:rsidRPr="00685BB1">
        <w:t xml:space="preserve"> </w:t>
      </w:r>
      <w:r w:rsidR="0045498D" w:rsidRPr="00685BB1">
        <w:t xml:space="preserve">several </w:t>
      </w:r>
      <w:r w:rsidR="00794ECC" w:rsidRPr="00685BB1">
        <w:t>informal meetings and consultations</w:t>
      </w:r>
      <w:r w:rsidR="000B284F" w:rsidRPr="00685BB1">
        <w:t xml:space="preserve"> in between its sessions</w:t>
      </w:r>
      <w:r w:rsidR="00EC5A9A" w:rsidRPr="00685BB1">
        <w:t xml:space="preserve">. </w:t>
      </w:r>
      <w:r w:rsidR="00CC4F13" w:rsidRPr="00685BB1">
        <w:t>In 2020, d</w:t>
      </w:r>
      <w:r w:rsidR="00EC5A9A" w:rsidRPr="00685BB1">
        <w:t xml:space="preserve">ue to the pandemic, </w:t>
      </w:r>
      <w:r w:rsidR="00DE228E" w:rsidRPr="00685BB1">
        <w:t xml:space="preserve">the Committee’s </w:t>
      </w:r>
      <w:r w:rsidR="007E21FD" w:rsidRPr="00685BB1">
        <w:t>sessions</w:t>
      </w:r>
      <w:r w:rsidR="00EC5A9A" w:rsidRPr="00685BB1">
        <w:t xml:space="preserve"> </w:t>
      </w:r>
      <w:r w:rsidR="009B526B" w:rsidRPr="00685BB1">
        <w:t>had been</w:t>
      </w:r>
      <w:r w:rsidR="00EC5A9A" w:rsidRPr="00685BB1">
        <w:t xml:space="preserve"> held online</w:t>
      </w:r>
      <w:r w:rsidR="00CC4F13" w:rsidRPr="00685BB1">
        <w:t xml:space="preserve"> and without interpretation</w:t>
      </w:r>
      <w:r w:rsidR="0082689D" w:rsidRPr="00685BB1">
        <w:t xml:space="preserve">. </w:t>
      </w:r>
      <w:r w:rsidR="00A541E8" w:rsidRPr="00685BB1">
        <w:t xml:space="preserve">The Meeting of the Parties noted the information, </w:t>
      </w:r>
      <w:r w:rsidR="00B00CAF" w:rsidRPr="00685BB1">
        <w:t xml:space="preserve">expressing </w:t>
      </w:r>
      <w:r w:rsidR="00583087" w:rsidRPr="00685BB1">
        <w:t>appreciati</w:t>
      </w:r>
      <w:r w:rsidR="00B00CAF" w:rsidRPr="00685BB1">
        <w:t>on for</w:t>
      </w:r>
      <w:r w:rsidR="00583087" w:rsidRPr="00685BB1">
        <w:t xml:space="preserve"> the extensive efforts of t</w:t>
      </w:r>
      <w:r w:rsidR="00A541E8" w:rsidRPr="00685BB1">
        <w:t>he Committee</w:t>
      </w:r>
      <w:r w:rsidR="00E32744" w:rsidRPr="00685BB1">
        <w:t xml:space="preserve"> and the importance of its work</w:t>
      </w:r>
      <w:r w:rsidR="00A541E8" w:rsidRPr="00685BB1">
        <w:t>.</w:t>
      </w:r>
    </w:p>
    <w:p w14:paraId="6407CCC7" w14:textId="281FBBEE" w:rsidR="00881AC2" w:rsidRPr="00685BB1" w:rsidRDefault="00982148" w:rsidP="000822FB">
      <w:pPr>
        <w:pStyle w:val="SingleTxtG"/>
      </w:pPr>
      <w:r w:rsidRPr="00685BB1">
        <w:t>30.</w:t>
      </w:r>
      <w:r w:rsidRPr="00685BB1">
        <w:tab/>
      </w:r>
      <w:r w:rsidR="00E926B5" w:rsidRPr="00685BB1">
        <w:t xml:space="preserve">The </w:t>
      </w:r>
      <w:r w:rsidR="00DA7068" w:rsidRPr="00685BB1">
        <w:t xml:space="preserve">Meetings of the Parties took note of the </w:t>
      </w:r>
      <w:r w:rsidR="00615EA2" w:rsidRPr="00685BB1">
        <w:t xml:space="preserve">outcomes of the legislative assistance </w:t>
      </w:r>
      <w:r w:rsidR="000E7611" w:rsidRPr="00685BB1">
        <w:t xml:space="preserve">provided by the secretariat to support the </w:t>
      </w:r>
      <w:r w:rsidR="003C555F" w:rsidRPr="00685BB1">
        <w:t xml:space="preserve">development or amendment of the </w:t>
      </w:r>
      <w:r w:rsidR="002A1550" w:rsidRPr="00685BB1">
        <w:t>national le</w:t>
      </w:r>
      <w:r w:rsidR="003C555F" w:rsidRPr="00685BB1">
        <w:t>gislation for the implementation of the Convention and</w:t>
      </w:r>
      <w:r w:rsidR="00341CAF" w:rsidRPr="00685BB1">
        <w:t>/or</w:t>
      </w:r>
      <w:r w:rsidR="003C555F" w:rsidRPr="00685BB1">
        <w:t xml:space="preserve"> the Protocol</w:t>
      </w:r>
      <w:r w:rsidR="004C5CE9" w:rsidRPr="00685BB1">
        <w:t xml:space="preserve"> by the following</w:t>
      </w:r>
      <w:r w:rsidR="002A1550" w:rsidRPr="00685BB1">
        <w:t xml:space="preserve"> countries:</w:t>
      </w:r>
      <w:r w:rsidR="00881AC2" w:rsidRPr="00685BB1">
        <w:t xml:space="preserve"> </w:t>
      </w:r>
    </w:p>
    <w:p w14:paraId="172DE25A" w14:textId="04176E0C" w:rsidR="00881AC2" w:rsidRPr="00685BB1" w:rsidRDefault="00881AC2" w:rsidP="000822FB">
      <w:pPr>
        <w:pStyle w:val="SingleTxtG"/>
        <w:ind w:firstLine="567"/>
      </w:pPr>
      <w:r w:rsidRPr="00685BB1">
        <w:t>(a)</w:t>
      </w:r>
      <w:r w:rsidRPr="00685BB1">
        <w:tab/>
      </w:r>
      <w:r w:rsidR="00C610D1" w:rsidRPr="00685BB1">
        <w:t xml:space="preserve">Armenia, </w:t>
      </w:r>
      <w:r w:rsidR="004814FB" w:rsidRPr="00685BB1">
        <w:t>Azerbaijan</w:t>
      </w:r>
      <w:r w:rsidR="00B028BF" w:rsidRPr="00685BB1">
        <w:t xml:space="preserve"> </w:t>
      </w:r>
      <w:r w:rsidR="00DC633E" w:rsidRPr="00685BB1">
        <w:t xml:space="preserve">and the </w:t>
      </w:r>
      <w:r w:rsidR="00DC633E" w:rsidRPr="000822FB">
        <w:t>Republic</w:t>
      </w:r>
      <w:r w:rsidR="00DC633E" w:rsidRPr="00685BB1">
        <w:t xml:space="preserve"> of Moldova</w:t>
      </w:r>
      <w:r w:rsidR="002A1550" w:rsidRPr="00685BB1">
        <w:t>,</w:t>
      </w:r>
      <w:r w:rsidR="009229FE" w:rsidRPr="00685BB1">
        <w:t xml:space="preserve"> </w:t>
      </w:r>
      <w:r w:rsidR="00090F41" w:rsidRPr="00685BB1">
        <w:t>with funding from the EU4Environme</w:t>
      </w:r>
      <w:r w:rsidR="00DF4319" w:rsidRPr="00685BB1">
        <w:t xml:space="preserve">nt </w:t>
      </w:r>
      <w:r w:rsidR="007D030E" w:rsidRPr="00685BB1">
        <w:t>p</w:t>
      </w:r>
      <w:r w:rsidR="00DF4319" w:rsidRPr="00685BB1">
        <w:t>rogramme</w:t>
      </w:r>
      <w:r w:rsidRPr="00685BB1">
        <w:t xml:space="preserve">; </w:t>
      </w:r>
    </w:p>
    <w:p w14:paraId="18CC41A1" w14:textId="43C37198" w:rsidR="00EA524F" w:rsidRPr="00685BB1" w:rsidRDefault="00881AC2" w:rsidP="000822FB">
      <w:pPr>
        <w:pStyle w:val="SingleTxtG"/>
        <w:ind w:firstLine="567"/>
      </w:pPr>
      <w:r w:rsidRPr="00685BB1">
        <w:t>(b)</w:t>
      </w:r>
      <w:r w:rsidRPr="00685BB1">
        <w:tab/>
      </w:r>
      <w:r w:rsidR="00D3578B" w:rsidRPr="00685BB1">
        <w:t>Kazakhstan</w:t>
      </w:r>
      <w:r w:rsidR="009B526B" w:rsidRPr="00685BB1">
        <w:t>,</w:t>
      </w:r>
      <w:r w:rsidR="00D3578B" w:rsidRPr="00685BB1">
        <w:t xml:space="preserve"> </w:t>
      </w:r>
      <w:r w:rsidR="00365877" w:rsidRPr="00685BB1">
        <w:t>with funding fr</w:t>
      </w:r>
      <w:r w:rsidR="00341CAF" w:rsidRPr="00685BB1">
        <w:t>o</w:t>
      </w:r>
      <w:r w:rsidR="00365877" w:rsidRPr="00685BB1">
        <w:t>m</w:t>
      </w:r>
      <w:r w:rsidR="00341CAF" w:rsidRPr="00685BB1">
        <w:t xml:space="preserve"> </w:t>
      </w:r>
      <w:r w:rsidR="00341CAF" w:rsidRPr="000822FB">
        <w:t>Switzerland</w:t>
      </w:r>
      <w:r w:rsidR="00341CAF" w:rsidRPr="00685BB1">
        <w:t xml:space="preserve"> and </w:t>
      </w:r>
      <w:r w:rsidR="00EA5EC2" w:rsidRPr="00685BB1">
        <w:t xml:space="preserve">in cooperation with OSCE; </w:t>
      </w:r>
    </w:p>
    <w:p w14:paraId="03805005" w14:textId="2BF14A17" w:rsidR="00436D58" w:rsidRPr="00685BB1" w:rsidRDefault="00EA524F" w:rsidP="000822FB">
      <w:pPr>
        <w:pStyle w:val="SingleTxtG"/>
        <w:ind w:firstLine="567"/>
      </w:pPr>
      <w:r w:rsidRPr="00685BB1">
        <w:t>(c)</w:t>
      </w:r>
      <w:r w:rsidRPr="00685BB1">
        <w:tab/>
      </w:r>
      <w:r w:rsidR="00977087" w:rsidRPr="00685BB1">
        <w:t>Tajikistan</w:t>
      </w:r>
      <w:r w:rsidR="003D62D8" w:rsidRPr="00685BB1">
        <w:t xml:space="preserve"> and </w:t>
      </w:r>
      <w:r w:rsidRPr="00685BB1">
        <w:t>Uzbekistan</w:t>
      </w:r>
      <w:r w:rsidR="009B526B" w:rsidRPr="00685BB1">
        <w:t>,</w:t>
      </w:r>
      <w:r w:rsidRPr="00685BB1">
        <w:t xml:space="preserve"> with </w:t>
      </w:r>
      <w:r w:rsidR="009A6B48" w:rsidRPr="00685BB1">
        <w:t xml:space="preserve">funding </w:t>
      </w:r>
      <w:r w:rsidR="009A6B48" w:rsidRPr="000822FB">
        <w:t>from</w:t>
      </w:r>
      <w:r w:rsidR="009A6B48" w:rsidRPr="00685BB1">
        <w:t xml:space="preserve"> Germany</w:t>
      </w:r>
      <w:r w:rsidR="008D44A4" w:rsidRPr="00685BB1">
        <w:t>, Switzerland and OSCE.</w:t>
      </w:r>
    </w:p>
    <w:p w14:paraId="041540FE" w14:textId="32083BDA" w:rsidR="00AF09B7" w:rsidRPr="00685BB1" w:rsidRDefault="000461FB" w:rsidP="000822FB">
      <w:pPr>
        <w:pStyle w:val="H1G"/>
      </w:pPr>
      <w:r w:rsidRPr="00685BB1">
        <w:tab/>
        <w:t>B.</w:t>
      </w:r>
      <w:r w:rsidRPr="00685BB1">
        <w:tab/>
      </w:r>
      <w:proofErr w:type="spellStart"/>
      <w:r w:rsidR="00AF09B7" w:rsidRPr="00685BB1">
        <w:t>Subregional</w:t>
      </w:r>
      <w:proofErr w:type="spellEnd"/>
      <w:r w:rsidR="00AF09B7" w:rsidRPr="00685BB1">
        <w:t xml:space="preserve"> </w:t>
      </w:r>
      <w:r w:rsidR="00AF09B7" w:rsidRPr="000822FB">
        <w:t>cooperation</w:t>
      </w:r>
      <w:r w:rsidR="00AF09B7" w:rsidRPr="00685BB1">
        <w:t xml:space="preserve"> and capacity-building</w:t>
      </w:r>
    </w:p>
    <w:p w14:paraId="3E6B12A9" w14:textId="433A0C58" w:rsidR="00AF09B7" w:rsidRPr="00685BB1" w:rsidRDefault="005A794B" w:rsidP="000822FB">
      <w:pPr>
        <w:pStyle w:val="SingleTxtG"/>
      </w:pPr>
      <w:r w:rsidRPr="00685BB1">
        <w:t>3</w:t>
      </w:r>
      <w:r w:rsidR="00D41FEC" w:rsidRPr="00685BB1">
        <w:t>1</w:t>
      </w:r>
      <w:r w:rsidR="00AF09B7" w:rsidRPr="00685BB1">
        <w:t>.</w:t>
      </w:r>
      <w:r w:rsidR="00AF09B7" w:rsidRPr="00685BB1">
        <w:tab/>
        <w:t>The Meetings</w:t>
      </w:r>
      <w:r w:rsidR="00ED5514" w:rsidRPr="00685BB1">
        <w:t xml:space="preserve"> of the Parties</w:t>
      </w:r>
      <w:r w:rsidR="00AF09B7" w:rsidRPr="00685BB1">
        <w:t xml:space="preserve"> </w:t>
      </w:r>
      <w:r w:rsidR="00AF09B7" w:rsidRPr="000822FB">
        <w:t>noted</w:t>
      </w:r>
      <w:r w:rsidR="00AF09B7" w:rsidRPr="00685BB1">
        <w:t xml:space="preserve"> the information </w:t>
      </w:r>
      <w:r w:rsidR="00A97BE7" w:rsidRPr="00685BB1">
        <w:t xml:space="preserve">provided </w:t>
      </w:r>
      <w:r w:rsidR="00AF09B7" w:rsidRPr="00685BB1">
        <w:t xml:space="preserve">by: </w:t>
      </w:r>
    </w:p>
    <w:p w14:paraId="2CB7B4B0" w14:textId="29B88D5E" w:rsidR="00AF09B7" w:rsidRPr="00685BB1" w:rsidRDefault="00AF09B7" w:rsidP="000822FB">
      <w:pPr>
        <w:pStyle w:val="SingleTxtG"/>
        <w:ind w:firstLine="567"/>
      </w:pPr>
      <w:r w:rsidRPr="00685BB1">
        <w:t>(a)</w:t>
      </w:r>
      <w:r w:rsidRPr="00685BB1">
        <w:tab/>
      </w:r>
      <w:r w:rsidR="00D67907" w:rsidRPr="00685BB1">
        <w:t>T</w:t>
      </w:r>
      <w:r w:rsidR="000D62D4" w:rsidRPr="00685BB1">
        <w:t>he secretariat</w:t>
      </w:r>
      <w:r w:rsidR="00C01065" w:rsidRPr="00685BB1">
        <w:t xml:space="preserve"> and </w:t>
      </w:r>
      <w:r w:rsidR="00F921D6" w:rsidRPr="00685BB1">
        <w:t>the concerned countries</w:t>
      </w:r>
      <w:r w:rsidRPr="00685BB1">
        <w:t xml:space="preserve">, on </w:t>
      </w:r>
      <w:r w:rsidR="00C03714" w:rsidRPr="00685BB1">
        <w:t xml:space="preserve">a </w:t>
      </w:r>
      <w:proofErr w:type="spellStart"/>
      <w:r w:rsidRPr="00685BB1">
        <w:t>subregional</w:t>
      </w:r>
      <w:proofErr w:type="spellEnd"/>
      <w:r w:rsidRPr="00685BB1">
        <w:t xml:space="preserve"> seminar </w:t>
      </w:r>
      <w:r w:rsidR="0006114A" w:rsidRPr="00685BB1">
        <w:t xml:space="preserve">on the practical application of strategic </w:t>
      </w:r>
      <w:r w:rsidR="0006114A" w:rsidRPr="000822FB">
        <w:t>environmental</w:t>
      </w:r>
      <w:r w:rsidR="0006114A" w:rsidRPr="00685BB1">
        <w:t xml:space="preserve"> assessment </w:t>
      </w:r>
      <w:r w:rsidR="006B658C" w:rsidRPr="00685BB1">
        <w:t xml:space="preserve">and transboundary environmental impact assessment </w:t>
      </w:r>
      <w:r w:rsidR="00C95F90" w:rsidRPr="00685BB1">
        <w:t>in</w:t>
      </w:r>
      <w:r w:rsidR="006662FD" w:rsidRPr="00685BB1">
        <w:t xml:space="preserve"> </w:t>
      </w:r>
      <w:r w:rsidR="00DF0C4B" w:rsidRPr="00685BB1">
        <w:t>Armenia, Azerbaijan, Belarus, Georgia, the Republic of Moldova and Ukraine</w:t>
      </w:r>
      <w:r w:rsidR="00351F8B" w:rsidRPr="00685BB1">
        <w:t>,</w:t>
      </w:r>
      <w:r w:rsidR="009506FA" w:rsidRPr="00685BB1">
        <w:t xml:space="preserve"> held on</w:t>
      </w:r>
      <w:r w:rsidR="00351F8B" w:rsidRPr="00685BB1">
        <w:t>line on</w:t>
      </w:r>
      <w:r w:rsidR="009506FA" w:rsidRPr="00685BB1">
        <w:t xml:space="preserve"> 26 and 27 October 2020 with funding from </w:t>
      </w:r>
      <w:r w:rsidR="007D030E" w:rsidRPr="00685BB1">
        <w:t xml:space="preserve">the </w:t>
      </w:r>
      <w:r w:rsidR="009506FA" w:rsidRPr="00685BB1">
        <w:t>EU4Environment</w:t>
      </w:r>
      <w:r w:rsidR="007D030E" w:rsidRPr="00685BB1">
        <w:t xml:space="preserve"> programme</w:t>
      </w:r>
      <w:r w:rsidRPr="00685BB1">
        <w:t xml:space="preserve">;  </w:t>
      </w:r>
    </w:p>
    <w:p w14:paraId="50C4A6B3" w14:textId="62B41192" w:rsidR="00AF09B7" w:rsidRPr="00685BB1" w:rsidRDefault="00AF09B7" w:rsidP="000822FB">
      <w:pPr>
        <w:pStyle w:val="SingleTxtG"/>
        <w:ind w:firstLine="567"/>
      </w:pPr>
      <w:r w:rsidRPr="00685BB1">
        <w:t>(</w:t>
      </w:r>
      <w:r w:rsidR="009506FA" w:rsidRPr="00685BB1">
        <w:t>b</w:t>
      </w:r>
      <w:r w:rsidRPr="00685BB1">
        <w:t xml:space="preserve">) </w:t>
      </w:r>
      <w:r w:rsidRPr="00685BB1">
        <w:tab/>
        <w:t xml:space="preserve">Denmark, </w:t>
      </w:r>
      <w:r w:rsidR="00E31F2D" w:rsidRPr="00685BB1">
        <w:t xml:space="preserve">on </w:t>
      </w:r>
      <w:r w:rsidR="00411A97" w:rsidRPr="00685BB1">
        <w:t xml:space="preserve">a </w:t>
      </w:r>
      <w:proofErr w:type="spellStart"/>
      <w:r w:rsidR="00411A97" w:rsidRPr="00685BB1">
        <w:t>subregional</w:t>
      </w:r>
      <w:proofErr w:type="spellEnd"/>
      <w:r w:rsidR="00411A97" w:rsidRPr="00685BB1">
        <w:t xml:space="preserve"> workshop for the Baltic Sea area</w:t>
      </w:r>
      <w:r w:rsidR="00304ABD" w:rsidRPr="00685BB1">
        <w:t xml:space="preserve">, </w:t>
      </w:r>
      <w:r w:rsidR="0057641A" w:rsidRPr="00685BB1">
        <w:t xml:space="preserve">which </w:t>
      </w:r>
      <w:r w:rsidR="00304ABD" w:rsidRPr="00685BB1">
        <w:t xml:space="preserve">it </w:t>
      </w:r>
      <w:r w:rsidR="00351F8B" w:rsidRPr="00685BB1">
        <w:t xml:space="preserve">had </w:t>
      </w:r>
      <w:r w:rsidR="00304ABD" w:rsidRPr="00685BB1">
        <w:t>organized online on</w:t>
      </w:r>
      <w:r w:rsidR="00DF0C4B" w:rsidRPr="00685BB1">
        <w:t xml:space="preserve"> 27 </w:t>
      </w:r>
      <w:r w:rsidR="007858CF" w:rsidRPr="00685BB1">
        <w:t>October</w:t>
      </w:r>
      <w:r w:rsidR="00DF0C4B" w:rsidRPr="00685BB1">
        <w:t xml:space="preserve"> </w:t>
      </w:r>
      <w:r w:rsidR="00F72592" w:rsidRPr="00685BB1">
        <w:t>2020</w:t>
      </w:r>
      <w:r w:rsidR="00E31F2D" w:rsidRPr="00685BB1">
        <w:t>,</w:t>
      </w:r>
      <w:r w:rsidRPr="00685BB1">
        <w:t xml:space="preserve"> jointly with </w:t>
      </w:r>
      <w:r w:rsidRPr="000822FB">
        <w:t>Finland</w:t>
      </w:r>
      <w:r w:rsidRPr="00685BB1">
        <w:t xml:space="preserve"> and Sweden</w:t>
      </w:r>
      <w:r w:rsidR="000E44C7" w:rsidRPr="00685BB1">
        <w:t>;</w:t>
      </w:r>
    </w:p>
    <w:p w14:paraId="60D987F1" w14:textId="16338EC5" w:rsidR="000E44C7" w:rsidRPr="00685BB1" w:rsidRDefault="000E44C7" w:rsidP="000822FB">
      <w:pPr>
        <w:pStyle w:val="SingleTxtG"/>
        <w:ind w:firstLine="567"/>
      </w:pPr>
      <w:r w:rsidRPr="00685BB1">
        <w:t>(c)</w:t>
      </w:r>
      <w:r w:rsidRPr="00685BB1">
        <w:tab/>
        <w:t xml:space="preserve">OSCE and the </w:t>
      </w:r>
      <w:r w:rsidR="006723CF" w:rsidRPr="00685BB1">
        <w:t>concerned countries on</w:t>
      </w:r>
      <w:r w:rsidRPr="00685BB1">
        <w:t xml:space="preserve"> </w:t>
      </w:r>
      <w:r w:rsidR="006723CF" w:rsidRPr="00685BB1">
        <w:t>t</w:t>
      </w:r>
      <w:r w:rsidRPr="00685BB1">
        <w:t xml:space="preserve">he </w:t>
      </w:r>
      <w:r w:rsidR="00B31384" w:rsidRPr="00685BB1">
        <w:t xml:space="preserve">implementation of a </w:t>
      </w:r>
      <w:r w:rsidRPr="00685BB1">
        <w:t>joint OSCE</w:t>
      </w:r>
      <w:r w:rsidR="007B5914" w:rsidRPr="00685BB1">
        <w:t>/</w:t>
      </w:r>
      <w:r w:rsidRPr="00685BB1">
        <w:t xml:space="preserve">ECE project ¨Strengthening national and regional capacities and cooperation on strategic environmental </w:t>
      </w:r>
      <w:r w:rsidRPr="000822FB">
        <w:t>assessment</w:t>
      </w:r>
      <w:r w:rsidRPr="00685BB1">
        <w:t xml:space="preserve"> </w:t>
      </w:r>
      <w:r w:rsidR="00351F8B" w:rsidRPr="00685BB1">
        <w:t xml:space="preserve">(SEA) </w:t>
      </w:r>
      <w:r w:rsidRPr="00685BB1">
        <w:t>in Central Asia, including as a response to climate change”</w:t>
      </w:r>
      <w:r w:rsidR="00B31384" w:rsidRPr="00685BB1">
        <w:t xml:space="preserve">, funded by </w:t>
      </w:r>
      <w:r w:rsidRPr="00685BB1">
        <w:t>Germany</w:t>
      </w:r>
      <w:r w:rsidR="00445CF7" w:rsidRPr="00685BB1">
        <w:t xml:space="preserve">, </w:t>
      </w:r>
      <w:r w:rsidRPr="00685BB1">
        <w:t>Switzerland and ECE.</w:t>
      </w:r>
    </w:p>
    <w:p w14:paraId="7E07049F" w14:textId="77777777" w:rsidR="00AF09B7" w:rsidRPr="00685BB1" w:rsidRDefault="00AF09B7" w:rsidP="000822FB">
      <w:pPr>
        <w:pStyle w:val="H1G"/>
      </w:pPr>
      <w:r w:rsidRPr="00685BB1">
        <w:lastRenderedPageBreak/>
        <w:tab/>
        <w:t>C.</w:t>
      </w:r>
      <w:r w:rsidRPr="00685BB1">
        <w:tab/>
      </w:r>
      <w:r w:rsidRPr="000822FB">
        <w:t>Promoting</w:t>
      </w:r>
      <w:r w:rsidRPr="00685BB1">
        <w:t xml:space="preserve"> ratification and application of the Protocol and the Convention</w:t>
      </w:r>
    </w:p>
    <w:p w14:paraId="66794B04" w14:textId="63F77020" w:rsidR="006355CC" w:rsidRPr="00685BB1" w:rsidRDefault="00AF09B7" w:rsidP="000822FB">
      <w:pPr>
        <w:pStyle w:val="SingleTxtG"/>
      </w:pPr>
      <w:r w:rsidRPr="00685BB1">
        <w:t>3</w:t>
      </w:r>
      <w:r w:rsidR="004A44E9" w:rsidRPr="00685BB1">
        <w:t>2</w:t>
      </w:r>
      <w:r w:rsidRPr="00685BB1">
        <w:t>.</w:t>
      </w:r>
      <w:r w:rsidRPr="00685BB1">
        <w:tab/>
        <w:t xml:space="preserve">The secretariat </w:t>
      </w:r>
      <w:r w:rsidR="003A6D9A" w:rsidRPr="00685BB1">
        <w:t>reported th</w:t>
      </w:r>
      <w:r w:rsidR="009B3994" w:rsidRPr="00685BB1">
        <w:t>at</w:t>
      </w:r>
      <w:r w:rsidR="003A6D9A" w:rsidRPr="00685BB1">
        <w:t xml:space="preserve"> </w:t>
      </w:r>
      <w:r w:rsidR="00D3409A" w:rsidRPr="00685BB1">
        <w:t xml:space="preserve">the International Association for Impact Assessment had published </w:t>
      </w:r>
      <w:r w:rsidR="00991EDE" w:rsidRPr="00685BB1">
        <w:t>a</w:t>
      </w:r>
      <w:r w:rsidR="00506BE0" w:rsidRPr="00685BB1">
        <w:t xml:space="preserve"> </w:t>
      </w:r>
      <w:r w:rsidR="00172EEA" w:rsidRPr="00685BB1">
        <w:t>two-page</w:t>
      </w:r>
      <w:r w:rsidR="003A6D9A" w:rsidRPr="00685BB1">
        <w:t xml:space="preserve"> informal pamphlet</w:t>
      </w:r>
      <w:r w:rsidR="00351F8B" w:rsidRPr="00685BB1">
        <w:t>,</w:t>
      </w:r>
      <w:r w:rsidR="003A6D9A" w:rsidRPr="00685BB1">
        <w:t xml:space="preserve"> or “</w:t>
      </w:r>
      <w:proofErr w:type="spellStart"/>
      <w:r w:rsidR="003A6D9A" w:rsidRPr="00685BB1">
        <w:t>FasTips</w:t>
      </w:r>
      <w:proofErr w:type="spellEnd"/>
      <w:r w:rsidR="00351F8B" w:rsidRPr="00685BB1">
        <w:t xml:space="preserve">, </w:t>
      </w:r>
      <w:r w:rsidR="003A6D9A" w:rsidRPr="00685BB1">
        <w:t>on the Conventio</w:t>
      </w:r>
      <w:r w:rsidR="00957626" w:rsidRPr="00685BB1">
        <w:t>n</w:t>
      </w:r>
      <w:r w:rsidR="0078073F">
        <w:rPr>
          <w:rStyle w:val="FootnoteReference"/>
        </w:rPr>
        <w:footnoteReference w:id="5"/>
      </w:r>
      <w:r w:rsidR="00D62283" w:rsidRPr="00685BB1">
        <w:t>,</w:t>
      </w:r>
      <w:r w:rsidR="00506BE0" w:rsidRPr="00685BB1">
        <w:t xml:space="preserve"> prepared by the secretariat</w:t>
      </w:r>
      <w:r w:rsidR="00ED7B44" w:rsidRPr="00685BB1">
        <w:t xml:space="preserve"> and </w:t>
      </w:r>
      <w:r w:rsidR="00D76232" w:rsidRPr="00685BB1">
        <w:t>agreed by the Working Group</w:t>
      </w:r>
      <w:r w:rsidR="000C5C98" w:rsidRPr="00685BB1">
        <w:t xml:space="preserve"> at its eighth meeting (</w:t>
      </w:r>
      <w:r w:rsidR="00704552" w:rsidRPr="00685BB1">
        <w:t>Geneva, 26–28 November 2019)</w:t>
      </w:r>
      <w:r w:rsidR="00E56DDE" w:rsidRPr="00685BB1">
        <w:t xml:space="preserve"> (ECE/MP.EIA/WG.2/2019/2, para. 37)</w:t>
      </w:r>
      <w:r w:rsidR="00696A01" w:rsidRPr="00685BB1">
        <w:t xml:space="preserve">, after completing it with </w:t>
      </w:r>
      <w:r w:rsidR="00F2097B" w:rsidRPr="00685BB1">
        <w:t>a r</w:t>
      </w:r>
      <w:r w:rsidR="00D62283" w:rsidRPr="00685BB1">
        <w:t xml:space="preserve">eference to the Protocol. </w:t>
      </w:r>
      <w:r w:rsidR="003D156D" w:rsidRPr="00685BB1">
        <w:t xml:space="preserve">The </w:t>
      </w:r>
      <w:r w:rsidR="00C54904" w:rsidRPr="00685BB1">
        <w:t xml:space="preserve">separate draft </w:t>
      </w:r>
      <w:proofErr w:type="spellStart"/>
      <w:r w:rsidR="003D156D" w:rsidRPr="00685BB1">
        <w:t>FasTips</w:t>
      </w:r>
      <w:proofErr w:type="spellEnd"/>
      <w:r w:rsidR="00F2097B" w:rsidRPr="00685BB1">
        <w:t xml:space="preserve"> on the Protocol</w:t>
      </w:r>
      <w:r w:rsidR="00A50447" w:rsidRPr="00685BB1">
        <w:t xml:space="preserve">, as agreed by the Working Group, </w:t>
      </w:r>
      <w:r w:rsidR="00B11B0B" w:rsidRPr="00685BB1">
        <w:t>had not</w:t>
      </w:r>
      <w:r w:rsidR="00C54904" w:rsidRPr="00685BB1">
        <w:t xml:space="preserve"> </w:t>
      </w:r>
      <w:r w:rsidR="00351F8B" w:rsidRPr="00685BB1">
        <w:t xml:space="preserve">been </w:t>
      </w:r>
      <w:r w:rsidR="00C54904" w:rsidRPr="00685BB1">
        <w:t xml:space="preserve">published, as </w:t>
      </w:r>
      <w:r w:rsidR="00351F8B" w:rsidRPr="00685BB1">
        <w:t xml:space="preserve">it had been </w:t>
      </w:r>
      <w:r w:rsidR="00696A01" w:rsidRPr="00685BB1">
        <w:t>seen</w:t>
      </w:r>
      <w:r w:rsidR="00351F8B" w:rsidRPr="00685BB1">
        <w:t xml:space="preserve"> as being </w:t>
      </w:r>
      <w:r w:rsidR="00696A01" w:rsidRPr="00685BB1">
        <w:t xml:space="preserve">too </w:t>
      </w:r>
      <w:r w:rsidR="00F55231" w:rsidRPr="00685BB1">
        <w:t>procedural</w:t>
      </w:r>
      <w:r w:rsidR="00047BDE" w:rsidRPr="00685BB1">
        <w:t xml:space="preserve">. </w:t>
      </w:r>
      <w:r w:rsidR="00172EEA" w:rsidRPr="00685BB1">
        <w:t>A representative of t</w:t>
      </w:r>
      <w:r w:rsidR="00A76C3A" w:rsidRPr="00685BB1">
        <w:t xml:space="preserve">he Association </w:t>
      </w:r>
      <w:r w:rsidR="0073396D" w:rsidRPr="00685BB1">
        <w:t xml:space="preserve">provided an update on the </w:t>
      </w:r>
      <w:r w:rsidR="00B01478" w:rsidRPr="00685BB1">
        <w:t xml:space="preserve">recently </w:t>
      </w:r>
      <w:r w:rsidR="00F146E4" w:rsidRPr="00685BB1">
        <w:t xml:space="preserve">issued </w:t>
      </w:r>
      <w:proofErr w:type="spellStart"/>
      <w:r w:rsidR="00F146E4" w:rsidRPr="00685BB1">
        <w:t>FasTips</w:t>
      </w:r>
      <w:proofErr w:type="spellEnd"/>
      <w:r w:rsidR="00F146E4" w:rsidRPr="00685BB1">
        <w:t xml:space="preserve"> and planned </w:t>
      </w:r>
      <w:proofErr w:type="spellStart"/>
      <w:r w:rsidR="00E56DDE" w:rsidRPr="00685BB1">
        <w:t>FasTips</w:t>
      </w:r>
      <w:proofErr w:type="spellEnd"/>
      <w:r w:rsidR="00F146E4" w:rsidRPr="00685BB1">
        <w:t>.</w:t>
      </w:r>
    </w:p>
    <w:p w14:paraId="1D87BEBC" w14:textId="1D31757C" w:rsidR="00AF09B7" w:rsidRPr="00685BB1" w:rsidRDefault="006355CC" w:rsidP="000822FB">
      <w:pPr>
        <w:pStyle w:val="SingleTxtG"/>
      </w:pPr>
      <w:r w:rsidRPr="00685BB1">
        <w:t>3</w:t>
      </w:r>
      <w:r w:rsidR="001F01BE" w:rsidRPr="00685BB1">
        <w:t>3</w:t>
      </w:r>
      <w:r w:rsidRPr="00685BB1">
        <w:t>.</w:t>
      </w:r>
      <w:r w:rsidRPr="00685BB1">
        <w:tab/>
      </w:r>
      <w:r w:rsidR="009944B7" w:rsidRPr="00685BB1">
        <w:t xml:space="preserve">The </w:t>
      </w:r>
      <w:r w:rsidR="00FB59B6" w:rsidRPr="00685BB1">
        <w:t>Chair</w:t>
      </w:r>
      <w:r w:rsidR="007C3291" w:rsidRPr="00685BB1">
        <w:t xml:space="preserve"> </w:t>
      </w:r>
      <w:r w:rsidR="00E56DDE" w:rsidRPr="00685BB1">
        <w:t xml:space="preserve">expressed </w:t>
      </w:r>
      <w:r w:rsidR="00153C2C" w:rsidRPr="00685BB1">
        <w:t xml:space="preserve">regret </w:t>
      </w:r>
      <w:r w:rsidR="00FB59B6" w:rsidRPr="00685BB1">
        <w:t>that</w:t>
      </w:r>
      <w:r w:rsidR="008E3173" w:rsidRPr="00685BB1">
        <w:t xml:space="preserve"> </w:t>
      </w:r>
      <w:r w:rsidR="006D44E3" w:rsidRPr="00685BB1">
        <w:t>draft guidance on assessing health impacts in strategic environmental assessment</w:t>
      </w:r>
      <w:r w:rsidR="008623AA" w:rsidRPr="00685BB1">
        <w:t>,</w:t>
      </w:r>
      <w:r w:rsidR="00C86525" w:rsidRPr="00685BB1">
        <w:t xml:space="preserve"> </w:t>
      </w:r>
      <w:r w:rsidR="00DE0EDA" w:rsidRPr="00685BB1">
        <w:t xml:space="preserve">prepared </w:t>
      </w:r>
      <w:r w:rsidR="00E7328A" w:rsidRPr="00685BB1">
        <w:t>with funding from t</w:t>
      </w:r>
      <w:r w:rsidR="00463500" w:rsidRPr="00685BB1">
        <w:t>he European Investment Bank</w:t>
      </w:r>
      <w:r w:rsidR="003C4359" w:rsidRPr="00685BB1">
        <w:t xml:space="preserve">, </w:t>
      </w:r>
      <w:r w:rsidR="00173566" w:rsidRPr="00685BB1">
        <w:t xml:space="preserve">had not been </w:t>
      </w:r>
      <w:r w:rsidR="004861F3" w:rsidRPr="00685BB1">
        <w:t xml:space="preserve">tabled </w:t>
      </w:r>
      <w:r w:rsidR="00B44B29" w:rsidRPr="00685BB1">
        <w:t xml:space="preserve">for </w:t>
      </w:r>
      <w:r w:rsidR="008743D8" w:rsidRPr="00685BB1">
        <w:t xml:space="preserve">consideration </w:t>
      </w:r>
      <w:r w:rsidR="004B1F24" w:rsidRPr="00685BB1">
        <w:t xml:space="preserve">by the Meeting of the Parties to the Protocol. </w:t>
      </w:r>
      <w:r w:rsidR="00FF5AFD" w:rsidRPr="00685BB1">
        <w:t>A</w:t>
      </w:r>
      <w:r w:rsidR="006324A4" w:rsidRPr="00685BB1">
        <w:t xml:space="preserve">t the </w:t>
      </w:r>
      <w:r w:rsidR="00E56DDE" w:rsidRPr="00685BB1">
        <w:t>p</w:t>
      </w:r>
      <w:r w:rsidR="00774BBD" w:rsidRPr="00685BB1">
        <w:t>revious</w:t>
      </w:r>
      <w:r w:rsidR="006324A4" w:rsidRPr="00685BB1">
        <w:t xml:space="preserve"> meeting of the Working Group,</w:t>
      </w:r>
      <w:r w:rsidR="00D70D55" w:rsidRPr="00685BB1">
        <w:t xml:space="preserve"> the </w:t>
      </w:r>
      <w:r w:rsidR="0026298B" w:rsidRPr="00685BB1">
        <w:t>delegation of the European U</w:t>
      </w:r>
      <w:r w:rsidR="006324A4" w:rsidRPr="00685BB1">
        <w:t>nion</w:t>
      </w:r>
      <w:r w:rsidR="00E879D3" w:rsidRPr="00685BB1">
        <w:t xml:space="preserve"> </w:t>
      </w:r>
      <w:r w:rsidR="00E879D3" w:rsidRPr="000822FB">
        <w:t>had</w:t>
      </w:r>
      <w:r w:rsidR="006324A4" w:rsidRPr="00685BB1">
        <w:t xml:space="preserve"> </w:t>
      </w:r>
      <w:r w:rsidR="002304EB" w:rsidRPr="00685BB1">
        <w:t xml:space="preserve">considered </w:t>
      </w:r>
      <w:r w:rsidR="00FF5AFD" w:rsidRPr="00685BB1">
        <w:t xml:space="preserve">that the draft document </w:t>
      </w:r>
      <w:r w:rsidR="00E879D3" w:rsidRPr="00685BB1">
        <w:t>still required further work</w:t>
      </w:r>
      <w:r w:rsidR="002C54D5" w:rsidRPr="00685BB1">
        <w:t xml:space="preserve">. No </w:t>
      </w:r>
      <w:r w:rsidR="00541FCB" w:rsidRPr="00685BB1">
        <w:t xml:space="preserve">concrete </w:t>
      </w:r>
      <w:r w:rsidR="0036024D" w:rsidRPr="00685BB1">
        <w:t>p</w:t>
      </w:r>
      <w:r w:rsidR="00EA437C" w:rsidRPr="00685BB1">
        <w:t xml:space="preserve">roposals </w:t>
      </w:r>
      <w:r w:rsidR="0036024D" w:rsidRPr="00685BB1">
        <w:t xml:space="preserve">for </w:t>
      </w:r>
      <w:r w:rsidR="0071217E" w:rsidRPr="00685BB1">
        <w:t xml:space="preserve">its </w:t>
      </w:r>
      <w:r w:rsidR="0036024D" w:rsidRPr="00685BB1">
        <w:t>finalizati</w:t>
      </w:r>
      <w:r w:rsidR="0071217E" w:rsidRPr="00685BB1">
        <w:t>on</w:t>
      </w:r>
      <w:r w:rsidR="002C54D5" w:rsidRPr="00685BB1">
        <w:t xml:space="preserve"> had been put forward</w:t>
      </w:r>
      <w:r w:rsidR="002E36CA" w:rsidRPr="00685BB1">
        <w:t xml:space="preserve">. </w:t>
      </w:r>
      <w:r w:rsidR="00BC315B" w:rsidRPr="00685BB1">
        <w:t xml:space="preserve">Aside from highlighting the </w:t>
      </w:r>
      <w:r w:rsidR="00D2500C" w:rsidRPr="00685BB1">
        <w:t xml:space="preserve">urgency to issue the guidance, including to promote healthy recovery from </w:t>
      </w:r>
      <w:r w:rsidR="002477A5" w:rsidRPr="00685BB1">
        <w:t>the pandemic</w:t>
      </w:r>
      <w:r w:rsidR="00D2500C" w:rsidRPr="00685BB1">
        <w:t>, t</w:t>
      </w:r>
      <w:r w:rsidR="00D96050" w:rsidRPr="00685BB1">
        <w:t xml:space="preserve">he </w:t>
      </w:r>
      <w:r w:rsidR="00FA5F38" w:rsidRPr="00685BB1">
        <w:t xml:space="preserve">delegation of </w:t>
      </w:r>
      <w:r w:rsidR="00D96050" w:rsidRPr="00685BB1">
        <w:t xml:space="preserve">WHO </w:t>
      </w:r>
      <w:r w:rsidR="00340505" w:rsidRPr="00685BB1">
        <w:t xml:space="preserve">reiterated </w:t>
      </w:r>
      <w:r w:rsidR="00E56DDE" w:rsidRPr="00685BB1">
        <w:t>the Organization’s</w:t>
      </w:r>
      <w:r w:rsidR="00340505" w:rsidRPr="00685BB1">
        <w:t xml:space="preserve"> offer to </w:t>
      </w:r>
      <w:r w:rsidR="00F853C4" w:rsidRPr="00685BB1">
        <w:t xml:space="preserve">further </w:t>
      </w:r>
      <w:r w:rsidR="00340505" w:rsidRPr="00685BB1">
        <w:t>support th</w:t>
      </w:r>
      <w:r w:rsidR="00292C65" w:rsidRPr="00685BB1">
        <w:t>at</w:t>
      </w:r>
      <w:r w:rsidR="00340505" w:rsidRPr="00685BB1">
        <w:t xml:space="preserve"> </w:t>
      </w:r>
      <w:r w:rsidR="00292C65" w:rsidRPr="00685BB1">
        <w:t xml:space="preserve">work. </w:t>
      </w:r>
      <w:r w:rsidR="00570144" w:rsidRPr="00685BB1">
        <w:t>The Meeting</w:t>
      </w:r>
      <w:r w:rsidR="00D77051" w:rsidRPr="00685BB1">
        <w:t xml:space="preserve"> of the Parties to the Protocol invited Parties to contribute in-kind expertise for </w:t>
      </w:r>
      <w:r w:rsidR="008F1143" w:rsidRPr="00685BB1">
        <w:t>the finalization of the draft guidance</w:t>
      </w:r>
      <w:r w:rsidR="00956D9E" w:rsidRPr="00685BB1">
        <w:t>. The Bureau and the Working Group w</w:t>
      </w:r>
      <w:r w:rsidR="00E56DDE" w:rsidRPr="00685BB1">
        <w:t>ere</w:t>
      </w:r>
      <w:r w:rsidR="004A5CBD" w:rsidRPr="00685BB1">
        <w:t xml:space="preserve"> to </w:t>
      </w:r>
      <w:r w:rsidR="00041522" w:rsidRPr="00685BB1">
        <w:t xml:space="preserve">consider the </w:t>
      </w:r>
      <w:r w:rsidR="00550A1C" w:rsidRPr="00685BB1">
        <w:t xml:space="preserve">way forward </w:t>
      </w:r>
      <w:r w:rsidR="00041522" w:rsidRPr="00685BB1">
        <w:t>at their meetings in 2021.</w:t>
      </w:r>
    </w:p>
    <w:p w14:paraId="2CAEA04F" w14:textId="23FE9547" w:rsidR="00AF09B7" w:rsidRPr="00685BB1" w:rsidRDefault="00AF09B7" w:rsidP="000822FB">
      <w:pPr>
        <w:pStyle w:val="HChG"/>
      </w:pPr>
      <w:r w:rsidRPr="00685BB1">
        <w:tab/>
      </w:r>
      <w:bookmarkStart w:id="15" w:name="_Hlk60823650"/>
      <w:r w:rsidR="00A541E8" w:rsidRPr="00685BB1">
        <w:t>I</w:t>
      </w:r>
      <w:r w:rsidRPr="00685BB1">
        <w:t>V.</w:t>
      </w:r>
      <w:bookmarkEnd w:id="15"/>
      <w:r w:rsidRPr="00685BB1">
        <w:tab/>
        <w:t>Opening ceremony of the high-level segment</w:t>
      </w:r>
    </w:p>
    <w:p w14:paraId="4248B6C3" w14:textId="320B05A6" w:rsidR="00AF09B7" w:rsidRPr="00685BB1" w:rsidRDefault="001F01BE" w:rsidP="000822FB">
      <w:pPr>
        <w:pStyle w:val="SingleTxtG"/>
      </w:pPr>
      <w:r w:rsidRPr="00685BB1">
        <w:t>3</w:t>
      </w:r>
      <w:r w:rsidR="00AF09B7" w:rsidRPr="00685BB1">
        <w:t>4.</w:t>
      </w:r>
      <w:r w:rsidR="00AF09B7" w:rsidRPr="00685BB1">
        <w:tab/>
        <w:t xml:space="preserve">The Chair of the general segment informed the Meetings of the Parties that the Bureau had recommended that </w:t>
      </w:r>
      <w:r w:rsidR="00AF09B7" w:rsidRPr="000822FB">
        <w:t>H</w:t>
      </w:r>
      <w:r w:rsidR="00482D4D" w:rsidRPr="000822FB">
        <w:t>er</w:t>
      </w:r>
      <w:r w:rsidR="00AF09B7" w:rsidRPr="00685BB1">
        <w:t xml:space="preserve"> Excellency M</w:t>
      </w:r>
      <w:r w:rsidR="00482D4D" w:rsidRPr="00685BB1">
        <w:t>s</w:t>
      </w:r>
      <w:r w:rsidR="00AF09B7" w:rsidRPr="00685BB1">
        <w:t xml:space="preserve">. </w:t>
      </w:r>
      <w:r w:rsidR="00482D4D" w:rsidRPr="00685BB1">
        <w:t xml:space="preserve">Krista </w:t>
      </w:r>
      <w:proofErr w:type="spellStart"/>
      <w:r w:rsidR="00482D4D" w:rsidRPr="00685BB1">
        <w:t>Mikkonen</w:t>
      </w:r>
      <w:proofErr w:type="spellEnd"/>
      <w:r w:rsidR="00B65CF6" w:rsidRPr="00685BB1">
        <w:t xml:space="preserve">, Minister of </w:t>
      </w:r>
      <w:r w:rsidR="0022792D" w:rsidRPr="00685BB1">
        <w:t xml:space="preserve">the </w:t>
      </w:r>
      <w:r w:rsidR="00B65CF6" w:rsidRPr="00685BB1">
        <w:t>Environment and Climate Change of Finland</w:t>
      </w:r>
      <w:r w:rsidR="00373B80" w:rsidRPr="00685BB1">
        <w:t>,</w:t>
      </w:r>
      <w:r w:rsidR="00AF09B7" w:rsidRPr="00685BB1">
        <w:t xml:space="preserve"> be elected as Chair of the joint high-level segment</w:t>
      </w:r>
      <w:r w:rsidR="00C46B5A" w:rsidRPr="00685BB1">
        <w:t xml:space="preserve"> of the Convention and the Protocol</w:t>
      </w:r>
      <w:r w:rsidR="00AF09B7" w:rsidRPr="00685BB1">
        <w:t>. The Meetings of the Parties elected M</w:t>
      </w:r>
      <w:r w:rsidR="0015241F" w:rsidRPr="00685BB1">
        <w:t xml:space="preserve">s. </w:t>
      </w:r>
      <w:proofErr w:type="spellStart"/>
      <w:r w:rsidR="00C46B5A" w:rsidRPr="00685BB1">
        <w:t>Mikkonen</w:t>
      </w:r>
      <w:proofErr w:type="spellEnd"/>
      <w:r w:rsidR="00AF09B7" w:rsidRPr="00685BB1">
        <w:t xml:space="preserve"> as Chair of the high-level segment of the Meetings of the Parties.</w:t>
      </w:r>
    </w:p>
    <w:p w14:paraId="3F952E9A" w14:textId="0C47F005" w:rsidR="00A541E8" w:rsidRPr="00685BB1" w:rsidRDefault="001F01BE" w:rsidP="000822FB">
      <w:pPr>
        <w:pStyle w:val="SingleTxtG"/>
      </w:pPr>
      <w:r w:rsidRPr="00685BB1">
        <w:t>3</w:t>
      </w:r>
      <w:r w:rsidR="00DB12FD" w:rsidRPr="00685BB1">
        <w:t>5</w:t>
      </w:r>
      <w:r w:rsidR="00AF09B7" w:rsidRPr="00685BB1">
        <w:t>.</w:t>
      </w:r>
      <w:r w:rsidR="00AF09B7" w:rsidRPr="00685BB1">
        <w:tab/>
      </w:r>
      <w:r w:rsidR="00CA248B" w:rsidRPr="00685BB1">
        <w:t>After</w:t>
      </w:r>
      <w:r w:rsidR="0040073C" w:rsidRPr="00685BB1">
        <w:t xml:space="preserve"> </w:t>
      </w:r>
      <w:r w:rsidR="007A082A" w:rsidRPr="00685BB1">
        <w:t>addressing</w:t>
      </w:r>
      <w:r w:rsidR="00D40F40" w:rsidRPr="00685BB1">
        <w:t xml:space="preserve"> the Meetings of the Parties, th</w:t>
      </w:r>
      <w:r w:rsidR="00AF09B7" w:rsidRPr="00685BB1">
        <w:t>e Chair of the high-level segment</w:t>
      </w:r>
      <w:r w:rsidR="00C4391E" w:rsidRPr="00685BB1">
        <w:t xml:space="preserve"> </w:t>
      </w:r>
      <w:r w:rsidR="00D97B89" w:rsidRPr="00685BB1">
        <w:t xml:space="preserve">passed the floor </w:t>
      </w:r>
      <w:r w:rsidR="00AF09B7" w:rsidRPr="00685BB1">
        <w:t xml:space="preserve">to the </w:t>
      </w:r>
      <w:r w:rsidR="00D40F40" w:rsidRPr="00685BB1">
        <w:t xml:space="preserve">Prime Minster of </w:t>
      </w:r>
      <w:r w:rsidR="0022792D" w:rsidRPr="00685BB1">
        <w:t xml:space="preserve">the Republic of </w:t>
      </w:r>
      <w:r w:rsidR="00651D3F" w:rsidRPr="00685BB1">
        <w:t xml:space="preserve">Lithuania, Her Excellency Ms. Ingrida </w:t>
      </w:r>
      <w:proofErr w:type="spellStart"/>
      <w:r w:rsidR="00D97B89" w:rsidRPr="00685BB1">
        <w:t>Šimonytė</w:t>
      </w:r>
      <w:proofErr w:type="spellEnd"/>
      <w:r w:rsidR="00D97B89" w:rsidRPr="00685BB1">
        <w:t xml:space="preserve">, and </w:t>
      </w:r>
      <w:r w:rsidR="00AF09B7" w:rsidRPr="00685BB1">
        <w:t>the ECE Executive Secretary, who also made opening statement</w:t>
      </w:r>
      <w:r w:rsidR="0037583C" w:rsidRPr="00685BB1">
        <w:t>s</w:t>
      </w:r>
      <w:r w:rsidR="00AF09B7" w:rsidRPr="00685BB1">
        <w:t xml:space="preserve">. </w:t>
      </w:r>
    </w:p>
    <w:p w14:paraId="4BEF7A46" w14:textId="0D74E300" w:rsidR="00A541E8" w:rsidRPr="00685BB1" w:rsidRDefault="000822FB" w:rsidP="000822FB">
      <w:pPr>
        <w:pStyle w:val="HChG"/>
      </w:pPr>
      <w:r>
        <w:tab/>
      </w:r>
      <w:r w:rsidR="00A541E8" w:rsidRPr="00685BB1">
        <w:t>V.</w:t>
      </w:r>
      <w:r w:rsidR="00A541E8" w:rsidRPr="00685BB1">
        <w:tab/>
        <w:t xml:space="preserve">High-level event to mark the thirtieth anniversary of the </w:t>
      </w:r>
      <w:r w:rsidR="00A541E8" w:rsidRPr="00685BB1">
        <w:tab/>
        <w:t>Convention</w:t>
      </w:r>
    </w:p>
    <w:p w14:paraId="63316901" w14:textId="58353F61" w:rsidR="00563168" w:rsidRPr="00685BB1" w:rsidRDefault="00BC58D6" w:rsidP="000822FB">
      <w:pPr>
        <w:pStyle w:val="SingleTxtG"/>
      </w:pPr>
      <w:r w:rsidRPr="00685BB1">
        <w:rPr>
          <w:b/>
          <w:sz w:val="28"/>
        </w:rPr>
        <w:tab/>
      </w:r>
      <w:r w:rsidR="001F01BE" w:rsidRPr="00685BB1">
        <w:t>36.</w:t>
      </w:r>
      <w:r w:rsidR="001F01BE" w:rsidRPr="00685BB1">
        <w:tab/>
      </w:r>
      <w:r w:rsidR="00744C84" w:rsidRPr="00685BB1">
        <w:t xml:space="preserve">The </w:t>
      </w:r>
      <w:r w:rsidR="002E1120" w:rsidRPr="00685BB1">
        <w:t xml:space="preserve">Meetings of the Parties celebrated </w:t>
      </w:r>
      <w:r w:rsidR="009F38C0" w:rsidRPr="00685BB1">
        <w:t>the thirtieth anniversary of the adoption of the Convention during a high-</w:t>
      </w:r>
      <w:r w:rsidR="009F38C0" w:rsidRPr="000822FB">
        <w:t>level</w:t>
      </w:r>
      <w:r w:rsidR="009F38C0" w:rsidRPr="00685BB1">
        <w:t xml:space="preserve"> event organized by the </w:t>
      </w:r>
      <w:r w:rsidR="00744C84" w:rsidRPr="00685BB1">
        <w:t xml:space="preserve">secretariat </w:t>
      </w:r>
      <w:r w:rsidR="009F38C0" w:rsidRPr="00685BB1">
        <w:t xml:space="preserve">and </w:t>
      </w:r>
      <w:r w:rsidR="00B270D2" w:rsidRPr="00685BB1">
        <w:t xml:space="preserve">moderated by </w:t>
      </w:r>
      <w:r w:rsidR="00D31DAF" w:rsidRPr="00685BB1">
        <w:t>the Chair of the high-level segment.</w:t>
      </w:r>
    </w:p>
    <w:p w14:paraId="2B6403E0" w14:textId="0DCD57EA" w:rsidR="00B86D67" w:rsidRPr="00685BB1" w:rsidRDefault="0065286E" w:rsidP="000822FB">
      <w:pPr>
        <w:pStyle w:val="SingleTxtG"/>
      </w:pPr>
      <w:r w:rsidRPr="00685BB1">
        <w:t>37.</w:t>
      </w:r>
      <w:r w:rsidRPr="00685BB1">
        <w:tab/>
      </w:r>
      <w:r w:rsidR="00025B23" w:rsidRPr="00685BB1">
        <w:t xml:space="preserve">The </w:t>
      </w:r>
      <w:r w:rsidR="007F22AE" w:rsidRPr="00685BB1">
        <w:t>event</w:t>
      </w:r>
      <w:r w:rsidR="00966A0B" w:rsidRPr="00685BB1">
        <w:t xml:space="preserve"> started with a </w:t>
      </w:r>
      <w:r w:rsidR="00B86D67" w:rsidRPr="00685BB1">
        <w:t>statement by the Secretary</w:t>
      </w:r>
      <w:r w:rsidR="0022792D" w:rsidRPr="00685BB1">
        <w:t>-</w:t>
      </w:r>
      <w:r w:rsidR="00B86D67" w:rsidRPr="00685BB1">
        <w:t>General of the United Nations</w:t>
      </w:r>
      <w:r w:rsidR="00574E52" w:rsidRPr="00685BB1">
        <w:t>,</w:t>
      </w:r>
      <w:r w:rsidR="00B86D67" w:rsidRPr="00685BB1">
        <w:t xml:space="preserve"> read out by the ECE Executive Secretary. </w:t>
      </w:r>
      <w:r w:rsidR="00F11AFF" w:rsidRPr="00685BB1">
        <w:t>Th</w:t>
      </w:r>
      <w:r w:rsidR="00B00CAF" w:rsidRPr="00685BB1">
        <w:t>ere then</w:t>
      </w:r>
      <w:r w:rsidR="00F11AFF" w:rsidRPr="00685BB1">
        <w:t xml:space="preserve"> followe</w:t>
      </w:r>
      <w:r w:rsidR="00B00CAF" w:rsidRPr="00685BB1">
        <w:t>d</w:t>
      </w:r>
      <w:r w:rsidR="00F11AFF" w:rsidRPr="00685BB1">
        <w:t xml:space="preserve"> </w:t>
      </w:r>
      <w:r w:rsidR="0022792D" w:rsidRPr="00685BB1">
        <w:t>the screening</w:t>
      </w:r>
      <w:r w:rsidR="00F11AFF" w:rsidRPr="00685BB1">
        <w:t xml:space="preserve"> of </w:t>
      </w:r>
      <w:r w:rsidR="00DE12FB" w:rsidRPr="00685BB1">
        <w:t>a video on the Convention</w:t>
      </w:r>
      <w:r w:rsidR="00765E28" w:rsidRPr="00685BB1">
        <w:t xml:space="preserve"> </w:t>
      </w:r>
      <w:r w:rsidR="00DB29A3" w:rsidRPr="00685BB1">
        <w:t>prepared</w:t>
      </w:r>
      <w:r w:rsidR="00150CF2" w:rsidRPr="00685BB1">
        <w:t xml:space="preserve"> </w:t>
      </w:r>
      <w:r w:rsidR="00765E28" w:rsidRPr="00685BB1">
        <w:t xml:space="preserve">by the secretariat </w:t>
      </w:r>
      <w:r w:rsidR="00150CF2" w:rsidRPr="00685BB1">
        <w:t xml:space="preserve">with funding </w:t>
      </w:r>
      <w:r w:rsidR="002F27FC" w:rsidRPr="00685BB1">
        <w:t>from the EU4Environment programme</w:t>
      </w:r>
      <w:r w:rsidR="00952757" w:rsidRPr="00685BB1">
        <w:t>.</w:t>
      </w:r>
    </w:p>
    <w:p w14:paraId="37CEE127" w14:textId="78B9610D" w:rsidR="00142AD5" w:rsidRPr="00685BB1" w:rsidRDefault="00B86D67" w:rsidP="000822FB">
      <w:pPr>
        <w:pStyle w:val="SingleTxtG"/>
      </w:pPr>
      <w:r w:rsidRPr="00685BB1">
        <w:t>38.</w:t>
      </w:r>
      <w:r w:rsidRPr="00685BB1">
        <w:tab/>
      </w:r>
      <w:r w:rsidR="00185B23" w:rsidRPr="00685BB1">
        <w:t>During a panel discussion</w:t>
      </w:r>
      <w:r w:rsidR="006D1346" w:rsidRPr="00685BB1">
        <w:t xml:space="preserve"> ded</w:t>
      </w:r>
      <w:r w:rsidR="005832B2" w:rsidRPr="00685BB1">
        <w:t>icated to the Convention</w:t>
      </w:r>
      <w:r w:rsidR="009E6121" w:rsidRPr="00685BB1">
        <w:t xml:space="preserve">, </w:t>
      </w:r>
      <w:r w:rsidR="00B00CAF" w:rsidRPr="00685BB1">
        <w:t xml:space="preserve">as described below, </w:t>
      </w:r>
      <w:r w:rsidR="007D48F1" w:rsidRPr="00685BB1">
        <w:t xml:space="preserve">the moderator and </w:t>
      </w:r>
      <w:r w:rsidR="009E6121" w:rsidRPr="00685BB1">
        <w:t>invited speakers</w:t>
      </w:r>
      <w:r w:rsidR="0022792D" w:rsidRPr="00685BB1">
        <w:t>:</w:t>
      </w:r>
      <w:r w:rsidR="009E6121" w:rsidRPr="00685BB1">
        <w:t xml:space="preserve"> </w:t>
      </w:r>
      <w:r w:rsidR="00C35F27" w:rsidRPr="00685BB1">
        <w:t>looked back at the origins of the Convention</w:t>
      </w:r>
      <w:r w:rsidR="003141A5" w:rsidRPr="00685BB1">
        <w:t xml:space="preserve">; </w:t>
      </w:r>
      <w:r w:rsidR="00F54497" w:rsidRPr="00685BB1">
        <w:t>highlighted its benefits and achievements</w:t>
      </w:r>
      <w:r w:rsidR="00040785" w:rsidRPr="00685BB1">
        <w:t xml:space="preserve"> over the past</w:t>
      </w:r>
      <w:r w:rsidR="00D353D0" w:rsidRPr="00685BB1">
        <w:t xml:space="preserve"> decades</w:t>
      </w:r>
      <w:r w:rsidR="003141A5" w:rsidRPr="00685BB1">
        <w:t>; and s</w:t>
      </w:r>
      <w:r w:rsidR="00F54497" w:rsidRPr="00685BB1">
        <w:t>hared visions for its future</w:t>
      </w:r>
      <w:r w:rsidR="00642DA6" w:rsidRPr="00685BB1">
        <w:t>:</w:t>
      </w:r>
      <w:r w:rsidR="00F54497" w:rsidRPr="00685BB1">
        <w:t xml:space="preserve"> </w:t>
      </w:r>
    </w:p>
    <w:p w14:paraId="4D777537" w14:textId="61927D26" w:rsidR="007B18BD" w:rsidRPr="00685BB1" w:rsidRDefault="00642DA6" w:rsidP="000822FB">
      <w:pPr>
        <w:pStyle w:val="SingleTxtG"/>
        <w:ind w:firstLine="567"/>
      </w:pPr>
      <w:r w:rsidRPr="00685BB1">
        <w:t>(a)</w:t>
      </w:r>
      <w:r w:rsidRPr="00685BB1">
        <w:tab/>
      </w:r>
      <w:r w:rsidR="00720056" w:rsidRPr="00685BB1">
        <w:t>Th</w:t>
      </w:r>
      <w:r w:rsidR="00AF6C61" w:rsidRPr="00685BB1">
        <w:t xml:space="preserve">e Chair of the </w:t>
      </w:r>
      <w:r w:rsidR="00D7602E" w:rsidRPr="00685BB1">
        <w:t>h</w:t>
      </w:r>
      <w:r w:rsidR="00AF6C61" w:rsidRPr="00685BB1">
        <w:t>igh-level segment</w:t>
      </w:r>
      <w:r w:rsidR="00176E00" w:rsidRPr="00685BB1">
        <w:t xml:space="preserve"> </w:t>
      </w:r>
      <w:r w:rsidR="008B12CD" w:rsidRPr="00685BB1">
        <w:t xml:space="preserve">noted with satisfaction </w:t>
      </w:r>
      <w:r w:rsidR="00720FC1" w:rsidRPr="00685BB1">
        <w:t>that</w:t>
      </w:r>
      <w:r w:rsidR="00264D28" w:rsidRPr="00685BB1">
        <w:t>,</w:t>
      </w:r>
      <w:r w:rsidR="00720FC1" w:rsidRPr="00685BB1">
        <w:t xml:space="preserve"> </w:t>
      </w:r>
      <w:r w:rsidR="007B18BD" w:rsidRPr="00685BB1">
        <w:t xml:space="preserve">since the signing ceremony of </w:t>
      </w:r>
      <w:r w:rsidR="007B18BD" w:rsidRPr="000822FB">
        <w:t>the</w:t>
      </w:r>
      <w:r w:rsidR="007B18BD" w:rsidRPr="00685BB1">
        <w:t xml:space="preserve"> Convention </w:t>
      </w:r>
      <w:r w:rsidR="00D22B9A" w:rsidRPr="00685BB1">
        <w:t xml:space="preserve">held </w:t>
      </w:r>
      <w:r w:rsidR="007B18BD" w:rsidRPr="00685BB1">
        <w:t>in Espoo</w:t>
      </w:r>
      <w:r w:rsidR="000E449F" w:rsidRPr="00685BB1">
        <w:t>,</w:t>
      </w:r>
      <w:r w:rsidR="00264D28" w:rsidRPr="00685BB1">
        <w:t xml:space="preserve"> Finland,</w:t>
      </w:r>
      <w:r w:rsidR="007B18BD" w:rsidRPr="00685BB1">
        <w:t xml:space="preserve"> in February 1991, the “Espoo family” </w:t>
      </w:r>
      <w:r w:rsidR="00F16F6A" w:rsidRPr="00685BB1">
        <w:t>ha</w:t>
      </w:r>
      <w:r w:rsidR="007B1B7B" w:rsidRPr="00685BB1">
        <w:t>d</w:t>
      </w:r>
      <w:r w:rsidR="00F16F6A" w:rsidRPr="00685BB1">
        <w:t xml:space="preserve"> grown to include 45 Parties</w:t>
      </w:r>
      <w:r w:rsidR="007B1B7B" w:rsidRPr="00685BB1">
        <w:t xml:space="preserve">, and that </w:t>
      </w:r>
      <w:r w:rsidR="00776F51" w:rsidRPr="00685BB1">
        <w:t xml:space="preserve">the number of Parties would further increase </w:t>
      </w:r>
      <w:r w:rsidR="004E6DD0" w:rsidRPr="00685BB1">
        <w:t xml:space="preserve">with </w:t>
      </w:r>
      <w:r w:rsidR="00AC5211" w:rsidRPr="00685BB1">
        <w:t xml:space="preserve">the </w:t>
      </w:r>
      <w:r w:rsidR="004E6DD0" w:rsidRPr="00685BB1">
        <w:t>f</w:t>
      </w:r>
      <w:r w:rsidR="00FD7B5F" w:rsidRPr="00685BB1">
        <w:t xml:space="preserve">uture </w:t>
      </w:r>
      <w:r w:rsidR="00AB382B" w:rsidRPr="00685BB1">
        <w:t xml:space="preserve">opening of the Convention </w:t>
      </w:r>
      <w:r w:rsidR="00CB0A9F" w:rsidRPr="00685BB1">
        <w:t xml:space="preserve">beyond </w:t>
      </w:r>
      <w:r w:rsidR="004E6DD0" w:rsidRPr="00685BB1">
        <w:t xml:space="preserve">the </w:t>
      </w:r>
      <w:r w:rsidR="00E67978" w:rsidRPr="00685BB1">
        <w:t>ECE</w:t>
      </w:r>
      <w:r w:rsidR="004E6DD0" w:rsidRPr="00685BB1">
        <w:t xml:space="preserve"> region</w:t>
      </w:r>
      <w:r w:rsidR="00E67978" w:rsidRPr="00685BB1">
        <w:t>.</w:t>
      </w:r>
      <w:r w:rsidR="008977A9" w:rsidRPr="00685BB1">
        <w:t xml:space="preserve"> </w:t>
      </w:r>
      <w:r w:rsidR="001D40F8" w:rsidRPr="00685BB1">
        <w:t>She</w:t>
      </w:r>
      <w:r w:rsidR="007B7F90" w:rsidRPr="00685BB1">
        <w:t xml:space="preserve"> emphasized that</w:t>
      </w:r>
      <w:r w:rsidR="00264D28" w:rsidRPr="00685BB1">
        <w:t>,</w:t>
      </w:r>
      <w:r w:rsidR="00776F51" w:rsidRPr="00685BB1">
        <w:t xml:space="preserve"> </w:t>
      </w:r>
      <w:r w:rsidR="005C7089" w:rsidRPr="00685BB1">
        <w:t>during its 30-year journey, the Convention</w:t>
      </w:r>
      <w:r w:rsidR="000347E9" w:rsidRPr="00685BB1">
        <w:t xml:space="preserve"> had</w:t>
      </w:r>
      <w:r w:rsidR="005C7089" w:rsidRPr="00685BB1">
        <w:t xml:space="preserve"> prove</w:t>
      </w:r>
      <w:r w:rsidR="00C73191" w:rsidRPr="00685BB1">
        <w:t>d</w:t>
      </w:r>
      <w:r w:rsidR="00717671" w:rsidRPr="00685BB1">
        <w:t xml:space="preserve"> </w:t>
      </w:r>
      <w:r w:rsidR="00E2080A" w:rsidRPr="00685BB1">
        <w:t xml:space="preserve">on a daily basis </w:t>
      </w:r>
      <w:r w:rsidR="00C84B46" w:rsidRPr="00685BB1">
        <w:t>to be an important and functional platform for intergovernmental consultations</w:t>
      </w:r>
      <w:r w:rsidR="009C0394" w:rsidRPr="00685BB1">
        <w:t xml:space="preserve"> on a</w:t>
      </w:r>
      <w:r w:rsidR="003B40F0" w:rsidRPr="00685BB1">
        <w:t xml:space="preserve"> broad range of projects with </w:t>
      </w:r>
      <w:r w:rsidR="003B40F0" w:rsidRPr="00685BB1">
        <w:lastRenderedPageBreak/>
        <w:t>transboundary environmental impacts</w:t>
      </w:r>
      <w:r w:rsidR="00DA7966" w:rsidRPr="00685BB1">
        <w:t xml:space="preserve">. </w:t>
      </w:r>
      <w:r w:rsidR="0045180F" w:rsidRPr="00685BB1">
        <w:t xml:space="preserve">She </w:t>
      </w:r>
      <w:r w:rsidR="00FA60BD" w:rsidRPr="00685BB1">
        <w:t xml:space="preserve">listed </w:t>
      </w:r>
      <w:r w:rsidR="0045180F" w:rsidRPr="00685BB1">
        <w:t xml:space="preserve">three </w:t>
      </w:r>
      <w:r w:rsidR="00DA7966" w:rsidRPr="00685BB1">
        <w:t>key</w:t>
      </w:r>
      <w:r w:rsidR="007B7F90" w:rsidRPr="00685BB1">
        <w:t xml:space="preserve"> </w:t>
      </w:r>
      <w:r w:rsidR="001B46F5" w:rsidRPr="00685BB1">
        <w:t xml:space="preserve">success </w:t>
      </w:r>
      <w:r w:rsidR="000B3DE8" w:rsidRPr="00685BB1">
        <w:t xml:space="preserve">factors </w:t>
      </w:r>
      <w:r w:rsidR="0045180F" w:rsidRPr="00685BB1">
        <w:t xml:space="preserve">for the </w:t>
      </w:r>
      <w:r w:rsidR="00E27C18" w:rsidRPr="00685BB1">
        <w:t>Convention</w:t>
      </w:r>
      <w:r w:rsidR="004A4D32" w:rsidRPr="00685BB1">
        <w:t>’s future:</w:t>
      </w:r>
      <w:r w:rsidR="001B175B" w:rsidRPr="00685BB1">
        <w:t xml:space="preserve"> active participation of </w:t>
      </w:r>
      <w:r w:rsidR="009C1D4A" w:rsidRPr="00685BB1">
        <w:t xml:space="preserve">the Parties in the treaty bodies and workplan activities; </w:t>
      </w:r>
      <w:r w:rsidR="00B4016A" w:rsidRPr="00685BB1">
        <w:t>regional cooperation</w:t>
      </w:r>
      <w:r w:rsidR="00B96BE5" w:rsidRPr="00685BB1">
        <w:t xml:space="preserve"> – </w:t>
      </w:r>
      <w:r w:rsidR="00385E5D" w:rsidRPr="00685BB1">
        <w:t xml:space="preserve">which </w:t>
      </w:r>
      <w:r w:rsidR="00B96BE5" w:rsidRPr="00685BB1">
        <w:t xml:space="preserve">she proposed </w:t>
      </w:r>
      <w:r w:rsidR="00646998" w:rsidRPr="00685BB1">
        <w:t>extending to the Ar</w:t>
      </w:r>
      <w:r w:rsidR="00264D28" w:rsidRPr="00685BB1">
        <w:t>c</w:t>
      </w:r>
      <w:r w:rsidR="00646998" w:rsidRPr="00685BB1">
        <w:t>tic countries</w:t>
      </w:r>
      <w:r w:rsidR="007A4DC8" w:rsidRPr="00685BB1">
        <w:t>; and</w:t>
      </w:r>
      <w:r w:rsidR="006D220E" w:rsidRPr="00685BB1">
        <w:t xml:space="preserve"> sharing </w:t>
      </w:r>
      <w:r w:rsidR="00F5200E" w:rsidRPr="00685BB1">
        <w:t xml:space="preserve">the </w:t>
      </w:r>
      <w:r w:rsidR="006D220E" w:rsidRPr="00685BB1">
        <w:t xml:space="preserve">responsibility </w:t>
      </w:r>
      <w:r w:rsidR="003141A5" w:rsidRPr="00685BB1">
        <w:t xml:space="preserve">for </w:t>
      </w:r>
      <w:r w:rsidR="006D220E" w:rsidRPr="00685BB1">
        <w:t>stable and sufficient financing</w:t>
      </w:r>
      <w:r w:rsidRPr="00685BB1">
        <w:t>;</w:t>
      </w:r>
    </w:p>
    <w:p w14:paraId="3A57C37D" w14:textId="4BD809A0" w:rsidR="00C4727E" w:rsidRPr="00685BB1" w:rsidRDefault="00642DA6" w:rsidP="000822FB">
      <w:pPr>
        <w:pStyle w:val="SingleTxtG"/>
        <w:ind w:firstLine="567"/>
      </w:pPr>
      <w:r w:rsidRPr="00685BB1">
        <w:t>(b)</w:t>
      </w:r>
      <w:r w:rsidRPr="00685BB1">
        <w:tab/>
      </w:r>
      <w:r w:rsidR="002F1F53" w:rsidRPr="00685BB1">
        <w:t xml:space="preserve">Mr. </w:t>
      </w:r>
      <w:r w:rsidR="00C4727E" w:rsidRPr="00685BB1">
        <w:t>Robert Conn</w:t>
      </w:r>
      <w:r w:rsidR="00DC2B5C" w:rsidRPr="00685BB1">
        <w:t>e</w:t>
      </w:r>
      <w:r w:rsidR="00C4727E" w:rsidRPr="00685BB1">
        <w:t>lly</w:t>
      </w:r>
      <w:bookmarkStart w:id="16" w:name="_Hlk56680432"/>
      <w:r w:rsidR="00D0295A" w:rsidRPr="00685BB1">
        <w:t xml:space="preserve"> </w:t>
      </w:r>
      <w:r w:rsidR="0037123A" w:rsidRPr="00685BB1">
        <w:t>(</w:t>
      </w:r>
      <w:r w:rsidR="00D0295A" w:rsidRPr="00685BB1">
        <w:t>Connelly Environmental Assessment Consulting</w:t>
      </w:r>
      <w:r w:rsidR="00504359" w:rsidRPr="00685BB1">
        <w:t>,</w:t>
      </w:r>
      <w:r w:rsidR="00D0295A" w:rsidRPr="00685BB1">
        <w:t xml:space="preserve"> Inc</w:t>
      </w:r>
      <w:r w:rsidR="00264D28" w:rsidRPr="00685BB1">
        <w:t>orporated</w:t>
      </w:r>
      <w:r w:rsidR="00D0295A" w:rsidRPr="00685BB1">
        <w:t>, Canada</w:t>
      </w:r>
      <w:bookmarkEnd w:id="16"/>
      <w:r w:rsidR="0037123A" w:rsidRPr="00685BB1">
        <w:t>),</w:t>
      </w:r>
      <w:r w:rsidR="0091151A" w:rsidRPr="00685BB1">
        <w:t xml:space="preserve"> also known as </w:t>
      </w:r>
      <w:r w:rsidR="00C4727E" w:rsidRPr="00685BB1">
        <w:t>“the father of the Espoo Convention”</w:t>
      </w:r>
      <w:r w:rsidR="00642289" w:rsidRPr="00685BB1">
        <w:t>,</w:t>
      </w:r>
      <w:r w:rsidR="00146711" w:rsidRPr="00685BB1">
        <w:t xml:space="preserve"> </w:t>
      </w:r>
      <w:r w:rsidR="00777D52" w:rsidRPr="00685BB1">
        <w:t xml:space="preserve">declared that </w:t>
      </w:r>
      <w:r w:rsidR="0015216A" w:rsidRPr="00685BB1">
        <w:t>t</w:t>
      </w:r>
      <w:r w:rsidR="00C4727E" w:rsidRPr="00685BB1">
        <w:t xml:space="preserve">he need for the Convention </w:t>
      </w:r>
      <w:r w:rsidR="0015216A" w:rsidRPr="00685BB1">
        <w:t>was</w:t>
      </w:r>
      <w:r w:rsidR="00C4727E" w:rsidRPr="00685BB1">
        <w:t xml:space="preserve"> as valid today as it was when </w:t>
      </w:r>
      <w:r w:rsidR="005823BB" w:rsidRPr="00685BB1">
        <w:t>the instrument</w:t>
      </w:r>
      <w:r w:rsidR="00C4727E" w:rsidRPr="00685BB1">
        <w:t xml:space="preserve"> </w:t>
      </w:r>
      <w:r w:rsidR="00264D28" w:rsidRPr="00685BB1">
        <w:t>had</w:t>
      </w:r>
      <w:r w:rsidR="00C4727E" w:rsidRPr="00685BB1">
        <w:t xml:space="preserve"> first</w:t>
      </w:r>
      <w:r w:rsidR="00264D28" w:rsidRPr="00685BB1">
        <w:t xml:space="preserve"> been</w:t>
      </w:r>
      <w:r w:rsidR="00C4727E" w:rsidRPr="00685BB1">
        <w:t xml:space="preserve"> developed</w:t>
      </w:r>
      <w:r w:rsidR="00642289" w:rsidRPr="00685BB1">
        <w:t>. He</w:t>
      </w:r>
      <w:r w:rsidR="007C26C4" w:rsidRPr="00685BB1">
        <w:t xml:space="preserve"> </w:t>
      </w:r>
      <w:r w:rsidR="009B7DAF" w:rsidRPr="00685BB1">
        <w:t>estimated that</w:t>
      </w:r>
      <w:r w:rsidR="005A126D" w:rsidRPr="00685BB1">
        <w:t xml:space="preserve"> the </w:t>
      </w:r>
      <w:r w:rsidR="00AA335F" w:rsidRPr="00685BB1">
        <w:t>Convention</w:t>
      </w:r>
      <w:r w:rsidR="00395D64" w:rsidRPr="00685BB1">
        <w:t>’s implementation</w:t>
      </w:r>
      <w:r w:rsidR="00AA335F" w:rsidRPr="00685BB1">
        <w:t xml:space="preserve"> </w:t>
      </w:r>
      <w:r w:rsidR="00300FD7" w:rsidRPr="00685BB1">
        <w:t xml:space="preserve">appeared to have </w:t>
      </w:r>
      <w:r w:rsidR="00395D64" w:rsidRPr="00685BB1">
        <w:t xml:space="preserve">realized the </w:t>
      </w:r>
      <w:r w:rsidR="005A126D" w:rsidRPr="00685BB1">
        <w:t>o</w:t>
      </w:r>
      <w:r w:rsidR="009B7DAF" w:rsidRPr="00685BB1">
        <w:t>verall benefits</w:t>
      </w:r>
      <w:r w:rsidR="008210CD" w:rsidRPr="00685BB1">
        <w:t xml:space="preserve"> foreseen</w:t>
      </w:r>
      <w:r w:rsidR="00043E00" w:rsidRPr="00685BB1">
        <w:t xml:space="preserve"> during its development</w:t>
      </w:r>
      <w:r w:rsidR="00264D28" w:rsidRPr="00685BB1">
        <w:t>,</w:t>
      </w:r>
      <w:r w:rsidR="001C5D6D" w:rsidRPr="00685BB1">
        <w:t xml:space="preserve"> and </w:t>
      </w:r>
      <w:r w:rsidR="007C26C4" w:rsidRPr="00685BB1">
        <w:t xml:space="preserve">recommended that Parties </w:t>
      </w:r>
      <w:r w:rsidR="00A80592" w:rsidRPr="00685BB1">
        <w:t xml:space="preserve">increasingly </w:t>
      </w:r>
      <w:r w:rsidR="007C26C4" w:rsidRPr="00685BB1">
        <w:t xml:space="preserve">document their </w:t>
      </w:r>
      <w:r w:rsidR="00A80592" w:rsidRPr="00685BB1">
        <w:t>success stories, especially those related to sustainable development</w:t>
      </w:r>
      <w:r w:rsidR="00DC2B5C" w:rsidRPr="00685BB1">
        <w:t>,</w:t>
      </w:r>
      <w:r w:rsidR="00FE1434" w:rsidRPr="00685BB1">
        <w:t xml:space="preserve"> </w:t>
      </w:r>
      <w:r w:rsidR="00A80592" w:rsidRPr="00685BB1">
        <w:t>one of the Convention’s overall objective</w:t>
      </w:r>
      <w:r w:rsidR="001C5D6D" w:rsidRPr="00685BB1">
        <w:t>s</w:t>
      </w:r>
      <w:r w:rsidR="00035075" w:rsidRPr="00685BB1">
        <w:t>;</w:t>
      </w:r>
    </w:p>
    <w:p w14:paraId="6AEC362F" w14:textId="39F60B67" w:rsidR="00C4727E" w:rsidRPr="00685BB1" w:rsidRDefault="00642DA6" w:rsidP="000822FB">
      <w:pPr>
        <w:pStyle w:val="SingleTxtG"/>
        <w:ind w:firstLine="567"/>
      </w:pPr>
      <w:r w:rsidRPr="00685BB1">
        <w:t>(c)</w:t>
      </w:r>
      <w:r w:rsidRPr="00685BB1">
        <w:tab/>
      </w:r>
      <w:r w:rsidR="003F23F4" w:rsidRPr="00685BB1">
        <w:t xml:space="preserve">Mr. </w:t>
      </w:r>
      <w:proofErr w:type="spellStart"/>
      <w:r w:rsidR="003F23F4" w:rsidRPr="00685BB1">
        <w:t>Vitalijus</w:t>
      </w:r>
      <w:proofErr w:type="spellEnd"/>
      <w:r w:rsidR="003F23F4" w:rsidRPr="00685BB1">
        <w:t xml:space="preserve"> </w:t>
      </w:r>
      <w:proofErr w:type="spellStart"/>
      <w:r w:rsidR="003F23F4" w:rsidRPr="00685BB1">
        <w:t>Auglys</w:t>
      </w:r>
      <w:proofErr w:type="spellEnd"/>
      <w:r w:rsidR="003F23F4" w:rsidRPr="00685BB1">
        <w:t xml:space="preserve"> </w:t>
      </w:r>
      <w:r w:rsidR="00A13627" w:rsidRPr="00685BB1">
        <w:t>(Lithuania)</w:t>
      </w:r>
      <w:r w:rsidR="000E1D41" w:rsidRPr="00685BB1">
        <w:t xml:space="preserve"> </w:t>
      </w:r>
      <w:r w:rsidR="00503C08" w:rsidRPr="00685BB1">
        <w:t xml:space="preserve">reported </w:t>
      </w:r>
      <w:r w:rsidR="00483F17" w:rsidRPr="00685BB1">
        <w:t xml:space="preserve">on </w:t>
      </w:r>
      <w:r w:rsidR="00504359" w:rsidRPr="00685BB1">
        <w:t>the</w:t>
      </w:r>
      <w:r w:rsidR="000E1D41" w:rsidRPr="00685BB1">
        <w:t xml:space="preserve"> </w:t>
      </w:r>
      <w:r w:rsidR="004401B2" w:rsidRPr="00685BB1">
        <w:t xml:space="preserve">substantial and </w:t>
      </w:r>
      <w:r w:rsidR="000E1D41" w:rsidRPr="00685BB1">
        <w:t xml:space="preserve">active application of </w:t>
      </w:r>
      <w:r w:rsidR="00475A90" w:rsidRPr="00685BB1">
        <w:t>the Convention</w:t>
      </w:r>
      <w:r w:rsidR="00504359" w:rsidRPr="00685BB1">
        <w:t xml:space="preserve"> by Lithuani</w:t>
      </w:r>
      <w:r w:rsidR="00F87807" w:rsidRPr="00685BB1">
        <w:t>a</w:t>
      </w:r>
      <w:r w:rsidR="000E1D41" w:rsidRPr="00685BB1">
        <w:t xml:space="preserve">, </w:t>
      </w:r>
      <w:r w:rsidR="00475A90" w:rsidRPr="00685BB1">
        <w:t xml:space="preserve">both </w:t>
      </w:r>
      <w:r w:rsidR="006D4EE6" w:rsidRPr="00685BB1">
        <w:t xml:space="preserve">as a </w:t>
      </w:r>
      <w:r w:rsidR="00475A90" w:rsidRPr="00685BB1">
        <w:t xml:space="preserve">Party of origin and </w:t>
      </w:r>
      <w:r w:rsidR="006D4EE6" w:rsidRPr="00685BB1">
        <w:t xml:space="preserve">as </w:t>
      </w:r>
      <w:r w:rsidR="00475A90" w:rsidRPr="00685BB1">
        <w:t xml:space="preserve">an </w:t>
      </w:r>
      <w:r w:rsidR="00C11B71" w:rsidRPr="00685BB1">
        <w:t>a</w:t>
      </w:r>
      <w:r w:rsidR="00475A90" w:rsidRPr="00685BB1">
        <w:t>ffected Party</w:t>
      </w:r>
      <w:r w:rsidR="009D5E9D" w:rsidRPr="00685BB1">
        <w:t xml:space="preserve">. He </w:t>
      </w:r>
      <w:r w:rsidR="00D3603E" w:rsidRPr="00685BB1">
        <w:t>stress</w:t>
      </w:r>
      <w:r w:rsidR="009D5E9D" w:rsidRPr="00685BB1">
        <w:t xml:space="preserve">ed </w:t>
      </w:r>
      <w:r w:rsidR="00276519" w:rsidRPr="00685BB1">
        <w:t>the</w:t>
      </w:r>
      <w:r w:rsidR="009C11B1" w:rsidRPr="00685BB1">
        <w:t xml:space="preserve"> importance</w:t>
      </w:r>
      <w:r w:rsidR="00495104" w:rsidRPr="00685BB1">
        <w:t xml:space="preserve"> of the Convention’s</w:t>
      </w:r>
      <w:r w:rsidR="00143853" w:rsidRPr="00685BB1">
        <w:t xml:space="preserve"> application, especially to </w:t>
      </w:r>
      <w:r w:rsidR="00475A90" w:rsidRPr="00685BB1">
        <w:t>nuclear energy</w:t>
      </w:r>
      <w:r w:rsidR="00504359" w:rsidRPr="00685BB1">
        <w:t>-</w:t>
      </w:r>
      <w:r w:rsidR="00475A90" w:rsidRPr="00685BB1">
        <w:t>related activitie</w:t>
      </w:r>
      <w:r w:rsidR="00C11B71" w:rsidRPr="00685BB1">
        <w:t>s</w:t>
      </w:r>
      <w:r w:rsidR="00037AEA" w:rsidRPr="00685BB1">
        <w:t>, a</w:t>
      </w:r>
      <w:r w:rsidR="00035075" w:rsidRPr="00685BB1">
        <w:t xml:space="preserve">s well as </w:t>
      </w:r>
      <w:r w:rsidR="00BC1475" w:rsidRPr="00685BB1">
        <w:t>its</w:t>
      </w:r>
      <w:r w:rsidR="00994593" w:rsidRPr="00685BB1">
        <w:t xml:space="preserve"> benefits and</w:t>
      </w:r>
      <w:r w:rsidR="00037AEA" w:rsidRPr="00685BB1">
        <w:t xml:space="preserve"> valued added to</w:t>
      </w:r>
      <w:r w:rsidR="00BC1475" w:rsidRPr="00685BB1">
        <w:t xml:space="preserve"> project</w:t>
      </w:r>
      <w:r w:rsidR="0091418F" w:rsidRPr="00685BB1">
        <w:t>s</w:t>
      </w:r>
      <w:r w:rsidR="00BC1475" w:rsidRPr="00685BB1">
        <w:t xml:space="preserve"> and</w:t>
      </w:r>
      <w:r w:rsidR="00475A90" w:rsidRPr="00685BB1">
        <w:t xml:space="preserve"> developer</w:t>
      </w:r>
      <w:r w:rsidR="0091418F" w:rsidRPr="00685BB1">
        <w:t>s</w:t>
      </w:r>
      <w:r w:rsidR="00035075" w:rsidRPr="00685BB1">
        <w:t>;</w:t>
      </w:r>
    </w:p>
    <w:p w14:paraId="60E5F791" w14:textId="03FCA39A" w:rsidR="00C4727E" w:rsidRPr="00685BB1" w:rsidRDefault="00642DA6" w:rsidP="000822FB">
      <w:pPr>
        <w:pStyle w:val="SingleTxtG"/>
        <w:ind w:firstLine="567"/>
      </w:pPr>
      <w:r w:rsidRPr="00685BB1">
        <w:t>(d)</w:t>
      </w:r>
      <w:r w:rsidRPr="00685BB1">
        <w:tab/>
      </w:r>
      <w:r w:rsidR="009D5E9D" w:rsidRPr="00685BB1">
        <w:t xml:space="preserve">Ms. </w:t>
      </w:r>
      <w:r w:rsidR="00C4727E" w:rsidRPr="00685BB1">
        <w:t xml:space="preserve">Martine </w:t>
      </w:r>
      <w:proofErr w:type="spellStart"/>
      <w:r w:rsidR="00C4727E" w:rsidRPr="00685BB1">
        <w:t>Rohn</w:t>
      </w:r>
      <w:proofErr w:type="spellEnd"/>
      <w:r w:rsidR="009D5E9D" w:rsidRPr="00685BB1">
        <w:t xml:space="preserve"> (</w:t>
      </w:r>
      <w:r w:rsidR="00C4727E" w:rsidRPr="00685BB1">
        <w:t>Switzerland</w:t>
      </w:r>
      <w:r w:rsidR="009D5E9D" w:rsidRPr="00685BB1">
        <w:t>)</w:t>
      </w:r>
      <w:r w:rsidR="009E7BB8" w:rsidRPr="00685BB1">
        <w:t xml:space="preserve"> </w:t>
      </w:r>
      <w:r w:rsidR="00DB4EFC" w:rsidRPr="00685BB1">
        <w:t xml:space="preserve">underscored </w:t>
      </w:r>
      <w:r w:rsidR="009E7BB8" w:rsidRPr="00685BB1">
        <w:t xml:space="preserve">the </w:t>
      </w:r>
      <w:r w:rsidR="00EC43EB" w:rsidRPr="00685BB1">
        <w:t xml:space="preserve">Convention’s </w:t>
      </w:r>
      <w:r w:rsidR="009E7BB8" w:rsidRPr="00685BB1">
        <w:t xml:space="preserve">usefulness </w:t>
      </w:r>
      <w:r w:rsidR="00C739B1" w:rsidRPr="00685BB1">
        <w:t xml:space="preserve">over </w:t>
      </w:r>
      <w:r w:rsidR="005823BB" w:rsidRPr="00685BB1">
        <w:t>previous</w:t>
      </w:r>
      <w:r w:rsidR="00C739B1" w:rsidRPr="00685BB1">
        <w:t xml:space="preserve"> decades in</w:t>
      </w:r>
      <w:r w:rsidR="00C1377C" w:rsidRPr="00685BB1">
        <w:t xml:space="preserve"> fostering </w:t>
      </w:r>
      <w:r w:rsidR="00C4727E" w:rsidRPr="00685BB1">
        <w:t xml:space="preserve">international cooperation and </w:t>
      </w:r>
      <w:r w:rsidR="0035016D" w:rsidRPr="00685BB1">
        <w:t xml:space="preserve">in </w:t>
      </w:r>
      <w:r w:rsidR="00C4727E" w:rsidRPr="00685BB1">
        <w:t>enhancing environmental governance and transparency in decision-making.</w:t>
      </w:r>
      <w:r w:rsidR="0035016D" w:rsidRPr="00685BB1">
        <w:t xml:space="preserve"> She </w:t>
      </w:r>
      <w:r w:rsidR="001C2748" w:rsidRPr="00685BB1">
        <w:t>stressed t</w:t>
      </w:r>
      <w:r w:rsidR="00E53E23" w:rsidRPr="00685BB1">
        <w:t>h</w:t>
      </w:r>
      <w:r w:rsidR="004167C4" w:rsidRPr="00685BB1">
        <w:t>e</w:t>
      </w:r>
      <w:r w:rsidR="00E53E23" w:rsidRPr="00685BB1">
        <w:t xml:space="preserve"> </w:t>
      </w:r>
      <w:r w:rsidR="00E6168C" w:rsidRPr="00685BB1">
        <w:t xml:space="preserve">present and future importance of the </w:t>
      </w:r>
      <w:r w:rsidR="00C739B1" w:rsidRPr="00685BB1">
        <w:t>instrumen</w:t>
      </w:r>
      <w:r w:rsidR="00E6168C" w:rsidRPr="00685BB1">
        <w:t>t</w:t>
      </w:r>
      <w:r w:rsidR="00DD6EE2" w:rsidRPr="00685BB1">
        <w:t>,</w:t>
      </w:r>
      <w:r w:rsidR="00ED0FD3" w:rsidRPr="00685BB1">
        <w:t xml:space="preserve"> </w:t>
      </w:r>
      <w:r w:rsidR="00C4727E" w:rsidRPr="00685BB1">
        <w:t xml:space="preserve">including </w:t>
      </w:r>
      <w:r w:rsidR="00C739B1" w:rsidRPr="00685BB1">
        <w:t>for</w:t>
      </w:r>
      <w:r w:rsidR="00504359" w:rsidRPr="00685BB1">
        <w:t>:</w:t>
      </w:r>
      <w:r w:rsidR="00C739B1" w:rsidRPr="00685BB1">
        <w:t xml:space="preserve"> recovery </w:t>
      </w:r>
      <w:r w:rsidR="00ED0FD3" w:rsidRPr="00685BB1">
        <w:t xml:space="preserve">from </w:t>
      </w:r>
      <w:r w:rsidR="00C739B1" w:rsidRPr="00685BB1">
        <w:t>t</w:t>
      </w:r>
      <w:r w:rsidR="00C4727E" w:rsidRPr="00685BB1">
        <w:t xml:space="preserve">he </w:t>
      </w:r>
      <w:r w:rsidR="00504359" w:rsidRPr="00685BB1">
        <w:t>pandemic;</w:t>
      </w:r>
      <w:r w:rsidR="000C3828" w:rsidRPr="00685BB1">
        <w:t xml:space="preserve"> </w:t>
      </w:r>
      <w:r w:rsidR="00C4727E" w:rsidRPr="00685BB1">
        <w:t>implement</w:t>
      </w:r>
      <w:r w:rsidR="00504359" w:rsidRPr="00685BB1">
        <w:t>ation of</w:t>
      </w:r>
      <w:r w:rsidR="00C4727E" w:rsidRPr="00685BB1">
        <w:t xml:space="preserve"> the S</w:t>
      </w:r>
      <w:r w:rsidR="00E37B2E" w:rsidRPr="00685BB1">
        <w:t xml:space="preserve">ustainable </w:t>
      </w:r>
      <w:r w:rsidR="00C4727E" w:rsidRPr="00685BB1">
        <w:t>D</w:t>
      </w:r>
      <w:r w:rsidR="00E37B2E" w:rsidRPr="00685BB1">
        <w:t xml:space="preserve">evelopment </w:t>
      </w:r>
      <w:r w:rsidR="00C4727E" w:rsidRPr="00685BB1">
        <w:t>G</w:t>
      </w:r>
      <w:r w:rsidR="007B7757" w:rsidRPr="00685BB1">
        <w:t>oals</w:t>
      </w:r>
      <w:r w:rsidR="00C4727E" w:rsidRPr="00685BB1">
        <w:t xml:space="preserve"> and </w:t>
      </w:r>
      <w:r w:rsidR="007B7757" w:rsidRPr="00685BB1">
        <w:t>climate</w:t>
      </w:r>
      <w:r w:rsidR="00594641" w:rsidRPr="00685BB1">
        <w:t xml:space="preserve"> change</w:t>
      </w:r>
      <w:r w:rsidR="00504359" w:rsidRPr="00685BB1">
        <w:t>-</w:t>
      </w:r>
      <w:r w:rsidR="00594641" w:rsidRPr="00685BB1">
        <w:t xml:space="preserve">related goals; </w:t>
      </w:r>
      <w:r w:rsidR="00C4727E" w:rsidRPr="00685BB1">
        <w:t>guid</w:t>
      </w:r>
      <w:r w:rsidR="00504359" w:rsidRPr="00685BB1">
        <w:t>ing</w:t>
      </w:r>
      <w:r w:rsidR="00C4727E" w:rsidRPr="00685BB1">
        <w:t xml:space="preserve"> public investments towards sustainable infrastructure projects; and</w:t>
      </w:r>
      <w:r w:rsidR="00EC43EB" w:rsidRPr="00685BB1">
        <w:t xml:space="preserve">, possibly, </w:t>
      </w:r>
      <w:r w:rsidR="00C4727E" w:rsidRPr="00685BB1">
        <w:t>enhanc</w:t>
      </w:r>
      <w:r w:rsidR="00504359" w:rsidRPr="00685BB1">
        <w:t>ing</w:t>
      </w:r>
      <w:r w:rsidR="00C4727E" w:rsidRPr="00685BB1">
        <w:t xml:space="preserve"> mineral resources governance.</w:t>
      </w:r>
      <w:r w:rsidR="003E4911" w:rsidRPr="00685BB1">
        <w:t xml:space="preserve"> She </w:t>
      </w:r>
      <w:r w:rsidR="00C45468" w:rsidRPr="00685BB1">
        <w:t xml:space="preserve">emphasized </w:t>
      </w:r>
      <w:r w:rsidR="002D17EC" w:rsidRPr="00685BB1">
        <w:t>that Switzerland ha</w:t>
      </w:r>
      <w:r w:rsidR="003816CF" w:rsidRPr="00685BB1">
        <w:t>d</w:t>
      </w:r>
      <w:r w:rsidR="002D17EC" w:rsidRPr="00685BB1">
        <w:t xml:space="preserve"> </w:t>
      </w:r>
      <w:r w:rsidR="001E390A" w:rsidRPr="00685BB1">
        <w:t xml:space="preserve">consistently promoted </w:t>
      </w:r>
      <w:r w:rsidR="00976B74" w:rsidRPr="00685BB1">
        <w:t xml:space="preserve">the Convention’s implementation </w:t>
      </w:r>
      <w:r w:rsidR="00C45468" w:rsidRPr="00685BB1">
        <w:t xml:space="preserve">across the ECE region </w:t>
      </w:r>
      <w:r w:rsidR="00C4727E" w:rsidRPr="00685BB1">
        <w:t>and w</w:t>
      </w:r>
      <w:r w:rsidR="003816CF" w:rsidRPr="00685BB1">
        <w:t>ould</w:t>
      </w:r>
      <w:r w:rsidR="00C4727E" w:rsidRPr="00685BB1">
        <w:t xml:space="preserve"> continue to do so</w:t>
      </w:r>
      <w:r w:rsidR="003816CF" w:rsidRPr="00685BB1">
        <w:t>,</w:t>
      </w:r>
      <w:r w:rsidR="00C4727E" w:rsidRPr="00685BB1">
        <w:t xml:space="preserve"> </w:t>
      </w:r>
      <w:r w:rsidR="00504359" w:rsidRPr="00685BB1">
        <w:t xml:space="preserve">expressing the </w:t>
      </w:r>
      <w:r w:rsidR="00C4727E" w:rsidRPr="00685BB1">
        <w:t>hop</w:t>
      </w:r>
      <w:r w:rsidR="00504359" w:rsidRPr="00685BB1">
        <w:t xml:space="preserve">e </w:t>
      </w:r>
      <w:r w:rsidR="00C4727E" w:rsidRPr="00685BB1">
        <w:t xml:space="preserve">that </w:t>
      </w:r>
      <w:r w:rsidR="00890519" w:rsidRPr="00685BB1">
        <w:t xml:space="preserve">non-ECE countries could </w:t>
      </w:r>
      <w:r w:rsidR="00504359" w:rsidRPr="00685BB1">
        <w:t xml:space="preserve">also </w:t>
      </w:r>
      <w:r w:rsidR="00890519" w:rsidRPr="00685BB1">
        <w:t>soon accede to the treaty</w:t>
      </w:r>
      <w:r w:rsidR="00E515F2" w:rsidRPr="00685BB1">
        <w:t>;</w:t>
      </w:r>
    </w:p>
    <w:p w14:paraId="6484E848" w14:textId="0DA282BA" w:rsidR="001E6A81" w:rsidRPr="00685BB1" w:rsidRDefault="00961151" w:rsidP="000822FB">
      <w:pPr>
        <w:pStyle w:val="SingleTxtG"/>
        <w:ind w:firstLine="567"/>
      </w:pPr>
      <w:r w:rsidRPr="00685BB1">
        <w:t>(</w:t>
      </w:r>
      <w:r w:rsidR="00642DA6" w:rsidRPr="00685BB1">
        <w:t>e)</w:t>
      </w:r>
      <w:r w:rsidR="00642DA6" w:rsidRPr="00685BB1">
        <w:tab/>
      </w:r>
      <w:r w:rsidR="0072488C" w:rsidRPr="00685BB1">
        <w:t xml:space="preserve">Ms. Nino </w:t>
      </w:r>
      <w:proofErr w:type="spellStart"/>
      <w:r w:rsidR="0072488C" w:rsidRPr="00685BB1">
        <w:t>Tandilashvili</w:t>
      </w:r>
      <w:proofErr w:type="spellEnd"/>
      <w:r w:rsidR="0072488C" w:rsidRPr="00685BB1">
        <w:t xml:space="preserve"> (Georgia) </w:t>
      </w:r>
      <w:r w:rsidR="00080580" w:rsidRPr="00685BB1">
        <w:t xml:space="preserve">informed the meeting </w:t>
      </w:r>
      <w:r w:rsidR="00610484" w:rsidRPr="00685BB1">
        <w:t>abou</w:t>
      </w:r>
      <w:r w:rsidR="00AD1AEB" w:rsidRPr="00685BB1">
        <w:t>t the</w:t>
      </w:r>
      <w:r w:rsidR="00080580" w:rsidRPr="00685BB1">
        <w:t xml:space="preserve"> </w:t>
      </w:r>
      <w:r w:rsidR="0072488C" w:rsidRPr="00685BB1">
        <w:t>adopt</w:t>
      </w:r>
      <w:r w:rsidR="00080580" w:rsidRPr="00685BB1">
        <w:t xml:space="preserve">ion </w:t>
      </w:r>
      <w:r w:rsidR="00AD1AEB" w:rsidRPr="00685BB1">
        <w:t xml:space="preserve">by Georgia </w:t>
      </w:r>
      <w:r w:rsidR="00080580" w:rsidRPr="00685BB1">
        <w:t xml:space="preserve">of legislation </w:t>
      </w:r>
      <w:r w:rsidR="00233741" w:rsidRPr="00685BB1">
        <w:t>that fully complie</w:t>
      </w:r>
      <w:r w:rsidR="00AD1AEB" w:rsidRPr="00685BB1">
        <w:t>d</w:t>
      </w:r>
      <w:r w:rsidR="00233741" w:rsidRPr="00685BB1">
        <w:t xml:space="preserve"> with the Convention and </w:t>
      </w:r>
      <w:r w:rsidR="00871E60" w:rsidRPr="00685BB1">
        <w:t xml:space="preserve">had </w:t>
      </w:r>
      <w:r w:rsidR="0072488C" w:rsidRPr="00685BB1">
        <w:t>significant</w:t>
      </w:r>
      <w:r w:rsidR="00871E60" w:rsidRPr="00685BB1">
        <w:t>ly</w:t>
      </w:r>
      <w:r w:rsidR="0072488C" w:rsidRPr="00685BB1">
        <w:t xml:space="preserve"> improve</w:t>
      </w:r>
      <w:r w:rsidR="00871E60" w:rsidRPr="00685BB1">
        <w:t>d</w:t>
      </w:r>
      <w:r w:rsidR="0072488C" w:rsidRPr="00685BB1">
        <w:t xml:space="preserve"> public involvement in the decision-making process</w:t>
      </w:r>
      <w:r w:rsidR="00D76806" w:rsidRPr="00685BB1">
        <w:t>. S</w:t>
      </w:r>
      <w:r w:rsidR="0072488C" w:rsidRPr="00685BB1">
        <w:t xml:space="preserve">he </w:t>
      </w:r>
      <w:r w:rsidR="00E856F7" w:rsidRPr="00685BB1">
        <w:t xml:space="preserve">thanked </w:t>
      </w:r>
      <w:r w:rsidR="00610C9D" w:rsidRPr="00685BB1">
        <w:t>ECE</w:t>
      </w:r>
      <w:r w:rsidR="00E856F7" w:rsidRPr="00685BB1">
        <w:t xml:space="preserve"> and the European Union for</w:t>
      </w:r>
      <w:r w:rsidR="003278D4" w:rsidRPr="00685BB1">
        <w:t xml:space="preserve"> having supported</w:t>
      </w:r>
      <w:r w:rsidR="00B73711" w:rsidRPr="00685BB1">
        <w:t xml:space="preserve"> her country’s </w:t>
      </w:r>
      <w:r w:rsidR="00333C06" w:rsidRPr="000822FB">
        <w:t>legal</w:t>
      </w:r>
      <w:r w:rsidR="00333C06" w:rsidRPr="00685BB1">
        <w:t xml:space="preserve"> reform</w:t>
      </w:r>
      <w:r w:rsidR="006F32DF" w:rsidRPr="00685BB1">
        <w:t>s</w:t>
      </w:r>
      <w:r w:rsidR="00825515" w:rsidRPr="00685BB1">
        <w:t xml:space="preserve">. </w:t>
      </w:r>
      <w:r w:rsidR="004234C5" w:rsidRPr="00685BB1">
        <w:t xml:space="preserve">She also </w:t>
      </w:r>
      <w:r w:rsidR="005D3D10" w:rsidRPr="00685BB1">
        <w:t>underlined t</w:t>
      </w:r>
      <w:r w:rsidR="004234C5" w:rsidRPr="00685BB1">
        <w:t xml:space="preserve">he </w:t>
      </w:r>
      <w:r w:rsidR="002F7031" w:rsidRPr="00685BB1">
        <w:t xml:space="preserve">Convention’s </w:t>
      </w:r>
      <w:r w:rsidR="004234C5" w:rsidRPr="00685BB1">
        <w:t>importan</w:t>
      </w:r>
      <w:r w:rsidR="002F7031" w:rsidRPr="00685BB1">
        <w:t xml:space="preserve">t role </w:t>
      </w:r>
      <w:r w:rsidR="0072488C" w:rsidRPr="00685BB1">
        <w:t>in promoting information exchange on environmental issues and in enhancing intergovernmental dialogu</w:t>
      </w:r>
      <w:r w:rsidR="00E55598" w:rsidRPr="00685BB1">
        <w:t>e</w:t>
      </w:r>
      <w:r w:rsidR="0072488C" w:rsidRPr="00685BB1">
        <w:t xml:space="preserve"> to ensure </w:t>
      </w:r>
      <w:r w:rsidR="003F3411" w:rsidRPr="00685BB1">
        <w:t>fairer</w:t>
      </w:r>
      <w:r w:rsidR="0072488C" w:rsidRPr="00685BB1">
        <w:t xml:space="preserve"> international decision-making</w:t>
      </w:r>
      <w:r w:rsidR="00E515F2" w:rsidRPr="00685BB1">
        <w:t>;</w:t>
      </w:r>
    </w:p>
    <w:p w14:paraId="3AB8937A" w14:textId="0E1CFBBA" w:rsidR="00FC5FE6" w:rsidRPr="00685BB1" w:rsidRDefault="00961151" w:rsidP="000822FB">
      <w:pPr>
        <w:pStyle w:val="SingleTxtG"/>
        <w:ind w:firstLine="567"/>
      </w:pPr>
      <w:r w:rsidRPr="00685BB1">
        <w:t>(f)</w:t>
      </w:r>
      <w:r w:rsidRPr="00685BB1">
        <w:tab/>
      </w:r>
      <w:r w:rsidR="00C32B0C" w:rsidRPr="00685BB1">
        <w:t xml:space="preserve">Mr. </w:t>
      </w:r>
      <w:proofErr w:type="spellStart"/>
      <w:r w:rsidR="00FE4D2D" w:rsidRPr="00685BB1">
        <w:t>Sokhib</w:t>
      </w:r>
      <w:proofErr w:type="spellEnd"/>
      <w:r w:rsidR="00FE4D2D" w:rsidRPr="00685BB1">
        <w:t xml:space="preserve"> </w:t>
      </w:r>
      <w:proofErr w:type="spellStart"/>
      <w:r w:rsidR="00C32B0C" w:rsidRPr="00685BB1">
        <w:t>Yulodshev</w:t>
      </w:r>
      <w:proofErr w:type="spellEnd"/>
      <w:r w:rsidR="00C32B0C" w:rsidRPr="00685BB1">
        <w:t xml:space="preserve"> </w:t>
      </w:r>
      <w:r w:rsidR="00FE4D2D" w:rsidRPr="00685BB1">
        <w:t>(U</w:t>
      </w:r>
      <w:r w:rsidR="00C32B0C" w:rsidRPr="00685BB1">
        <w:t>zbekistan</w:t>
      </w:r>
      <w:r w:rsidR="00FE4D2D" w:rsidRPr="00685BB1">
        <w:t>)</w:t>
      </w:r>
      <w:r w:rsidR="00C32B0C" w:rsidRPr="00685BB1">
        <w:t xml:space="preserve"> </w:t>
      </w:r>
      <w:r w:rsidR="009A4CB8" w:rsidRPr="00685BB1">
        <w:t xml:space="preserve">reported </w:t>
      </w:r>
      <w:r w:rsidR="00626D66" w:rsidRPr="00685BB1">
        <w:t>on</w:t>
      </w:r>
      <w:r w:rsidR="009A4CB8" w:rsidRPr="00685BB1">
        <w:t xml:space="preserve"> his country’s </w:t>
      </w:r>
      <w:r w:rsidR="00E703CF" w:rsidRPr="00685BB1">
        <w:t xml:space="preserve">efforts to </w:t>
      </w:r>
      <w:r w:rsidR="001F3F36" w:rsidRPr="00685BB1">
        <w:t xml:space="preserve">align </w:t>
      </w:r>
      <w:r w:rsidR="00E703CF" w:rsidRPr="00685BB1">
        <w:t xml:space="preserve">the national environmental impact assessment system </w:t>
      </w:r>
      <w:r w:rsidR="0094548B" w:rsidRPr="00685BB1">
        <w:t xml:space="preserve">with the Convention, including with a view to greening </w:t>
      </w:r>
      <w:r w:rsidR="00515F97" w:rsidRPr="00685BB1">
        <w:t>the</w:t>
      </w:r>
      <w:r w:rsidR="002E44B5" w:rsidRPr="00685BB1">
        <w:t xml:space="preserve"> </w:t>
      </w:r>
      <w:r w:rsidR="00660273" w:rsidRPr="00685BB1">
        <w:t xml:space="preserve">economy. </w:t>
      </w:r>
      <w:r w:rsidR="003D2602" w:rsidRPr="00685BB1">
        <w:t>Currently, t</w:t>
      </w:r>
      <w:r w:rsidR="00DF56BF" w:rsidRPr="00685BB1">
        <w:t xml:space="preserve">he country </w:t>
      </w:r>
      <w:r w:rsidR="00626D66" w:rsidRPr="00685BB1">
        <w:t xml:space="preserve">was </w:t>
      </w:r>
      <w:r w:rsidR="00866A0D" w:rsidRPr="00685BB1">
        <w:t>assess</w:t>
      </w:r>
      <w:r w:rsidR="00626D66" w:rsidRPr="00685BB1">
        <w:t>ing</w:t>
      </w:r>
      <w:r w:rsidR="00866A0D" w:rsidRPr="00685BB1">
        <w:t xml:space="preserve"> </w:t>
      </w:r>
      <w:r w:rsidR="00FC5FE6" w:rsidRPr="00685BB1">
        <w:t xml:space="preserve">the feasibility </w:t>
      </w:r>
      <w:r w:rsidR="00626D66" w:rsidRPr="00685BB1">
        <w:t>of</w:t>
      </w:r>
      <w:r w:rsidR="00FC5FE6" w:rsidRPr="00685BB1">
        <w:t xml:space="preserve"> </w:t>
      </w:r>
      <w:r w:rsidR="00825E97" w:rsidRPr="00685BB1">
        <w:t>acced</w:t>
      </w:r>
      <w:r w:rsidR="00626D66" w:rsidRPr="00685BB1">
        <w:t>ing</w:t>
      </w:r>
      <w:r w:rsidR="00825E97" w:rsidRPr="00685BB1">
        <w:t xml:space="preserve"> to </w:t>
      </w:r>
      <w:r w:rsidR="00FC5FE6" w:rsidRPr="00685BB1">
        <w:t>the Convention</w:t>
      </w:r>
      <w:r w:rsidR="00FA7091" w:rsidRPr="00685BB1">
        <w:t xml:space="preserve">, </w:t>
      </w:r>
      <w:r w:rsidR="003241F9" w:rsidRPr="00685BB1">
        <w:t>wishing to</w:t>
      </w:r>
      <w:r w:rsidR="00126844" w:rsidRPr="00685BB1">
        <w:t xml:space="preserve"> </w:t>
      </w:r>
      <w:r w:rsidR="00126844" w:rsidRPr="000822FB">
        <w:t>enhance</w:t>
      </w:r>
      <w:r w:rsidR="00126844" w:rsidRPr="00685BB1">
        <w:t xml:space="preserve"> cooperation with </w:t>
      </w:r>
      <w:r w:rsidR="003D2602" w:rsidRPr="00685BB1">
        <w:t xml:space="preserve">the </w:t>
      </w:r>
      <w:r w:rsidR="00126844" w:rsidRPr="00685BB1">
        <w:t xml:space="preserve">other Central Asian countries and to attract </w:t>
      </w:r>
      <w:r w:rsidR="00FA7091" w:rsidRPr="00685BB1">
        <w:t>m</w:t>
      </w:r>
      <w:r w:rsidR="00FC5FE6" w:rsidRPr="00685BB1">
        <w:t>ore sustainable investments</w:t>
      </w:r>
      <w:r w:rsidR="00993C1B" w:rsidRPr="00685BB1">
        <w:t xml:space="preserve">. </w:t>
      </w:r>
      <w:r w:rsidR="00065B30" w:rsidRPr="00685BB1">
        <w:t xml:space="preserve">Uzbekistan was also keen </w:t>
      </w:r>
      <w:r w:rsidR="005823BB" w:rsidRPr="00685BB1">
        <w:t>to</w:t>
      </w:r>
      <w:r w:rsidR="00E02896" w:rsidRPr="00685BB1">
        <w:t xml:space="preserve"> cooperat</w:t>
      </w:r>
      <w:r w:rsidR="005823BB" w:rsidRPr="00685BB1">
        <w:t>e</w:t>
      </w:r>
      <w:r w:rsidR="00E02896" w:rsidRPr="00685BB1">
        <w:t xml:space="preserve"> with the </w:t>
      </w:r>
      <w:r w:rsidR="00515F97" w:rsidRPr="00685BB1">
        <w:t xml:space="preserve">current </w:t>
      </w:r>
      <w:r w:rsidR="00E02896" w:rsidRPr="00685BB1">
        <w:t xml:space="preserve">Convention </w:t>
      </w:r>
      <w:r w:rsidR="007277CE" w:rsidRPr="00685BB1">
        <w:t>P</w:t>
      </w:r>
      <w:r w:rsidR="00E02896" w:rsidRPr="00685BB1">
        <w:t xml:space="preserve">arties and learn from their experience in applying the </w:t>
      </w:r>
      <w:r w:rsidR="007277CE" w:rsidRPr="00685BB1">
        <w:t>Convention</w:t>
      </w:r>
      <w:r w:rsidR="005823BB" w:rsidRPr="00685BB1">
        <w:t>;</w:t>
      </w:r>
    </w:p>
    <w:p w14:paraId="16C23E61" w14:textId="5CEF4122" w:rsidR="00C4727E" w:rsidRPr="00685BB1" w:rsidRDefault="0068631A" w:rsidP="000822FB">
      <w:pPr>
        <w:pStyle w:val="SingleTxtG"/>
        <w:ind w:firstLine="567"/>
      </w:pPr>
      <w:r w:rsidRPr="00685BB1">
        <w:t>(g)</w:t>
      </w:r>
      <w:r w:rsidRPr="00685BB1">
        <w:tab/>
      </w:r>
      <w:r w:rsidR="00C45DD8" w:rsidRPr="00685BB1">
        <w:t>Mr</w:t>
      </w:r>
      <w:r w:rsidRPr="00685BB1">
        <w:t>.</w:t>
      </w:r>
      <w:r w:rsidR="00C45DD8" w:rsidRPr="00685BB1">
        <w:t xml:space="preserve"> </w:t>
      </w:r>
      <w:r w:rsidR="00345A07" w:rsidRPr="00685BB1">
        <w:t xml:space="preserve">Andriy </w:t>
      </w:r>
      <w:proofErr w:type="spellStart"/>
      <w:r w:rsidR="00C45DD8" w:rsidRPr="00685BB1">
        <w:t>Andrusevych</w:t>
      </w:r>
      <w:proofErr w:type="spellEnd"/>
      <w:r w:rsidR="00C45DD8" w:rsidRPr="00685BB1">
        <w:t xml:space="preserve"> </w:t>
      </w:r>
      <w:r w:rsidR="00B55C72" w:rsidRPr="00685BB1">
        <w:t>(</w:t>
      </w:r>
      <w:r w:rsidR="00BD5EEF" w:rsidRPr="00685BB1">
        <w:t xml:space="preserve">the </w:t>
      </w:r>
      <w:r w:rsidR="00C45DD8" w:rsidRPr="00685BB1">
        <w:t xml:space="preserve">NGO </w:t>
      </w:r>
      <w:r w:rsidR="00BD5EEF" w:rsidRPr="00685BB1">
        <w:t>Society and Environment</w:t>
      </w:r>
      <w:r w:rsidRPr="00685BB1">
        <w:t>,</w:t>
      </w:r>
      <w:r w:rsidR="00C45DD8" w:rsidRPr="00685BB1">
        <w:t xml:space="preserve"> Ukraine</w:t>
      </w:r>
      <w:r w:rsidR="00B55C72" w:rsidRPr="00685BB1">
        <w:t>)</w:t>
      </w:r>
      <w:r w:rsidRPr="00685BB1">
        <w:t>,</w:t>
      </w:r>
      <w:r w:rsidR="00507255" w:rsidRPr="00685BB1">
        <w:t xml:space="preserve"> </w:t>
      </w:r>
      <w:r w:rsidR="00A149C3" w:rsidRPr="00685BB1">
        <w:t>underscore</w:t>
      </w:r>
      <w:r w:rsidR="00D65C50" w:rsidRPr="00685BB1">
        <w:t xml:space="preserve">d </w:t>
      </w:r>
      <w:r w:rsidR="00A149C3" w:rsidRPr="00685BB1">
        <w:t>that</w:t>
      </w:r>
      <w:r w:rsidR="00C45DD8" w:rsidRPr="00685BB1">
        <w:t xml:space="preserve"> the Convention</w:t>
      </w:r>
      <w:r w:rsidR="00507255" w:rsidRPr="00685BB1">
        <w:t xml:space="preserve"> </w:t>
      </w:r>
      <w:r w:rsidR="00EF269E" w:rsidRPr="00685BB1">
        <w:t>had</w:t>
      </w:r>
      <w:r w:rsidR="00626D66" w:rsidRPr="00685BB1">
        <w:t xml:space="preserve"> evolved fr</w:t>
      </w:r>
      <w:r w:rsidR="00D03689" w:rsidRPr="00685BB1">
        <w:t>o</w:t>
      </w:r>
      <w:r w:rsidR="00626D66" w:rsidRPr="00685BB1">
        <w:t>m a stamped and signed document into</w:t>
      </w:r>
      <w:r w:rsidR="00EF269E" w:rsidRPr="00685BB1">
        <w:t xml:space="preserve"> </w:t>
      </w:r>
      <w:r w:rsidR="00C45DD8" w:rsidRPr="00685BB1">
        <w:t>a real instrument</w:t>
      </w:r>
      <w:r w:rsidR="006979F3" w:rsidRPr="00685BB1">
        <w:t xml:space="preserve"> </w:t>
      </w:r>
      <w:r w:rsidR="00785F70" w:rsidRPr="00685BB1">
        <w:t>for</w:t>
      </w:r>
      <w:r w:rsidR="006979F3" w:rsidRPr="00685BB1">
        <w:t xml:space="preserve"> </w:t>
      </w:r>
      <w:r w:rsidR="00C45DD8" w:rsidRPr="00685BB1">
        <w:t xml:space="preserve">environmental civil society organizations, in particular </w:t>
      </w:r>
      <w:r w:rsidR="00326962" w:rsidRPr="00685BB1">
        <w:t xml:space="preserve">in </w:t>
      </w:r>
      <w:r w:rsidR="00C45DD8" w:rsidRPr="00685BB1">
        <w:t xml:space="preserve">the </w:t>
      </w:r>
      <w:r w:rsidR="00626D66" w:rsidRPr="00685BB1">
        <w:t>p</w:t>
      </w:r>
      <w:r w:rsidR="00774BBD" w:rsidRPr="00685BB1">
        <w:t>revious</w:t>
      </w:r>
      <w:r w:rsidR="00C45DD8" w:rsidRPr="00685BB1">
        <w:t xml:space="preserve"> 20 years</w:t>
      </w:r>
      <w:r w:rsidR="00326962" w:rsidRPr="00685BB1">
        <w:t>,</w:t>
      </w:r>
      <w:r w:rsidR="00C45DD8" w:rsidRPr="00685BB1">
        <w:t xml:space="preserve"> and that</w:t>
      </w:r>
      <w:r w:rsidR="00A25DF8" w:rsidRPr="00685BB1">
        <w:t>,</w:t>
      </w:r>
      <w:r w:rsidR="00C45DD8" w:rsidRPr="00685BB1">
        <w:t xml:space="preserve"> from </w:t>
      </w:r>
      <w:r w:rsidR="00D03689" w:rsidRPr="00685BB1">
        <w:t>a</w:t>
      </w:r>
      <w:r w:rsidR="00C45DD8" w:rsidRPr="00685BB1">
        <w:t xml:space="preserve"> civil society perspective, </w:t>
      </w:r>
      <w:r w:rsidR="00A25DF8" w:rsidRPr="00685BB1">
        <w:t xml:space="preserve">it </w:t>
      </w:r>
      <w:r w:rsidR="00F03E7E" w:rsidRPr="00685BB1">
        <w:t>was</w:t>
      </w:r>
      <w:r w:rsidR="00C45DD8" w:rsidRPr="00685BB1">
        <w:t xml:space="preserve"> a success story</w:t>
      </w:r>
      <w:r w:rsidR="00BD5EEF" w:rsidRPr="00685BB1">
        <w:t xml:space="preserve">. </w:t>
      </w:r>
      <w:r w:rsidR="00C45DD8" w:rsidRPr="00685BB1">
        <w:t>He also stressed that</w:t>
      </w:r>
      <w:r w:rsidR="00683597" w:rsidRPr="00685BB1">
        <w:t xml:space="preserve">, </w:t>
      </w:r>
      <w:r w:rsidR="00626D66" w:rsidRPr="00685BB1">
        <w:t>currently</w:t>
      </w:r>
      <w:r w:rsidR="00683597" w:rsidRPr="00685BB1">
        <w:t>, t</w:t>
      </w:r>
      <w:r w:rsidR="00C45DD8" w:rsidRPr="00685BB1">
        <w:t xml:space="preserve">he </w:t>
      </w:r>
      <w:r w:rsidR="00C45DD8" w:rsidRPr="000822FB">
        <w:t>Convention</w:t>
      </w:r>
      <w:r w:rsidR="00C45DD8" w:rsidRPr="00685BB1">
        <w:t>, together with its Protocol, represent</w:t>
      </w:r>
      <w:r w:rsidR="00D532CB" w:rsidRPr="00685BB1">
        <w:t>ed</w:t>
      </w:r>
      <w:r w:rsidR="00C45DD8" w:rsidRPr="00685BB1">
        <w:t xml:space="preserve"> a complex multipiece process</w:t>
      </w:r>
      <w:r w:rsidR="009F7D38" w:rsidRPr="00685BB1">
        <w:t xml:space="preserve"> reaching </w:t>
      </w:r>
      <w:r w:rsidR="00D03689" w:rsidRPr="00685BB1">
        <w:t xml:space="preserve">far out </w:t>
      </w:r>
      <w:r w:rsidR="00C45DD8" w:rsidRPr="00685BB1">
        <w:t xml:space="preserve">to </w:t>
      </w:r>
      <w:r w:rsidR="00D06DF6" w:rsidRPr="00685BB1">
        <w:t xml:space="preserve">the </w:t>
      </w:r>
      <w:r w:rsidR="00AC374A" w:rsidRPr="00685BB1">
        <w:t>sub</w:t>
      </w:r>
      <w:r w:rsidR="00C45DD8" w:rsidRPr="00685BB1">
        <w:t>regions, countries, local communities and citizens</w:t>
      </w:r>
      <w:r w:rsidR="00BD5EEF" w:rsidRPr="00685BB1">
        <w:t>.</w:t>
      </w:r>
      <w:r w:rsidR="00AD76FA" w:rsidRPr="00685BB1">
        <w:t xml:space="preserve"> He</w:t>
      </w:r>
      <w:r w:rsidR="0048337D" w:rsidRPr="00685BB1">
        <w:t xml:space="preserve"> </w:t>
      </w:r>
      <w:r w:rsidR="00F05091" w:rsidRPr="00685BB1">
        <w:t xml:space="preserve">concluded </w:t>
      </w:r>
      <w:r w:rsidR="008F151D" w:rsidRPr="00685BB1">
        <w:t xml:space="preserve">by stating that </w:t>
      </w:r>
      <w:r w:rsidR="000E6AE9" w:rsidRPr="00685BB1">
        <w:t xml:space="preserve">the Convention’s future was being built by all </w:t>
      </w:r>
      <w:r w:rsidR="00356925" w:rsidRPr="00685BB1">
        <w:t xml:space="preserve">the </w:t>
      </w:r>
      <w:r w:rsidR="000E6AE9" w:rsidRPr="00685BB1">
        <w:t>stakeholders</w:t>
      </w:r>
      <w:r w:rsidR="00D03689" w:rsidRPr="00685BB1">
        <w:t xml:space="preserve"> together</w:t>
      </w:r>
      <w:r w:rsidR="004B2EE4" w:rsidRPr="00685BB1">
        <w:t>,</w:t>
      </w:r>
      <w:r w:rsidR="000E6AE9" w:rsidRPr="00685BB1">
        <w:t xml:space="preserve"> </w:t>
      </w:r>
      <w:r w:rsidR="00C45DD8" w:rsidRPr="00685BB1">
        <w:t xml:space="preserve">with bigger or smaller steps </w:t>
      </w:r>
      <w:r w:rsidR="009814AC" w:rsidRPr="00685BB1">
        <w:t>through</w:t>
      </w:r>
      <w:r w:rsidR="00626D66" w:rsidRPr="00685BB1">
        <w:t>:</w:t>
      </w:r>
      <w:r w:rsidR="009814AC" w:rsidRPr="00685BB1">
        <w:t xml:space="preserve"> </w:t>
      </w:r>
      <w:r w:rsidR="00E204A3" w:rsidRPr="00685BB1">
        <w:t xml:space="preserve">transboundary </w:t>
      </w:r>
      <w:r w:rsidR="009814AC" w:rsidRPr="00685BB1">
        <w:t xml:space="preserve">negotiations; </w:t>
      </w:r>
      <w:r w:rsidR="001B1879" w:rsidRPr="00685BB1">
        <w:t xml:space="preserve">the </w:t>
      </w:r>
      <w:r w:rsidR="009814AC" w:rsidRPr="00685BB1">
        <w:t xml:space="preserve">organization of seminars; </w:t>
      </w:r>
      <w:r w:rsidR="00626D66" w:rsidRPr="00685BB1">
        <w:t>and the translation of</w:t>
      </w:r>
      <w:r w:rsidR="00B31147" w:rsidRPr="00685BB1">
        <w:t xml:space="preserve"> brief videos</w:t>
      </w:r>
      <w:r w:rsidR="008F151D" w:rsidRPr="00685BB1">
        <w:t>/information materials into national languages;</w:t>
      </w:r>
    </w:p>
    <w:p w14:paraId="37EB91ED" w14:textId="7BEE5121" w:rsidR="00C4727E" w:rsidRPr="00685BB1" w:rsidRDefault="0053185D" w:rsidP="000822FB">
      <w:pPr>
        <w:pStyle w:val="SingleTxtG"/>
        <w:ind w:firstLine="567"/>
      </w:pPr>
      <w:r w:rsidRPr="00685BB1">
        <w:t>(h)</w:t>
      </w:r>
      <w:r w:rsidRPr="00685BB1">
        <w:tab/>
      </w:r>
      <w:r w:rsidR="000E072C" w:rsidRPr="00685BB1">
        <w:t xml:space="preserve">Ms. </w:t>
      </w:r>
      <w:r w:rsidR="00FF63E4" w:rsidRPr="00685BB1">
        <w:t xml:space="preserve">Mari </w:t>
      </w:r>
      <w:proofErr w:type="spellStart"/>
      <w:r w:rsidR="000E072C" w:rsidRPr="00685BB1">
        <w:t>Koyano</w:t>
      </w:r>
      <w:proofErr w:type="spellEnd"/>
      <w:r w:rsidR="000E072C" w:rsidRPr="00685BB1">
        <w:t xml:space="preserve"> </w:t>
      </w:r>
      <w:r w:rsidR="004B2EE4" w:rsidRPr="00685BB1">
        <w:t>(</w:t>
      </w:r>
      <w:r w:rsidR="000E072C" w:rsidRPr="00685BB1">
        <w:t>Hokkaido University</w:t>
      </w:r>
      <w:r w:rsidR="00B55C72" w:rsidRPr="00685BB1">
        <w:t>,</w:t>
      </w:r>
      <w:r w:rsidR="00F14C1B" w:rsidRPr="00685BB1">
        <w:t xml:space="preserve"> </w:t>
      </w:r>
      <w:r w:rsidR="000E072C" w:rsidRPr="00685BB1">
        <w:t>Japan</w:t>
      </w:r>
      <w:r w:rsidR="004B2EE4" w:rsidRPr="00685BB1">
        <w:t>)</w:t>
      </w:r>
      <w:r w:rsidR="000E072C" w:rsidRPr="00685BB1">
        <w:t xml:space="preserve"> </w:t>
      </w:r>
      <w:r w:rsidR="000C05F5" w:rsidRPr="00685BB1">
        <w:t xml:space="preserve">described </w:t>
      </w:r>
      <w:r w:rsidR="00903A9A" w:rsidRPr="00685BB1">
        <w:t>some of the</w:t>
      </w:r>
      <w:r w:rsidR="00B55C72" w:rsidRPr="00685BB1">
        <w:t xml:space="preserve"> Convention’s</w:t>
      </w:r>
      <w:r w:rsidR="00903A9A" w:rsidRPr="00685BB1">
        <w:t xml:space="preserve"> distinctive feature</w:t>
      </w:r>
      <w:r w:rsidR="00B55C72" w:rsidRPr="00685BB1">
        <w:t>s</w:t>
      </w:r>
      <w:r w:rsidR="00D74515" w:rsidRPr="00685BB1">
        <w:t xml:space="preserve"> and </w:t>
      </w:r>
      <w:r w:rsidR="00105CB0" w:rsidRPr="00685BB1">
        <w:t xml:space="preserve">stressed </w:t>
      </w:r>
      <w:r w:rsidR="00B770BB" w:rsidRPr="00685BB1">
        <w:t>the treaty’s</w:t>
      </w:r>
      <w:r w:rsidR="00D74515" w:rsidRPr="00685BB1">
        <w:t xml:space="preserve"> value </w:t>
      </w:r>
      <w:r w:rsidR="00646BD2" w:rsidRPr="00685BB1">
        <w:t xml:space="preserve">in the development of </w:t>
      </w:r>
      <w:r w:rsidR="006C4BCD" w:rsidRPr="00685BB1">
        <w:t xml:space="preserve">international environmental law. </w:t>
      </w:r>
      <w:r w:rsidR="00893814" w:rsidRPr="00685BB1">
        <w:t>She</w:t>
      </w:r>
      <w:r w:rsidR="00511A54" w:rsidRPr="00685BB1">
        <w:t xml:space="preserve"> </w:t>
      </w:r>
      <w:r w:rsidR="00F67F46" w:rsidRPr="00685BB1">
        <w:t xml:space="preserve">presented </w:t>
      </w:r>
      <w:r w:rsidR="000E072C" w:rsidRPr="00685BB1">
        <w:t>synergy effects between the Convention and other international instruments</w:t>
      </w:r>
      <w:r w:rsidR="006801A9" w:rsidRPr="00685BB1">
        <w:t xml:space="preserve">, which promoted </w:t>
      </w:r>
      <w:r w:rsidR="00312F43" w:rsidRPr="00685BB1">
        <w:t>s</w:t>
      </w:r>
      <w:r w:rsidR="00ED0AB3" w:rsidRPr="00685BB1">
        <w:t>ustainable development</w:t>
      </w:r>
      <w:r w:rsidR="00312F43" w:rsidRPr="00685BB1">
        <w:t xml:space="preserve"> in various ways</w:t>
      </w:r>
      <w:r w:rsidR="005823BB" w:rsidRPr="00685BB1">
        <w:t>.</w:t>
      </w:r>
      <w:r w:rsidR="009E13A9" w:rsidRPr="00685BB1">
        <w:t xml:space="preserve"> The Convent</w:t>
      </w:r>
      <w:r w:rsidR="001615CD" w:rsidRPr="00685BB1">
        <w:t xml:space="preserve">ion could, for example, substantially strengthen </w:t>
      </w:r>
      <w:r w:rsidR="0062723F" w:rsidRPr="00685BB1">
        <w:t xml:space="preserve">procedural requirements of other instruments. </w:t>
      </w:r>
      <w:r w:rsidR="00F558D8" w:rsidRPr="00685BB1">
        <w:t>She also</w:t>
      </w:r>
      <w:r w:rsidR="0011272A" w:rsidRPr="00685BB1">
        <w:t xml:space="preserve"> informed the meeting about the g</w:t>
      </w:r>
      <w:r w:rsidR="000E072C" w:rsidRPr="00685BB1">
        <w:t>rowing awareness o</w:t>
      </w:r>
      <w:r w:rsidR="00B55C72" w:rsidRPr="00685BB1">
        <w:t>f</w:t>
      </w:r>
      <w:r w:rsidR="0011272A" w:rsidRPr="00685BB1">
        <w:t xml:space="preserve"> an</w:t>
      </w:r>
      <w:r w:rsidR="00D90069" w:rsidRPr="00685BB1">
        <w:t xml:space="preserve">d </w:t>
      </w:r>
      <w:r w:rsidR="00711C46" w:rsidRPr="00685BB1">
        <w:t xml:space="preserve">the </w:t>
      </w:r>
      <w:r w:rsidR="00D90069" w:rsidRPr="00685BB1">
        <w:t xml:space="preserve">great potential </w:t>
      </w:r>
      <w:r w:rsidR="00711C46" w:rsidRPr="00685BB1">
        <w:t>for</w:t>
      </w:r>
      <w:r w:rsidR="000E072C" w:rsidRPr="00685BB1">
        <w:t xml:space="preserve"> transboundary </w:t>
      </w:r>
      <w:r w:rsidR="0011272A" w:rsidRPr="00685BB1">
        <w:t xml:space="preserve">environmental impact assessment </w:t>
      </w:r>
      <w:r w:rsidR="000E072C" w:rsidRPr="00685BB1">
        <w:t>in the Asian region</w:t>
      </w:r>
      <w:r w:rsidR="006F7DFA" w:rsidRPr="00685BB1">
        <w:t xml:space="preserve"> to address the increasing number of </w:t>
      </w:r>
      <w:r w:rsidR="00A102CE" w:rsidRPr="00685BB1">
        <w:t xml:space="preserve">hazardous </w:t>
      </w:r>
      <w:r w:rsidR="009F0E2E" w:rsidRPr="00685BB1">
        <w:t>activities</w:t>
      </w:r>
      <w:r w:rsidR="00105948" w:rsidRPr="00685BB1">
        <w:t xml:space="preserve"> within that region</w:t>
      </w:r>
      <w:r w:rsidR="000E072C" w:rsidRPr="00685BB1">
        <w:t xml:space="preserve">. </w:t>
      </w:r>
      <w:r w:rsidR="00A62E57" w:rsidRPr="00685BB1">
        <w:t xml:space="preserve">In her view, </w:t>
      </w:r>
      <w:r w:rsidR="000E072C" w:rsidRPr="00685BB1">
        <w:t xml:space="preserve">the </w:t>
      </w:r>
      <w:r w:rsidR="007918F2" w:rsidRPr="00685BB1">
        <w:t xml:space="preserve">Convention should be given more attention </w:t>
      </w:r>
      <w:r w:rsidR="00271088" w:rsidRPr="00685BB1">
        <w:t xml:space="preserve">in the </w:t>
      </w:r>
      <w:r w:rsidR="00170241" w:rsidRPr="00685BB1">
        <w:t xml:space="preserve">Asian </w:t>
      </w:r>
      <w:r w:rsidR="00271088" w:rsidRPr="00685BB1">
        <w:t>context</w:t>
      </w:r>
      <w:r w:rsidR="00E14AC4" w:rsidRPr="00685BB1">
        <w:t>, and the</w:t>
      </w:r>
      <w:r w:rsidR="00A93190" w:rsidRPr="00685BB1">
        <w:t xml:space="preserve"> Asian </w:t>
      </w:r>
      <w:r w:rsidR="00170241" w:rsidRPr="00685BB1">
        <w:t xml:space="preserve">countries </w:t>
      </w:r>
      <w:r w:rsidR="00A93190" w:rsidRPr="00685BB1">
        <w:lastRenderedPageBreak/>
        <w:t xml:space="preserve">could </w:t>
      </w:r>
      <w:r w:rsidR="00271088" w:rsidRPr="00685BB1">
        <w:t>c</w:t>
      </w:r>
      <w:r w:rsidR="00A0748A" w:rsidRPr="00685BB1">
        <w:t xml:space="preserve">onsider either </w:t>
      </w:r>
      <w:r w:rsidR="000E072C" w:rsidRPr="00685BB1">
        <w:t>acce</w:t>
      </w:r>
      <w:r w:rsidR="001B5841" w:rsidRPr="00685BB1">
        <w:t>ding to</w:t>
      </w:r>
      <w:r w:rsidR="000E072C" w:rsidRPr="00685BB1">
        <w:t xml:space="preserve"> </w:t>
      </w:r>
      <w:r w:rsidR="00E14AC4" w:rsidRPr="00685BB1">
        <w:t>the Convention</w:t>
      </w:r>
      <w:r w:rsidR="001B5841" w:rsidRPr="00685BB1">
        <w:t xml:space="preserve"> or d</w:t>
      </w:r>
      <w:r w:rsidR="000E072C" w:rsidRPr="00685BB1">
        <w:t xml:space="preserve">eveloping their own arrangements based on </w:t>
      </w:r>
      <w:r w:rsidR="007876CB" w:rsidRPr="00685BB1">
        <w:t xml:space="preserve">the </w:t>
      </w:r>
      <w:r w:rsidR="000E072C" w:rsidRPr="00685BB1">
        <w:t>lessons learnt from</w:t>
      </w:r>
      <w:r w:rsidR="006E4671" w:rsidRPr="00685BB1">
        <w:t xml:space="preserve"> its </w:t>
      </w:r>
      <w:r w:rsidR="008621BB" w:rsidRPr="00685BB1">
        <w:t>application.</w:t>
      </w:r>
    </w:p>
    <w:p w14:paraId="1EB9B2BD" w14:textId="0A11EE4D" w:rsidR="00F87807" w:rsidRPr="00685BB1" w:rsidRDefault="003A76E9" w:rsidP="000822FB">
      <w:pPr>
        <w:pStyle w:val="SingleTxtG"/>
      </w:pPr>
      <w:r w:rsidRPr="00685BB1">
        <w:t>39.</w:t>
      </w:r>
      <w:r w:rsidRPr="00685BB1">
        <w:tab/>
      </w:r>
      <w:r w:rsidR="00251839" w:rsidRPr="00685BB1">
        <w:t xml:space="preserve">A </w:t>
      </w:r>
      <w:r w:rsidR="00251839" w:rsidRPr="000822FB">
        <w:t>representative</w:t>
      </w:r>
      <w:r w:rsidR="00251839" w:rsidRPr="00685BB1">
        <w:t xml:space="preserve"> of OSCE</w:t>
      </w:r>
      <w:r w:rsidR="00B144C9" w:rsidRPr="00685BB1">
        <w:t xml:space="preserve"> presented </w:t>
      </w:r>
      <w:r w:rsidR="00D04841" w:rsidRPr="00685BB1">
        <w:t xml:space="preserve">a birthday present </w:t>
      </w:r>
      <w:r w:rsidR="003A4F74" w:rsidRPr="00685BB1">
        <w:t xml:space="preserve">prepared by the </w:t>
      </w:r>
      <w:r w:rsidR="00F87807" w:rsidRPr="00685BB1">
        <w:t>O</w:t>
      </w:r>
      <w:r w:rsidR="00E70262" w:rsidRPr="00685BB1">
        <w:t>rganization</w:t>
      </w:r>
      <w:r w:rsidR="003A4F74" w:rsidRPr="00685BB1">
        <w:t>:</w:t>
      </w:r>
      <w:r w:rsidR="00D04841" w:rsidRPr="00685BB1">
        <w:t xml:space="preserve"> </w:t>
      </w:r>
      <w:r w:rsidR="00B144C9" w:rsidRPr="00685BB1">
        <w:t>a</w:t>
      </w:r>
      <w:r w:rsidR="00ED6E34" w:rsidRPr="00685BB1">
        <w:t xml:space="preserve"> cartoon </w:t>
      </w:r>
      <w:r w:rsidR="007B5CFB" w:rsidRPr="00685BB1">
        <w:t xml:space="preserve">illustrating </w:t>
      </w:r>
      <w:r w:rsidR="000D238A" w:rsidRPr="00685BB1">
        <w:t xml:space="preserve">selected elements </w:t>
      </w:r>
      <w:r w:rsidR="00B465CC" w:rsidRPr="00685BB1">
        <w:t>of</w:t>
      </w:r>
      <w:r w:rsidR="002332E6" w:rsidRPr="00685BB1">
        <w:t xml:space="preserve"> </w:t>
      </w:r>
      <w:r w:rsidR="00B465CC" w:rsidRPr="00685BB1">
        <w:t xml:space="preserve">the </w:t>
      </w:r>
      <w:r w:rsidR="002332E6" w:rsidRPr="00685BB1">
        <w:t>Convention</w:t>
      </w:r>
      <w:r w:rsidR="000D238A" w:rsidRPr="00685BB1">
        <w:t xml:space="preserve"> and its Protocol</w:t>
      </w:r>
      <w:r w:rsidR="003B38E4" w:rsidRPr="00685BB1">
        <w:t>.</w:t>
      </w:r>
    </w:p>
    <w:p w14:paraId="6BC90F5E" w14:textId="6CEFA4E9" w:rsidR="004652EF" w:rsidRPr="00685BB1" w:rsidRDefault="00F87807" w:rsidP="000822FB">
      <w:pPr>
        <w:pStyle w:val="SingleTxtG"/>
      </w:pPr>
      <w:r w:rsidRPr="00685BB1">
        <w:t xml:space="preserve">40. </w:t>
      </w:r>
      <w:r w:rsidR="00F920CF" w:rsidRPr="00685BB1">
        <w:t xml:space="preserve">After moderating a question and answer </w:t>
      </w:r>
      <w:r w:rsidR="00F920CF" w:rsidRPr="000822FB">
        <w:t>session</w:t>
      </w:r>
      <w:r w:rsidR="00F920CF" w:rsidRPr="00685BB1">
        <w:t>, the Chair thanked the speakers and summarized the discussions</w:t>
      </w:r>
      <w:r w:rsidR="005E2685" w:rsidRPr="00685BB1">
        <w:t>.</w:t>
      </w:r>
    </w:p>
    <w:p w14:paraId="11993768" w14:textId="65F51A60" w:rsidR="00297125" w:rsidRPr="00685BB1" w:rsidRDefault="00D321B1" w:rsidP="000822FB">
      <w:pPr>
        <w:pStyle w:val="SingleTxtG"/>
      </w:pPr>
      <w:r w:rsidRPr="00685BB1">
        <w:t>4</w:t>
      </w:r>
      <w:r w:rsidR="00B0229D" w:rsidRPr="00685BB1">
        <w:t>1</w:t>
      </w:r>
      <w:r w:rsidRPr="00685BB1">
        <w:t>.</w:t>
      </w:r>
      <w:r w:rsidRPr="00685BB1">
        <w:tab/>
      </w:r>
      <w:r w:rsidR="00DF7C65" w:rsidRPr="00685BB1">
        <w:t xml:space="preserve">The Meetings of the Parties expressed their gratitude </w:t>
      </w:r>
      <w:r w:rsidR="00FC11E9" w:rsidRPr="00685BB1">
        <w:t xml:space="preserve">for the organization of the </w:t>
      </w:r>
      <w:r w:rsidR="005F0FF9" w:rsidRPr="00685BB1">
        <w:t xml:space="preserve">anniversary event </w:t>
      </w:r>
      <w:r w:rsidR="00FC11E9" w:rsidRPr="00685BB1">
        <w:t>and</w:t>
      </w:r>
      <w:r w:rsidR="00F25814" w:rsidRPr="00685BB1">
        <w:t xml:space="preserve"> </w:t>
      </w:r>
      <w:r w:rsidR="00BD68E9" w:rsidRPr="00685BB1">
        <w:t xml:space="preserve">all the speakers </w:t>
      </w:r>
      <w:r w:rsidR="00C14D98" w:rsidRPr="00685BB1">
        <w:t xml:space="preserve">and asked that the presentations be made available on </w:t>
      </w:r>
      <w:r w:rsidR="00F87807" w:rsidRPr="00685BB1">
        <w:t xml:space="preserve">the </w:t>
      </w:r>
      <w:r w:rsidR="005427A7" w:rsidRPr="00685BB1">
        <w:t>meeting</w:t>
      </w:r>
      <w:r w:rsidR="00C14D98" w:rsidRPr="00685BB1">
        <w:t xml:space="preserve"> web</w:t>
      </w:r>
      <w:r w:rsidR="00F87807" w:rsidRPr="00685BB1">
        <w:t xml:space="preserve"> </w:t>
      </w:r>
      <w:r w:rsidR="00C14D98" w:rsidRPr="00685BB1">
        <w:t>page.</w:t>
      </w:r>
    </w:p>
    <w:p w14:paraId="3D4DE0D6" w14:textId="77777777" w:rsidR="00AF09B7" w:rsidRPr="00685BB1" w:rsidRDefault="00AF09B7" w:rsidP="000822FB">
      <w:pPr>
        <w:pStyle w:val="HChG"/>
      </w:pPr>
      <w:r w:rsidRPr="00685BB1">
        <w:tab/>
        <w:t>VI.</w:t>
      </w:r>
      <w:r w:rsidRPr="00685BB1">
        <w:tab/>
        <w:t xml:space="preserve">Statements by ministers </w:t>
      </w:r>
      <w:r w:rsidRPr="000822FB">
        <w:t>and</w:t>
      </w:r>
      <w:r w:rsidRPr="00685BB1">
        <w:t xml:space="preserve"> high-level representatives</w:t>
      </w:r>
    </w:p>
    <w:p w14:paraId="6FB7589E" w14:textId="14C7F383" w:rsidR="00AF09B7" w:rsidRPr="00685BB1" w:rsidRDefault="00AF09B7" w:rsidP="000822FB">
      <w:pPr>
        <w:pStyle w:val="SingleTxtG"/>
      </w:pPr>
      <w:r w:rsidRPr="00685BB1">
        <w:t>4</w:t>
      </w:r>
      <w:r w:rsidR="00B0229D" w:rsidRPr="00685BB1">
        <w:t>2</w:t>
      </w:r>
      <w:r w:rsidRPr="00685BB1">
        <w:t>.</w:t>
      </w:r>
      <w:r w:rsidRPr="00685BB1">
        <w:tab/>
        <w:t>At the high-level segment</w:t>
      </w:r>
      <w:r w:rsidR="00CF7DBA" w:rsidRPr="00685BB1">
        <w:t>,</w:t>
      </w:r>
      <w:r w:rsidRPr="00685BB1">
        <w:t xml:space="preserve"> the </w:t>
      </w:r>
      <w:r w:rsidR="00F24397" w:rsidRPr="00685BB1">
        <w:t xml:space="preserve">delegations of the </w:t>
      </w:r>
      <w:r w:rsidRPr="00685BB1">
        <w:t xml:space="preserve">following </w:t>
      </w:r>
      <w:r w:rsidR="00626213" w:rsidRPr="00685BB1">
        <w:t>countr</w:t>
      </w:r>
      <w:r w:rsidR="00F24397" w:rsidRPr="00685BB1">
        <w:t>ies</w:t>
      </w:r>
      <w:r w:rsidRPr="00685BB1">
        <w:t xml:space="preserve"> made statements: A</w:t>
      </w:r>
      <w:r w:rsidR="00B84FA2" w:rsidRPr="00685BB1">
        <w:t xml:space="preserve">rmenia, Azerbaijan, </w:t>
      </w:r>
      <w:r w:rsidR="00A86F74" w:rsidRPr="00685BB1">
        <w:t xml:space="preserve">Belarus, </w:t>
      </w:r>
      <w:r w:rsidR="00FF694E" w:rsidRPr="00685BB1">
        <w:t xml:space="preserve">Greece, </w:t>
      </w:r>
      <w:r w:rsidR="00626213" w:rsidRPr="00685BB1">
        <w:t xml:space="preserve">Italy, </w:t>
      </w:r>
      <w:r w:rsidRPr="00685BB1">
        <w:t xml:space="preserve">Lithuania, Norway, </w:t>
      </w:r>
      <w:r w:rsidR="00194947" w:rsidRPr="00685BB1">
        <w:t>S</w:t>
      </w:r>
      <w:r w:rsidRPr="00685BB1">
        <w:t>lovakia</w:t>
      </w:r>
      <w:r w:rsidR="00FF694E" w:rsidRPr="00685BB1">
        <w:t>, Slovenia and Ukraine</w:t>
      </w:r>
      <w:r w:rsidRPr="00685BB1">
        <w:t xml:space="preserve">. </w:t>
      </w:r>
      <w:r w:rsidR="0065050B" w:rsidRPr="00685BB1">
        <w:t xml:space="preserve">In addition, </w:t>
      </w:r>
      <w:r w:rsidR="000A6EE2" w:rsidRPr="000A6EE2">
        <w:t xml:space="preserve">the European Commissioner for Environment, Oceans and Fisheries and a </w:t>
      </w:r>
      <w:r w:rsidR="003033DB" w:rsidRPr="00685BB1">
        <w:t xml:space="preserve">representative of </w:t>
      </w:r>
      <w:r w:rsidR="0065050B" w:rsidRPr="00685BB1">
        <w:t xml:space="preserve">Germany </w:t>
      </w:r>
      <w:r w:rsidR="003033DB" w:rsidRPr="00685BB1">
        <w:t xml:space="preserve">spoke </w:t>
      </w:r>
      <w:r w:rsidR="0065050B" w:rsidRPr="00685BB1">
        <w:t xml:space="preserve">on behalf of the European Union and its </w:t>
      </w:r>
      <w:r w:rsidR="00F24397" w:rsidRPr="00685BB1">
        <w:t>m</w:t>
      </w:r>
      <w:r w:rsidR="0065050B" w:rsidRPr="00685BB1">
        <w:t>ember States</w:t>
      </w:r>
      <w:r w:rsidR="003033DB" w:rsidRPr="00685BB1">
        <w:t xml:space="preserve">. </w:t>
      </w:r>
      <w:r w:rsidRPr="00685BB1">
        <w:t>The head</w:t>
      </w:r>
      <w:r w:rsidR="0065050B" w:rsidRPr="00685BB1">
        <w:t>s</w:t>
      </w:r>
      <w:r w:rsidRPr="00685BB1">
        <w:t xml:space="preserve"> of </w:t>
      </w:r>
      <w:r w:rsidR="00CF7DBA" w:rsidRPr="00685BB1">
        <w:t>the</w:t>
      </w:r>
      <w:r w:rsidR="00D40287" w:rsidRPr="00685BB1">
        <w:t xml:space="preserve"> delegations of </w:t>
      </w:r>
      <w:r w:rsidR="00F24397" w:rsidRPr="00685BB1">
        <w:t xml:space="preserve">the </w:t>
      </w:r>
      <w:r w:rsidR="00D40287" w:rsidRPr="00685BB1">
        <w:t>International Atomic Energy Agency</w:t>
      </w:r>
      <w:r w:rsidR="00991E7A" w:rsidRPr="00685BB1">
        <w:t xml:space="preserve">, </w:t>
      </w:r>
      <w:r w:rsidR="00FE3C27" w:rsidRPr="00685BB1">
        <w:t xml:space="preserve">OSCE and </w:t>
      </w:r>
      <w:r w:rsidR="00CF7DBA" w:rsidRPr="00685BB1">
        <w:t xml:space="preserve">WHO </w:t>
      </w:r>
      <w:r w:rsidRPr="00685BB1">
        <w:t>also made statement</w:t>
      </w:r>
      <w:r w:rsidR="00F24397" w:rsidRPr="00685BB1">
        <w:t>s</w:t>
      </w:r>
      <w:r w:rsidRPr="00685BB1">
        <w:t xml:space="preserve">. The Meetings of the Parties asked that the statements be made available on the website of the Convention, </w:t>
      </w:r>
      <w:r w:rsidR="00AB0D27" w:rsidRPr="00685BB1">
        <w:t xml:space="preserve">subject to </w:t>
      </w:r>
      <w:r w:rsidRPr="00685BB1">
        <w:t xml:space="preserve">agreement </w:t>
      </w:r>
      <w:r w:rsidR="00AB0D27" w:rsidRPr="00685BB1">
        <w:t>by</w:t>
      </w:r>
      <w:r w:rsidRPr="00685BB1">
        <w:t xml:space="preserve"> the delegation</w:t>
      </w:r>
      <w:r w:rsidR="00AB0D27" w:rsidRPr="00685BB1">
        <w:t>s concerned</w:t>
      </w:r>
      <w:r w:rsidRPr="00685BB1">
        <w:t>.</w:t>
      </w:r>
    </w:p>
    <w:p w14:paraId="67CF8E4C" w14:textId="770ABADE" w:rsidR="00AF09B7" w:rsidRPr="00685BB1" w:rsidRDefault="00AF09B7" w:rsidP="000822FB">
      <w:pPr>
        <w:pStyle w:val="HChG"/>
      </w:pPr>
      <w:r w:rsidRPr="00685BB1">
        <w:tab/>
        <w:t>VII.</w:t>
      </w:r>
      <w:r w:rsidRPr="00685BB1">
        <w:tab/>
        <w:t xml:space="preserve">Adoption of decisions </w:t>
      </w:r>
      <w:r w:rsidR="00A541E8" w:rsidRPr="00685BB1">
        <w:t>and the Vilnius Declaration</w:t>
      </w:r>
    </w:p>
    <w:p w14:paraId="3D7BA0CB" w14:textId="492FD21E" w:rsidR="00AF09B7" w:rsidRPr="00685BB1" w:rsidRDefault="00AF09B7" w:rsidP="000822FB">
      <w:pPr>
        <w:pStyle w:val="SingleTxtG"/>
      </w:pPr>
      <w:r w:rsidRPr="00685BB1">
        <w:t>4</w:t>
      </w:r>
      <w:r w:rsidR="00B0229D" w:rsidRPr="00685BB1">
        <w:t>3</w:t>
      </w:r>
      <w:r w:rsidRPr="00685BB1">
        <w:t>.</w:t>
      </w:r>
      <w:r w:rsidRPr="00685BB1">
        <w:tab/>
        <w:t xml:space="preserve">Having reviewed the changes agreed </w:t>
      </w:r>
      <w:r w:rsidR="00CF7DBA" w:rsidRPr="00685BB1">
        <w:t xml:space="preserve">on </w:t>
      </w:r>
      <w:r w:rsidRPr="00685BB1">
        <w:t>earlier in the sessions, the Meeting</w:t>
      </w:r>
      <w:r w:rsidR="001C1AC9" w:rsidRPr="00685BB1">
        <w:t>s</w:t>
      </w:r>
      <w:r w:rsidRPr="00685BB1">
        <w:t xml:space="preserve"> of the Parties proceeded with the adoption of </w:t>
      </w:r>
      <w:r w:rsidR="00DF3C79" w:rsidRPr="00685BB1">
        <w:t>d</w:t>
      </w:r>
      <w:r w:rsidRPr="00685BB1">
        <w:t>ecisions</w:t>
      </w:r>
      <w:r w:rsidR="00DF3C79" w:rsidRPr="00685BB1">
        <w:t xml:space="preserve"> and a declaration</w:t>
      </w:r>
      <w:r w:rsidRPr="00685BB1">
        <w:t xml:space="preserve">. </w:t>
      </w:r>
    </w:p>
    <w:p w14:paraId="4AD4588C" w14:textId="0701CD83" w:rsidR="00AF09B7" w:rsidRPr="00685BB1" w:rsidRDefault="00AF09B7" w:rsidP="000822FB">
      <w:pPr>
        <w:pStyle w:val="SingleTxtG"/>
      </w:pPr>
      <w:r w:rsidRPr="00685BB1">
        <w:t>4</w:t>
      </w:r>
      <w:r w:rsidR="00B0229D" w:rsidRPr="00685BB1">
        <w:t>4</w:t>
      </w:r>
      <w:r w:rsidRPr="00685BB1">
        <w:t>.</w:t>
      </w:r>
      <w:r w:rsidRPr="00685BB1">
        <w:tab/>
        <w:t>The Meeting</w:t>
      </w:r>
      <w:r w:rsidR="0038546E" w:rsidRPr="00685BB1">
        <w:t>s</w:t>
      </w:r>
      <w:r w:rsidRPr="00685BB1">
        <w:t xml:space="preserve"> of the Parties </w:t>
      </w:r>
      <w:r w:rsidR="0038546E" w:rsidRPr="000822FB">
        <w:t>jointly</w:t>
      </w:r>
      <w:r w:rsidR="0038546E" w:rsidRPr="00685BB1">
        <w:t xml:space="preserve"> </w:t>
      </w:r>
      <w:r w:rsidRPr="00685BB1">
        <w:t xml:space="preserve">adopted the </w:t>
      </w:r>
      <w:r w:rsidR="00DF3C79" w:rsidRPr="00685BB1">
        <w:t xml:space="preserve">Vilnius </w:t>
      </w:r>
      <w:r w:rsidR="000F6CF4" w:rsidRPr="00685BB1">
        <w:t>D</w:t>
      </w:r>
      <w:r w:rsidR="00DF3C79" w:rsidRPr="00685BB1">
        <w:t xml:space="preserve">eclaration and </w:t>
      </w:r>
      <w:r w:rsidR="000F6CF4" w:rsidRPr="00685BB1">
        <w:t xml:space="preserve">the </w:t>
      </w:r>
      <w:r w:rsidRPr="00685BB1">
        <w:t>following decisions:</w:t>
      </w:r>
    </w:p>
    <w:p w14:paraId="494FA2D0" w14:textId="641283D4" w:rsidR="00B10502" w:rsidRPr="00685BB1" w:rsidRDefault="00B10502" w:rsidP="000822FB">
      <w:pPr>
        <w:pStyle w:val="SingleTxtG"/>
        <w:ind w:firstLine="567"/>
      </w:pPr>
      <w:r w:rsidRPr="00685BB1">
        <w:t>(a)</w:t>
      </w:r>
      <w:r w:rsidRPr="00685BB1">
        <w:tab/>
        <w:t>Decision on financial arrangements for 2021–2023 (VIII/1–IV/1);</w:t>
      </w:r>
    </w:p>
    <w:p w14:paraId="0F25F0DD" w14:textId="3558522E" w:rsidR="00B10502" w:rsidRPr="00685BB1" w:rsidRDefault="00B10502" w:rsidP="000822FB">
      <w:pPr>
        <w:pStyle w:val="SingleTxtG"/>
        <w:ind w:firstLine="567"/>
      </w:pPr>
      <w:r w:rsidRPr="00685BB1">
        <w:t>(b)</w:t>
      </w:r>
      <w:r w:rsidRPr="00685BB1">
        <w:tab/>
        <w:t xml:space="preserve">Decision on the adoption </w:t>
      </w:r>
      <w:r w:rsidRPr="000822FB">
        <w:t>of</w:t>
      </w:r>
      <w:r w:rsidRPr="00685BB1">
        <w:t xml:space="preserve"> the workplan (VIII/2–IV/2);</w:t>
      </w:r>
    </w:p>
    <w:p w14:paraId="66D4123A" w14:textId="18557359" w:rsidR="00A579CD" w:rsidRPr="00685BB1" w:rsidRDefault="00B10502" w:rsidP="000822FB">
      <w:pPr>
        <w:pStyle w:val="SingleTxtG"/>
        <w:ind w:firstLine="567"/>
      </w:pPr>
      <w:r w:rsidRPr="00685BB1">
        <w:t>(c)</w:t>
      </w:r>
      <w:r w:rsidRPr="00685BB1">
        <w:tab/>
        <w:t xml:space="preserve">Decision on </w:t>
      </w:r>
      <w:r w:rsidRPr="000822FB">
        <w:t>the</w:t>
      </w:r>
      <w:r w:rsidRPr="00685BB1">
        <w:t xml:space="preserve"> long term-strategy and the action plan for the Convention and its Protocol (VIII/3–IV/3).</w:t>
      </w:r>
    </w:p>
    <w:p w14:paraId="2BA3A62B" w14:textId="0168558A" w:rsidR="00474E8E" w:rsidRPr="00685BB1" w:rsidRDefault="00E22CD2" w:rsidP="000822FB">
      <w:pPr>
        <w:pStyle w:val="SingleTxtG"/>
      </w:pPr>
      <w:r w:rsidRPr="00685BB1">
        <w:t>4</w:t>
      </w:r>
      <w:r w:rsidR="00B0229D" w:rsidRPr="00685BB1">
        <w:t>5</w:t>
      </w:r>
      <w:r w:rsidRPr="00685BB1">
        <w:t>.</w:t>
      </w:r>
      <w:r w:rsidRPr="00685BB1">
        <w:tab/>
      </w:r>
      <w:r w:rsidR="00F90F46" w:rsidRPr="00685BB1">
        <w:t>The Meeting of the Parties to the Convention adopted the following decisions:</w:t>
      </w:r>
    </w:p>
    <w:p w14:paraId="3248A585" w14:textId="2136DF7F" w:rsidR="000D7237" w:rsidRPr="00685BB1" w:rsidRDefault="000D7237" w:rsidP="000822FB">
      <w:pPr>
        <w:pStyle w:val="SingleTxtG"/>
        <w:ind w:firstLine="567"/>
      </w:pPr>
      <w:r w:rsidRPr="00685BB1">
        <w:t>(a)</w:t>
      </w:r>
      <w:r w:rsidRPr="00685BB1">
        <w:tab/>
        <w:t xml:space="preserve">Decisions on the </w:t>
      </w:r>
      <w:r w:rsidRPr="000822FB">
        <w:t>review</w:t>
      </w:r>
      <w:r w:rsidRPr="00685BB1">
        <w:t xml:space="preserve"> of compliance with the Convention (VIII/4 and VIII/4 a–e);</w:t>
      </w:r>
    </w:p>
    <w:p w14:paraId="2802ADC5" w14:textId="5128CD86" w:rsidR="000D7237" w:rsidRPr="00685BB1" w:rsidRDefault="000D7237" w:rsidP="000822FB">
      <w:pPr>
        <w:pStyle w:val="SingleTxtG"/>
        <w:ind w:firstLine="567"/>
      </w:pPr>
      <w:r w:rsidRPr="00685BB1">
        <w:t>(b)</w:t>
      </w:r>
      <w:r w:rsidRPr="00685BB1">
        <w:tab/>
        <w:t>Decision on reporting and review of implementation of the Convention (VIII/5);</w:t>
      </w:r>
    </w:p>
    <w:p w14:paraId="33EE9B8D" w14:textId="256164F9" w:rsidR="00661D0D" w:rsidRPr="00685BB1" w:rsidRDefault="000D7237" w:rsidP="000822FB">
      <w:pPr>
        <w:pStyle w:val="SingleTxtG"/>
        <w:ind w:firstLine="567"/>
      </w:pPr>
      <w:r w:rsidRPr="00685BB1">
        <w:t>(c)</w:t>
      </w:r>
      <w:r w:rsidRPr="00685BB1">
        <w:tab/>
        <w:t xml:space="preserve">Decision on </w:t>
      </w:r>
      <w:r w:rsidRPr="000822FB">
        <w:t>the</w:t>
      </w:r>
      <w:r w:rsidRPr="00685BB1">
        <w:t xml:space="preserve"> applicability of the Convention to the lifetime extension of nuclear power plants (VIII/6).</w:t>
      </w:r>
    </w:p>
    <w:p w14:paraId="3D4B35AB" w14:textId="4D68E9B2" w:rsidR="00474E8E" w:rsidRPr="00685BB1" w:rsidRDefault="00981C71" w:rsidP="000822FB">
      <w:pPr>
        <w:pStyle w:val="SingleTxtG"/>
      </w:pPr>
      <w:r w:rsidRPr="00685BB1">
        <w:t>4</w:t>
      </w:r>
      <w:r w:rsidR="00B0229D" w:rsidRPr="00685BB1">
        <w:t>6</w:t>
      </w:r>
      <w:r w:rsidRPr="00685BB1">
        <w:t>.</w:t>
      </w:r>
      <w:r w:rsidRPr="00685BB1">
        <w:tab/>
      </w:r>
      <w:r w:rsidR="00D008C0" w:rsidRPr="00685BB1">
        <w:t xml:space="preserve">The Meeting of the </w:t>
      </w:r>
      <w:r w:rsidR="00D008C0" w:rsidRPr="000822FB">
        <w:t>Parties</w:t>
      </w:r>
      <w:r w:rsidR="00D008C0" w:rsidRPr="00685BB1">
        <w:t xml:space="preserve"> to the Protocol adopted the following decisions:</w:t>
      </w:r>
    </w:p>
    <w:p w14:paraId="246B3290" w14:textId="246B6F63" w:rsidR="00B045DB" w:rsidRPr="00685BB1" w:rsidRDefault="00B045DB" w:rsidP="000822FB">
      <w:pPr>
        <w:pStyle w:val="SingleTxtG"/>
        <w:ind w:firstLine="567"/>
      </w:pPr>
      <w:r w:rsidRPr="00685BB1">
        <w:t>(a)</w:t>
      </w:r>
      <w:r w:rsidRPr="00685BB1">
        <w:tab/>
        <w:t xml:space="preserve">Decision on general </w:t>
      </w:r>
      <w:r w:rsidRPr="000822FB">
        <w:t>issues</w:t>
      </w:r>
      <w:r w:rsidRPr="00685BB1">
        <w:t xml:space="preserve"> of compliance with the Protocol (IV/4);</w:t>
      </w:r>
    </w:p>
    <w:p w14:paraId="2DCF52A2" w14:textId="4CDA2AFA" w:rsidR="00B045DB" w:rsidRPr="00685BB1" w:rsidRDefault="00B045DB" w:rsidP="000822FB">
      <w:pPr>
        <w:pStyle w:val="SingleTxtG"/>
        <w:ind w:firstLine="567"/>
      </w:pPr>
      <w:r w:rsidRPr="00685BB1">
        <w:t>(b)</w:t>
      </w:r>
      <w:r w:rsidRPr="00685BB1">
        <w:tab/>
        <w:t>Decision on reporting and review of implementation of the Protocol (IV/5).</w:t>
      </w:r>
    </w:p>
    <w:p w14:paraId="22C03B08" w14:textId="531DD2E3" w:rsidR="00AF09B7" w:rsidRPr="00685BB1" w:rsidRDefault="00AF09B7" w:rsidP="000822FB">
      <w:pPr>
        <w:pStyle w:val="HChG"/>
      </w:pPr>
      <w:r w:rsidRPr="00685BB1">
        <w:tab/>
        <w:t>VIII.</w:t>
      </w:r>
      <w:r w:rsidRPr="00685BB1">
        <w:tab/>
        <w:t xml:space="preserve">Election of </w:t>
      </w:r>
      <w:r w:rsidR="00A541E8" w:rsidRPr="00685BB1">
        <w:t>officers for the next intersessional period</w:t>
      </w:r>
    </w:p>
    <w:p w14:paraId="43A56A96" w14:textId="35910CED" w:rsidR="00AF09B7" w:rsidRPr="00685BB1" w:rsidRDefault="00BD68F4" w:rsidP="000822FB">
      <w:pPr>
        <w:pStyle w:val="SingleTxtG"/>
      </w:pPr>
      <w:r w:rsidRPr="00685BB1">
        <w:tab/>
      </w:r>
      <w:r w:rsidR="00D3410D" w:rsidRPr="00685BB1">
        <w:t>4</w:t>
      </w:r>
      <w:r w:rsidR="00B0229D" w:rsidRPr="00685BB1">
        <w:t>7</w:t>
      </w:r>
      <w:r w:rsidR="00D3410D" w:rsidRPr="00685BB1">
        <w:t>.</w:t>
      </w:r>
      <w:r w:rsidR="00AF09B7" w:rsidRPr="00685BB1">
        <w:tab/>
      </w:r>
      <w:r w:rsidR="008C29B7" w:rsidRPr="00685BB1">
        <w:t xml:space="preserve">The Meetings of the Parties </w:t>
      </w:r>
      <w:r w:rsidR="00791787" w:rsidRPr="00685BB1">
        <w:t xml:space="preserve">thanked the outgoing </w:t>
      </w:r>
      <w:r w:rsidR="00941939" w:rsidRPr="00685BB1">
        <w:t>Chairs and members of the treaty bodies</w:t>
      </w:r>
      <w:r w:rsidR="000F6CF4" w:rsidRPr="00685BB1">
        <w:t>,</w:t>
      </w:r>
      <w:r w:rsidR="00941939" w:rsidRPr="00685BB1">
        <w:t xml:space="preserve"> and </w:t>
      </w:r>
      <w:r w:rsidR="008C29B7" w:rsidRPr="00685BB1">
        <w:t xml:space="preserve">elected </w:t>
      </w:r>
      <w:r w:rsidR="004E788E" w:rsidRPr="00685BB1">
        <w:t xml:space="preserve">the following </w:t>
      </w:r>
      <w:r w:rsidR="008C29B7" w:rsidRPr="00685BB1">
        <w:t>officers for the next intersessional period</w:t>
      </w:r>
      <w:r w:rsidR="00D60C6B" w:rsidRPr="00685BB1">
        <w:t>:</w:t>
      </w:r>
    </w:p>
    <w:p w14:paraId="4C476331" w14:textId="18A9ABB4" w:rsidR="00344F3E" w:rsidRPr="00685BB1" w:rsidRDefault="00D60C6B" w:rsidP="000822FB">
      <w:pPr>
        <w:pStyle w:val="SingleTxtG"/>
        <w:ind w:firstLine="567"/>
      </w:pPr>
      <w:r w:rsidRPr="00685BB1">
        <w:t>(a)</w:t>
      </w:r>
      <w:r w:rsidRPr="00685BB1">
        <w:tab/>
        <w:t>M</w:t>
      </w:r>
      <w:r w:rsidR="00157F28" w:rsidRPr="00685BB1">
        <w:t xml:space="preserve">s. </w:t>
      </w:r>
      <w:r w:rsidR="00CC6914" w:rsidRPr="00685BB1">
        <w:t xml:space="preserve">Dorota </w:t>
      </w:r>
      <w:proofErr w:type="spellStart"/>
      <w:r w:rsidR="00CC6914" w:rsidRPr="00685BB1">
        <w:t>Toryfter-Szuma</w:t>
      </w:r>
      <w:r w:rsidR="009108DE" w:rsidRPr="00685BB1">
        <w:t>ń</w:t>
      </w:r>
      <w:r w:rsidR="00CC6914" w:rsidRPr="00685BB1">
        <w:t>ska</w:t>
      </w:r>
      <w:proofErr w:type="spellEnd"/>
      <w:r w:rsidR="00CC6914" w:rsidRPr="00685BB1">
        <w:t xml:space="preserve"> (Poland) </w:t>
      </w:r>
      <w:r w:rsidR="00157F28" w:rsidRPr="00685BB1">
        <w:t xml:space="preserve">as Chair of the Working Group on Environmental Impact Assessment and Strategic Environmental Assessment and Ms. </w:t>
      </w:r>
      <w:r w:rsidR="006649CC" w:rsidRPr="00685BB1">
        <w:rPr>
          <w:color w:val="000000"/>
        </w:rPr>
        <w:t xml:space="preserve">Larissa </w:t>
      </w:r>
      <w:proofErr w:type="spellStart"/>
      <w:r w:rsidR="006649CC" w:rsidRPr="00685BB1">
        <w:rPr>
          <w:color w:val="000000"/>
        </w:rPr>
        <w:t>Lukina</w:t>
      </w:r>
      <w:proofErr w:type="spellEnd"/>
      <w:r w:rsidR="006649CC" w:rsidRPr="00685BB1">
        <w:t xml:space="preserve"> </w:t>
      </w:r>
      <w:r w:rsidR="00157F28" w:rsidRPr="00685BB1">
        <w:t xml:space="preserve">(Belarus) and Ms. </w:t>
      </w:r>
      <w:r w:rsidR="0042664C" w:rsidRPr="00685BB1">
        <w:rPr>
          <w:color w:val="000000"/>
        </w:rPr>
        <w:t>Anna Maria Maggiore</w:t>
      </w:r>
      <w:r w:rsidR="0042664C" w:rsidRPr="00685BB1">
        <w:t xml:space="preserve"> </w:t>
      </w:r>
      <w:r w:rsidR="00157F28" w:rsidRPr="00685BB1">
        <w:t>(</w:t>
      </w:r>
      <w:r w:rsidR="0042664C" w:rsidRPr="00685BB1">
        <w:t>Italy</w:t>
      </w:r>
      <w:r w:rsidR="00157F28" w:rsidRPr="00685BB1">
        <w:t>) as Vice-Chairs</w:t>
      </w:r>
      <w:r w:rsidR="00B6109C" w:rsidRPr="00685BB1">
        <w:t>;</w:t>
      </w:r>
    </w:p>
    <w:p w14:paraId="505667F1" w14:textId="402CD66E" w:rsidR="00B97C5E" w:rsidRPr="00685BB1" w:rsidRDefault="00D60C6B" w:rsidP="000822FB">
      <w:pPr>
        <w:pStyle w:val="SingleTxtG"/>
        <w:ind w:firstLine="567"/>
      </w:pPr>
      <w:r w:rsidRPr="00685BB1">
        <w:lastRenderedPageBreak/>
        <w:t>(b)</w:t>
      </w:r>
      <w:r w:rsidRPr="00685BB1">
        <w:tab/>
      </w:r>
      <w:r w:rsidR="001044DF" w:rsidRPr="00685BB1">
        <w:t xml:space="preserve">Mr. </w:t>
      </w:r>
      <w:proofErr w:type="spellStart"/>
      <w:r w:rsidR="001044DF" w:rsidRPr="00685BB1">
        <w:t>Kremlis</w:t>
      </w:r>
      <w:proofErr w:type="spellEnd"/>
      <w:r w:rsidR="001044DF" w:rsidRPr="00685BB1">
        <w:t xml:space="preserve"> (</w:t>
      </w:r>
      <w:r w:rsidR="00301BB9" w:rsidRPr="00685BB1">
        <w:t>Greece</w:t>
      </w:r>
      <w:r w:rsidR="001044DF" w:rsidRPr="00685BB1">
        <w:t>) as the Chair of the Bureau,</w:t>
      </w:r>
      <w:r w:rsidR="00301BB9" w:rsidRPr="00685BB1">
        <w:t xml:space="preserve"> and </w:t>
      </w:r>
      <w:r w:rsidR="006E16C9" w:rsidRPr="00685BB1">
        <w:t xml:space="preserve">Ms. </w:t>
      </w:r>
      <w:r w:rsidR="00301BB9" w:rsidRPr="00685BB1">
        <w:t>Vesna Kolar-</w:t>
      </w:r>
      <w:proofErr w:type="spellStart"/>
      <w:r w:rsidR="00301BB9" w:rsidRPr="00685BB1">
        <w:t>Planinšič</w:t>
      </w:r>
      <w:proofErr w:type="spellEnd"/>
      <w:r w:rsidR="00301BB9" w:rsidRPr="00685BB1">
        <w:t xml:space="preserve"> (Slovenia) as his alternate </w:t>
      </w:r>
      <w:r w:rsidR="00DE1555" w:rsidRPr="00685BB1">
        <w:t xml:space="preserve">for Protocol matters. </w:t>
      </w:r>
      <w:r w:rsidR="00FE04E0" w:rsidRPr="00685BB1">
        <w:t xml:space="preserve">As members </w:t>
      </w:r>
      <w:r w:rsidR="00B97C5E" w:rsidRPr="00685BB1">
        <w:t xml:space="preserve">or </w:t>
      </w:r>
      <w:r w:rsidR="00FE04E0" w:rsidRPr="00685BB1">
        <w:t xml:space="preserve">Vice-Chairs of the Bureau, the Meetings </w:t>
      </w:r>
      <w:r w:rsidR="00983202" w:rsidRPr="00685BB1">
        <w:t xml:space="preserve">elected </w:t>
      </w:r>
      <w:r w:rsidR="007C5E75" w:rsidRPr="00685BB1">
        <w:t xml:space="preserve">Ms. Milena </w:t>
      </w:r>
      <w:proofErr w:type="spellStart"/>
      <w:r w:rsidR="007C5E75" w:rsidRPr="00685BB1">
        <w:t>Novakova</w:t>
      </w:r>
      <w:proofErr w:type="spellEnd"/>
      <w:r w:rsidR="007C5E75" w:rsidRPr="00685BB1">
        <w:t xml:space="preserve"> (European Commission) and </w:t>
      </w:r>
      <w:r w:rsidR="006E16C9" w:rsidRPr="00685BB1">
        <w:t xml:space="preserve">Ms. Martine </w:t>
      </w:r>
      <w:proofErr w:type="spellStart"/>
      <w:r w:rsidR="006E16C9" w:rsidRPr="00685BB1">
        <w:t>Rohn</w:t>
      </w:r>
      <w:proofErr w:type="spellEnd"/>
      <w:r w:rsidR="006E16C9" w:rsidRPr="00685BB1">
        <w:t>-Brossard (</w:t>
      </w:r>
      <w:r w:rsidR="006E16C9" w:rsidRPr="000822FB">
        <w:t>Switzerland</w:t>
      </w:r>
      <w:r w:rsidR="006E16C9" w:rsidRPr="00685BB1">
        <w:t>)</w:t>
      </w:r>
      <w:r w:rsidR="007C5E75" w:rsidRPr="00685BB1">
        <w:t xml:space="preserve"> and </w:t>
      </w:r>
      <w:r w:rsidR="00426B7E" w:rsidRPr="00685BB1">
        <w:t xml:space="preserve">Ms. </w:t>
      </w:r>
      <w:proofErr w:type="spellStart"/>
      <w:r w:rsidR="00426B7E" w:rsidRPr="00685BB1">
        <w:t>Olena</w:t>
      </w:r>
      <w:proofErr w:type="spellEnd"/>
      <w:r w:rsidR="00426B7E" w:rsidRPr="00685BB1">
        <w:t xml:space="preserve"> </w:t>
      </w:r>
      <w:proofErr w:type="spellStart"/>
      <w:r w:rsidR="00426B7E" w:rsidRPr="00685BB1">
        <w:t>Miskun</w:t>
      </w:r>
      <w:proofErr w:type="spellEnd"/>
      <w:r w:rsidR="00426B7E" w:rsidRPr="00685BB1">
        <w:t xml:space="preserve"> (Ukraine) as alternate to </w:t>
      </w:r>
      <w:r w:rsidR="00B97C5E" w:rsidRPr="00685BB1">
        <w:t xml:space="preserve">Ms. </w:t>
      </w:r>
      <w:proofErr w:type="spellStart"/>
      <w:r w:rsidR="00B97C5E" w:rsidRPr="00685BB1">
        <w:t>Rohn</w:t>
      </w:r>
      <w:proofErr w:type="spellEnd"/>
      <w:r w:rsidR="00B97C5E" w:rsidRPr="00685BB1">
        <w:t>-Brossard for Protocol matters</w:t>
      </w:r>
      <w:r w:rsidR="009C27B1" w:rsidRPr="00685BB1">
        <w:t xml:space="preserve">. </w:t>
      </w:r>
      <w:r w:rsidR="007A2330" w:rsidRPr="00685BB1">
        <w:t>As in the past, t</w:t>
      </w:r>
      <w:r w:rsidR="00B97C5E" w:rsidRPr="00685BB1">
        <w:t>he Chair and the Vice-Chairs of the Working Group and the Chair and first Vice-Chair of the Implementation Committee</w:t>
      </w:r>
      <w:r w:rsidR="009C27B1" w:rsidRPr="00685BB1">
        <w:t xml:space="preserve"> would also </w:t>
      </w:r>
      <w:r w:rsidR="007A2330" w:rsidRPr="00685BB1">
        <w:t>serve in the Bureau</w:t>
      </w:r>
      <w:r w:rsidR="00B6109C" w:rsidRPr="00685BB1">
        <w:t>;</w:t>
      </w:r>
      <w:r w:rsidR="00B97C5E" w:rsidRPr="00685BB1">
        <w:t xml:space="preserve"> </w:t>
      </w:r>
    </w:p>
    <w:p w14:paraId="0A035BED" w14:textId="0B429324" w:rsidR="00301BB9" w:rsidRPr="00685BB1" w:rsidRDefault="00D60C6B" w:rsidP="000822FB">
      <w:pPr>
        <w:pStyle w:val="SingleTxtG"/>
        <w:ind w:firstLine="567"/>
      </w:pPr>
      <w:r w:rsidRPr="00685BB1">
        <w:t>(c)</w:t>
      </w:r>
      <w:r w:rsidRPr="00685BB1">
        <w:tab/>
        <w:t>F</w:t>
      </w:r>
      <w:r w:rsidR="00E83252" w:rsidRPr="00685BB1">
        <w:t xml:space="preserve">ive </w:t>
      </w:r>
      <w:r w:rsidR="00721080" w:rsidRPr="00685BB1">
        <w:t xml:space="preserve">new members of the Implementation Committee for Convention </w:t>
      </w:r>
      <w:r w:rsidR="00915A06" w:rsidRPr="00685BB1">
        <w:t xml:space="preserve">and Protocol </w:t>
      </w:r>
      <w:r w:rsidR="00721080" w:rsidRPr="00685BB1">
        <w:t xml:space="preserve">matters and their </w:t>
      </w:r>
      <w:r w:rsidR="00721080" w:rsidRPr="000822FB">
        <w:t>alternates</w:t>
      </w:r>
      <w:r w:rsidR="00721080" w:rsidRPr="00685BB1">
        <w:t xml:space="preserve">: </w:t>
      </w:r>
      <w:r w:rsidR="004E6084" w:rsidRPr="00685BB1">
        <w:t xml:space="preserve">Mr. </w:t>
      </w:r>
      <w:r w:rsidR="004E6084" w:rsidRPr="00685BB1">
        <w:rPr>
          <w:bCs/>
          <w:color w:val="000000"/>
        </w:rPr>
        <w:t>Christian Baumgartner and his alternate (to be named later)</w:t>
      </w:r>
      <w:r w:rsidR="007411A9" w:rsidRPr="00685BB1">
        <w:rPr>
          <w:bCs/>
          <w:color w:val="000000"/>
        </w:rPr>
        <w:t xml:space="preserve"> (Austria)</w:t>
      </w:r>
      <w:r w:rsidR="00763010" w:rsidRPr="00685BB1">
        <w:rPr>
          <w:bCs/>
          <w:color w:val="000000"/>
        </w:rPr>
        <w:t>;</w:t>
      </w:r>
      <w:r w:rsidR="004E6084" w:rsidRPr="00685BB1">
        <w:rPr>
          <w:bCs/>
          <w:color w:val="000000"/>
        </w:rPr>
        <w:t xml:space="preserve"> </w:t>
      </w:r>
      <w:r w:rsidR="006E34C8" w:rsidRPr="00685BB1">
        <w:t xml:space="preserve">Mr. Joe </w:t>
      </w:r>
      <w:proofErr w:type="spellStart"/>
      <w:r w:rsidR="006E34C8" w:rsidRPr="00685BB1">
        <w:t>Ducomble</w:t>
      </w:r>
      <w:proofErr w:type="spellEnd"/>
      <w:r w:rsidR="006E34C8" w:rsidRPr="00685BB1">
        <w:t xml:space="preserve"> and his alternate</w:t>
      </w:r>
      <w:r w:rsidR="0027040E" w:rsidRPr="00685BB1">
        <w:t xml:space="preserve"> </w:t>
      </w:r>
      <w:r w:rsidR="00B17983">
        <w:t xml:space="preserve">Ms. </w:t>
      </w:r>
      <w:r w:rsidR="0027040E" w:rsidRPr="00685BB1">
        <w:t>Judith Scheer (Luxembourg)</w:t>
      </w:r>
      <w:r w:rsidR="00763010" w:rsidRPr="00685BB1">
        <w:t>;</w:t>
      </w:r>
      <w:r w:rsidR="00EE5950" w:rsidRPr="00685BB1">
        <w:t xml:space="preserve"> </w:t>
      </w:r>
      <w:r w:rsidR="003C1BC6" w:rsidRPr="00685BB1">
        <w:t xml:space="preserve">Ms. Heidi </w:t>
      </w:r>
      <w:proofErr w:type="spellStart"/>
      <w:r w:rsidR="00C750DF" w:rsidRPr="00685BB1">
        <w:t>Stockhaus</w:t>
      </w:r>
      <w:proofErr w:type="spellEnd"/>
      <w:r w:rsidR="00C750DF" w:rsidRPr="00685BB1">
        <w:t xml:space="preserve"> </w:t>
      </w:r>
      <w:r w:rsidR="00BE5896" w:rsidRPr="00685BB1">
        <w:t>and her alternate Mr. Christo</w:t>
      </w:r>
      <w:r w:rsidR="00DE14EB">
        <w:t>f</w:t>
      </w:r>
      <w:r w:rsidR="00BE5896" w:rsidRPr="00685BB1">
        <w:t xml:space="preserve"> </w:t>
      </w:r>
      <w:proofErr w:type="spellStart"/>
      <w:r w:rsidR="00BE5896" w:rsidRPr="00685BB1">
        <w:t>Sangenstedt</w:t>
      </w:r>
      <w:proofErr w:type="spellEnd"/>
      <w:r w:rsidR="0049580A" w:rsidRPr="00685BB1">
        <w:t xml:space="preserve"> (Germany)</w:t>
      </w:r>
      <w:r w:rsidR="00BE5896" w:rsidRPr="00685BB1">
        <w:t xml:space="preserve">; </w:t>
      </w:r>
      <w:r w:rsidR="00EE5950" w:rsidRPr="00685BB1">
        <w:t>and Ms.</w:t>
      </w:r>
      <w:r w:rsidR="0037034E" w:rsidRPr="00685BB1">
        <w:t xml:space="preserve"> </w:t>
      </w:r>
      <w:proofErr w:type="spellStart"/>
      <w:r w:rsidR="0037034E" w:rsidRPr="00685BB1">
        <w:t>Barbora</w:t>
      </w:r>
      <w:proofErr w:type="spellEnd"/>
      <w:r w:rsidR="0037034E" w:rsidRPr="00685BB1">
        <w:t xml:space="preserve"> </w:t>
      </w:r>
      <w:proofErr w:type="spellStart"/>
      <w:r w:rsidR="0037034E" w:rsidRPr="00685BB1">
        <w:t>Donevová</w:t>
      </w:r>
      <w:proofErr w:type="spellEnd"/>
      <w:r w:rsidR="0037034E" w:rsidRPr="00685BB1">
        <w:t xml:space="preserve"> and her alternate Mr. Roman Skorka</w:t>
      </w:r>
      <w:r w:rsidR="00EE5950" w:rsidRPr="00685BB1">
        <w:t xml:space="preserve"> </w:t>
      </w:r>
      <w:r w:rsidR="0037034E" w:rsidRPr="00685BB1">
        <w:t>(Slovakia)</w:t>
      </w:r>
      <w:r w:rsidR="00B97C5E" w:rsidRPr="00685BB1">
        <w:t>.</w:t>
      </w:r>
      <w:r w:rsidR="00C53E03" w:rsidRPr="00685BB1">
        <w:t xml:space="preserve"> Having already served in the Committee</w:t>
      </w:r>
      <w:r w:rsidR="005F03DF" w:rsidRPr="00685BB1">
        <w:t xml:space="preserve"> for</w:t>
      </w:r>
      <w:r w:rsidR="001616D4" w:rsidRPr="00685BB1">
        <w:t xml:space="preserve"> two terms</w:t>
      </w:r>
      <w:r w:rsidR="00427545" w:rsidRPr="00685BB1">
        <w:t xml:space="preserve">, </w:t>
      </w:r>
      <w:r w:rsidR="000F1D13" w:rsidRPr="00685BB1">
        <w:t xml:space="preserve">Ms. </w:t>
      </w:r>
      <w:proofErr w:type="spellStart"/>
      <w:r w:rsidR="000F1D13" w:rsidRPr="00685BB1">
        <w:t>Zsuzsanna</w:t>
      </w:r>
      <w:proofErr w:type="spellEnd"/>
      <w:r w:rsidR="000F1D13" w:rsidRPr="00685BB1">
        <w:t xml:space="preserve"> </w:t>
      </w:r>
      <w:proofErr w:type="spellStart"/>
      <w:r w:rsidR="000F1D13" w:rsidRPr="00685BB1">
        <w:t>Pocsai</w:t>
      </w:r>
      <w:proofErr w:type="spellEnd"/>
      <w:r w:rsidR="000F1D13" w:rsidRPr="00685BB1">
        <w:t xml:space="preserve"> (Hungary) </w:t>
      </w:r>
      <w:r w:rsidR="001616D4" w:rsidRPr="00685BB1">
        <w:t>was exceptionally re-elected</w:t>
      </w:r>
      <w:r w:rsidR="00ED22A1" w:rsidRPr="00685BB1">
        <w:t xml:space="preserve"> for one </w:t>
      </w:r>
      <w:r w:rsidR="000F1D13" w:rsidRPr="00685BB1">
        <w:t xml:space="preserve">more </w:t>
      </w:r>
      <w:r w:rsidR="00ED22A1" w:rsidRPr="00685BB1">
        <w:t>term.</w:t>
      </w:r>
      <w:r w:rsidR="00884541" w:rsidRPr="00685BB1">
        <w:t xml:space="preserve"> </w:t>
      </w:r>
      <w:r w:rsidR="000F1D13" w:rsidRPr="00685BB1">
        <w:t xml:space="preserve">Her alternate would be nominated later. </w:t>
      </w:r>
      <w:r w:rsidR="00884541" w:rsidRPr="00685BB1">
        <w:t>The</w:t>
      </w:r>
      <w:r w:rsidR="00BD2D03" w:rsidRPr="00685BB1">
        <w:t xml:space="preserve"> newly elected members were to join the </w:t>
      </w:r>
      <w:r w:rsidR="00931EFB" w:rsidRPr="00685BB1">
        <w:t xml:space="preserve">following </w:t>
      </w:r>
      <w:r w:rsidR="00BD2D03" w:rsidRPr="00685BB1">
        <w:t>continuing members of the Committee</w:t>
      </w:r>
      <w:r w:rsidR="00622862" w:rsidRPr="00685BB1">
        <w:t>:</w:t>
      </w:r>
      <w:r w:rsidR="000949A4" w:rsidRPr="00685BB1">
        <w:t xml:space="preserve"> </w:t>
      </w:r>
      <w:r w:rsidR="001E3FC5" w:rsidRPr="00685BB1">
        <w:t>Ms. </w:t>
      </w:r>
      <w:proofErr w:type="spellStart"/>
      <w:r w:rsidR="001E3FC5" w:rsidRPr="00685BB1">
        <w:t>Aysel</w:t>
      </w:r>
      <w:proofErr w:type="spellEnd"/>
      <w:r w:rsidR="001E3FC5" w:rsidRPr="00685BB1">
        <w:t xml:space="preserve"> </w:t>
      </w:r>
      <w:proofErr w:type="spellStart"/>
      <w:r w:rsidR="001E3FC5" w:rsidRPr="00685BB1">
        <w:t>Babayeva</w:t>
      </w:r>
      <w:proofErr w:type="spellEnd"/>
      <w:r w:rsidR="001E3FC5" w:rsidRPr="00685BB1">
        <w:t xml:space="preserve"> (Azerbaijan)</w:t>
      </w:r>
      <w:r w:rsidR="000142E3" w:rsidRPr="00685BB1">
        <w:t>, a Committee member</w:t>
      </w:r>
      <w:r w:rsidR="001E3FC5" w:rsidRPr="00685BB1">
        <w:t xml:space="preserve"> </w:t>
      </w:r>
      <w:r w:rsidR="000142E3" w:rsidRPr="00685BB1">
        <w:t xml:space="preserve">for </w:t>
      </w:r>
      <w:r w:rsidR="00CF50B5" w:rsidRPr="00685BB1">
        <w:t>Convention matters</w:t>
      </w:r>
      <w:r w:rsidR="003F59DA" w:rsidRPr="00685BB1">
        <w:t>,</w:t>
      </w:r>
      <w:r w:rsidR="00CF50B5" w:rsidRPr="00685BB1">
        <w:t xml:space="preserve"> </w:t>
      </w:r>
      <w:r w:rsidR="001E3FC5" w:rsidRPr="00685BB1">
        <w:t xml:space="preserve">and Mr. Lasse </w:t>
      </w:r>
      <w:proofErr w:type="spellStart"/>
      <w:r w:rsidR="001E3FC5" w:rsidRPr="00685BB1">
        <w:t>Tallskog</w:t>
      </w:r>
      <w:proofErr w:type="spellEnd"/>
      <w:r w:rsidR="001E3FC5" w:rsidRPr="00685BB1">
        <w:t xml:space="preserve"> </w:t>
      </w:r>
      <w:r w:rsidR="00CF50B5" w:rsidRPr="00685BB1">
        <w:t xml:space="preserve">(Finland) </w:t>
      </w:r>
      <w:r w:rsidR="008860EB" w:rsidRPr="00685BB1">
        <w:t xml:space="preserve">as </w:t>
      </w:r>
      <w:r w:rsidR="00CF50B5" w:rsidRPr="00685BB1">
        <w:t xml:space="preserve">her </w:t>
      </w:r>
      <w:r w:rsidR="008860EB" w:rsidRPr="00685BB1">
        <w:t xml:space="preserve">alternate for Protocol matters; </w:t>
      </w:r>
      <w:r w:rsidR="00BD68F4" w:rsidRPr="00685BB1">
        <w:t xml:space="preserve">Ms. Maria do </w:t>
      </w:r>
      <w:proofErr w:type="spellStart"/>
      <w:r w:rsidR="00BD68F4" w:rsidRPr="00685BB1">
        <w:t>Carmo</w:t>
      </w:r>
      <w:proofErr w:type="spellEnd"/>
      <w:r w:rsidR="00BD68F4" w:rsidRPr="00685BB1">
        <w:t xml:space="preserve"> </w:t>
      </w:r>
      <w:proofErr w:type="spellStart"/>
      <w:r w:rsidR="00BD68F4" w:rsidRPr="00685BB1">
        <w:t>Figueira</w:t>
      </w:r>
      <w:proofErr w:type="spellEnd"/>
      <w:r w:rsidR="00BD68F4" w:rsidRPr="00685BB1">
        <w:t xml:space="preserve"> (Portugal); </w:t>
      </w:r>
      <w:r w:rsidR="00CF50B5" w:rsidRPr="00685BB1">
        <w:t xml:space="preserve">and </w:t>
      </w:r>
      <w:r w:rsidR="00BD68F4" w:rsidRPr="00685BB1">
        <w:t>Mr. Anders Bengtsson (Sweden)</w:t>
      </w:r>
      <w:r w:rsidR="00CF50B5" w:rsidRPr="00685BB1">
        <w:t>.</w:t>
      </w:r>
      <w:r w:rsidR="008F69AB" w:rsidRPr="00685BB1">
        <w:t xml:space="preserve"> The Committee was to elect its own chair from among its members</w:t>
      </w:r>
      <w:r w:rsidR="0072401A" w:rsidRPr="00685BB1">
        <w:t xml:space="preserve"> </w:t>
      </w:r>
      <w:r w:rsidR="00EC764F" w:rsidRPr="00685BB1">
        <w:t>when it first met in its new composition (</w:t>
      </w:r>
      <w:r w:rsidR="00EE325B" w:rsidRPr="00685BB1">
        <w:t>Geneva (</w:t>
      </w:r>
      <w:r w:rsidR="00931EFB" w:rsidRPr="00685BB1">
        <w:t>online</w:t>
      </w:r>
      <w:r w:rsidR="00EE325B" w:rsidRPr="00685BB1">
        <w:t>)</w:t>
      </w:r>
      <w:r w:rsidR="00931EFB" w:rsidRPr="00685BB1">
        <w:t xml:space="preserve">, </w:t>
      </w:r>
      <w:r w:rsidR="00EC764F" w:rsidRPr="00685BB1">
        <w:t xml:space="preserve">2–5 February 2021). </w:t>
      </w:r>
      <w:r w:rsidR="00941939" w:rsidRPr="00685BB1">
        <w:t>All Parties elected to the Committee that had not</w:t>
      </w:r>
      <w:r w:rsidR="00554E9F" w:rsidRPr="00685BB1">
        <w:t xml:space="preserve"> yet done so were invited to nominate alternate members</w:t>
      </w:r>
      <w:r w:rsidR="00410FBF" w:rsidRPr="00685BB1">
        <w:t xml:space="preserve"> by</w:t>
      </w:r>
      <w:r w:rsidR="00B02494" w:rsidRPr="00685BB1">
        <w:t xml:space="preserve"> th</w:t>
      </w:r>
      <w:r w:rsidR="00CA3852" w:rsidRPr="00685BB1">
        <w:t>at meeting.</w:t>
      </w:r>
    </w:p>
    <w:p w14:paraId="19EA6319" w14:textId="513EFBF1" w:rsidR="00D96CE0" w:rsidRPr="00685BB1" w:rsidRDefault="00D3410D" w:rsidP="000822FB">
      <w:pPr>
        <w:pStyle w:val="SingleTxtG"/>
      </w:pPr>
      <w:r w:rsidRPr="00685BB1">
        <w:t>4</w:t>
      </w:r>
      <w:r w:rsidR="00931EFB" w:rsidRPr="00685BB1">
        <w:t>8</w:t>
      </w:r>
      <w:r w:rsidRPr="00685BB1">
        <w:t>.</w:t>
      </w:r>
      <w:r w:rsidRPr="00685BB1">
        <w:tab/>
      </w:r>
      <w:r w:rsidR="00D96CE0" w:rsidRPr="00685BB1">
        <w:t xml:space="preserve">The </w:t>
      </w:r>
      <w:r w:rsidR="00D96CE0" w:rsidRPr="000822FB">
        <w:t>Meetings</w:t>
      </w:r>
      <w:r w:rsidR="00D96CE0" w:rsidRPr="00685BB1">
        <w:t xml:space="preserve"> </w:t>
      </w:r>
      <w:r w:rsidR="00D60C6B" w:rsidRPr="00685BB1">
        <w:t>of the Parties</w:t>
      </w:r>
      <w:r w:rsidR="000A0E0F" w:rsidRPr="00685BB1">
        <w:t xml:space="preserve"> agreed on election criteria and procedural guidance regarding the Bureau</w:t>
      </w:r>
      <w:r w:rsidR="00DC6043" w:rsidRPr="00685BB1">
        <w:t xml:space="preserve"> and invited the secretariat to </w:t>
      </w:r>
      <w:r w:rsidR="0057523A" w:rsidRPr="00685BB1">
        <w:t>record them in the report</w:t>
      </w:r>
      <w:r w:rsidR="000A0E0F" w:rsidRPr="00685BB1">
        <w:t xml:space="preserve"> </w:t>
      </w:r>
      <w:r w:rsidR="00C63539" w:rsidRPr="00685BB1">
        <w:t>(see annex II</w:t>
      </w:r>
      <w:r w:rsidR="0096011E" w:rsidRPr="00685BB1">
        <w:t xml:space="preserve"> below</w:t>
      </w:r>
      <w:r w:rsidR="00C63539" w:rsidRPr="00685BB1">
        <w:t>).</w:t>
      </w:r>
    </w:p>
    <w:p w14:paraId="25BA6977" w14:textId="5FE7108C" w:rsidR="00AF09B7" w:rsidRPr="00685BB1" w:rsidRDefault="00AF09B7" w:rsidP="000822FB">
      <w:pPr>
        <w:pStyle w:val="HChG"/>
      </w:pPr>
      <w:r w:rsidRPr="00685BB1">
        <w:tab/>
      </w:r>
      <w:r w:rsidR="00A541E8" w:rsidRPr="00685BB1">
        <w:t>I</w:t>
      </w:r>
      <w:r w:rsidRPr="00685BB1">
        <w:t>X.</w:t>
      </w:r>
      <w:r w:rsidRPr="00685BB1">
        <w:tab/>
        <w:t>Date and venue of next meetings</w:t>
      </w:r>
    </w:p>
    <w:p w14:paraId="7B6CD03F" w14:textId="4D502264" w:rsidR="00AF09B7" w:rsidRPr="00685BB1" w:rsidRDefault="00D3410D" w:rsidP="000822FB">
      <w:pPr>
        <w:pStyle w:val="SingleTxtG"/>
      </w:pPr>
      <w:r w:rsidRPr="00685BB1">
        <w:t>4</w:t>
      </w:r>
      <w:r w:rsidR="00931EFB" w:rsidRPr="00685BB1">
        <w:t>9</w:t>
      </w:r>
      <w:r w:rsidR="00AF09B7" w:rsidRPr="00685BB1">
        <w:t>.</w:t>
      </w:r>
      <w:r w:rsidR="00AF09B7" w:rsidRPr="00685BB1">
        <w:tab/>
        <w:t xml:space="preserve">The Meetings of the Parties </w:t>
      </w:r>
      <w:r w:rsidR="001F1D1D" w:rsidRPr="00685BB1">
        <w:t xml:space="preserve">agreed on a </w:t>
      </w:r>
      <w:r w:rsidR="00E443F9" w:rsidRPr="00685BB1">
        <w:t xml:space="preserve">provisional </w:t>
      </w:r>
      <w:r w:rsidR="001F1D1D" w:rsidRPr="00685BB1">
        <w:t xml:space="preserve">calendar of official meetings in </w:t>
      </w:r>
      <w:r w:rsidR="00695FEE" w:rsidRPr="00685BB1">
        <w:t>2021–2023 (</w:t>
      </w:r>
      <w:r w:rsidR="003A00BC" w:rsidRPr="00685BB1">
        <w:t>ECE/MP.EIA/</w:t>
      </w:r>
      <w:r w:rsidR="008A0FA1" w:rsidRPr="00685BB1">
        <w:t>2020/INF.7)</w:t>
      </w:r>
      <w:r w:rsidR="00695FEE" w:rsidRPr="00685BB1">
        <w:t xml:space="preserve">. </w:t>
      </w:r>
      <w:r w:rsidR="008A0FA1" w:rsidRPr="00685BB1">
        <w:t xml:space="preserve">The Meetings </w:t>
      </w:r>
      <w:r w:rsidR="00AF09B7" w:rsidRPr="00685BB1">
        <w:t xml:space="preserve">decided that the </w:t>
      </w:r>
      <w:r w:rsidR="00C63539" w:rsidRPr="00685BB1">
        <w:t xml:space="preserve">ninth </w:t>
      </w:r>
      <w:r w:rsidR="00AF09B7" w:rsidRPr="00685BB1">
        <w:t xml:space="preserve">session of the Meeting of the Parties to the Convention would be held in conjunction with the </w:t>
      </w:r>
      <w:r w:rsidR="00C63539" w:rsidRPr="00685BB1">
        <w:t xml:space="preserve">fifth </w:t>
      </w:r>
      <w:r w:rsidR="00AF09B7" w:rsidRPr="00685BB1">
        <w:t xml:space="preserve">session of the Meeting of the Parties to the </w:t>
      </w:r>
      <w:r w:rsidR="00F664BD" w:rsidRPr="00685BB1">
        <w:t>Protocol and</w:t>
      </w:r>
      <w:r w:rsidR="00AF09B7" w:rsidRPr="00685BB1">
        <w:t xml:space="preserve"> </w:t>
      </w:r>
      <w:r w:rsidR="003D4CB9" w:rsidRPr="00685BB1">
        <w:t xml:space="preserve">would </w:t>
      </w:r>
      <w:r w:rsidR="00AF09B7" w:rsidRPr="00685BB1">
        <w:t xml:space="preserve">be preliminary scheduled </w:t>
      </w:r>
      <w:r w:rsidR="00E443F9" w:rsidRPr="00685BB1">
        <w:t>for</w:t>
      </w:r>
      <w:r w:rsidR="00C63539" w:rsidRPr="00685BB1">
        <w:t xml:space="preserve"> </w:t>
      </w:r>
      <w:r w:rsidR="00AF09B7" w:rsidRPr="00685BB1">
        <w:t>December 202</w:t>
      </w:r>
      <w:r w:rsidR="00CF2770" w:rsidRPr="00685BB1">
        <w:t>3</w:t>
      </w:r>
      <w:r w:rsidR="00AF09B7" w:rsidRPr="00685BB1">
        <w:t>. Unless hosted by a volunteering Party, the sessions would be held in Geneva. Parties to the Convention and the Protocol were invited to come forward with offers to host the sessions by the meeting of the Working Group on Environmental Impact Assessment and Strategic Environmental Assessment</w:t>
      </w:r>
      <w:r w:rsidR="00E90579" w:rsidRPr="00685BB1">
        <w:t xml:space="preserve"> in </w:t>
      </w:r>
      <w:r w:rsidR="001F1D1D" w:rsidRPr="00685BB1">
        <w:t>2022.</w:t>
      </w:r>
    </w:p>
    <w:p w14:paraId="187DEECF" w14:textId="3E72ABE4" w:rsidR="00AF09B7" w:rsidRPr="00685BB1" w:rsidRDefault="00AF09B7" w:rsidP="000822FB">
      <w:pPr>
        <w:pStyle w:val="HChG"/>
      </w:pPr>
      <w:r w:rsidRPr="00685BB1">
        <w:tab/>
        <w:t>X.</w:t>
      </w:r>
      <w:r w:rsidRPr="00685BB1">
        <w:tab/>
        <w:t xml:space="preserve">Conclusion of the </w:t>
      </w:r>
      <w:r w:rsidRPr="000822FB">
        <w:t>session</w:t>
      </w:r>
    </w:p>
    <w:p w14:paraId="323F40A9" w14:textId="4AFB552F" w:rsidR="00AF09B7" w:rsidRPr="00685BB1" w:rsidRDefault="00931EFB" w:rsidP="000822FB">
      <w:pPr>
        <w:pStyle w:val="SingleTxtG"/>
      </w:pPr>
      <w:r w:rsidRPr="00685BB1">
        <w:t>50</w:t>
      </w:r>
      <w:r w:rsidR="00AF09B7" w:rsidRPr="00685BB1">
        <w:t>.</w:t>
      </w:r>
      <w:r w:rsidR="00AF09B7" w:rsidRPr="00685BB1">
        <w:tab/>
        <w:t xml:space="preserve">The Meetings of the Parties agreed on the main decisions taken </w:t>
      </w:r>
      <w:r w:rsidR="00C836AE" w:rsidRPr="00685BB1">
        <w:t>dur</w:t>
      </w:r>
      <w:r w:rsidR="00AF09B7" w:rsidRPr="00685BB1">
        <w:t>in</w:t>
      </w:r>
      <w:r w:rsidR="00C836AE" w:rsidRPr="00685BB1">
        <w:t>g</w:t>
      </w:r>
      <w:r w:rsidR="00AF09B7" w:rsidRPr="00685BB1">
        <w:t xml:space="preserve"> the sessional period, as presented by the </w:t>
      </w:r>
      <w:r w:rsidR="00AF09B7" w:rsidRPr="000822FB">
        <w:t>secretariat</w:t>
      </w:r>
      <w:r w:rsidR="00AF09B7" w:rsidRPr="00685BB1">
        <w:t xml:space="preserve">. </w:t>
      </w:r>
      <w:r w:rsidR="00EA4C9B" w:rsidRPr="00685BB1">
        <w:t>T</w:t>
      </w:r>
      <w:r w:rsidR="00AF09B7" w:rsidRPr="00685BB1">
        <w:t xml:space="preserve">he secretariat </w:t>
      </w:r>
      <w:r w:rsidR="00EA4C9B" w:rsidRPr="00685BB1">
        <w:t xml:space="preserve">was authorized </w:t>
      </w:r>
      <w:r w:rsidR="00AF09B7" w:rsidRPr="00685BB1">
        <w:t>to complete the report after the sessions</w:t>
      </w:r>
      <w:r w:rsidR="003D4CB9" w:rsidRPr="00685BB1">
        <w:t>,</w:t>
      </w:r>
      <w:r w:rsidR="00AF09B7" w:rsidRPr="00685BB1">
        <w:t xml:space="preserve"> under the guidance of the Bureau.</w:t>
      </w:r>
    </w:p>
    <w:p w14:paraId="5FDB456F" w14:textId="14CCD95B" w:rsidR="00B11B0B" w:rsidRPr="00685BB1" w:rsidRDefault="00EA4C9B" w:rsidP="000822FB">
      <w:pPr>
        <w:pStyle w:val="SingleTxtG"/>
      </w:pPr>
      <w:r w:rsidRPr="00685BB1">
        <w:t>5</w:t>
      </w:r>
      <w:r w:rsidR="00931EFB" w:rsidRPr="00685BB1">
        <w:t>1</w:t>
      </w:r>
      <w:r w:rsidR="00AF09B7" w:rsidRPr="00685BB1">
        <w:t>.</w:t>
      </w:r>
      <w:r w:rsidR="00AF09B7" w:rsidRPr="00685BB1">
        <w:tab/>
        <w:t xml:space="preserve">In closing the joint session, the Chair </w:t>
      </w:r>
      <w:r w:rsidR="00AF09B7" w:rsidRPr="000822FB">
        <w:t>thanked</w:t>
      </w:r>
      <w:r w:rsidR="00AF09B7" w:rsidRPr="00685BB1">
        <w:t xml:space="preserve"> </w:t>
      </w:r>
      <w:r w:rsidR="003D4CB9" w:rsidRPr="00685BB1">
        <w:t xml:space="preserve">the </w:t>
      </w:r>
      <w:r w:rsidR="00AF09B7" w:rsidRPr="00685BB1">
        <w:t xml:space="preserve">delegations for their work and </w:t>
      </w:r>
      <w:r w:rsidR="00BC519E" w:rsidRPr="00685BB1">
        <w:t>perseve</w:t>
      </w:r>
      <w:r w:rsidR="006D6518" w:rsidRPr="00685BB1">
        <w:t>rance</w:t>
      </w:r>
      <w:r w:rsidR="00AF09B7" w:rsidRPr="00685BB1">
        <w:t xml:space="preserve"> in finding solutions to several outstanding issues. </w:t>
      </w:r>
      <w:r w:rsidR="0013707E" w:rsidRPr="00685BB1">
        <w:t xml:space="preserve">The Meetings of the Parties also expressed their thanks to the delegation of Lithuania for providing the online platform and interpretation for the sessional period and to the secretariat for its organizational support. Lastly, the Minister of Environment of Lithuania, His Excellency Mr. </w:t>
      </w:r>
      <w:proofErr w:type="spellStart"/>
      <w:r w:rsidR="0013707E" w:rsidRPr="00685BB1">
        <w:t>Simonas</w:t>
      </w:r>
      <w:proofErr w:type="spellEnd"/>
      <w:r w:rsidR="0013707E" w:rsidRPr="00685BB1">
        <w:t xml:space="preserve"> </w:t>
      </w:r>
      <w:proofErr w:type="spellStart"/>
      <w:r w:rsidR="0013707E" w:rsidRPr="00685BB1">
        <w:t>Gentvilas</w:t>
      </w:r>
      <w:proofErr w:type="spellEnd"/>
      <w:r w:rsidR="0013707E" w:rsidRPr="00685BB1">
        <w:t>, thanked the Chair, the delegations and the secretariat for the successful outcome of the sessions.</w:t>
      </w:r>
    </w:p>
    <w:p w14:paraId="04FC3178" w14:textId="3CE578DA" w:rsidR="00942C0F" w:rsidRPr="00685BB1" w:rsidRDefault="00E62FF6" w:rsidP="000822FB">
      <w:pPr>
        <w:pStyle w:val="SingleTxtG"/>
      </w:pPr>
      <w:r w:rsidRPr="00685BB1">
        <w:t>5</w:t>
      </w:r>
      <w:r w:rsidR="00931EFB" w:rsidRPr="00685BB1">
        <w:t>2</w:t>
      </w:r>
      <w:r w:rsidR="00AF09B7" w:rsidRPr="00685BB1">
        <w:t>.</w:t>
      </w:r>
      <w:r w:rsidR="00AF09B7" w:rsidRPr="00685BB1">
        <w:tab/>
        <w:t xml:space="preserve">The Chair </w:t>
      </w:r>
      <w:r w:rsidR="00AF09B7" w:rsidRPr="000822FB">
        <w:t>closed</w:t>
      </w:r>
      <w:r w:rsidR="00AF09B7" w:rsidRPr="00685BB1">
        <w:t xml:space="preserve"> the joint session on </w:t>
      </w:r>
      <w:r w:rsidR="00FB1F18" w:rsidRPr="00685BB1">
        <w:t>Friday</w:t>
      </w:r>
      <w:r w:rsidR="00AF09B7" w:rsidRPr="00685BB1">
        <w:t xml:space="preserve">, </w:t>
      </w:r>
      <w:r w:rsidR="00FB1F18" w:rsidRPr="00685BB1">
        <w:t>11</w:t>
      </w:r>
      <w:r w:rsidR="00AF09B7" w:rsidRPr="00685BB1">
        <w:t xml:space="preserve"> </w:t>
      </w:r>
      <w:r w:rsidR="00FB1F18" w:rsidRPr="00685BB1">
        <w:t xml:space="preserve">December </w:t>
      </w:r>
      <w:r w:rsidR="00AF09B7" w:rsidRPr="00685BB1">
        <w:t>20</w:t>
      </w:r>
      <w:r w:rsidR="00FB1F18" w:rsidRPr="00685BB1">
        <w:t>20</w:t>
      </w:r>
      <w:r w:rsidR="00AF09B7" w:rsidRPr="00685BB1">
        <w:t>.</w:t>
      </w:r>
    </w:p>
    <w:p w14:paraId="345858BE" w14:textId="77777777" w:rsidR="0078073F" w:rsidRDefault="0078073F">
      <w:pPr>
        <w:suppressAutoHyphens w:val="0"/>
        <w:spacing w:line="240" w:lineRule="auto"/>
        <w:sectPr w:rsidR="0078073F" w:rsidSect="00B73399">
          <w:endnotePr>
            <w:numFmt w:val="decimal"/>
          </w:endnotePr>
          <w:pgSz w:w="11907" w:h="16840" w:code="9"/>
          <w:pgMar w:top="1418" w:right="1134" w:bottom="1134" w:left="1134" w:header="680" w:footer="567" w:gutter="0"/>
          <w:cols w:space="720"/>
          <w:docGrid w:linePitch="272"/>
        </w:sectPr>
      </w:pPr>
    </w:p>
    <w:p w14:paraId="745FC523" w14:textId="3A389F32" w:rsidR="00942C0F" w:rsidRPr="00685BB1" w:rsidRDefault="00942C0F" w:rsidP="000822FB">
      <w:pPr>
        <w:pStyle w:val="HChG"/>
      </w:pPr>
      <w:r w:rsidRPr="00685BB1">
        <w:lastRenderedPageBreak/>
        <w:t>Annex</w:t>
      </w:r>
      <w:r w:rsidR="00D3410D" w:rsidRPr="00685BB1">
        <w:t xml:space="preserve"> I</w:t>
      </w:r>
    </w:p>
    <w:p w14:paraId="191AC4D5" w14:textId="55E61C54" w:rsidR="00942C0F" w:rsidRPr="00685BB1" w:rsidRDefault="00942C0F" w:rsidP="000822FB">
      <w:pPr>
        <w:pStyle w:val="HChG"/>
      </w:pPr>
      <w:r w:rsidRPr="00685BB1">
        <w:tab/>
      </w:r>
      <w:r w:rsidR="00CC2B23">
        <w:tab/>
      </w:r>
      <w:r w:rsidRPr="00685BB1">
        <w:t xml:space="preserve">Pledges to the </w:t>
      </w:r>
      <w:r w:rsidRPr="000822FB">
        <w:t>budget</w:t>
      </w:r>
      <w:r w:rsidRPr="00685BB1">
        <w:t xml:space="preserve"> for the intersessional period 2021–2023</w:t>
      </w:r>
    </w:p>
    <w:tbl>
      <w:tblPr>
        <w:tblW w:w="9637" w:type="dxa"/>
        <w:tblLayout w:type="fixed"/>
        <w:tblCellMar>
          <w:left w:w="0" w:type="dxa"/>
          <w:right w:w="0" w:type="dxa"/>
        </w:tblCellMar>
        <w:tblLook w:val="04A0" w:firstRow="1" w:lastRow="0" w:firstColumn="1" w:lastColumn="0" w:noHBand="0" w:noVBand="1"/>
      </w:tblPr>
      <w:tblGrid>
        <w:gridCol w:w="2137"/>
        <w:gridCol w:w="938"/>
        <w:gridCol w:w="799"/>
        <w:gridCol w:w="1469"/>
        <w:gridCol w:w="4294"/>
      </w:tblGrid>
      <w:tr w:rsidR="00942C0F" w:rsidRPr="000822FB" w14:paraId="751D2521" w14:textId="77777777" w:rsidTr="000822FB">
        <w:trPr>
          <w:tblHeader/>
        </w:trPr>
        <w:tc>
          <w:tcPr>
            <w:tcW w:w="2137" w:type="dxa"/>
            <w:tcBorders>
              <w:top w:val="single" w:sz="4" w:space="0" w:color="auto"/>
              <w:bottom w:val="single" w:sz="12" w:space="0" w:color="auto"/>
            </w:tcBorders>
            <w:shd w:val="clear" w:color="auto" w:fill="auto"/>
            <w:vAlign w:val="bottom"/>
            <w:hideMark/>
          </w:tcPr>
          <w:p w14:paraId="0DD1CFDD" w14:textId="77777777" w:rsidR="00942C0F" w:rsidRPr="000822FB" w:rsidRDefault="00942C0F" w:rsidP="000822FB">
            <w:pPr>
              <w:spacing w:before="80" w:after="80" w:line="200" w:lineRule="exact"/>
              <w:ind w:right="113"/>
              <w:rPr>
                <w:i/>
                <w:sz w:val="16"/>
                <w:lang w:eastAsia="en-US"/>
              </w:rPr>
            </w:pPr>
            <w:r w:rsidRPr="000822FB">
              <w:rPr>
                <w:i/>
                <w:sz w:val="16"/>
                <w:lang w:eastAsia="en-US"/>
              </w:rPr>
              <w:t xml:space="preserve">State </w:t>
            </w:r>
            <w:r w:rsidRPr="000822FB">
              <w:rPr>
                <w:i/>
                <w:sz w:val="16"/>
                <w:lang w:eastAsia="en-US"/>
              </w:rPr>
              <w:br/>
              <w:t>(Parties and signatories)</w:t>
            </w:r>
          </w:p>
        </w:tc>
        <w:tc>
          <w:tcPr>
            <w:tcW w:w="938" w:type="dxa"/>
            <w:tcBorders>
              <w:top w:val="single" w:sz="4" w:space="0" w:color="auto"/>
              <w:bottom w:val="single" w:sz="12" w:space="0" w:color="auto"/>
            </w:tcBorders>
            <w:shd w:val="clear" w:color="auto" w:fill="auto"/>
            <w:vAlign w:val="bottom"/>
            <w:hideMark/>
          </w:tcPr>
          <w:p w14:paraId="4520012A" w14:textId="77777777" w:rsidR="00942C0F" w:rsidRPr="000822FB" w:rsidRDefault="00942C0F" w:rsidP="000822FB">
            <w:pPr>
              <w:spacing w:before="80" w:after="80" w:line="200" w:lineRule="exact"/>
              <w:ind w:right="113"/>
              <w:rPr>
                <w:i/>
                <w:sz w:val="16"/>
                <w:lang w:eastAsia="en-US"/>
              </w:rPr>
            </w:pPr>
            <w:r w:rsidRPr="000822FB">
              <w:rPr>
                <w:i/>
                <w:sz w:val="16"/>
                <w:lang w:eastAsia="en-US"/>
              </w:rPr>
              <w:t xml:space="preserve">Party to </w:t>
            </w:r>
            <w:proofErr w:type="spellStart"/>
            <w:r w:rsidRPr="000822FB">
              <w:rPr>
                <w:i/>
                <w:sz w:val="16"/>
                <w:lang w:eastAsia="en-US"/>
              </w:rPr>
              <w:t>Convention</w:t>
            </w:r>
            <w:r w:rsidRPr="000822FB">
              <w:rPr>
                <w:i/>
                <w:sz w:val="16"/>
                <w:vertAlign w:val="superscript"/>
                <w:lang w:eastAsia="en-US"/>
              </w:rPr>
              <w:t>a</w:t>
            </w:r>
            <w:proofErr w:type="spellEnd"/>
          </w:p>
        </w:tc>
        <w:tc>
          <w:tcPr>
            <w:tcW w:w="799" w:type="dxa"/>
            <w:tcBorders>
              <w:top w:val="single" w:sz="4" w:space="0" w:color="auto"/>
              <w:bottom w:val="single" w:sz="12" w:space="0" w:color="auto"/>
            </w:tcBorders>
            <w:shd w:val="clear" w:color="auto" w:fill="auto"/>
            <w:vAlign w:val="bottom"/>
            <w:hideMark/>
          </w:tcPr>
          <w:p w14:paraId="77D984B7" w14:textId="77777777" w:rsidR="00942C0F" w:rsidRPr="000822FB" w:rsidRDefault="00942C0F" w:rsidP="000822FB">
            <w:pPr>
              <w:spacing w:before="80" w:after="80" w:line="200" w:lineRule="exact"/>
              <w:ind w:right="113"/>
              <w:rPr>
                <w:i/>
                <w:sz w:val="16"/>
                <w:lang w:eastAsia="en-US"/>
              </w:rPr>
            </w:pPr>
            <w:r w:rsidRPr="000822FB">
              <w:rPr>
                <w:i/>
                <w:sz w:val="16"/>
                <w:lang w:eastAsia="en-US"/>
              </w:rPr>
              <w:t xml:space="preserve">Party to </w:t>
            </w:r>
            <w:proofErr w:type="spellStart"/>
            <w:r w:rsidRPr="000822FB">
              <w:rPr>
                <w:i/>
                <w:sz w:val="16"/>
                <w:lang w:eastAsia="en-US"/>
              </w:rPr>
              <w:t>Protocol</w:t>
            </w:r>
            <w:r w:rsidRPr="000822FB">
              <w:rPr>
                <w:i/>
                <w:sz w:val="16"/>
                <w:vertAlign w:val="superscript"/>
                <w:lang w:eastAsia="en-US"/>
              </w:rPr>
              <w:t>a</w:t>
            </w:r>
            <w:proofErr w:type="spellEnd"/>
          </w:p>
        </w:tc>
        <w:tc>
          <w:tcPr>
            <w:tcW w:w="1469" w:type="dxa"/>
            <w:tcBorders>
              <w:top w:val="single" w:sz="4" w:space="0" w:color="auto"/>
              <w:bottom w:val="single" w:sz="12" w:space="0" w:color="auto"/>
            </w:tcBorders>
            <w:shd w:val="clear" w:color="auto" w:fill="auto"/>
            <w:vAlign w:val="bottom"/>
          </w:tcPr>
          <w:p w14:paraId="6EC5663A" w14:textId="7FBC610E" w:rsidR="00942C0F" w:rsidRPr="000822FB" w:rsidRDefault="00B23501" w:rsidP="000822FB">
            <w:pPr>
              <w:spacing w:before="80" w:after="80" w:line="200" w:lineRule="exact"/>
              <w:ind w:right="113"/>
              <w:rPr>
                <w:i/>
                <w:sz w:val="16"/>
                <w:lang w:eastAsia="en-US"/>
              </w:rPr>
            </w:pPr>
            <w:r w:rsidRPr="000822FB">
              <w:rPr>
                <w:i/>
                <w:sz w:val="16"/>
                <w:lang w:eastAsia="en-US"/>
              </w:rPr>
              <w:t>Total amount p</w:t>
            </w:r>
            <w:r w:rsidR="00942C0F" w:rsidRPr="000822FB">
              <w:rPr>
                <w:i/>
                <w:sz w:val="16"/>
                <w:lang w:eastAsia="en-US"/>
              </w:rPr>
              <w:t xml:space="preserve">ledged </w:t>
            </w:r>
            <w:r w:rsidR="00942C0F" w:rsidRPr="000822FB">
              <w:rPr>
                <w:i/>
                <w:sz w:val="16"/>
                <w:lang w:eastAsia="en-US"/>
              </w:rPr>
              <w:br/>
              <w:t>(in original currency)</w:t>
            </w:r>
          </w:p>
        </w:tc>
        <w:tc>
          <w:tcPr>
            <w:tcW w:w="4294" w:type="dxa"/>
            <w:tcBorders>
              <w:top w:val="single" w:sz="4" w:space="0" w:color="auto"/>
              <w:bottom w:val="single" w:sz="12" w:space="0" w:color="auto"/>
            </w:tcBorders>
            <w:shd w:val="clear" w:color="auto" w:fill="auto"/>
            <w:tcMar>
              <w:left w:w="86" w:type="dxa"/>
              <w:right w:w="14" w:type="dxa"/>
            </w:tcMar>
            <w:vAlign w:val="bottom"/>
            <w:hideMark/>
          </w:tcPr>
          <w:p w14:paraId="25EFA1C1" w14:textId="77777777" w:rsidR="00942C0F" w:rsidRPr="000822FB" w:rsidRDefault="00942C0F" w:rsidP="000822FB">
            <w:pPr>
              <w:spacing w:before="80" w:after="80" w:line="200" w:lineRule="exact"/>
              <w:ind w:right="113"/>
              <w:rPr>
                <w:i/>
                <w:sz w:val="16"/>
                <w:lang w:eastAsia="en-US"/>
              </w:rPr>
            </w:pPr>
            <w:r w:rsidRPr="000822FB">
              <w:rPr>
                <w:i/>
                <w:sz w:val="16"/>
                <w:lang w:eastAsia="en-US"/>
              </w:rPr>
              <w:t>Pledge and/or comments</w:t>
            </w:r>
          </w:p>
        </w:tc>
      </w:tr>
      <w:tr w:rsidR="000822FB" w:rsidRPr="000822FB" w14:paraId="689055F5" w14:textId="77777777" w:rsidTr="000822FB">
        <w:trPr>
          <w:trHeight w:hRule="exact" w:val="113"/>
          <w:tblHeader/>
        </w:trPr>
        <w:tc>
          <w:tcPr>
            <w:tcW w:w="2137" w:type="dxa"/>
            <w:tcBorders>
              <w:top w:val="single" w:sz="12" w:space="0" w:color="auto"/>
            </w:tcBorders>
            <w:shd w:val="clear" w:color="auto" w:fill="auto"/>
          </w:tcPr>
          <w:p w14:paraId="72A07453" w14:textId="77777777" w:rsidR="000822FB" w:rsidRPr="000822FB" w:rsidRDefault="000822FB" w:rsidP="000822FB">
            <w:pPr>
              <w:spacing w:before="40" w:after="120"/>
              <w:ind w:right="113"/>
              <w:rPr>
                <w:lang w:eastAsia="en-US"/>
              </w:rPr>
            </w:pPr>
          </w:p>
        </w:tc>
        <w:tc>
          <w:tcPr>
            <w:tcW w:w="938" w:type="dxa"/>
            <w:tcBorders>
              <w:top w:val="single" w:sz="12" w:space="0" w:color="auto"/>
            </w:tcBorders>
            <w:shd w:val="clear" w:color="auto" w:fill="auto"/>
          </w:tcPr>
          <w:p w14:paraId="109B9110" w14:textId="77777777" w:rsidR="000822FB" w:rsidRPr="000822FB" w:rsidRDefault="000822FB" w:rsidP="000822FB">
            <w:pPr>
              <w:spacing w:before="40" w:after="120"/>
              <w:ind w:right="113"/>
              <w:rPr>
                <w:lang w:eastAsia="en-US"/>
              </w:rPr>
            </w:pPr>
          </w:p>
        </w:tc>
        <w:tc>
          <w:tcPr>
            <w:tcW w:w="799" w:type="dxa"/>
            <w:tcBorders>
              <w:top w:val="single" w:sz="12" w:space="0" w:color="auto"/>
            </w:tcBorders>
            <w:shd w:val="clear" w:color="auto" w:fill="auto"/>
          </w:tcPr>
          <w:p w14:paraId="3B18BE7F" w14:textId="77777777" w:rsidR="000822FB" w:rsidRPr="000822FB" w:rsidRDefault="000822FB" w:rsidP="000822FB">
            <w:pPr>
              <w:spacing w:before="40" w:after="120"/>
              <w:ind w:right="113"/>
              <w:rPr>
                <w:lang w:eastAsia="en-US"/>
              </w:rPr>
            </w:pPr>
          </w:p>
        </w:tc>
        <w:tc>
          <w:tcPr>
            <w:tcW w:w="1469" w:type="dxa"/>
            <w:tcBorders>
              <w:top w:val="single" w:sz="12" w:space="0" w:color="auto"/>
            </w:tcBorders>
            <w:shd w:val="clear" w:color="auto" w:fill="auto"/>
          </w:tcPr>
          <w:p w14:paraId="3F50E401" w14:textId="77777777" w:rsidR="000822FB" w:rsidRPr="000822FB" w:rsidRDefault="000822FB" w:rsidP="000822FB">
            <w:pPr>
              <w:spacing w:before="40" w:after="120"/>
              <w:ind w:right="113"/>
              <w:rPr>
                <w:lang w:eastAsia="en-US"/>
              </w:rPr>
            </w:pPr>
          </w:p>
        </w:tc>
        <w:tc>
          <w:tcPr>
            <w:tcW w:w="4294" w:type="dxa"/>
            <w:tcBorders>
              <w:top w:val="single" w:sz="12" w:space="0" w:color="auto"/>
            </w:tcBorders>
            <w:shd w:val="clear" w:color="auto" w:fill="auto"/>
            <w:tcMar>
              <w:left w:w="86" w:type="dxa"/>
              <w:right w:w="14" w:type="dxa"/>
            </w:tcMar>
          </w:tcPr>
          <w:p w14:paraId="1D47DA59" w14:textId="77777777" w:rsidR="000822FB" w:rsidRPr="000822FB" w:rsidRDefault="000822FB" w:rsidP="000822FB">
            <w:pPr>
              <w:spacing w:before="40" w:after="120"/>
              <w:ind w:right="113"/>
              <w:rPr>
                <w:lang w:eastAsia="en-US"/>
              </w:rPr>
            </w:pPr>
          </w:p>
        </w:tc>
      </w:tr>
      <w:tr w:rsidR="00942C0F" w:rsidRPr="000822FB" w14:paraId="592B7D9B" w14:textId="77777777" w:rsidTr="000822FB">
        <w:tc>
          <w:tcPr>
            <w:tcW w:w="2137" w:type="dxa"/>
            <w:shd w:val="clear" w:color="auto" w:fill="auto"/>
            <w:noWrap/>
            <w:hideMark/>
          </w:tcPr>
          <w:p w14:paraId="3BD1AB0C" w14:textId="77777777" w:rsidR="00942C0F" w:rsidRPr="000822FB" w:rsidRDefault="00942C0F" w:rsidP="000822FB">
            <w:pPr>
              <w:spacing w:before="40" w:after="120"/>
              <w:ind w:right="113"/>
              <w:rPr>
                <w:lang w:eastAsia="en-US"/>
              </w:rPr>
            </w:pPr>
            <w:r w:rsidRPr="000822FB">
              <w:rPr>
                <w:lang w:eastAsia="en-US"/>
              </w:rPr>
              <w:t xml:space="preserve">Albania </w:t>
            </w:r>
          </w:p>
        </w:tc>
        <w:tc>
          <w:tcPr>
            <w:tcW w:w="938" w:type="dxa"/>
            <w:shd w:val="clear" w:color="auto" w:fill="auto"/>
            <w:noWrap/>
            <w:hideMark/>
          </w:tcPr>
          <w:p w14:paraId="759BC98B"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748FBFB2"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49BA0693" w14:textId="77777777" w:rsidR="00942C0F" w:rsidRPr="000822FB" w:rsidRDefault="00942C0F" w:rsidP="000822FB">
            <w:pPr>
              <w:spacing w:before="40" w:after="120"/>
              <w:ind w:right="113"/>
              <w:rPr>
                <w:lang w:eastAsia="en-US"/>
              </w:rPr>
            </w:pPr>
            <w:r w:rsidRPr="000822FB">
              <w:rPr>
                <w:lang w:eastAsia="en-US"/>
              </w:rPr>
              <w:t>—</w:t>
            </w:r>
            <w:r w:rsidRPr="000822FB">
              <w:rPr>
                <w:vertAlign w:val="superscript"/>
                <w:lang w:eastAsia="en-US"/>
              </w:rPr>
              <w:t>b</w:t>
            </w:r>
          </w:p>
        </w:tc>
        <w:tc>
          <w:tcPr>
            <w:tcW w:w="4294" w:type="dxa"/>
            <w:shd w:val="clear" w:color="auto" w:fill="auto"/>
            <w:tcMar>
              <w:left w:w="86" w:type="dxa"/>
              <w:right w:w="14" w:type="dxa"/>
            </w:tcMar>
            <w:hideMark/>
          </w:tcPr>
          <w:p w14:paraId="009B1970"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271D74B2" w14:textId="77777777" w:rsidTr="000822FB">
        <w:tc>
          <w:tcPr>
            <w:tcW w:w="2137" w:type="dxa"/>
            <w:shd w:val="clear" w:color="auto" w:fill="auto"/>
            <w:noWrap/>
            <w:hideMark/>
          </w:tcPr>
          <w:p w14:paraId="747E8BAF" w14:textId="77777777" w:rsidR="00942C0F" w:rsidRPr="000822FB" w:rsidRDefault="00942C0F" w:rsidP="000822FB">
            <w:pPr>
              <w:spacing w:before="40" w:after="120"/>
              <w:ind w:right="113"/>
              <w:rPr>
                <w:lang w:eastAsia="en-US"/>
              </w:rPr>
            </w:pPr>
            <w:r w:rsidRPr="000822FB">
              <w:rPr>
                <w:lang w:eastAsia="en-US"/>
              </w:rPr>
              <w:t xml:space="preserve">Armenia </w:t>
            </w:r>
          </w:p>
        </w:tc>
        <w:tc>
          <w:tcPr>
            <w:tcW w:w="938" w:type="dxa"/>
            <w:shd w:val="clear" w:color="auto" w:fill="auto"/>
            <w:noWrap/>
            <w:hideMark/>
          </w:tcPr>
          <w:p w14:paraId="35C19EDA"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5FF7E8C9"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44AA4DD2"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54785338"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6B1A79CE" w14:textId="77777777" w:rsidTr="000822FB">
        <w:tc>
          <w:tcPr>
            <w:tcW w:w="2137" w:type="dxa"/>
            <w:shd w:val="clear" w:color="auto" w:fill="auto"/>
            <w:noWrap/>
            <w:hideMark/>
          </w:tcPr>
          <w:p w14:paraId="301292FA" w14:textId="77777777" w:rsidR="00942C0F" w:rsidRPr="000822FB" w:rsidRDefault="00942C0F" w:rsidP="000822FB">
            <w:pPr>
              <w:spacing w:before="40" w:after="120"/>
              <w:ind w:right="113"/>
              <w:rPr>
                <w:lang w:eastAsia="en-US"/>
              </w:rPr>
            </w:pPr>
            <w:r w:rsidRPr="000822FB">
              <w:rPr>
                <w:lang w:eastAsia="en-US"/>
              </w:rPr>
              <w:t xml:space="preserve">Austria </w:t>
            </w:r>
          </w:p>
        </w:tc>
        <w:tc>
          <w:tcPr>
            <w:tcW w:w="938" w:type="dxa"/>
            <w:shd w:val="clear" w:color="auto" w:fill="auto"/>
            <w:noWrap/>
            <w:hideMark/>
          </w:tcPr>
          <w:p w14:paraId="539D5124"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553EC77D"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6477F873" w14:textId="77777777" w:rsidR="00942C0F" w:rsidRPr="000822FB" w:rsidRDefault="00942C0F" w:rsidP="000822FB">
            <w:pPr>
              <w:spacing w:before="40" w:after="120"/>
              <w:ind w:right="113"/>
              <w:rPr>
                <w:lang w:eastAsia="en-US"/>
              </w:rPr>
            </w:pPr>
            <w:r w:rsidRPr="000822FB">
              <w:rPr>
                <w:lang w:eastAsia="en-US"/>
              </w:rPr>
              <w:t>$21,000</w:t>
            </w:r>
          </w:p>
        </w:tc>
        <w:tc>
          <w:tcPr>
            <w:tcW w:w="4294" w:type="dxa"/>
            <w:shd w:val="clear" w:color="auto" w:fill="auto"/>
            <w:tcMar>
              <w:left w:w="86" w:type="dxa"/>
              <w:right w:w="14" w:type="dxa"/>
            </w:tcMar>
            <w:hideMark/>
          </w:tcPr>
          <w:p w14:paraId="69833F26" w14:textId="77777777" w:rsidR="00942C0F" w:rsidRPr="000822FB" w:rsidRDefault="00942C0F" w:rsidP="000822FB">
            <w:pPr>
              <w:spacing w:before="40" w:after="120"/>
              <w:ind w:right="113"/>
              <w:rPr>
                <w:lang w:eastAsia="en-US"/>
              </w:rPr>
            </w:pPr>
            <w:r w:rsidRPr="000822FB">
              <w:rPr>
                <w:lang w:eastAsia="en-US"/>
              </w:rPr>
              <w:t>$21,000 for the intersessional period 2021–2023, to be paid in three instalments of $7,000 each in 2021, 2022 and 2023.</w:t>
            </w:r>
          </w:p>
        </w:tc>
      </w:tr>
      <w:tr w:rsidR="00942C0F" w:rsidRPr="000822FB" w14:paraId="400DA4B0" w14:textId="77777777" w:rsidTr="000822FB">
        <w:tc>
          <w:tcPr>
            <w:tcW w:w="2137" w:type="dxa"/>
            <w:shd w:val="clear" w:color="auto" w:fill="auto"/>
            <w:noWrap/>
            <w:hideMark/>
          </w:tcPr>
          <w:p w14:paraId="71BFCE57" w14:textId="77777777" w:rsidR="00942C0F" w:rsidRPr="000822FB" w:rsidRDefault="00942C0F" w:rsidP="000822FB">
            <w:pPr>
              <w:spacing w:before="40" w:after="120"/>
              <w:ind w:right="113"/>
              <w:rPr>
                <w:lang w:eastAsia="en-US"/>
              </w:rPr>
            </w:pPr>
            <w:r w:rsidRPr="000822FB">
              <w:rPr>
                <w:lang w:eastAsia="en-US"/>
              </w:rPr>
              <w:t xml:space="preserve">Azerbaijan </w:t>
            </w:r>
          </w:p>
        </w:tc>
        <w:tc>
          <w:tcPr>
            <w:tcW w:w="938" w:type="dxa"/>
            <w:shd w:val="clear" w:color="auto" w:fill="auto"/>
            <w:noWrap/>
            <w:hideMark/>
          </w:tcPr>
          <w:p w14:paraId="665BDF35"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6D8EDAFA"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1C73AA26"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1C533B10"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6BC3BE39" w14:textId="77777777" w:rsidTr="000822FB">
        <w:tc>
          <w:tcPr>
            <w:tcW w:w="2137" w:type="dxa"/>
            <w:shd w:val="clear" w:color="auto" w:fill="auto"/>
            <w:noWrap/>
            <w:hideMark/>
          </w:tcPr>
          <w:p w14:paraId="6673BF8A" w14:textId="77777777" w:rsidR="00942C0F" w:rsidRPr="000822FB" w:rsidRDefault="00942C0F" w:rsidP="000822FB">
            <w:pPr>
              <w:spacing w:before="40" w:after="120"/>
              <w:ind w:right="113"/>
              <w:rPr>
                <w:lang w:eastAsia="en-US"/>
              </w:rPr>
            </w:pPr>
            <w:r w:rsidRPr="000822FB">
              <w:rPr>
                <w:lang w:eastAsia="en-US"/>
              </w:rPr>
              <w:t>Belarus</w:t>
            </w:r>
          </w:p>
        </w:tc>
        <w:tc>
          <w:tcPr>
            <w:tcW w:w="938" w:type="dxa"/>
            <w:shd w:val="clear" w:color="auto" w:fill="auto"/>
            <w:noWrap/>
            <w:hideMark/>
          </w:tcPr>
          <w:p w14:paraId="0187F58A"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57E371E5"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4B9531F6"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35AA9285"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77EB6510" w14:textId="77777777" w:rsidTr="000822FB">
        <w:tc>
          <w:tcPr>
            <w:tcW w:w="2137" w:type="dxa"/>
            <w:shd w:val="clear" w:color="auto" w:fill="auto"/>
            <w:noWrap/>
            <w:hideMark/>
          </w:tcPr>
          <w:p w14:paraId="4F657C9A" w14:textId="77777777" w:rsidR="00942C0F" w:rsidRPr="000822FB" w:rsidRDefault="00942C0F" w:rsidP="000822FB">
            <w:pPr>
              <w:spacing w:before="40" w:after="120"/>
              <w:ind w:right="113"/>
              <w:rPr>
                <w:lang w:eastAsia="en-US"/>
              </w:rPr>
            </w:pPr>
            <w:r w:rsidRPr="000822FB">
              <w:rPr>
                <w:lang w:eastAsia="en-US"/>
              </w:rPr>
              <w:t xml:space="preserve">Belgium </w:t>
            </w:r>
          </w:p>
        </w:tc>
        <w:tc>
          <w:tcPr>
            <w:tcW w:w="938" w:type="dxa"/>
            <w:shd w:val="clear" w:color="auto" w:fill="auto"/>
            <w:noWrap/>
            <w:hideMark/>
          </w:tcPr>
          <w:p w14:paraId="036A0F5E"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16DC4073"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1AA13134" w14:textId="77777777" w:rsidR="00942C0F" w:rsidRPr="000822FB" w:rsidRDefault="00942C0F" w:rsidP="000822FB">
            <w:pPr>
              <w:spacing w:before="40" w:after="120"/>
              <w:ind w:right="113"/>
              <w:rPr>
                <w:lang w:eastAsia="en-US"/>
              </w:rPr>
            </w:pPr>
            <w:r w:rsidRPr="000822FB">
              <w:rPr>
                <w:lang w:eastAsia="en-US"/>
              </w:rPr>
              <w:t>$33,954</w:t>
            </w:r>
          </w:p>
        </w:tc>
        <w:tc>
          <w:tcPr>
            <w:tcW w:w="4294" w:type="dxa"/>
            <w:shd w:val="clear" w:color="auto" w:fill="auto"/>
            <w:tcMar>
              <w:left w:w="86" w:type="dxa"/>
              <w:right w:w="14" w:type="dxa"/>
            </w:tcMar>
            <w:hideMark/>
          </w:tcPr>
          <w:p w14:paraId="34E95EEC" w14:textId="20D7892B" w:rsidR="00942C0F" w:rsidRPr="000822FB" w:rsidRDefault="00942C0F" w:rsidP="000822FB">
            <w:pPr>
              <w:spacing w:before="40" w:after="120"/>
              <w:ind w:right="113"/>
              <w:rPr>
                <w:lang w:eastAsia="en-US"/>
              </w:rPr>
            </w:pPr>
            <w:r w:rsidRPr="000822FB">
              <w:rPr>
                <w:lang w:eastAsia="en-US"/>
              </w:rPr>
              <w:t>$33,954 for the intersessional period 2021–2023</w:t>
            </w:r>
            <w:r w:rsidR="00450801" w:rsidRPr="000822FB">
              <w:rPr>
                <w:lang w:eastAsia="en-US"/>
              </w:rPr>
              <w:t xml:space="preserve">, as follows: </w:t>
            </w:r>
            <w:r w:rsidRPr="000822FB">
              <w:rPr>
                <w:lang w:eastAsia="en-US"/>
              </w:rPr>
              <w:t>Flemish Region: $13,785.96; Federal Government: $10,186.66</w:t>
            </w:r>
            <w:r w:rsidR="00450801" w:rsidRPr="000822FB">
              <w:rPr>
                <w:lang w:eastAsia="en-US"/>
              </w:rPr>
              <w:t xml:space="preserve"> (both paid in December 2020)</w:t>
            </w:r>
            <w:r w:rsidRPr="000822FB">
              <w:rPr>
                <w:lang w:eastAsia="en-US"/>
              </w:rPr>
              <w:t>; Walloon Region: $7,843; Brussels Capital Region: $2,139</w:t>
            </w:r>
            <w:r w:rsidR="00450801" w:rsidRPr="000822FB">
              <w:rPr>
                <w:lang w:eastAsia="en-US"/>
              </w:rPr>
              <w:t xml:space="preserve"> (to be paid in 2021</w:t>
            </w:r>
            <w:r w:rsidRPr="000822FB">
              <w:rPr>
                <w:lang w:eastAsia="en-US"/>
              </w:rPr>
              <w:t>).</w:t>
            </w:r>
          </w:p>
        </w:tc>
      </w:tr>
      <w:tr w:rsidR="00942C0F" w:rsidRPr="000822FB" w14:paraId="009259CA" w14:textId="77777777" w:rsidTr="000822FB">
        <w:tc>
          <w:tcPr>
            <w:tcW w:w="2137" w:type="dxa"/>
            <w:shd w:val="clear" w:color="auto" w:fill="auto"/>
            <w:noWrap/>
            <w:hideMark/>
          </w:tcPr>
          <w:p w14:paraId="1C911525" w14:textId="77777777" w:rsidR="00942C0F" w:rsidRPr="000822FB" w:rsidRDefault="00942C0F" w:rsidP="000822FB">
            <w:pPr>
              <w:spacing w:before="40" w:after="120"/>
              <w:ind w:right="113"/>
              <w:rPr>
                <w:lang w:eastAsia="en-US"/>
              </w:rPr>
            </w:pPr>
            <w:r w:rsidRPr="000822FB">
              <w:rPr>
                <w:lang w:eastAsia="en-US"/>
              </w:rPr>
              <w:t>Bosnia and Herzegovina</w:t>
            </w:r>
          </w:p>
        </w:tc>
        <w:tc>
          <w:tcPr>
            <w:tcW w:w="938" w:type="dxa"/>
            <w:shd w:val="clear" w:color="auto" w:fill="auto"/>
            <w:noWrap/>
            <w:hideMark/>
          </w:tcPr>
          <w:p w14:paraId="04E4E983"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5CDEFB7D"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7162CD63"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766E4D24"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630F42FC" w14:textId="77777777" w:rsidTr="000822FB">
        <w:tc>
          <w:tcPr>
            <w:tcW w:w="2137" w:type="dxa"/>
            <w:shd w:val="clear" w:color="auto" w:fill="auto"/>
            <w:noWrap/>
            <w:hideMark/>
          </w:tcPr>
          <w:p w14:paraId="098B49AB" w14:textId="77777777" w:rsidR="00942C0F" w:rsidRPr="000822FB" w:rsidRDefault="00942C0F" w:rsidP="000822FB">
            <w:pPr>
              <w:spacing w:before="40" w:after="120"/>
              <w:ind w:right="113"/>
              <w:rPr>
                <w:lang w:eastAsia="en-US"/>
              </w:rPr>
            </w:pPr>
            <w:r w:rsidRPr="000822FB">
              <w:rPr>
                <w:lang w:eastAsia="en-US"/>
              </w:rPr>
              <w:t xml:space="preserve">Bulgaria </w:t>
            </w:r>
          </w:p>
        </w:tc>
        <w:tc>
          <w:tcPr>
            <w:tcW w:w="938" w:type="dxa"/>
            <w:shd w:val="clear" w:color="auto" w:fill="auto"/>
            <w:noWrap/>
            <w:hideMark/>
          </w:tcPr>
          <w:p w14:paraId="3F95C9D6"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706CFC3B"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201551BB" w14:textId="77777777" w:rsidR="00942C0F" w:rsidRPr="000822FB" w:rsidRDefault="00942C0F" w:rsidP="000822FB">
            <w:pPr>
              <w:spacing w:before="40" w:after="120"/>
              <w:ind w:right="113"/>
              <w:rPr>
                <w:lang w:eastAsia="en-US"/>
              </w:rPr>
            </w:pPr>
            <w:r w:rsidRPr="000822FB">
              <w:rPr>
                <w:lang w:eastAsia="en-US"/>
              </w:rPr>
              <w:t>$8,000</w:t>
            </w:r>
          </w:p>
        </w:tc>
        <w:tc>
          <w:tcPr>
            <w:tcW w:w="4294" w:type="dxa"/>
            <w:shd w:val="clear" w:color="auto" w:fill="auto"/>
            <w:tcMar>
              <w:left w:w="86" w:type="dxa"/>
              <w:right w:w="14" w:type="dxa"/>
            </w:tcMar>
            <w:hideMark/>
          </w:tcPr>
          <w:p w14:paraId="6CED34CB" w14:textId="77777777" w:rsidR="00942C0F" w:rsidRPr="000822FB" w:rsidRDefault="00942C0F" w:rsidP="000822FB">
            <w:pPr>
              <w:spacing w:before="40" w:after="120"/>
              <w:ind w:right="113"/>
              <w:rPr>
                <w:lang w:eastAsia="en-US"/>
              </w:rPr>
            </w:pPr>
            <w:r w:rsidRPr="000822FB">
              <w:rPr>
                <w:lang w:eastAsia="en-US"/>
              </w:rPr>
              <w:t>$5,000 to the Convention and $3,000 to the Protocol for the intersessional period 2021–2023.</w:t>
            </w:r>
          </w:p>
        </w:tc>
      </w:tr>
      <w:tr w:rsidR="00942C0F" w:rsidRPr="000822FB" w14:paraId="5A4CF224" w14:textId="77777777" w:rsidTr="000822FB">
        <w:tc>
          <w:tcPr>
            <w:tcW w:w="2137" w:type="dxa"/>
            <w:shd w:val="clear" w:color="auto" w:fill="auto"/>
            <w:noWrap/>
            <w:hideMark/>
          </w:tcPr>
          <w:p w14:paraId="5B89A579" w14:textId="77777777" w:rsidR="00942C0F" w:rsidRPr="000822FB" w:rsidRDefault="00942C0F" w:rsidP="000822FB">
            <w:pPr>
              <w:spacing w:before="40" w:after="120"/>
              <w:ind w:right="113"/>
              <w:rPr>
                <w:lang w:eastAsia="en-US"/>
              </w:rPr>
            </w:pPr>
            <w:r w:rsidRPr="000822FB">
              <w:rPr>
                <w:lang w:eastAsia="en-US"/>
              </w:rPr>
              <w:t xml:space="preserve">Canada </w:t>
            </w:r>
          </w:p>
        </w:tc>
        <w:tc>
          <w:tcPr>
            <w:tcW w:w="938" w:type="dxa"/>
            <w:shd w:val="clear" w:color="auto" w:fill="auto"/>
            <w:noWrap/>
            <w:hideMark/>
          </w:tcPr>
          <w:p w14:paraId="4A9DEA53"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2733440D"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74C66EA7" w14:textId="78E461F9" w:rsidR="00942C0F" w:rsidRPr="000822FB" w:rsidRDefault="00942C0F" w:rsidP="000822FB">
            <w:pPr>
              <w:spacing w:before="40" w:after="120"/>
              <w:ind w:right="113"/>
              <w:rPr>
                <w:lang w:eastAsia="en-US"/>
              </w:rPr>
            </w:pPr>
            <w:r w:rsidRPr="000822FB">
              <w:rPr>
                <w:lang w:eastAsia="en-US"/>
              </w:rPr>
              <w:t>C</w:t>
            </w:r>
            <w:r w:rsidR="003A7B3D" w:rsidRPr="000822FB">
              <w:rPr>
                <w:lang w:eastAsia="en-US"/>
              </w:rPr>
              <w:t>an$</w:t>
            </w:r>
            <w:r w:rsidR="00535D7D" w:rsidRPr="000822FB">
              <w:rPr>
                <w:lang w:eastAsia="en-US"/>
              </w:rPr>
              <w:t xml:space="preserve"> </w:t>
            </w:r>
            <w:r w:rsidRPr="000822FB">
              <w:rPr>
                <w:lang w:eastAsia="en-US"/>
              </w:rPr>
              <w:t>15,000</w:t>
            </w:r>
          </w:p>
        </w:tc>
        <w:tc>
          <w:tcPr>
            <w:tcW w:w="4294" w:type="dxa"/>
            <w:shd w:val="clear" w:color="auto" w:fill="auto"/>
            <w:tcMar>
              <w:left w:w="86" w:type="dxa"/>
              <w:right w:w="14" w:type="dxa"/>
            </w:tcMar>
            <w:hideMark/>
          </w:tcPr>
          <w:p w14:paraId="7B8FE4E4" w14:textId="7EEE8660" w:rsidR="00942C0F" w:rsidRPr="000822FB" w:rsidRDefault="00942C0F" w:rsidP="000822FB">
            <w:pPr>
              <w:spacing w:before="40" w:after="120"/>
              <w:ind w:right="113"/>
              <w:rPr>
                <w:lang w:eastAsia="en-US"/>
              </w:rPr>
            </w:pPr>
            <w:r w:rsidRPr="000822FB">
              <w:rPr>
                <w:lang w:eastAsia="en-US"/>
              </w:rPr>
              <w:t>C</w:t>
            </w:r>
            <w:r w:rsidR="0096011E" w:rsidRPr="000822FB">
              <w:rPr>
                <w:lang w:eastAsia="en-US"/>
              </w:rPr>
              <w:t>an</w:t>
            </w:r>
            <w:r w:rsidR="00535D7D" w:rsidRPr="000822FB">
              <w:rPr>
                <w:lang w:eastAsia="en-US"/>
              </w:rPr>
              <w:t xml:space="preserve"> </w:t>
            </w:r>
            <w:r w:rsidR="0096011E" w:rsidRPr="000822FB">
              <w:rPr>
                <w:lang w:eastAsia="en-US"/>
              </w:rPr>
              <w:t>$</w:t>
            </w:r>
            <w:r w:rsidRPr="000822FB">
              <w:rPr>
                <w:lang w:eastAsia="en-US"/>
              </w:rPr>
              <w:t>15,000 for the intersessional period 2021–2023 to support the implementation of the work plan for 2021–2023 under the Convention</w:t>
            </w:r>
            <w:r w:rsidR="0096011E" w:rsidRPr="000822FB">
              <w:rPr>
                <w:lang w:eastAsia="en-US"/>
              </w:rPr>
              <w:t>,</w:t>
            </w:r>
            <w:r w:rsidR="00C575A5" w:rsidRPr="000822FB">
              <w:t xml:space="preserve"> </w:t>
            </w:r>
            <w:r w:rsidR="00C575A5" w:rsidRPr="000822FB">
              <w:rPr>
                <w:lang w:eastAsia="en-US"/>
              </w:rPr>
              <w:t xml:space="preserve">to be paid in three instalments of </w:t>
            </w:r>
            <w:r w:rsidR="0096011E" w:rsidRPr="000822FB">
              <w:rPr>
                <w:lang w:eastAsia="en-US"/>
              </w:rPr>
              <w:t>C</w:t>
            </w:r>
            <w:r w:rsidR="003A7B3D" w:rsidRPr="000822FB">
              <w:rPr>
                <w:lang w:eastAsia="en-US"/>
              </w:rPr>
              <w:t>an$</w:t>
            </w:r>
            <w:r w:rsidR="00535D7D" w:rsidRPr="000822FB">
              <w:rPr>
                <w:lang w:eastAsia="en-US"/>
              </w:rPr>
              <w:t xml:space="preserve"> </w:t>
            </w:r>
            <w:r w:rsidR="00C575A5" w:rsidRPr="000822FB">
              <w:rPr>
                <w:lang w:eastAsia="en-US"/>
              </w:rPr>
              <w:t xml:space="preserve">5,000 each (2021 </w:t>
            </w:r>
            <w:r w:rsidR="00F15A4D" w:rsidRPr="000822FB">
              <w:rPr>
                <w:lang w:eastAsia="en-US"/>
              </w:rPr>
              <w:t>contribution</w:t>
            </w:r>
            <w:r w:rsidR="00C575A5" w:rsidRPr="000822FB">
              <w:rPr>
                <w:lang w:eastAsia="en-US"/>
              </w:rPr>
              <w:t xml:space="preserve"> before March 2021; 2022 contribution </w:t>
            </w:r>
            <w:r w:rsidR="00AC62F5" w:rsidRPr="000822FB">
              <w:rPr>
                <w:lang w:eastAsia="en-US"/>
              </w:rPr>
              <w:t>any time</w:t>
            </w:r>
            <w:r w:rsidR="00C575A5" w:rsidRPr="000822FB">
              <w:rPr>
                <w:lang w:eastAsia="en-US"/>
              </w:rPr>
              <w:t xml:space="preserve"> after May 2021; and 2023 contribution after </w:t>
            </w:r>
            <w:r w:rsidR="00F15A4D" w:rsidRPr="000822FB">
              <w:rPr>
                <w:lang w:eastAsia="en-US"/>
              </w:rPr>
              <w:t>April</w:t>
            </w:r>
            <w:r w:rsidR="00C575A5" w:rsidRPr="000822FB">
              <w:rPr>
                <w:lang w:eastAsia="en-US"/>
              </w:rPr>
              <w:t xml:space="preserve"> 2022).</w:t>
            </w:r>
          </w:p>
        </w:tc>
      </w:tr>
      <w:tr w:rsidR="00942C0F" w:rsidRPr="000822FB" w14:paraId="70720241" w14:textId="77777777" w:rsidTr="000822FB">
        <w:tc>
          <w:tcPr>
            <w:tcW w:w="2137" w:type="dxa"/>
            <w:shd w:val="clear" w:color="auto" w:fill="auto"/>
            <w:noWrap/>
            <w:hideMark/>
          </w:tcPr>
          <w:p w14:paraId="54F23DE5" w14:textId="77777777" w:rsidR="00942C0F" w:rsidRPr="000822FB" w:rsidRDefault="00942C0F" w:rsidP="000822FB">
            <w:pPr>
              <w:spacing w:before="40" w:after="120"/>
              <w:ind w:right="113"/>
              <w:rPr>
                <w:lang w:eastAsia="en-US"/>
              </w:rPr>
            </w:pPr>
            <w:r w:rsidRPr="000822FB">
              <w:rPr>
                <w:lang w:eastAsia="en-US"/>
              </w:rPr>
              <w:t xml:space="preserve">Croatia </w:t>
            </w:r>
          </w:p>
        </w:tc>
        <w:tc>
          <w:tcPr>
            <w:tcW w:w="938" w:type="dxa"/>
            <w:shd w:val="clear" w:color="auto" w:fill="auto"/>
            <w:noWrap/>
            <w:hideMark/>
          </w:tcPr>
          <w:p w14:paraId="6C3D6CD4"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0B84FDC6"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0808590B" w14:textId="77777777" w:rsidR="00942C0F" w:rsidRPr="000822FB" w:rsidRDefault="00942C0F" w:rsidP="000822FB">
            <w:pPr>
              <w:spacing w:before="40" w:after="120"/>
              <w:ind w:right="113"/>
              <w:rPr>
                <w:lang w:eastAsia="en-US"/>
              </w:rPr>
            </w:pPr>
            <w:r w:rsidRPr="000822FB">
              <w:rPr>
                <w:lang w:eastAsia="en-US"/>
              </w:rPr>
              <w:t>$9,000</w:t>
            </w:r>
          </w:p>
        </w:tc>
        <w:tc>
          <w:tcPr>
            <w:tcW w:w="4294" w:type="dxa"/>
            <w:shd w:val="clear" w:color="auto" w:fill="auto"/>
            <w:tcMar>
              <w:left w:w="86" w:type="dxa"/>
              <w:right w:w="14" w:type="dxa"/>
            </w:tcMar>
            <w:hideMark/>
          </w:tcPr>
          <w:p w14:paraId="434CB2BE" w14:textId="77777777" w:rsidR="00942C0F" w:rsidRPr="000822FB" w:rsidRDefault="00942C0F" w:rsidP="000822FB">
            <w:pPr>
              <w:spacing w:before="40" w:after="120"/>
              <w:ind w:right="113"/>
              <w:rPr>
                <w:lang w:eastAsia="en-US"/>
              </w:rPr>
            </w:pPr>
            <w:r w:rsidRPr="000822FB">
              <w:rPr>
                <w:lang w:eastAsia="en-US"/>
              </w:rPr>
              <w:t>$9,000 for the intersessional period 2021–2023, to be paid in three instalments of $3,000 each in 2021, 2022 and 2023.</w:t>
            </w:r>
          </w:p>
        </w:tc>
      </w:tr>
      <w:tr w:rsidR="00942C0F" w:rsidRPr="000822FB" w14:paraId="6A5103AF" w14:textId="77777777" w:rsidTr="000822FB">
        <w:tc>
          <w:tcPr>
            <w:tcW w:w="2137" w:type="dxa"/>
            <w:shd w:val="clear" w:color="auto" w:fill="auto"/>
            <w:noWrap/>
            <w:hideMark/>
          </w:tcPr>
          <w:p w14:paraId="60CD72A5" w14:textId="77777777" w:rsidR="00942C0F" w:rsidRPr="000822FB" w:rsidRDefault="00942C0F" w:rsidP="000822FB">
            <w:pPr>
              <w:spacing w:before="40" w:after="120"/>
              <w:ind w:right="113"/>
              <w:rPr>
                <w:lang w:eastAsia="en-US"/>
              </w:rPr>
            </w:pPr>
            <w:r w:rsidRPr="000822FB">
              <w:rPr>
                <w:lang w:eastAsia="en-US"/>
              </w:rPr>
              <w:t xml:space="preserve">Cyprus </w:t>
            </w:r>
          </w:p>
        </w:tc>
        <w:tc>
          <w:tcPr>
            <w:tcW w:w="938" w:type="dxa"/>
            <w:shd w:val="clear" w:color="auto" w:fill="auto"/>
            <w:noWrap/>
            <w:hideMark/>
          </w:tcPr>
          <w:p w14:paraId="44B407AC"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49972242"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460A1079"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0B26CB46"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41951EAE" w14:textId="77777777" w:rsidTr="000822FB">
        <w:tc>
          <w:tcPr>
            <w:tcW w:w="2137" w:type="dxa"/>
            <w:shd w:val="clear" w:color="auto" w:fill="auto"/>
            <w:noWrap/>
            <w:hideMark/>
          </w:tcPr>
          <w:p w14:paraId="410746D0" w14:textId="77777777" w:rsidR="00942C0F" w:rsidRPr="000822FB" w:rsidRDefault="00942C0F" w:rsidP="000822FB">
            <w:pPr>
              <w:spacing w:before="40" w:after="120"/>
              <w:ind w:right="113"/>
              <w:rPr>
                <w:lang w:eastAsia="en-US"/>
              </w:rPr>
            </w:pPr>
            <w:r w:rsidRPr="000822FB">
              <w:rPr>
                <w:lang w:eastAsia="en-US"/>
              </w:rPr>
              <w:t xml:space="preserve">Czechia </w:t>
            </w:r>
          </w:p>
        </w:tc>
        <w:tc>
          <w:tcPr>
            <w:tcW w:w="938" w:type="dxa"/>
            <w:shd w:val="clear" w:color="auto" w:fill="auto"/>
            <w:noWrap/>
            <w:hideMark/>
          </w:tcPr>
          <w:p w14:paraId="4F34652A"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2819E0AA"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03CC9C86" w14:textId="77777777" w:rsidR="00942C0F" w:rsidRPr="000822FB" w:rsidRDefault="00942C0F" w:rsidP="000822FB">
            <w:pPr>
              <w:spacing w:before="40" w:after="120"/>
              <w:ind w:right="113"/>
              <w:rPr>
                <w:lang w:eastAsia="en-US"/>
              </w:rPr>
            </w:pPr>
            <w:r w:rsidRPr="000822FB">
              <w:rPr>
                <w:lang w:eastAsia="en-US"/>
              </w:rPr>
              <w:t>$15,000</w:t>
            </w:r>
          </w:p>
        </w:tc>
        <w:tc>
          <w:tcPr>
            <w:tcW w:w="4294" w:type="dxa"/>
            <w:shd w:val="clear" w:color="auto" w:fill="auto"/>
            <w:tcMar>
              <w:left w:w="86" w:type="dxa"/>
              <w:right w:w="14" w:type="dxa"/>
            </w:tcMar>
            <w:hideMark/>
          </w:tcPr>
          <w:p w14:paraId="5B9D6E16" w14:textId="77777777" w:rsidR="00942C0F" w:rsidRPr="000822FB" w:rsidRDefault="00942C0F" w:rsidP="000822FB">
            <w:pPr>
              <w:spacing w:before="40" w:after="120"/>
              <w:ind w:right="113"/>
              <w:rPr>
                <w:lang w:eastAsia="en-US"/>
              </w:rPr>
            </w:pPr>
            <w:r w:rsidRPr="000822FB">
              <w:rPr>
                <w:lang w:eastAsia="en-US"/>
              </w:rPr>
              <w:t>$15,000 for the intersessional period 2021–2023, to be paid in three instalments of $5,000 each in 2021, 2022 and 2023.</w:t>
            </w:r>
          </w:p>
        </w:tc>
      </w:tr>
      <w:tr w:rsidR="00942C0F" w:rsidRPr="000822FB" w14:paraId="30BD55EB" w14:textId="77777777" w:rsidTr="000822FB">
        <w:tc>
          <w:tcPr>
            <w:tcW w:w="2137" w:type="dxa"/>
            <w:shd w:val="clear" w:color="auto" w:fill="auto"/>
            <w:noWrap/>
            <w:hideMark/>
          </w:tcPr>
          <w:p w14:paraId="10C6C724" w14:textId="77777777" w:rsidR="00942C0F" w:rsidRPr="000822FB" w:rsidRDefault="00942C0F" w:rsidP="000822FB">
            <w:pPr>
              <w:spacing w:before="40" w:after="120"/>
              <w:ind w:right="113"/>
              <w:rPr>
                <w:lang w:eastAsia="en-US"/>
              </w:rPr>
            </w:pPr>
            <w:r w:rsidRPr="000822FB">
              <w:rPr>
                <w:lang w:eastAsia="en-US"/>
              </w:rPr>
              <w:t xml:space="preserve">Denmark </w:t>
            </w:r>
          </w:p>
        </w:tc>
        <w:tc>
          <w:tcPr>
            <w:tcW w:w="938" w:type="dxa"/>
            <w:shd w:val="clear" w:color="auto" w:fill="auto"/>
            <w:noWrap/>
            <w:hideMark/>
          </w:tcPr>
          <w:p w14:paraId="34D25FF5"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05B81678"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0242B29E" w14:textId="77777777" w:rsidR="00942C0F" w:rsidRPr="000822FB" w:rsidRDefault="00942C0F" w:rsidP="000822FB">
            <w:pPr>
              <w:spacing w:before="40" w:after="120"/>
              <w:ind w:right="113"/>
              <w:rPr>
                <w:lang w:eastAsia="en-US"/>
              </w:rPr>
            </w:pPr>
            <w:r w:rsidRPr="000822FB">
              <w:rPr>
                <w:lang w:eastAsia="en-US"/>
              </w:rPr>
              <w:t>$13,500</w:t>
            </w:r>
          </w:p>
        </w:tc>
        <w:tc>
          <w:tcPr>
            <w:tcW w:w="4294" w:type="dxa"/>
            <w:shd w:val="clear" w:color="auto" w:fill="auto"/>
            <w:tcMar>
              <w:left w:w="86" w:type="dxa"/>
              <w:right w:w="14" w:type="dxa"/>
            </w:tcMar>
            <w:hideMark/>
          </w:tcPr>
          <w:p w14:paraId="53CB13A4" w14:textId="77777777" w:rsidR="00942C0F" w:rsidRPr="000822FB" w:rsidRDefault="00942C0F" w:rsidP="000822FB">
            <w:pPr>
              <w:spacing w:before="40" w:after="120"/>
              <w:ind w:right="113"/>
              <w:rPr>
                <w:lang w:eastAsia="en-US"/>
              </w:rPr>
            </w:pPr>
            <w:r w:rsidRPr="000822FB">
              <w:rPr>
                <w:lang w:eastAsia="en-US"/>
              </w:rPr>
              <w:t xml:space="preserve">$13,500 for the intersessional period 2021–2023.  </w:t>
            </w:r>
          </w:p>
        </w:tc>
      </w:tr>
      <w:tr w:rsidR="00942C0F" w:rsidRPr="000822FB" w14:paraId="52BF760F" w14:textId="77777777" w:rsidTr="000822FB">
        <w:tc>
          <w:tcPr>
            <w:tcW w:w="2137" w:type="dxa"/>
            <w:shd w:val="clear" w:color="auto" w:fill="auto"/>
            <w:noWrap/>
            <w:hideMark/>
          </w:tcPr>
          <w:p w14:paraId="6A95F2F5" w14:textId="77777777" w:rsidR="00942C0F" w:rsidRPr="000822FB" w:rsidRDefault="00942C0F" w:rsidP="000822FB">
            <w:pPr>
              <w:spacing w:before="40" w:after="120"/>
              <w:ind w:right="113"/>
              <w:rPr>
                <w:lang w:eastAsia="en-US"/>
              </w:rPr>
            </w:pPr>
            <w:r w:rsidRPr="000822FB">
              <w:rPr>
                <w:lang w:eastAsia="en-US"/>
              </w:rPr>
              <w:t xml:space="preserve">Estonia </w:t>
            </w:r>
          </w:p>
        </w:tc>
        <w:tc>
          <w:tcPr>
            <w:tcW w:w="938" w:type="dxa"/>
            <w:shd w:val="clear" w:color="auto" w:fill="auto"/>
            <w:noWrap/>
            <w:hideMark/>
          </w:tcPr>
          <w:p w14:paraId="15969200"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4C6BBA2E"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5BD248AE" w14:textId="77777777" w:rsidR="00942C0F" w:rsidRPr="000822FB" w:rsidRDefault="00942C0F" w:rsidP="000822FB">
            <w:pPr>
              <w:spacing w:before="40" w:after="120"/>
              <w:ind w:right="113"/>
              <w:rPr>
                <w:lang w:eastAsia="en-US"/>
              </w:rPr>
            </w:pPr>
            <w:r w:rsidRPr="000822FB">
              <w:rPr>
                <w:lang w:eastAsia="en-US"/>
              </w:rPr>
              <w:t>€3,000</w:t>
            </w:r>
          </w:p>
        </w:tc>
        <w:tc>
          <w:tcPr>
            <w:tcW w:w="4294" w:type="dxa"/>
            <w:shd w:val="clear" w:color="auto" w:fill="auto"/>
            <w:tcMar>
              <w:left w:w="86" w:type="dxa"/>
              <w:right w:w="14" w:type="dxa"/>
            </w:tcMar>
            <w:hideMark/>
          </w:tcPr>
          <w:p w14:paraId="2D3B307A" w14:textId="77777777" w:rsidR="00942C0F" w:rsidRPr="000822FB" w:rsidRDefault="00942C0F" w:rsidP="000822FB">
            <w:pPr>
              <w:spacing w:before="40" w:after="120"/>
              <w:ind w:right="113"/>
              <w:rPr>
                <w:lang w:eastAsia="en-US"/>
              </w:rPr>
            </w:pPr>
            <w:r w:rsidRPr="000822FB">
              <w:rPr>
                <w:lang w:eastAsia="en-US"/>
              </w:rPr>
              <w:t>€3,000 for the intersessional period 2021–2023, to be paid in three instalments of €1,000 each in 2021, 2022 and 2023.</w:t>
            </w:r>
          </w:p>
        </w:tc>
      </w:tr>
      <w:tr w:rsidR="00942C0F" w:rsidRPr="000822FB" w14:paraId="37312454" w14:textId="77777777" w:rsidTr="000822FB">
        <w:tc>
          <w:tcPr>
            <w:tcW w:w="2137" w:type="dxa"/>
            <w:shd w:val="clear" w:color="auto" w:fill="auto"/>
            <w:noWrap/>
          </w:tcPr>
          <w:p w14:paraId="16211111" w14:textId="77777777" w:rsidR="00942C0F" w:rsidRPr="000822FB" w:rsidRDefault="00942C0F" w:rsidP="000822FB">
            <w:pPr>
              <w:spacing w:before="40" w:after="120"/>
              <w:ind w:right="113"/>
              <w:rPr>
                <w:lang w:eastAsia="en-US"/>
              </w:rPr>
            </w:pPr>
            <w:r w:rsidRPr="000822FB">
              <w:rPr>
                <w:lang w:eastAsia="en-US"/>
              </w:rPr>
              <w:t>European Union</w:t>
            </w:r>
          </w:p>
        </w:tc>
        <w:tc>
          <w:tcPr>
            <w:tcW w:w="938" w:type="dxa"/>
            <w:shd w:val="clear" w:color="auto" w:fill="auto"/>
            <w:noWrap/>
          </w:tcPr>
          <w:p w14:paraId="0D987712"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2D1CA25D"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3E8DA5CC" w14:textId="77777777" w:rsidR="00942C0F" w:rsidRPr="000822FB" w:rsidDel="00453E7A" w:rsidRDefault="00942C0F" w:rsidP="000822FB">
            <w:pPr>
              <w:spacing w:before="40" w:after="120"/>
              <w:ind w:right="113"/>
              <w:rPr>
                <w:lang w:eastAsia="en-US"/>
              </w:rPr>
            </w:pPr>
            <w:r w:rsidRPr="000822FB">
              <w:rPr>
                <w:lang w:eastAsia="en-US"/>
              </w:rPr>
              <w:t>€210,000</w:t>
            </w:r>
          </w:p>
        </w:tc>
        <w:tc>
          <w:tcPr>
            <w:tcW w:w="4294" w:type="dxa"/>
            <w:shd w:val="clear" w:color="auto" w:fill="auto"/>
            <w:tcMar>
              <w:left w:w="86" w:type="dxa"/>
              <w:right w:w="14" w:type="dxa"/>
            </w:tcMar>
          </w:tcPr>
          <w:p w14:paraId="5B1E5F0C" w14:textId="1FA6180C" w:rsidR="00942C0F" w:rsidRPr="000822FB" w:rsidDel="00617354" w:rsidRDefault="00942C0F" w:rsidP="000822FB">
            <w:pPr>
              <w:spacing w:before="40" w:after="120"/>
              <w:ind w:right="113"/>
              <w:rPr>
                <w:lang w:eastAsia="en-US"/>
              </w:rPr>
            </w:pPr>
            <w:r w:rsidRPr="000822FB">
              <w:rPr>
                <w:lang w:eastAsia="en-US"/>
              </w:rPr>
              <w:t>Total of €210,000 for the intersessional period 2021–2023, to be paid in three instalments of €70,000 each in 2021, 2022 and 2023, consisting of an unearmarked contribution of €65,000/year and of €5,000/year earmarked to cover travel</w:t>
            </w:r>
            <w:r w:rsidR="003A7B3D" w:rsidRPr="000822FB">
              <w:rPr>
                <w:lang w:eastAsia="en-US"/>
              </w:rPr>
              <w:t>-</w:t>
            </w:r>
            <w:r w:rsidRPr="000822FB">
              <w:rPr>
                <w:lang w:eastAsia="en-US"/>
              </w:rPr>
              <w:t xml:space="preserve"> and subsistence</w:t>
            </w:r>
            <w:r w:rsidR="003A7B3D" w:rsidRPr="000822FB">
              <w:rPr>
                <w:lang w:eastAsia="en-US"/>
              </w:rPr>
              <w:t>-</w:t>
            </w:r>
            <w:r w:rsidRPr="000822FB">
              <w:rPr>
                <w:lang w:eastAsia="en-US"/>
              </w:rPr>
              <w:t xml:space="preserve">related costs of the Bureau Chair's </w:t>
            </w:r>
            <w:r w:rsidRPr="000822FB">
              <w:rPr>
                <w:lang w:eastAsia="en-US"/>
              </w:rPr>
              <w:lastRenderedPageBreak/>
              <w:t>participation at meetings under the Convention and the Protocol.</w:t>
            </w:r>
          </w:p>
        </w:tc>
      </w:tr>
      <w:tr w:rsidR="00942C0F" w:rsidRPr="000822FB" w14:paraId="4C53B430" w14:textId="77777777" w:rsidTr="000822FB">
        <w:tc>
          <w:tcPr>
            <w:tcW w:w="2137" w:type="dxa"/>
            <w:shd w:val="clear" w:color="auto" w:fill="auto"/>
            <w:noWrap/>
            <w:hideMark/>
          </w:tcPr>
          <w:p w14:paraId="734B839A" w14:textId="77777777" w:rsidR="00942C0F" w:rsidRPr="000822FB" w:rsidRDefault="00942C0F" w:rsidP="000822FB">
            <w:pPr>
              <w:spacing w:before="40" w:after="120"/>
              <w:ind w:right="113"/>
              <w:rPr>
                <w:lang w:eastAsia="en-US"/>
              </w:rPr>
            </w:pPr>
            <w:r w:rsidRPr="000822FB">
              <w:rPr>
                <w:lang w:eastAsia="en-US"/>
              </w:rPr>
              <w:lastRenderedPageBreak/>
              <w:t xml:space="preserve">Finland </w:t>
            </w:r>
          </w:p>
        </w:tc>
        <w:tc>
          <w:tcPr>
            <w:tcW w:w="938" w:type="dxa"/>
            <w:shd w:val="clear" w:color="auto" w:fill="auto"/>
            <w:noWrap/>
            <w:hideMark/>
          </w:tcPr>
          <w:p w14:paraId="3304AA06"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54FB846A"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5013C759" w14:textId="77777777" w:rsidR="00942C0F" w:rsidRPr="000822FB" w:rsidRDefault="00942C0F" w:rsidP="000822FB">
            <w:pPr>
              <w:spacing w:before="40" w:after="120"/>
              <w:ind w:right="113"/>
              <w:rPr>
                <w:lang w:eastAsia="en-US"/>
              </w:rPr>
            </w:pPr>
            <w:r w:rsidRPr="000822FB">
              <w:rPr>
                <w:lang w:eastAsia="en-US"/>
              </w:rPr>
              <w:t>$30,000</w:t>
            </w:r>
          </w:p>
        </w:tc>
        <w:tc>
          <w:tcPr>
            <w:tcW w:w="4294" w:type="dxa"/>
            <w:shd w:val="clear" w:color="auto" w:fill="auto"/>
            <w:tcMar>
              <w:left w:w="86" w:type="dxa"/>
              <w:right w:w="14" w:type="dxa"/>
            </w:tcMar>
            <w:hideMark/>
          </w:tcPr>
          <w:p w14:paraId="21D3904E" w14:textId="7B543168" w:rsidR="00942C0F" w:rsidRPr="000822FB" w:rsidRDefault="00942C0F" w:rsidP="000822FB">
            <w:pPr>
              <w:spacing w:before="40" w:after="120"/>
              <w:ind w:right="113"/>
              <w:rPr>
                <w:lang w:eastAsia="en-US"/>
              </w:rPr>
            </w:pPr>
            <w:r w:rsidRPr="000822FB">
              <w:rPr>
                <w:lang w:eastAsia="en-US"/>
              </w:rPr>
              <w:t>$30,000 for the intersessional period 2021–2023, to be paid in three instalments: $10,000 each in 2021</w:t>
            </w:r>
            <w:r w:rsidR="00535D7D" w:rsidRPr="000822FB">
              <w:rPr>
                <w:lang w:eastAsia="en-US"/>
              </w:rPr>
              <w:t>,</w:t>
            </w:r>
            <w:r w:rsidRPr="000822FB">
              <w:rPr>
                <w:lang w:eastAsia="en-US"/>
              </w:rPr>
              <w:t xml:space="preserve"> 2022 and 2023 (subject to the availability of funding in the national budget).</w:t>
            </w:r>
          </w:p>
        </w:tc>
      </w:tr>
      <w:tr w:rsidR="00942C0F" w:rsidRPr="000822FB" w14:paraId="22D6C239" w14:textId="77777777" w:rsidTr="000822FB">
        <w:tc>
          <w:tcPr>
            <w:tcW w:w="2137" w:type="dxa"/>
            <w:shd w:val="clear" w:color="auto" w:fill="auto"/>
            <w:noWrap/>
            <w:hideMark/>
          </w:tcPr>
          <w:p w14:paraId="42346397" w14:textId="77777777" w:rsidR="00942C0F" w:rsidRPr="000822FB" w:rsidRDefault="00942C0F" w:rsidP="000822FB">
            <w:pPr>
              <w:spacing w:before="40" w:after="120"/>
              <w:ind w:right="113"/>
              <w:rPr>
                <w:lang w:eastAsia="en-US"/>
              </w:rPr>
            </w:pPr>
            <w:r w:rsidRPr="000822FB">
              <w:rPr>
                <w:lang w:eastAsia="en-US"/>
              </w:rPr>
              <w:t>France</w:t>
            </w:r>
          </w:p>
        </w:tc>
        <w:tc>
          <w:tcPr>
            <w:tcW w:w="938" w:type="dxa"/>
            <w:shd w:val="clear" w:color="auto" w:fill="auto"/>
            <w:noWrap/>
            <w:hideMark/>
          </w:tcPr>
          <w:p w14:paraId="6EDD5CA3"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3D37CFAD"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2127006F" w14:textId="77777777" w:rsidR="00942C0F" w:rsidRPr="000822FB" w:rsidRDefault="00942C0F" w:rsidP="000822FB">
            <w:pPr>
              <w:spacing w:before="40" w:after="120"/>
              <w:ind w:right="113"/>
              <w:rPr>
                <w:lang w:eastAsia="en-US"/>
              </w:rPr>
            </w:pPr>
            <w:r w:rsidRPr="000822FB">
              <w:rPr>
                <w:lang w:eastAsia="en-US"/>
              </w:rPr>
              <w:t>€90,000</w:t>
            </w:r>
          </w:p>
        </w:tc>
        <w:tc>
          <w:tcPr>
            <w:tcW w:w="4294" w:type="dxa"/>
            <w:shd w:val="clear" w:color="auto" w:fill="auto"/>
            <w:tcMar>
              <w:left w:w="86" w:type="dxa"/>
              <w:right w:w="14" w:type="dxa"/>
            </w:tcMar>
            <w:hideMark/>
          </w:tcPr>
          <w:p w14:paraId="70485AF8" w14:textId="77777777" w:rsidR="00942C0F" w:rsidRPr="000822FB" w:rsidRDefault="00942C0F" w:rsidP="000822FB">
            <w:pPr>
              <w:spacing w:before="40" w:after="120"/>
              <w:ind w:right="113"/>
              <w:rPr>
                <w:lang w:eastAsia="en-US"/>
              </w:rPr>
            </w:pPr>
            <w:r w:rsidRPr="000822FB">
              <w:rPr>
                <w:lang w:eastAsia="en-US"/>
              </w:rPr>
              <w:t>€90,000 for the intersessional period 2021–2023, to be paid in three instalments of €30,000 each in 2021, 2022 and 2023.</w:t>
            </w:r>
          </w:p>
        </w:tc>
      </w:tr>
      <w:tr w:rsidR="00942C0F" w:rsidRPr="000822FB" w14:paraId="217958D3" w14:textId="77777777" w:rsidTr="000822FB">
        <w:tc>
          <w:tcPr>
            <w:tcW w:w="2137" w:type="dxa"/>
            <w:shd w:val="clear" w:color="auto" w:fill="auto"/>
            <w:noWrap/>
            <w:hideMark/>
          </w:tcPr>
          <w:p w14:paraId="23E5CE5D" w14:textId="77777777" w:rsidR="00942C0F" w:rsidRPr="000822FB" w:rsidRDefault="00942C0F" w:rsidP="000822FB">
            <w:pPr>
              <w:spacing w:before="40" w:after="120"/>
              <w:ind w:right="113"/>
              <w:rPr>
                <w:lang w:eastAsia="en-US"/>
              </w:rPr>
            </w:pPr>
            <w:r w:rsidRPr="000822FB">
              <w:rPr>
                <w:lang w:eastAsia="en-US"/>
              </w:rPr>
              <w:t xml:space="preserve">Germany </w:t>
            </w:r>
          </w:p>
        </w:tc>
        <w:tc>
          <w:tcPr>
            <w:tcW w:w="938" w:type="dxa"/>
            <w:shd w:val="clear" w:color="auto" w:fill="auto"/>
            <w:noWrap/>
          </w:tcPr>
          <w:p w14:paraId="422A8E77"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75A84C69"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54884889" w14:textId="77777777" w:rsidR="00942C0F" w:rsidRPr="000822FB" w:rsidRDefault="00942C0F" w:rsidP="000822FB">
            <w:pPr>
              <w:spacing w:before="40" w:after="120"/>
              <w:ind w:right="113"/>
              <w:rPr>
                <w:lang w:eastAsia="en-US"/>
              </w:rPr>
            </w:pPr>
            <w:r w:rsidRPr="000822FB">
              <w:rPr>
                <w:lang w:eastAsia="en-US"/>
              </w:rPr>
              <w:t>$60,000</w:t>
            </w:r>
          </w:p>
        </w:tc>
        <w:tc>
          <w:tcPr>
            <w:tcW w:w="4294" w:type="dxa"/>
            <w:shd w:val="clear" w:color="auto" w:fill="auto"/>
            <w:tcMar>
              <w:left w:w="86" w:type="dxa"/>
              <w:right w:w="14" w:type="dxa"/>
            </w:tcMar>
            <w:hideMark/>
          </w:tcPr>
          <w:p w14:paraId="0B539B4C" w14:textId="72AF2237" w:rsidR="00942C0F" w:rsidRPr="000822FB" w:rsidRDefault="00942C0F" w:rsidP="000822FB">
            <w:pPr>
              <w:spacing w:before="40" w:after="120"/>
              <w:ind w:right="113"/>
              <w:rPr>
                <w:lang w:eastAsia="en-US"/>
              </w:rPr>
            </w:pPr>
            <w:r w:rsidRPr="000822FB">
              <w:rPr>
                <w:lang w:eastAsia="en-US"/>
              </w:rPr>
              <w:t>$60,000 for the intersessional period 2021–2023, to be paid in three instalments of $20,000 each in 2021, 2022 and 2023</w:t>
            </w:r>
            <w:r w:rsidR="00DE2CEB" w:rsidRPr="000822FB">
              <w:rPr>
                <w:lang w:eastAsia="en-US"/>
              </w:rPr>
              <w:t>.</w:t>
            </w:r>
            <w:r w:rsidRPr="000822FB">
              <w:rPr>
                <w:lang w:eastAsia="en-US"/>
              </w:rPr>
              <w:t xml:space="preserve"> </w:t>
            </w:r>
          </w:p>
        </w:tc>
      </w:tr>
      <w:tr w:rsidR="00942C0F" w:rsidRPr="000822FB" w14:paraId="0BB5050F" w14:textId="77777777" w:rsidTr="000822FB">
        <w:tc>
          <w:tcPr>
            <w:tcW w:w="2137" w:type="dxa"/>
            <w:shd w:val="clear" w:color="auto" w:fill="auto"/>
            <w:noWrap/>
          </w:tcPr>
          <w:p w14:paraId="4751628E" w14:textId="77777777" w:rsidR="00942C0F" w:rsidRPr="000822FB" w:rsidRDefault="00942C0F" w:rsidP="000822FB">
            <w:pPr>
              <w:spacing w:before="40" w:after="120"/>
              <w:ind w:right="113"/>
              <w:rPr>
                <w:lang w:eastAsia="en-US"/>
              </w:rPr>
            </w:pPr>
            <w:r w:rsidRPr="000822FB">
              <w:rPr>
                <w:lang w:eastAsia="en-US"/>
              </w:rPr>
              <w:t>Georgia</w:t>
            </w:r>
          </w:p>
        </w:tc>
        <w:tc>
          <w:tcPr>
            <w:tcW w:w="938" w:type="dxa"/>
            <w:shd w:val="clear" w:color="auto" w:fill="auto"/>
            <w:noWrap/>
          </w:tcPr>
          <w:p w14:paraId="183EBB81" w14:textId="77777777" w:rsidR="00942C0F" w:rsidRPr="000822FB" w:rsidRDefault="00942C0F" w:rsidP="000822FB">
            <w:pPr>
              <w:spacing w:before="40" w:after="120"/>
              <w:ind w:right="113"/>
              <w:rPr>
                <w:lang w:eastAsia="en-US"/>
              </w:rPr>
            </w:pPr>
            <w:r w:rsidRPr="000822FB">
              <w:rPr>
                <w:lang w:eastAsia="en-US"/>
              </w:rPr>
              <w:t>No</w:t>
            </w:r>
          </w:p>
        </w:tc>
        <w:tc>
          <w:tcPr>
            <w:tcW w:w="799" w:type="dxa"/>
            <w:shd w:val="clear" w:color="auto" w:fill="auto"/>
            <w:noWrap/>
          </w:tcPr>
          <w:p w14:paraId="39ABF624"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150E9859"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tcPr>
          <w:p w14:paraId="6BF75CEE"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3531FA8D" w14:textId="77777777" w:rsidTr="000822FB">
        <w:tc>
          <w:tcPr>
            <w:tcW w:w="2137" w:type="dxa"/>
            <w:shd w:val="clear" w:color="auto" w:fill="auto"/>
            <w:noWrap/>
            <w:hideMark/>
          </w:tcPr>
          <w:p w14:paraId="3A8FC7D2" w14:textId="77777777" w:rsidR="00942C0F" w:rsidRPr="000822FB" w:rsidRDefault="00942C0F" w:rsidP="000822FB">
            <w:pPr>
              <w:spacing w:before="40" w:after="120"/>
              <w:ind w:right="113"/>
              <w:rPr>
                <w:lang w:eastAsia="en-US"/>
              </w:rPr>
            </w:pPr>
            <w:r w:rsidRPr="000822FB">
              <w:rPr>
                <w:lang w:eastAsia="en-US"/>
              </w:rPr>
              <w:t xml:space="preserve">Greece </w:t>
            </w:r>
          </w:p>
        </w:tc>
        <w:tc>
          <w:tcPr>
            <w:tcW w:w="938" w:type="dxa"/>
            <w:shd w:val="clear" w:color="auto" w:fill="auto"/>
            <w:noWrap/>
            <w:hideMark/>
          </w:tcPr>
          <w:p w14:paraId="38F1A60C"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297BDD46"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0FE481C7" w14:textId="77777777" w:rsidR="00942C0F" w:rsidRPr="000822FB" w:rsidRDefault="00942C0F" w:rsidP="000822FB">
            <w:pPr>
              <w:spacing w:before="40" w:after="120"/>
              <w:ind w:right="113"/>
              <w:rPr>
                <w:lang w:eastAsia="en-US"/>
              </w:rPr>
            </w:pPr>
            <w:r w:rsidRPr="000822FB">
              <w:rPr>
                <w:lang w:eastAsia="en-US"/>
              </w:rPr>
              <w:t>€3,000</w:t>
            </w:r>
          </w:p>
        </w:tc>
        <w:tc>
          <w:tcPr>
            <w:tcW w:w="4294" w:type="dxa"/>
            <w:shd w:val="clear" w:color="auto" w:fill="auto"/>
            <w:tcMar>
              <w:left w:w="86" w:type="dxa"/>
              <w:right w:w="14" w:type="dxa"/>
            </w:tcMar>
            <w:hideMark/>
          </w:tcPr>
          <w:p w14:paraId="4C535D60" w14:textId="3CB5896B" w:rsidR="00942C0F" w:rsidRPr="000822FB" w:rsidRDefault="00942C0F" w:rsidP="000822FB">
            <w:pPr>
              <w:spacing w:before="40" w:after="120"/>
              <w:ind w:right="113"/>
              <w:rPr>
                <w:lang w:eastAsia="en-US"/>
              </w:rPr>
            </w:pPr>
            <w:r w:rsidRPr="000822FB">
              <w:rPr>
                <w:lang w:eastAsia="en-US"/>
              </w:rPr>
              <w:t>€3,000 for the intersessional period 2021–2023</w:t>
            </w:r>
            <w:r w:rsidR="003A7B3D" w:rsidRPr="000822FB">
              <w:rPr>
                <w:lang w:eastAsia="en-US"/>
              </w:rPr>
              <w:t>,</w:t>
            </w:r>
            <w:r w:rsidRPr="000822FB">
              <w:rPr>
                <w:lang w:eastAsia="en-US"/>
              </w:rPr>
              <w:t xml:space="preserve"> to be paid in three instalments of €1,000 each in 2021, 2022 and 2023 (</w:t>
            </w:r>
            <w:r w:rsidR="003A7B3D" w:rsidRPr="000822FB">
              <w:rPr>
                <w:lang w:eastAsia="en-US"/>
              </w:rPr>
              <w:t>s</w:t>
            </w:r>
            <w:r w:rsidRPr="000822FB">
              <w:rPr>
                <w:lang w:eastAsia="en-US"/>
              </w:rPr>
              <w:t>ubject to confirmation).</w:t>
            </w:r>
            <w:r w:rsidRPr="000822FB">
              <w:rPr>
                <w:lang w:eastAsia="en-US"/>
              </w:rPr>
              <w:tab/>
            </w:r>
            <w:r w:rsidRPr="000822FB">
              <w:rPr>
                <w:lang w:eastAsia="en-US"/>
              </w:rPr>
              <w:tab/>
            </w:r>
          </w:p>
        </w:tc>
      </w:tr>
      <w:tr w:rsidR="00942C0F" w:rsidRPr="000822FB" w14:paraId="2B59701B" w14:textId="77777777" w:rsidTr="000822FB">
        <w:tc>
          <w:tcPr>
            <w:tcW w:w="2137" w:type="dxa"/>
            <w:shd w:val="clear" w:color="auto" w:fill="auto"/>
            <w:noWrap/>
            <w:hideMark/>
          </w:tcPr>
          <w:p w14:paraId="5965C26C" w14:textId="77777777" w:rsidR="00942C0F" w:rsidRPr="000822FB" w:rsidRDefault="00942C0F" w:rsidP="000822FB">
            <w:pPr>
              <w:spacing w:before="40" w:after="120"/>
              <w:ind w:right="113"/>
              <w:rPr>
                <w:lang w:eastAsia="en-US"/>
              </w:rPr>
            </w:pPr>
            <w:r w:rsidRPr="000822FB">
              <w:rPr>
                <w:lang w:eastAsia="en-US"/>
              </w:rPr>
              <w:t xml:space="preserve">Hungary </w:t>
            </w:r>
          </w:p>
        </w:tc>
        <w:tc>
          <w:tcPr>
            <w:tcW w:w="938" w:type="dxa"/>
            <w:shd w:val="clear" w:color="auto" w:fill="auto"/>
            <w:noWrap/>
            <w:hideMark/>
          </w:tcPr>
          <w:p w14:paraId="2FE082DA"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5308A1F6"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0D3A4020" w14:textId="77777777" w:rsidR="00942C0F" w:rsidRPr="000822FB" w:rsidRDefault="00942C0F" w:rsidP="000822FB">
            <w:pPr>
              <w:spacing w:before="40" w:after="120"/>
              <w:ind w:right="113"/>
              <w:rPr>
                <w:lang w:eastAsia="en-US"/>
              </w:rPr>
            </w:pPr>
            <w:r w:rsidRPr="000822FB">
              <w:rPr>
                <w:lang w:eastAsia="en-US"/>
              </w:rPr>
              <w:t>$12,000</w:t>
            </w:r>
          </w:p>
        </w:tc>
        <w:tc>
          <w:tcPr>
            <w:tcW w:w="4294" w:type="dxa"/>
            <w:shd w:val="clear" w:color="auto" w:fill="auto"/>
            <w:tcMar>
              <w:left w:w="86" w:type="dxa"/>
              <w:right w:w="14" w:type="dxa"/>
            </w:tcMar>
            <w:hideMark/>
          </w:tcPr>
          <w:p w14:paraId="0EBAB25E" w14:textId="77777777" w:rsidR="00942C0F" w:rsidRPr="000822FB" w:rsidRDefault="00942C0F" w:rsidP="000822FB">
            <w:pPr>
              <w:spacing w:before="40" w:after="120"/>
              <w:ind w:right="113"/>
              <w:rPr>
                <w:lang w:eastAsia="en-US"/>
              </w:rPr>
            </w:pPr>
            <w:r w:rsidRPr="000822FB">
              <w:rPr>
                <w:lang w:eastAsia="en-US"/>
              </w:rPr>
              <w:t>$12,000 for the intersessional period 2021–2023, to be paid in three instalments of $4,000 each in 2021, 2022 and 2023.</w:t>
            </w:r>
          </w:p>
        </w:tc>
      </w:tr>
      <w:tr w:rsidR="00942C0F" w:rsidRPr="000822FB" w14:paraId="0ED20B9D" w14:textId="77777777" w:rsidTr="000822FB">
        <w:tc>
          <w:tcPr>
            <w:tcW w:w="2137" w:type="dxa"/>
            <w:shd w:val="clear" w:color="auto" w:fill="auto"/>
            <w:noWrap/>
          </w:tcPr>
          <w:p w14:paraId="212E78E1" w14:textId="77777777" w:rsidR="00942C0F" w:rsidRPr="000822FB" w:rsidRDefault="00942C0F" w:rsidP="000822FB">
            <w:pPr>
              <w:spacing w:before="40" w:after="120"/>
              <w:ind w:right="113"/>
              <w:rPr>
                <w:lang w:eastAsia="en-US"/>
              </w:rPr>
            </w:pPr>
            <w:r w:rsidRPr="000822FB">
              <w:rPr>
                <w:lang w:eastAsia="en-US"/>
              </w:rPr>
              <w:t>Iceland</w:t>
            </w:r>
          </w:p>
        </w:tc>
        <w:tc>
          <w:tcPr>
            <w:tcW w:w="938" w:type="dxa"/>
            <w:shd w:val="clear" w:color="auto" w:fill="auto"/>
            <w:noWrap/>
          </w:tcPr>
          <w:p w14:paraId="0EE004A4" w14:textId="77777777" w:rsidR="00942C0F" w:rsidRPr="000822FB" w:rsidRDefault="00942C0F" w:rsidP="000822FB">
            <w:pPr>
              <w:spacing w:before="40" w:after="120"/>
              <w:ind w:right="113"/>
              <w:rPr>
                <w:lang w:eastAsia="en-US"/>
              </w:rPr>
            </w:pPr>
            <w:r w:rsidRPr="000822FB">
              <w:rPr>
                <w:lang w:eastAsia="en-US"/>
              </w:rPr>
              <w:t>No</w:t>
            </w:r>
          </w:p>
        </w:tc>
        <w:tc>
          <w:tcPr>
            <w:tcW w:w="799" w:type="dxa"/>
            <w:shd w:val="clear" w:color="auto" w:fill="auto"/>
            <w:noWrap/>
          </w:tcPr>
          <w:p w14:paraId="431EC432"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0E5989FC"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tcPr>
          <w:p w14:paraId="1C0F3788"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3C096C83" w14:textId="77777777" w:rsidTr="000822FB">
        <w:tc>
          <w:tcPr>
            <w:tcW w:w="2137" w:type="dxa"/>
            <w:shd w:val="clear" w:color="auto" w:fill="auto"/>
            <w:noWrap/>
            <w:hideMark/>
          </w:tcPr>
          <w:p w14:paraId="2B144A26" w14:textId="77777777" w:rsidR="00942C0F" w:rsidRPr="000822FB" w:rsidRDefault="00942C0F" w:rsidP="000822FB">
            <w:pPr>
              <w:spacing w:before="40" w:after="120"/>
              <w:ind w:right="113"/>
              <w:rPr>
                <w:lang w:eastAsia="en-US"/>
              </w:rPr>
            </w:pPr>
            <w:r w:rsidRPr="000822FB">
              <w:rPr>
                <w:lang w:eastAsia="en-US"/>
              </w:rPr>
              <w:t xml:space="preserve">Ireland </w:t>
            </w:r>
          </w:p>
        </w:tc>
        <w:tc>
          <w:tcPr>
            <w:tcW w:w="938" w:type="dxa"/>
            <w:shd w:val="clear" w:color="auto" w:fill="auto"/>
            <w:noWrap/>
            <w:hideMark/>
          </w:tcPr>
          <w:p w14:paraId="446D4B8D"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2FF83F75"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61A7402C" w14:textId="77777777" w:rsidR="00942C0F" w:rsidRPr="000822FB" w:rsidRDefault="00942C0F" w:rsidP="000822FB">
            <w:pPr>
              <w:spacing w:before="40" w:after="120"/>
              <w:ind w:right="113"/>
              <w:rPr>
                <w:lang w:eastAsia="en-US"/>
              </w:rPr>
            </w:pPr>
            <w:r w:rsidRPr="000822FB">
              <w:rPr>
                <w:lang w:eastAsia="en-US"/>
              </w:rPr>
              <w:t>$19,500</w:t>
            </w:r>
          </w:p>
        </w:tc>
        <w:tc>
          <w:tcPr>
            <w:tcW w:w="4294" w:type="dxa"/>
            <w:shd w:val="clear" w:color="auto" w:fill="auto"/>
            <w:tcMar>
              <w:left w:w="86" w:type="dxa"/>
              <w:right w:w="14" w:type="dxa"/>
            </w:tcMar>
            <w:hideMark/>
          </w:tcPr>
          <w:p w14:paraId="6855BB90" w14:textId="77777777" w:rsidR="00942C0F" w:rsidRPr="000822FB" w:rsidRDefault="00942C0F" w:rsidP="000822FB">
            <w:pPr>
              <w:spacing w:before="40" w:after="120"/>
              <w:ind w:right="113"/>
              <w:rPr>
                <w:lang w:eastAsia="en-US"/>
              </w:rPr>
            </w:pPr>
            <w:r w:rsidRPr="000822FB">
              <w:rPr>
                <w:lang w:eastAsia="en-US"/>
              </w:rPr>
              <w:t>$19,500 for the intersessional period 2021–2023, to be paid in three instalments of $6,500 each in 2021, 2022 and 2023.</w:t>
            </w:r>
          </w:p>
        </w:tc>
      </w:tr>
      <w:tr w:rsidR="00942C0F" w:rsidRPr="000822FB" w14:paraId="1B941A9C" w14:textId="77777777" w:rsidTr="000822FB">
        <w:tc>
          <w:tcPr>
            <w:tcW w:w="2137" w:type="dxa"/>
            <w:shd w:val="clear" w:color="auto" w:fill="auto"/>
            <w:noWrap/>
            <w:hideMark/>
          </w:tcPr>
          <w:p w14:paraId="5094B854" w14:textId="77777777" w:rsidR="00942C0F" w:rsidRPr="000822FB" w:rsidRDefault="00942C0F" w:rsidP="000822FB">
            <w:pPr>
              <w:spacing w:before="40" w:after="120"/>
              <w:ind w:right="113"/>
              <w:rPr>
                <w:lang w:eastAsia="en-US"/>
              </w:rPr>
            </w:pPr>
            <w:r w:rsidRPr="000822FB">
              <w:rPr>
                <w:lang w:eastAsia="en-US"/>
              </w:rPr>
              <w:t xml:space="preserve">Italy </w:t>
            </w:r>
          </w:p>
        </w:tc>
        <w:tc>
          <w:tcPr>
            <w:tcW w:w="938" w:type="dxa"/>
            <w:shd w:val="clear" w:color="auto" w:fill="auto"/>
            <w:noWrap/>
          </w:tcPr>
          <w:p w14:paraId="74704714"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tcPr>
          <w:p w14:paraId="1263BEEF"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17A08342" w14:textId="77777777" w:rsidR="00942C0F" w:rsidRPr="000822FB" w:rsidRDefault="00942C0F" w:rsidP="000822FB">
            <w:pPr>
              <w:spacing w:before="40" w:after="120"/>
              <w:ind w:right="113"/>
              <w:rPr>
                <w:lang w:eastAsia="en-US"/>
              </w:rPr>
            </w:pPr>
            <w:r w:rsidRPr="000822FB">
              <w:rPr>
                <w:lang w:eastAsia="en-US"/>
              </w:rPr>
              <w:t>€240,000</w:t>
            </w:r>
          </w:p>
        </w:tc>
        <w:tc>
          <w:tcPr>
            <w:tcW w:w="4294" w:type="dxa"/>
            <w:shd w:val="clear" w:color="auto" w:fill="auto"/>
            <w:tcMar>
              <w:left w:w="86" w:type="dxa"/>
              <w:right w:w="14" w:type="dxa"/>
            </w:tcMar>
            <w:hideMark/>
          </w:tcPr>
          <w:p w14:paraId="03D849CE" w14:textId="09881895" w:rsidR="00942C0F" w:rsidRPr="000822FB" w:rsidRDefault="00942C0F" w:rsidP="000822FB">
            <w:pPr>
              <w:spacing w:before="40" w:after="120"/>
              <w:ind w:right="113"/>
              <w:rPr>
                <w:lang w:eastAsia="en-US"/>
              </w:rPr>
            </w:pPr>
            <w:r w:rsidRPr="000822FB">
              <w:rPr>
                <w:lang w:eastAsia="en-US"/>
              </w:rPr>
              <w:t>€60,000 for the intersessional period 2021–2023 (€20,000/year to be paid in 2021, 2022 and 2023). In addition, earmarked contributions of</w:t>
            </w:r>
            <w:r w:rsidR="003A7B3D" w:rsidRPr="000822FB">
              <w:rPr>
                <w:lang w:eastAsia="en-US"/>
              </w:rPr>
              <w:t>,</w:t>
            </w:r>
            <w:r w:rsidRPr="000822FB">
              <w:rPr>
                <w:lang w:eastAsia="en-US"/>
              </w:rPr>
              <w:t xml:space="preserve"> in total</w:t>
            </w:r>
            <w:r w:rsidR="003A7B3D" w:rsidRPr="000822FB">
              <w:rPr>
                <w:lang w:eastAsia="en-US"/>
              </w:rPr>
              <w:t>,</w:t>
            </w:r>
            <w:r w:rsidRPr="000822FB">
              <w:rPr>
                <w:lang w:eastAsia="en-US"/>
              </w:rPr>
              <w:t xml:space="preserve"> €180,000 for the period 2021–2023 (€60,000/year to be paid in 2021, 2022 and 2023</w:t>
            </w:r>
            <w:r w:rsidR="00004139" w:rsidRPr="000822FB">
              <w:rPr>
                <w:lang w:eastAsia="en-US"/>
              </w:rPr>
              <w:t>)</w:t>
            </w:r>
            <w:r w:rsidRPr="000822FB">
              <w:rPr>
                <w:lang w:eastAsia="en-US"/>
              </w:rPr>
              <w:t xml:space="preserve"> for two proposed workplan activities: €120,000 (or €40,000/year) for </w:t>
            </w:r>
            <w:proofErr w:type="spellStart"/>
            <w:r w:rsidRPr="000822FB">
              <w:rPr>
                <w:lang w:eastAsia="en-US"/>
              </w:rPr>
              <w:t>subregional</w:t>
            </w:r>
            <w:proofErr w:type="spellEnd"/>
            <w:r w:rsidRPr="000822FB">
              <w:rPr>
                <w:lang w:eastAsia="en-US"/>
              </w:rPr>
              <w:t xml:space="preserve"> cooperation activities for marine regions; and €60,000 (or €20,000/year) for a thematic seminar on promoting the application of strategic environmental assessment in development cooperation. </w:t>
            </w:r>
          </w:p>
        </w:tc>
      </w:tr>
      <w:tr w:rsidR="00942C0F" w:rsidRPr="000822FB" w14:paraId="345B5601" w14:textId="77777777" w:rsidTr="000822FB">
        <w:tc>
          <w:tcPr>
            <w:tcW w:w="2137" w:type="dxa"/>
            <w:shd w:val="clear" w:color="auto" w:fill="auto"/>
            <w:noWrap/>
            <w:hideMark/>
          </w:tcPr>
          <w:p w14:paraId="1BCDA40C" w14:textId="77777777" w:rsidR="00942C0F" w:rsidRPr="000822FB" w:rsidRDefault="00942C0F" w:rsidP="000822FB">
            <w:pPr>
              <w:spacing w:before="40" w:after="120"/>
              <w:ind w:right="113"/>
              <w:rPr>
                <w:lang w:eastAsia="en-US"/>
              </w:rPr>
            </w:pPr>
            <w:r w:rsidRPr="000822FB">
              <w:rPr>
                <w:lang w:eastAsia="en-US"/>
              </w:rPr>
              <w:t xml:space="preserve">Kazakhstan </w:t>
            </w:r>
          </w:p>
        </w:tc>
        <w:tc>
          <w:tcPr>
            <w:tcW w:w="938" w:type="dxa"/>
            <w:shd w:val="clear" w:color="auto" w:fill="auto"/>
            <w:noWrap/>
            <w:hideMark/>
          </w:tcPr>
          <w:p w14:paraId="3B1B1DE0"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1A55F916"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6F418B3E"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4087C9F3"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0AACA6BF" w14:textId="77777777" w:rsidTr="000822FB">
        <w:tc>
          <w:tcPr>
            <w:tcW w:w="2137" w:type="dxa"/>
            <w:shd w:val="clear" w:color="auto" w:fill="auto"/>
            <w:noWrap/>
            <w:hideMark/>
          </w:tcPr>
          <w:p w14:paraId="2EFF3F54" w14:textId="77777777" w:rsidR="00942C0F" w:rsidRPr="000822FB" w:rsidRDefault="00942C0F" w:rsidP="000822FB">
            <w:pPr>
              <w:spacing w:before="40" w:after="120"/>
              <w:ind w:right="113"/>
              <w:rPr>
                <w:lang w:eastAsia="en-US"/>
              </w:rPr>
            </w:pPr>
            <w:r w:rsidRPr="000822FB">
              <w:rPr>
                <w:lang w:eastAsia="en-US"/>
              </w:rPr>
              <w:t xml:space="preserve">Kyrgyzstan </w:t>
            </w:r>
          </w:p>
        </w:tc>
        <w:tc>
          <w:tcPr>
            <w:tcW w:w="938" w:type="dxa"/>
            <w:shd w:val="clear" w:color="auto" w:fill="auto"/>
            <w:noWrap/>
            <w:hideMark/>
          </w:tcPr>
          <w:p w14:paraId="112D40A0"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1014FC11"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1016C5A9"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54A9A1AF"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313CF0A0" w14:textId="77777777" w:rsidTr="000822FB">
        <w:tc>
          <w:tcPr>
            <w:tcW w:w="2137" w:type="dxa"/>
            <w:shd w:val="clear" w:color="auto" w:fill="auto"/>
            <w:noWrap/>
            <w:hideMark/>
          </w:tcPr>
          <w:p w14:paraId="1C859DA5" w14:textId="77777777" w:rsidR="00942C0F" w:rsidRPr="000822FB" w:rsidRDefault="00942C0F" w:rsidP="000822FB">
            <w:pPr>
              <w:spacing w:before="40" w:after="120"/>
              <w:ind w:right="113"/>
              <w:rPr>
                <w:lang w:eastAsia="en-US"/>
              </w:rPr>
            </w:pPr>
            <w:r w:rsidRPr="000822FB">
              <w:rPr>
                <w:lang w:eastAsia="en-US"/>
              </w:rPr>
              <w:t xml:space="preserve">Latvia </w:t>
            </w:r>
          </w:p>
        </w:tc>
        <w:tc>
          <w:tcPr>
            <w:tcW w:w="938" w:type="dxa"/>
            <w:shd w:val="clear" w:color="auto" w:fill="auto"/>
            <w:noWrap/>
            <w:hideMark/>
          </w:tcPr>
          <w:p w14:paraId="4CFD7584"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32923A19"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2ECB8F33" w14:textId="77777777" w:rsidR="00942C0F" w:rsidRPr="000822FB" w:rsidRDefault="00942C0F" w:rsidP="000822FB">
            <w:pPr>
              <w:spacing w:before="40" w:after="120"/>
              <w:ind w:right="113"/>
              <w:rPr>
                <w:lang w:eastAsia="en-US"/>
              </w:rPr>
            </w:pPr>
            <w:r w:rsidRPr="000822FB">
              <w:rPr>
                <w:lang w:eastAsia="en-US"/>
              </w:rPr>
              <w:t>€3,000</w:t>
            </w:r>
          </w:p>
        </w:tc>
        <w:tc>
          <w:tcPr>
            <w:tcW w:w="4294" w:type="dxa"/>
            <w:shd w:val="clear" w:color="auto" w:fill="auto"/>
            <w:tcMar>
              <w:left w:w="86" w:type="dxa"/>
              <w:right w:w="14" w:type="dxa"/>
            </w:tcMar>
            <w:hideMark/>
          </w:tcPr>
          <w:p w14:paraId="52416142" w14:textId="158C91A0" w:rsidR="00942C0F" w:rsidRPr="000822FB" w:rsidRDefault="00942C0F" w:rsidP="000822FB">
            <w:pPr>
              <w:spacing w:before="40" w:after="120"/>
              <w:ind w:right="113"/>
              <w:rPr>
                <w:lang w:eastAsia="en-US"/>
              </w:rPr>
            </w:pPr>
            <w:r w:rsidRPr="000822FB">
              <w:rPr>
                <w:lang w:eastAsia="en-US"/>
              </w:rPr>
              <w:t>€3,000 for the intersessional period 2021–2023</w:t>
            </w:r>
            <w:r w:rsidR="003A7B3D" w:rsidRPr="000822FB">
              <w:rPr>
                <w:lang w:eastAsia="en-US"/>
              </w:rPr>
              <w:t>,</w:t>
            </w:r>
            <w:r w:rsidRPr="000822FB">
              <w:rPr>
                <w:lang w:eastAsia="en-US"/>
              </w:rPr>
              <w:t xml:space="preserve"> to be paid in three instalments of €1,000 each in 2021, 2022 and 2023.</w:t>
            </w:r>
          </w:p>
        </w:tc>
      </w:tr>
      <w:tr w:rsidR="00942C0F" w:rsidRPr="000822FB" w14:paraId="7E2041A5" w14:textId="77777777" w:rsidTr="000822FB">
        <w:tc>
          <w:tcPr>
            <w:tcW w:w="2137" w:type="dxa"/>
            <w:shd w:val="clear" w:color="auto" w:fill="auto"/>
            <w:noWrap/>
            <w:hideMark/>
          </w:tcPr>
          <w:p w14:paraId="09E80731" w14:textId="77777777" w:rsidR="00942C0F" w:rsidRPr="000822FB" w:rsidRDefault="00942C0F" w:rsidP="000822FB">
            <w:pPr>
              <w:spacing w:before="40" w:after="120"/>
              <w:ind w:right="113"/>
              <w:rPr>
                <w:lang w:eastAsia="en-US"/>
              </w:rPr>
            </w:pPr>
            <w:r w:rsidRPr="000822FB">
              <w:rPr>
                <w:lang w:eastAsia="en-US"/>
              </w:rPr>
              <w:t xml:space="preserve">Liechtenstein </w:t>
            </w:r>
          </w:p>
        </w:tc>
        <w:tc>
          <w:tcPr>
            <w:tcW w:w="938" w:type="dxa"/>
            <w:shd w:val="clear" w:color="auto" w:fill="auto"/>
            <w:noWrap/>
            <w:hideMark/>
          </w:tcPr>
          <w:p w14:paraId="256886D8"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3609CE1B" w14:textId="77777777" w:rsidR="00942C0F" w:rsidRPr="000822FB" w:rsidRDefault="00942C0F" w:rsidP="000822FB">
            <w:pPr>
              <w:spacing w:before="40" w:after="120"/>
              <w:ind w:right="113"/>
              <w:rPr>
                <w:lang w:eastAsia="en-US"/>
              </w:rPr>
            </w:pPr>
            <w:r w:rsidRPr="000822FB">
              <w:rPr>
                <w:lang w:eastAsia="en-US"/>
              </w:rPr>
              <w:t>No</w:t>
            </w:r>
          </w:p>
        </w:tc>
        <w:tc>
          <w:tcPr>
            <w:tcW w:w="1469" w:type="dxa"/>
            <w:shd w:val="clear" w:color="auto" w:fill="auto"/>
          </w:tcPr>
          <w:p w14:paraId="3134C025"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4FBC1937"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6B04B3B1" w14:textId="77777777" w:rsidTr="000822FB">
        <w:tc>
          <w:tcPr>
            <w:tcW w:w="2137" w:type="dxa"/>
            <w:shd w:val="clear" w:color="auto" w:fill="auto"/>
            <w:noWrap/>
            <w:hideMark/>
          </w:tcPr>
          <w:p w14:paraId="36836202" w14:textId="77777777" w:rsidR="00942C0F" w:rsidRPr="000822FB" w:rsidRDefault="00942C0F" w:rsidP="000822FB">
            <w:pPr>
              <w:spacing w:before="40" w:after="120"/>
              <w:ind w:right="113"/>
              <w:rPr>
                <w:lang w:eastAsia="en-US"/>
              </w:rPr>
            </w:pPr>
            <w:r w:rsidRPr="000822FB">
              <w:rPr>
                <w:lang w:eastAsia="en-US"/>
              </w:rPr>
              <w:t xml:space="preserve">Lithuania </w:t>
            </w:r>
          </w:p>
        </w:tc>
        <w:tc>
          <w:tcPr>
            <w:tcW w:w="938" w:type="dxa"/>
            <w:shd w:val="clear" w:color="auto" w:fill="auto"/>
            <w:noWrap/>
            <w:hideMark/>
          </w:tcPr>
          <w:p w14:paraId="6953C55C"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4DC74412"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708B44B9" w14:textId="07B5EDB2" w:rsidR="00942C0F" w:rsidRPr="000822FB" w:rsidRDefault="00942C0F" w:rsidP="000822FB">
            <w:pPr>
              <w:spacing w:before="40" w:after="120"/>
              <w:ind w:right="113"/>
              <w:rPr>
                <w:lang w:eastAsia="en-US"/>
              </w:rPr>
            </w:pPr>
            <w:r w:rsidRPr="000822FB">
              <w:rPr>
                <w:lang w:eastAsia="en-US"/>
              </w:rPr>
              <w:t>$</w:t>
            </w:r>
            <w:r w:rsidR="00501A0B">
              <w:rPr>
                <w:lang w:eastAsia="en-US"/>
              </w:rPr>
              <w:t>10</w:t>
            </w:r>
            <w:r w:rsidRPr="000822FB">
              <w:rPr>
                <w:lang w:eastAsia="en-US"/>
              </w:rPr>
              <w:t>,000</w:t>
            </w:r>
          </w:p>
        </w:tc>
        <w:tc>
          <w:tcPr>
            <w:tcW w:w="4294" w:type="dxa"/>
            <w:shd w:val="clear" w:color="auto" w:fill="auto"/>
            <w:tcMar>
              <w:left w:w="86" w:type="dxa"/>
              <w:right w:w="14" w:type="dxa"/>
            </w:tcMar>
            <w:hideMark/>
          </w:tcPr>
          <w:p w14:paraId="29D85369" w14:textId="1ED34108" w:rsidR="00942C0F" w:rsidRPr="000822FB" w:rsidRDefault="00942C0F" w:rsidP="000822FB">
            <w:pPr>
              <w:spacing w:before="40" w:after="120"/>
              <w:ind w:right="113"/>
              <w:rPr>
                <w:lang w:eastAsia="en-US"/>
              </w:rPr>
            </w:pPr>
            <w:r w:rsidRPr="000822FB">
              <w:rPr>
                <w:lang w:eastAsia="en-US"/>
              </w:rPr>
              <w:t>$</w:t>
            </w:r>
            <w:r w:rsidR="00501A0B">
              <w:rPr>
                <w:lang w:eastAsia="en-US"/>
              </w:rPr>
              <w:t>10</w:t>
            </w:r>
            <w:r w:rsidRPr="000822FB">
              <w:rPr>
                <w:lang w:eastAsia="en-US"/>
              </w:rPr>
              <w:t>,000 for the intersessional period 2021–</w:t>
            </w:r>
            <w:r w:rsidR="00B2774B" w:rsidRPr="000822FB">
              <w:rPr>
                <w:lang w:eastAsia="en-US"/>
              </w:rPr>
              <w:t>2023, (</w:t>
            </w:r>
            <w:r w:rsidRPr="000822FB">
              <w:rPr>
                <w:lang w:eastAsia="en-US"/>
              </w:rPr>
              <w:t>paid</w:t>
            </w:r>
            <w:r w:rsidR="00501A0B">
              <w:rPr>
                <w:lang w:eastAsia="en-US"/>
              </w:rPr>
              <w:t xml:space="preserve"> in December 2020)</w:t>
            </w:r>
            <w:r w:rsidRPr="000822FB">
              <w:rPr>
                <w:lang w:eastAsia="en-US"/>
              </w:rPr>
              <w:t>.</w:t>
            </w:r>
          </w:p>
        </w:tc>
      </w:tr>
      <w:tr w:rsidR="00942C0F" w:rsidRPr="000822FB" w14:paraId="66F6D870" w14:textId="77777777" w:rsidTr="000822FB">
        <w:tc>
          <w:tcPr>
            <w:tcW w:w="2137" w:type="dxa"/>
            <w:shd w:val="clear" w:color="auto" w:fill="auto"/>
            <w:noWrap/>
            <w:hideMark/>
          </w:tcPr>
          <w:p w14:paraId="2E6E7142" w14:textId="77777777" w:rsidR="00942C0F" w:rsidRPr="000822FB" w:rsidRDefault="00942C0F" w:rsidP="000822FB">
            <w:pPr>
              <w:spacing w:before="40" w:after="120"/>
              <w:ind w:right="113"/>
              <w:rPr>
                <w:lang w:eastAsia="en-US"/>
              </w:rPr>
            </w:pPr>
            <w:r w:rsidRPr="000822FB">
              <w:rPr>
                <w:lang w:eastAsia="en-US"/>
              </w:rPr>
              <w:lastRenderedPageBreak/>
              <w:t xml:space="preserve">Luxembourg </w:t>
            </w:r>
          </w:p>
        </w:tc>
        <w:tc>
          <w:tcPr>
            <w:tcW w:w="938" w:type="dxa"/>
            <w:shd w:val="clear" w:color="auto" w:fill="auto"/>
            <w:noWrap/>
            <w:hideMark/>
          </w:tcPr>
          <w:p w14:paraId="5DFBB070"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1BACB31F"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4B607E75"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4FE0324F"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56EE5B44" w14:textId="77777777" w:rsidTr="000822FB">
        <w:tc>
          <w:tcPr>
            <w:tcW w:w="2137" w:type="dxa"/>
            <w:shd w:val="clear" w:color="auto" w:fill="auto"/>
            <w:noWrap/>
            <w:hideMark/>
          </w:tcPr>
          <w:p w14:paraId="26DA356D" w14:textId="77777777" w:rsidR="00942C0F" w:rsidRPr="000822FB" w:rsidRDefault="00942C0F" w:rsidP="000822FB">
            <w:pPr>
              <w:spacing w:before="40" w:after="120"/>
              <w:ind w:right="113"/>
              <w:rPr>
                <w:lang w:eastAsia="en-US"/>
              </w:rPr>
            </w:pPr>
            <w:r w:rsidRPr="000822FB">
              <w:rPr>
                <w:lang w:eastAsia="en-US"/>
              </w:rPr>
              <w:t>Malta</w:t>
            </w:r>
          </w:p>
        </w:tc>
        <w:tc>
          <w:tcPr>
            <w:tcW w:w="938" w:type="dxa"/>
            <w:shd w:val="clear" w:color="auto" w:fill="auto"/>
            <w:noWrap/>
            <w:hideMark/>
          </w:tcPr>
          <w:p w14:paraId="1C40704A"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6F208A9E"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4E72B108"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20FE4D76"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6EADEFDE" w14:textId="77777777" w:rsidTr="000822FB">
        <w:tc>
          <w:tcPr>
            <w:tcW w:w="2137" w:type="dxa"/>
            <w:shd w:val="clear" w:color="auto" w:fill="auto"/>
            <w:noWrap/>
            <w:hideMark/>
          </w:tcPr>
          <w:p w14:paraId="113030C6" w14:textId="77777777" w:rsidR="00942C0F" w:rsidRPr="000822FB" w:rsidRDefault="00942C0F" w:rsidP="000822FB">
            <w:pPr>
              <w:spacing w:before="40" w:after="120"/>
              <w:ind w:right="113"/>
              <w:rPr>
                <w:lang w:eastAsia="en-US"/>
              </w:rPr>
            </w:pPr>
            <w:r w:rsidRPr="000822FB">
              <w:rPr>
                <w:lang w:eastAsia="en-US"/>
              </w:rPr>
              <w:t>Montenegro</w:t>
            </w:r>
          </w:p>
        </w:tc>
        <w:tc>
          <w:tcPr>
            <w:tcW w:w="938" w:type="dxa"/>
            <w:shd w:val="clear" w:color="auto" w:fill="auto"/>
            <w:noWrap/>
            <w:hideMark/>
          </w:tcPr>
          <w:p w14:paraId="00CBD315"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266D741E"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500C722C" w14:textId="77777777" w:rsidR="00942C0F" w:rsidRPr="000822FB" w:rsidRDefault="00942C0F"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0884EE12" w14:textId="77777777" w:rsidR="00942C0F" w:rsidRPr="000822FB" w:rsidRDefault="00942C0F" w:rsidP="000822FB">
            <w:pPr>
              <w:spacing w:before="40" w:after="120"/>
              <w:ind w:right="113"/>
              <w:rPr>
                <w:lang w:eastAsia="en-US"/>
              </w:rPr>
            </w:pPr>
            <w:r w:rsidRPr="000822FB">
              <w:rPr>
                <w:lang w:eastAsia="en-US"/>
              </w:rPr>
              <w:t>—</w:t>
            </w:r>
          </w:p>
        </w:tc>
      </w:tr>
      <w:tr w:rsidR="00942C0F" w:rsidRPr="000822FB" w14:paraId="074D58B9" w14:textId="77777777" w:rsidTr="000822FB">
        <w:tc>
          <w:tcPr>
            <w:tcW w:w="2137" w:type="dxa"/>
            <w:shd w:val="clear" w:color="auto" w:fill="auto"/>
            <w:noWrap/>
            <w:hideMark/>
          </w:tcPr>
          <w:p w14:paraId="21D814DB" w14:textId="77777777" w:rsidR="00942C0F" w:rsidRPr="000822FB" w:rsidRDefault="00942C0F" w:rsidP="000822FB">
            <w:pPr>
              <w:spacing w:before="40" w:after="120"/>
              <w:ind w:right="113"/>
              <w:rPr>
                <w:lang w:eastAsia="en-US"/>
              </w:rPr>
            </w:pPr>
            <w:r w:rsidRPr="000822FB">
              <w:rPr>
                <w:lang w:eastAsia="en-US"/>
              </w:rPr>
              <w:t xml:space="preserve">Netherlands </w:t>
            </w:r>
          </w:p>
        </w:tc>
        <w:tc>
          <w:tcPr>
            <w:tcW w:w="938" w:type="dxa"/>
            <w:shd w:val="clear" w:color="auto" w:fill="auto"/>
            <w:noWrap/>
            <w:hideMark/>
          </w:tcPr>
          <w:p w14:paraId="79A4DD1D" w14:textId="77777777" w:rsidR="00942C0F" w:rsidRPr="000822FB" w:rsidRDefault="00942C0F" w:rsidP="000822FB">
            <w:pPr>
              <w:spacing w:before="40" w:after="120"/>
              <w:ind w:right="113"/>
              <w:rPr>
                <w:lang w:eastAsia="en-US"/>
              </w:rPr>
            </w:pPr>
            <w:r w:rsidRPr="000822FB">
              <w:rPr>
                <w:lang w:eastAsia="en-US"/>
              </w:rPr>
              <w:t>Yes</w:t>
            </w:r>
          </w:p>
        </w:tc>
        <w:tc>
          <w:tcPr>
            <w:tcW w:w="799" w:type="dxa"/>
            <w:shd w:val="clear" w:color="auto" w:fill="auto"/>
            <w:noWrap/>
            <w:hideMark/>
          </w:tcPr>
          <w:p w14:paraId="44C38D48" w14:textId="77777777" w:rsidR="00942C0F" w:rsidRPr="000822FB" w:rsidRDefault="00942C0F" w:rsidP="000822FB">
            <w:pPr>
              <w:spacing w:before="40" w:after="120"/>
              <w:ind w:right="113"/>
              <w:rPr>
                <w:lang w:eastAsia="en-US"/>
              </w:rPr>
            </w:pPr>
            <w:r w:rsidRPr="000822FB">
              <w:rPr>
                <w:lang w:eastAsia="en-US"/>
              </w:rPr>
              <w:t>Yes</w:t>
            </w:r>
          </w:p>
        </w:tc>
        <w:tc>
          <w:tcPr>
            <w:tcW w:w="1469" w:type="dxa"/>
            <w:shd w:val="clear" w:color="auto" w:fill="auto"/>
          </w:tcPr>
          <w:p w14:paraId="1D0FE4CA" w14:textId="77777777" w:rsidR="00942C0F" w:rsidRPr="000822FB" w:rsidRDefault="00942C0F" w:rsidP="000822FB">
            <w:pPr>
              <w:spacing w:before="40" w:after="120"/>
              <w:ind w:right="113"/>
              <w:rPr>
                <w:lang w:eastAsia="en-US"/>
              </w:rPr>
            </w:pPr>
            <w:r w:rsidRPr="000822FB">
              <w:rPr>
                <w:lang w:eastAsia="en-US"/>
              </w:rPr>
              <w:t>€60,000</w:t>
            </w:r>
          </w:p>
        </w:tc>
        <w:tc>
          <w:tcPr>
            <w:tcW w:w="4294" w:type="dxa"/>
            <w:shd w:val="clear" w:color="auto" w:fill="auto"/>
            <w:tcMar>
              <w:left w:w="86" w:type="dxa"/>
              <w:right w:w="14" w:type="dxa"/>
            </w:tcMar>
            <w:hideMark/>
          </w:tcPr>
          <w:p w14:paraId="05C8E6DD" w14:textId="139B1DDA" w:rsidR="00942C0F" w:rsidRPr="000822FB" w:rsidRDefault="00942C0F" w:rsidP="000822FB">
            <w:pPr>
              <w:spacing w:before="40" w:after="120"/>
              <w:ind w:right="113"/>
              <w:rPr>
                <w:lang w:eastAsia="en-US"/>
              </w:rPr>
            </w:pPr>
            <w:r w:rsidRPr="000822FB">
              <w:rPr>
                <w:lang w:eastAsia="en-US"/>
              </w:rPr>
              <w:t>€60,000 for the intersessional period 20</w:t>
            </w:r>
            <w:r w:rsidR="00501A0B">
              <w:rPr>
                <w:lang w:eastAsia="en-US"/>
              </w:rPr>
              <w:t>2</w:t>
            </w:r>
            <w:r w:rsidRPr="000822FB">
              <w:rPr>
                <w:lang w:eastAsia="en-US"/>
              </w:rPr>
              <w:t>1–202</w:t>
            </w:r>
            <w:r w:rsidR="00501A0B">
              <w:rPr>
                <w:lang w:eastAsia="en-US"/>
              </w:rPr>
              <w:t>3</w:t>
            </w:r>
            <w:r w:rsidR="00391534">
              <w:rPr>
                <w:lang w:eastAsia="en-US"/>
              </w:rPr>
              <w:t>,</w:t>
            </w:r>
            <w:r w:rsidRPr="000822FB" w:rsidDel="00835AA4">
              <w:rPr>
                <w:lang w:eastAsia="en-US"/>
              </w:rPr>
              <w:t xml:space="preserve"> </w:t>
            </w:r>
            <w:r w:rsidR="00501A0B">
              <w:rPr>
                <w:lang w:eastAsia="en-US"/>
              </w:rPr>
              <w:t xml:space="preserve">to be </w:t>
            </w:r>
            <w:r w:rsidRPr="000822FB">
              <w:rPr>
                <w:lang w:eastAsia="en-US"/>
              </w:rPr>
              <w:t>paid</w:t>
            </w:r>
            <w:r w:rsidR="00501A0B">
              <w:rPr>
                <w:lang w:eastAsia="en-US"/>
              </w:rPr>
              <w:t xml:space="preserve"> in three instalments of €20,000 each in 2021, 2022 and 2023 (payment schedule subject to confirmation</w:t>
            </w:r>
            <w:r w:rsidRPr="000822FB">
              <w:rPr>
                <w:lang w:eastAsia="en-US"/>
              </w:rPr>
              <w:t>).</w:t>
            </w:r>
          </w:p>
        </w:tc>
      </w:tr>
      <w:tr w:rsidR="00931EFB" w:rsidRPr="000822FB" w14:paraId="73713763" w14:textId="77777777" w:rsidTr="000822FB">
        <w:tc>
          <w:tcPr>
            <w:tcW w:w="2137" w:type="dxa"/>
            <w:shd w:val="clear" w:color="auto" w:fill="auto"/>
            <w:noWrap/>
          </w:tcPr>
          <w:p w14:paraId="00DF2084" w14:textId="76703C6B" w:rsidR="00931EFB" w:rsidRPr="000822FB" w:rsidRDefault="00931EFB" w:rsidP="000822FB">
            <w:pPr>
              <w:spacing w:before="40" w:after="120"/>
              <w:ind w:right="113"/>
              <w:rPr>
                <w:lang w:eastAsia="en-US"/>
              </w:rPr>
            </w:pPr>
            <w:r w:rsidRPr="000822FB">
              <w:rPr>
                <w:lang w:eastAsia="en-US"/>
              </w:rPr>
              <w:t>North Macedonia</w:t>
            </w:r>
          </w:p>
        </w:tc>
        <w:tc>
          <w:tcPr>
            <w:tcW w:w="938" w:type="dxa"/>
            <w:shd w:val="clear" w:color="auto" w:fill="auto"/>
            <w:noWrap/>
          </w:tcPr>
          <w:p w14:paraId="0AEF2759" w14:textId="4ACAD4EC"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tcPr>
          <w:p w14:paraId="13C52813" w14:textId="62574BE8"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0D9F1C5D" w14:textId="4A07EBE1" w:rsidR="00931EFB" w:rsidRPr="000822FB" w:rsidRDefault="00931EFB"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tcPr>
          <w:p w14:paraId="2C0FC123" w14:textId="2CF10675" w:rsidR="00931EFB" w:rsidRPr="000822FB" w:rsidRDefault="00931EFB" w:rsidP="000822FB">
            <w:pPr>
              <w:spacing w:before="40" w:after="120"/>
              <w:ind w:right="113"/>
              <w:rPr>
                <w:lang w:eastAsia="en-US"/>
              </w:rPr>
            </w:pPr>
            <w:r w:rsidRPr="000822FB">
              <w:rPr>
                <w:lang w:eastAsia="en-US"/>
              </w:rPr>
              <w:t>—</w:t>
            </w:r>
          </w:p>
        </w:tc>
      </w:tr>
      <w:tr w:rsidR="00931EFB" w:rsidRPr="000822FB" w14:paraId="0F6D17B4" w14:textId="77777777" w:rsidTr="000822FB">
        <w:tc>
          <w:tcPr>
            <w:tcW w:w="2137" w:type="dxa"/>
            <w:shd w:val="clear" w:color="auto" w:fill="auto"/>
            <w:noWrap/>
            <w:hideMark/>
          </w:tcPr>
          <w:p w14:paraId="3D5159AB" w14:textId="77777777" w:rsidR="00931EFB" w:rsidRPr="000822FB" w:rsidRDefault="00931EFB" w:rsidP="000822FB">
            <w:pPr>
              <w:spacing w:before="40" w:after="120"/>
              <w:ind w:right="113"/>
              <w:rPr>
                <w:lang w:eastAsia="en-US"/>
              </w:rPr>
            </w:pPr>
            <w:r w:rsidRPr="000822FB">
              <w:rPr>
                <w:lang w:eastAsia="en-US"/>
              </w:rPr>
              <w:t xml:space="preserve">Norway </w:t>
            </w:r>
          </w:p>
        </w:tc>
        <w:tc>
          <w:tcPr>
            <w:tcW w:w="938" w:type="dxa"/>
            <w:shd w:val="clear" w:color="auto" w:fill="auto"/>
            <w:noWrap/>
            <w:hideMark/>
          </w:tcPr>
          <w:p w14:paraId="74E9D241"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4933FF59"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6AD7DD5C" w14:textId="77777777" w:rsidR="00931EFB" w:rsidRPr="000822FB" w:rsidRDefault="00931EFB" w:rsidP="000822FB">
            <w:pPr>
              <w:spacing w:before="40" w:after="120"/>
              <w:ind w:right="113"/>
              <w:rPr>
                <w:lang w:eastAsia="en-US"/>
              </w:rPr>
            </w:pPr>
            <w:r w:rsidRPr="000822FB">
              <w:rPr>
                <w:lang w:eastAsia="en-US"/>
              </w:rPr>
              <w:t>NKr 726,666</w:t>
            </w:r>
          </w:p>
        </w:tc>
        <w:tc>
          <w:tcPr>
            <w:tcW w:w="4294" w:type="dxa"/>
            <w:shd w:val="clear" w:color="auto" w:fill="auto"/>
            <w:tcMar>
              <w:left w:w="86" w:type="dxa"/>
              <w:right w:w="14" w:type="dxa"/>
            </w:tcMar>
            <w:hideMark/>
          </w:tcPr>
          <w:p w14:paraId="7653FF11" w14:textId="1B65A2B1" w:rsidR="00931EFB" w:rsidRPr="000822FB" w:rsidRDefault="00931EFB" w:rsidP="000822FB">
            <w:pPr>
              <w:spacing w:before="40" w:after="120"/>
              <w:ind w:right="113"/>
              <w:rPr>
                <w:lang w:eastAsia="en-US"/>
              </w:rPr>
            </w:pPr>
            <w:r w:rsidRPr="000822FB">
              <w:rPr>
                <w:lang w:eastAsia="en-US"/>
              </w:rPr>
              <w:t>NKr 360,000 for the intersessional period 2021–2023, to be paid in three instalments of NKr 120,000 each in 2021, 2022 and 2023. In addition, for 2021, a one-off payment of NKr 366,666 to strengthen secretariat resources for supporting the workplan implementation.</w:t>
            </w:r>
          </w:p>
        </w:tc>
      </w:tr>
      <w:tr w:rsidR="00931EFB" w:rsidRPr="000822FB" w14:paraId="28298AD1" w14:textId="77777777" w:rsidTr="000822FB">
        <w:tc>
          <w:tcPr>
            <w:tcW w:w="2137" w:type="dxa"/>
            <w:shd w:val="clear" w:color="auto" w:fill="auto"/>
            <w:noWrap/>
            <w:hideMark/>
          </w:tcPr>
          <w:p w14:paraId="673316DA" w14:textId="77777777" w:rsidR="00931EFB" w:rsidRPr="000822FB" w:rsidRDefault="00931EFB" w:rsidP="000822FB">
            <w:pPr>
              <w:spacing w:before="40" w:after="120"/>
              <w:ind w:right="113"/>
              <w:rPr>
                <w:lang w:eastAsia="en-US"/>
              </w:rPr>
            </w:pPr>
            <w:r w:rsidRPr="000822FB">
              <w:rPr>
                <w:lang w:eastAsia="en-US"/>
              </w:rPr>
              <w:t xml:space="preserve">Poland </w:t>
            </w:r>
          </w:p>
        </w:tc>
        <w:tc>
          <w:tcPr>
            <w:tcW w:w="938" w:type="dxa"/>
            <w:shd w:val="clear" w:color="auto" w:fill="auto"/>
            <w:noWrap/>
            <w:hideMark/>
          </w:tcPr>
          <w:p w14:paraId="2E008775"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65595A4F"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2FEA7B7E" w14:textId="77777777" w:rsidR="00931EFB" w:rsidRPr="000822FB" w:rsidRDefault="00931EFB" w:rsidP="000822FB">
            <w:pPr>
              <w:spacing w:before="40" w:after="120"/>
              <w:ind w:right="113"/>
              <w:rPr>
                <w:lang w:eastAsia="en-US"/>
              </w:rPr>
            </w:pPr>
            <w:r w:rsidRPr="000822FB">
              <w:rPr>
                <w:lang w:eastAsia="en-US"/>
              </w:rPr>
              <w:t>$21,000</w:t>
            </w:r>
          </w:p>
        </w:tc>
        <w:tc>
          <w:tcPr>
            <w:tcW w:w="4294" w:type="dxa"/>
            <w:shd w:val="clear" w:color="auto" w:fill="auto"/>
            <w:tcMar>
              <w:left w:w="86" w:type="dxa"/>
              <w:right w:w="14" w:type="dxa"/>
            </w:tcMar>
            <w:hideMark/>
          </w:tcPr>
          <w:p w14:paraId="51904EBD" w14:textId="77777777" w:rsidR="00931EFB" w:rsidRPr="000822FB" w:rsidRDefault="00931EFB" w:rsidP="000822FB">
            <w:pPr>
              <w:spacing w:before="40" w:after="120"/>
              <w:ind w:right="113"/>
              <w:rPr>
                <w:lang w:eastAsia="en-US"/>
              </w:rPr>
            </w:pPr>
            <w:r w:rsidRPr="000822FB">
              <w:rPr>
                <w:lang w:eastAsia="en-US"/>
              </w:rPr>
              <w:t>$21,000 for the intersessional period 2021–2023, to be paid in three instalments of $7,000 each in 2021, 2022 and 2023.</w:t>
            </w:r>
          </w:p>
        </w:tc>
      </w:tr>
      <w:tr w:rsidR="00931EFB" w:rsidRPr="000822FB" w14:paraId="7C6817E3" w14:textId="77777777" w:rsidTr="000822FB">
        <w:tc>
          <w:tcPr>
            <w:tcW w:w="2137" w:type="dxa"/>
            <w:shd w:val="clear" w:color="auto" w:fill="auto"/>
            <w:noWrap/>
            <w:hideMark/>
          </w:tcPr>
          <w:p w14:paraId="5CBF4BD1" w14:textId="77777777" w:rsidR="00931EFB" w:rsidRPr="000822FB" w:rsidRDefault="00931EFB" w:rsidP="000822FB">
            <w:pPr>
              <w:spacing w:before="40" w:after="120"/>
              <w:ind w:right="113"/>
              <w:rPr>
                <w:lang w:eastAsia="en-US"/>
              </w:rPr>
            </w:pPr>
            <w:r w:rsidRPr="000822FB">
              <w:rPr>
                <w:lang w:eastAsia="en-US"/>
              </w:rPr>
              <w:t xml:space="preserve">Portugal </w:t>
            </w:r>
          </w:p>
        </w:tc>
        <w:tc>
          <w:tcPr>
            <w:tcW w:w="938" w:type="dxa"/>
            <w:shd w:val="clear" w:color="auto" w:fill="auto"/>
            <w:noWrap/>
            <w:hideMark/>
          </w:tcPr>
          <w:p w14:paraId="31CC6D3D"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0A878E9C"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0D76BB29" w14:textId="77777777" w:rsidR="00931EFB" w:rsidRPr="000822FB" w:rsidRDefault="00931EFB"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1EF6C81F" w14:textId="77777777" w:rsidR="00931EFB" w:rsidRPr="000822FB" w:rsidRDefault="00931EFB" w:rsidP="000822FB">
            <w:pPr>
              <w:spacing w:before="40" w:after="120"/>
              <w:ind w:right="113"/>
              <w:rPr>
                <w:lang w:eastAsia="en-US"/>
              </w:rPr>
            </w:pPr>
            <w:r w:rsidRPr="000822FB">
              <w:rPr>
                <w:lang w:eastAsia="en-US"/>
              </w:rPr>
              <w:t>—</w:t>
            </w:r>
          </w:p>
        </w:tc>
      </w:tr>
      <w:tr w:rsidR="00931EFB" w:rsidRPr="000822FB" w14:paraId="677551AB" w14:textId="77777777" w:rsidTr="000822FB">
        <w:tc>
          <w:tcPr>
            <w:tcW w:w="2137" w:type="dxa"/>
            <w:shd w:val="clear" w:color="auto" w:fill="auto"/>
            <w:noWrap/>
            <w:hideMark/>
          </w:tcPr>
          <w:p w14:paraId="40695C5F" w14:textId="251F2B75" w:rsidR="00931EFB" w:rsidRPr="000822FB" w:rsidRDefault="00931EFB" w:rsidP="000822FB">
            <w:pPr>
              <w:spacing w:before="40" w:after="120"/>
              <w:ind w:right="113"/>
              <w:rPr>
                <w:lang w:eastAsia="en-US"/>
              </w:rPr>
            </w:pPr>
            <w:r w:rsidRPr="000822FB">
              <w:rPr>
                <w:lang w:eastAsia="en-US"/>
              </w:rPr>
              <w:t>Rep. of Moldova</w:t>
            </w:r>
          </w:p>
        </w:tc>
        <w:tc>
          <w:tcPr>
            <w:tcW w:w="938" w:type="dxa"/>
            <w:shd w:val="clear" w:color="auto" w:fill="auto"/>
            <w:noWrap/>
            <w:hideMark/>
          </w:tcPr>
          <w:p w14:paraId="25097A8F"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77AF95D0" w14:textId="77777777" w:rsidR="00931EFB" w:rsidRPr="000822FB" w:rsidRDefault="00931EFB" w:rsidP="000822FB">
            <w:pPr>
              <w:spacing w:before="40" w:after="120"/>
              <w:ind w:right="113"/>
              <w:rPr>
                <w:lang w:eastAsia="en-US"/>
              </w:rPr>
            </w:pPr>
            <w:r w:rsidRPr="000822FB">
              <w:rPr>
                <w:lang w:eastAsia="en-US"/>
              </w:rPr>
              <w:t>No</w:t>
            </w:r>
          </w:p>
        </w:tc>
        <w:tc>
          <w:tcPr>
            <w:tcW w:w="1469" w:type="dxa"/>
            <w:shd w:val="clear" w:color="auto" w:fill="auto"/>
          </w:tcPr>
          <w:p w14:paraId="261352E9" w14:textId="77777777" w:rsidR="00931EFB" w:rsidRPr="000822FB" w:rsidRDefault="00931EFB" w:rsidP="000822FB">
            <w:pPr>
              <w:spacing w:before="40" w:after="120"/>
              <w:ind w:right="113"/>
              <w:rPr>
                <w:lang w:eastAsia="en-US"/>
              </w:rPr>
            </w:pPr>
            <w:r w:rsidRPr="000822FB">
              <w:rPr>
                <w:lang w:eastAsia="en-US"/>
              </w:rPr>
              <w:t>$1,500</w:t>
            </w:r>
          </w:p>
        </w:tc>
        <w:tc>
          <w:tcPr>
            <w:tcW w:w="4294" w:type="dxa"/>
            <w:shd w:val="clear" w:color="auto" w:fill="auto"/>
            <w:tcMar>
              <w:left w:w="86" w:type="dxa"/>
              <w:right w:w="14" w:type="dxa"/>
            </w:tcMar>
            <w:hideMark/>
          </w:tcPr>
          <w:p w14:paraId="4E608258" w14:textId="77777777" w:rsidR="00931EFB" w:rsidRPr="000822FB" w:rsidRDefault="00931EFB" w:rsidP="000822FB">
            <w:pPr>
              <w:spacing w:before="40" w:after="120"/>
              <w:ind w:right="113"/>
              <w:rPr>
                <w:lang w:eastAsia="en-US"/>
              </w:rPr>
            </w:pPr>
            <w:r w:rsidRPr="000822FB">
              <w:rPr>
                <w:lang w:eastAsia="en-US"/>
              </w:rPr>
              <w:t>$1,500 for the next intersessional period 2021–2023, to be paid in three instalments of $500 each in 2021, 2022 and 2023.</w:t>
            </w:r>
          </w:p>
        </w:tc>
      </w:tr>
      <w:tr w:rsidR="00931EFB" w:rsidRPr="000822FB" w14:paraId="1C31FDCC" w14:textId="77777777" w:rsidTr="000822FB">
        <w:tc>
          <w:tcPr>
            <w:tcW w:w="2137" w:type="dxa"/>
            <w:shd w:val="clear" w:color="auto" w:fill="auto"/>
            <w:noWrap/>
            <w:hideMark/>
          </w:tcPr>
          <w:p w14:paraId="1ACAF5F3" w14:textId="77777777" w:rsidR="00931EFB" w:rsidRPr="000822FB" w:rsidRDefault="00931EFB" w:rsidP="000822FB">
            <w:pPr>
              <w:spacing w:before="40" w:after="120"/>
              <w:ind w:right="113"/>
              <w:rPr>
                <w:lang w:eastAsia="en-US"/>
              </w:rPr>
            </w:pPr>
            <w:r w:rsidRPr="000822FB">
              <w:rPr>
                <w:lang w:eastAsia="en-US"/>
              </w:rPr>
              <w:t xml:space="preserve">Romania </w:t>
            </w:r>
          </w:p>
        </w:tc>
        <w:tc>
          <w:tcPr>
            <w:tcW w:w="938" w:type="dxa"/>
            <w:shd w:val="clear" w:color="auto" w:fill="auto"/>
            <w:noWrap/>
            <w:hideMark/>
          </w:tcPr>
          <w:p w14:paraId="774A232C"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72343C27"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58F49708" w14:textId="77777777" w:rsidR="00931EFB" w:rsidRPr="000822FB" w:rsidRDefault="00931EFB" w:rsidP="000822FB">
            <w:pPr>
              <w:spacing w:before="40" w:after="120"/>
              <w:ind w:right="113"/>
              <w:rPr>
                <w:lang w:eastAsia="en-US"/>
              </w:rPr>
            </w:pPr>
            <w:r w:rsidRPr="000822FB">
              <w:rPr>
                <w:lang w:eastAsia="en-US"/>
              </w:rPr>
              <w:t>$15,000</w:t>
            </w:r>
          </w:p>
        </w:tc>
        <w:tc>
          <w:tcPr>
            <w:tcW w:w="4294" w:type="dxa"/>
            <w:shd w:val="clear" w:color="auto" w:fill="auto"/>
            <w:tcMar>
              <w:left w:w="86" w:type="dxa"/>
              <w:right w:w="14" w:type="dxa"/>
            </w:tcMar>
            <w:hideMark/>
          </w:tcPr>
          <w:p w14:paraId="3A52F947" w14:textId="77777777" w:rsidR="00931EFB" w:rsidRPr="000822FB" w:rsidRDefault="00931EFB" w:rsidP="000822FB">
            <w:pPr>
              <w:spacing w:before="40" w:after="120"/>
              <w:ind w:right="113"/>
              <w:rPr>
                <w:lang w:eastAsia="en-US"/>
              </w:rPr>
            </w:pPr>
            <w:r w:rsidRPr="000822FB">
              <w:rPr>
                <w:lang w:eastAsia="en-US"/>
              </w:rPr>
              <w:t>$15,000 for the intersessional period 2021–2023, to be paid in three instalments of $5,000 each in 2021, 2022 and 2023.</w:t>
            </w:r>
          </w:p>
        </w:tc>
      </w:tr>
      <w:tr w:rsidR="00931EFB" w:rsidRPr="000822FB" w14:paraId="4B153128" w14:textId="77777777" w:rsidTr="000822FB">
        <w:tc>
          <w:tcPr>
            <w:tcW w:w="2137" w:type="dxa"/>
            <w:shd w:val="clear" w:color="auto" w:fill="auto"/>
            <w:noWrap/>
          </w:tcPr>
          <w:p w14:paraId="44E24F41" w14:textId="77777777" w:rsidR="00931EFB" w:rsidRPr="000822FB" w:rsidRDefault="00931EFB" w:rsidP="000822FB">
            <w:pPr>
              <w:spacing w:before="40" w:after="120"/>
              <w:ind w:right="113"/>
              <w:rPr>
                <w:lang w:eastAsia="en-US"/>
              </w:rPr>
            </w:pPr>
            <w:r w:rsidRPr="000822FB">
              <w:rPr>
                <w:lang w:eastAsia="en-US"/>
              </w:rPr>
              <w:t>Russian Federation</w:t>
            </w:r>
          </w:p>
        </w:tc>
        <w:tc>
          <w:tcPr>
            <w:tcW w:w="938" w:type="dxa"/>
            <w:shd w:val="clear" w:color="auto" w:fill="auto"/>
            <w:noWrap/>
          </w:tcPr>
          <w:p w14:paraId="390749C7" w14:textId="77777777" w:rsidR="00931EFB" w:rsidRPr="000822FB" w:rsidRDefault="00931EFB" w:rsidP="000822FB">
            <w:pPr>
              <w:spacing w:before="40" w:after="120"/>
              <w:ind w:right="113"/>
              <w:rPr>
                <w:lang w:eastAsia="en-US"/>
              </w:rPr>
            </w:pPr>
            <w:r w:rsidRPr="000822FB">
              <w:rPr>
                <w:lang w:eastAsia="en-US"/>
              </w:rPr>
              <w:t>No</w:t>
            </w:r>
          </w:p>
        </w:tc>
        <w:tc>
          <w:tcPr>
            <w:tcW w:w="799" w:type="dxa"/>
            <w:shd w:val="clear" w:color="auto" w:fill="auto"/>
            <w:noWrap/>
          </w:tcPr>
          <w:p w14:paraId="67A636F9" w14:textId="77777777" w:rsidR="00931EFB" w:rsidRPr="000822FB" w:rsidRDefault="00931EFB" w:rsidP="000822FB">
            <w:pPr>
              <w:spacing w:before="40" w:after="120"/>
              <w:ind w:right="113"/>
              <w:rPr>
                <w:lang w:eastAsia="en-US"/>
              </w:rPr>
            </w:pPr>
            <w:r w:rsidRPr="000822FB">
              <w:rPr>
                <w:lang w:eastAsia="en-US"/>
              </w:rPr>
              <w:t>No</w:t>
            </w:r>
          </w:p>
        </w:tc>
        <w:tc>
          <w:tcPr>
            <w:tcW w:w="1469" w:type="dxa"/>
            <w:shd w:val="clear" w:color="auto" w:fill="auto"/>
          </w:tcPr>
          <w:p w14:paraId="6E97ECEF" w14:textId="77777777" w:rsidR="00931EFB" w:rsidRPr="000822FB" w:rsidRDefault="00931EFB"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tcPr>
          <w:p w14:paraId="55697E0A" w14:textId="77777777" w:rsidR="00931EFB" w:rsidRPr="000822FB" w:rsidRDefault="00931EFB" w:rsidP="000822FB">
            <w:pPr>
              <w:spacing w:before="40" w:after="120"/>
              <w:ind w:right="113"/>
              <w:rPr>
                <w:lang w:eastAsia="en-US"/>
              </w:rPr>
            </w:pPr>
            <w:r w:rsidRPr="000822FB">
              <w:rPr>
                <w:lang w:eastAsia="en-US"/>
              </w:rPr>
              <w:t>—</w:t>
            </w:r>
          </w:p>
        </w:tc>
      </w:tr>
      <w:tr w:rsidR="00931EFB" w:rsidRPr="000822FB" w14:paraId="67766F62" w14:textId="77777777" w:rsidTr="000822FB">
        <w:tc>
          <w:tcPr>
            <w:tcW w:w="2137" w:type="dxa"/>
            <w:shd w:val="clear" w:color="auto" w:fill="auto"/>
            <w:noWrap/>
            <w:hideMark/>
          </w:tcPr>
          <w:p w14:paraId="070B981D" w14:textId="77777777" w:rsidR="00931EFB" w:rsidRPr="000822FB" w:rsidRDefault="00931EFB" w:rsidP="000822FB">
            <w:pPr>
              <w:spacing w:before="40" w:after="120"/>
              <w:ind w:right="113"/>
              <w:rPr>
                <w:lang w:eastAsia="en-US"/>
              </w:rPr>
            </w:pPr>
            <w:r w:rsidRPr="000822FB">
              <w:rPr>
                <w:lang w:eastAsia="en-US"/>
              </w:rPr>
              <w:t>Serbia</w:t>
            </w:r>
          </w:p>
        </w:tc>
        <w:tc>
          <w:tcPr>
            <w:tcW w:w="938" w:type="dxa"/>
            <w:shd w:val="clear" w:color="auto" w:fill="auto"/>
            <w:noWrap/>
            <w:hideMark/>
          </w:tcPr>
          <w:p w14:paraId="62D73613"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754250D0"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0C233A92" w14:textId="77777777" w:rsidR="00931EFB" w:rsidRPr="000822FB" w:rsidRDefault="00931EFB"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3E8AA205" w14:textId="77777777" w:rsidR="00931EFB" w:rsidRPr="000822FB" w:rsidRDefault="00931EFB" w:rsidP="000822FB">
            <w:pPr>
              <w:spacing w:before="40" w:after="120"/>
              <w:ind w:right="113"/>
              <w:rPr>
                <w:lang w:eastAsia="en-US"/>
              </w:rPr>
            </w:pPr>
            <w:r w:rsidRPr="000822FB">
              <w:rPr>
                <w:lang w:eastAsia="en-US"/>
              </w:rPr>
              <w:t>—</w:t>
            </w:r>
          </w:p>
        </w:tc>
      </w:tr>
      <w:tr w:rsidR="00931EFB" w:rsidRPr="000822FB" w14:paraId="13060ADA" w14:textId="77777777" w:rsidTr="000822FB">
        <w:tc>
          <w:tcPr>
            <w:tcW w:w="2137" w:type="dxa"/>
            <w:shd w:val="clear" w:color="auto" w:fill="auto"/>
            <w:noWrap/>
            <w:hideMark/>
          </w:tcPr>
          <w:p w14:paraId="459BED13" w14:textId="77777777" w:rsidR="00931EFB" w:rsidRPr="000822FB" w:rsidRDefault="00931EFB" w:rsidP="000822FB">
            <w:pPr>
              <w:spacing w:before="40" w:after="120"/>
              <w:ind w:right="113"/>
              <w:rPr>
                <w:lang w:eastAsia="en-US"/>
              </w:rPr>
            </w:pPr>
            <w:r w:rsidRPr="000822FB">
              <w:rPr>
                <w:lang w:eastAsia="en-US"/>
              </w:rPr>
              <w:t>Slovakia</w:t>
            </w:r>
          </w:p>
        </w:tc>
        <w:tc>
          <w:tcPr>
            <w:tcW w:w="938" w:type="dxa"/>
            <w:shd w:val="clear" w:color="auto" w:fill="auto"/>
            <w:noWrap/>
            <w:hideMark/>
          </w:tcPr>
          <w:p w14:paraId="09E2D004"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5D52E252"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4FC15ED2" w14:textId="77777777" w:rsidR="00931EFB" w:rsidRPr="000822FB" w:rsidRDefault="00931EFB" w:rsidP="000822FB">
            <w:pPr>
              <w:spacing w:before="40" w:after="120"/>
              <w:ind w:right="113"/>
              <w:rPr>
                <w:lang w:eastAsia="en-US"/>
              </w:rPr>
            </w:pPr>
            <w:r w:rsidRPr="000822FB">
              <w:rPr>
                <w:lang w:eastAsia="en-US"/>
              </w:rPr>
              <w:t>€15,000</w:t>
            </w:r>
          </w:p>
        </w:tc>
        <w:tc>
          <w:tcPr>
            <w:tcW w:w="4294" w:type="dxa"/>
            <w:shd w:val="clear" w:color="auto" w:fill="auto"/>
            <w:tcMar>
              <w:left w:w="86" w:type="dxa"/>
              <w:right w:w="14" w:type="dxa"/>
            </w:tcMar>
            <w:hideMark/>
          </w:tcPr>
          <w:p w14:paraId="485F81DE" w14:textId="37D2E219" w:rsidR="00931EFB" w:rsidRPr="000822FB" w:rsidRDefault="00931EFB" w:rsidP="000822FB">
            <w:pPr>
              <w:spacing w:before="40" w:after="120"/>
              <w:ind w:right="113"/>
              <w:rPr>
                <w:lang w:eastAsia="en-US"/>
              </w:rPr>
            </w:pPr>
            <w:r w:rsidRPr="000822FB">
              <w:rPr>
                <w:lang w:eastAsia="en-US"/>
              </w:rPr>
              <w:t>€15,000 for the intersessional period 2021–2023, to be paid in three instalments of €5,000 each in 2021, 2022 and 2023, subject to approval by the Slovakian authorities within each year’s budget proposal.</w:t>
            </w:r>
          </w:p>
        </w:tc>
      </w:tr>
      <w:tr w:rsidR="00931EFB" w:rsidRPr="000822FB" w14:paraId="374D071E" w14:textId="77777777" w:rsidTr="000822FB">
        <w:tc>
          <w:tcPr>
            <w:tcW w:w="2137" w:type="dxa"/>
            <w:shd w:val="clear" w:color="auto" w:fill="auto"/>
            <w:noWrap/>
            <w:hideMark/>
          </w:tcPr>
          <w:p w14:paraId="69DB0191" w14:textId="77777777" w:rsidR="00931EFB" w:rsidRPr="000822FB" w:rsidRDefault="00931EFB" w:rsidP="000822FB">
            <w:pPr>
              <w:spacing w:before="40" w:after="120"/>
              <w:ind w:right="113"/>
              <w:rPr>
                <w:lang w:eastAsia="en-US"/>
              </w:rPr>
            </w:pPr>
            <w:r w:rsidRPr="000822FB">
              <w:rPr>
                <w:lang w:eastAsia="en-US"/>
              </w:rPr>
              <w:t xml:space="preserve">Slovenia </w:t>
            </w:r>
          </w:p>
        </w:tc>
        <w:tc>
          <w:tcPr>
            <w:tcW w:w="938" w:type="dxa"/>
            <w:shd w:val="clear" w:color="auto" w:fill="auto"/>
            <w:noWrap/>
            <w:hideMark/>
          </w:tcPr>
          <w:p w14:paraId="11D8169C"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tcPr>
          <w:p w14:paraId="29E8069C"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45526165" w14:textId="77777777" w:rsidR="00931EFB" w:rsidRPr="000822FB" w:rsidRDefault="00931EFB" w:rsidP="000822FB">
            <w:pPr>
              <w:spacing w:before="40" w:after="120"/>
              <w:ind w:right="113"/>
              <w:rPr>
                <w:lang w:eastAsia="en-US"/>
              </w:rPr>
            </w:pPr>
            <w:r w:rsidRPr="000822FB">
              <w:rPr>
                <w:lang w:eastAsia="en-US"/>
              </w:rPr>
              <w:t>$9,000</w:t>
            </w:r>
          </w:p>
        </w:tc>
        <w:tc>
          <w:tcPr>
            <w:tcW w:w="4294" w:type="dxa"/>
            <w:shd w:val="clear" w:color="auto" w:fill="auto"/>
            <w:tcMar>
              <w:left w:w="86" w:type="dxa"/>
              <w:right w:w="14" w:type="dxa"/>
            </w:tcMar>
            <w:hideMark/>
          </w:tcPr>
          <w:p w14:paraId="046F278D" w14:textId="53A901B3" w:rsidR="00931EFB" w:rsidRPr="000822FB" w:rsidRDefault="00931EFB" w:rsidP="000822FB">
            <w:pPr>
              <w:spacing w:before="40" w:after="120"/>
              <w:ind w:right="113"/>
              <w:rPr>
                <w:lang w:eastAsia="en-US"/>
              </w:rPr>
            </w:pPr>
            <w:r w:rsidRPr="000822FB">
              <w:rPr>
                <w:lang w:eastAsia="en-US"/>
              </w:rPr>
              <w:t>$9,000 for the intersessional period 2021–2023, to be paid in three instalments of $3,000 each for 2021 (already paid in December 2020), 2022 and 2023.</w:t>
            </w:r>
          </w:p>
        </w:tc>
      </w:tr>
      <w:tr w:rsidR="00931EFB" w:rsidRPr="000822FB" w14:paraId="37247FC2" w14:textId="77777777" w:rsidTr="000822FB">
        <w:tc>
          <w:tcPr>
            <w:tcW w:w="2137" w:type="dxa"/>
            <w:shd w:val="clear" w:color="auto" w:fill="auto"/>
            <w:noWrap/>
            <w:hideMark/>
          </w:tcPr>
          <w:p w14:paraId="2116DAE6" w14:textId="77777777" w:rsidR="00931EFB" w:rsidRPr="000822FB" w:rsidRDefault="00931EFB" w:rsidP="000822FB">
            <w:pPr>
              <w:spacing w:before="40" w:after="120"/>
              <w:ind w:right="113"/>
              <w:rPr>
                <w:lang w:eastAsia="en-US"/>
              </w:rPr>
            </w:pPr>
            <w:r w:rsidRPr="000822FB">
              <w:rPr>
                <w:lang w:eastAsia="en-US"/>
              </w:rPr>
              <w:t xml:space="preserve">Spain </w:t>
            </w:r>
          </w:p>
        </w:tc>
        <w:tc>
          <w:tcPr>
            <w:tcW w:w="938" w:type="dxa"/>
            <w:shd w:val="clear" w:color="auto" w:fill="auto"/>
            <w:noWrap/>
            <w:hideMark/>
          </w:tcPr>
          <w:p w14:paraId="04D86A99"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7D7E162B"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69255E5D" w14:textId="77777777" w:rsidR="00931EFB" w:rsidRPr="000822FB" w:rsidRDefault="00931EFB" w:rsidP="000822FB">
            <w:pPr>
              <w:spacing w:before="40" w:after="120"/>
              <w:ind w:right="113"/>
              <w:rPr>
                <w:lang w:eastAsia="en-US"/>
              </w:rPr>
            </w:pPr>
            <w:r w:rsidRPr="000822FB">
              <w:rPr>
                <w:lang w:eastAsia="en-US"/>
              </w:rPr>
              <w:t>—</w:t>
            </w:r>
          </w:p>
        </w:tc>
        <w:tc>
          <w:tcPr>
            <w:tcW w:w="4294" w:type="dxa"/>
            <w:shd w:val="clear" w:color="auto" w:fill="auto"/>
            <w:tcMar>
              <w:left w:w="86" w:type="dxa"/>
              <w:right w:w="14" w:type="dxa"/>
            </w:tcMar>
            <w:hideMark/>
          </w:tcPr>
          <w:p w14:paraId="59A2019B" w14:textId="77777777" w:rsidR="00931EFB" w:rsidRPr="000822FB" w:rsidRDefault="00931EFB" w:rsidP="000822FB">
            <w:pPr>
              <w:spacing w:before="40" w:after="120"/>
              <w:ind w:right="113"/>
              <w:rPr>
                <w:lang w:eastAsia="en-US"/>
              </w:rPr>
            </w:pPr>
            <w:r w:rsidRPr="000822FB">
              <w:rPr>
                <w:lang w:eastAsia="en-US"/>
              </w:rPr>
              <w:t>—</w:t>
            </w:r>
          </w:p>
        </w:tc>
      </w:tr>
      <w:tr w:rsidR="00931EFB" w:rsidRPr="000822FB" w14:paraId="7BE312D0" w14:textId="77777777" w:rsidTr="000822FB">
        <w:tc>
          <w:tcPr>
            <w:tcW w:w="2137" w:type="dxa"/>
            <w:shd w:val="clear" w:color="auto" w:fill="auto"/>
            <w:noWrap/>
            <w:hideMark/>
          </w:tcPr>
          <w:p w14:paraId="0E461743" w14:textId="77777777" w:rsidR="00931EFB" w:rsidRPr="000822FB" w:rsidRDefault="00931EFB" w:rsidP="000822FB">
            <w:pPr>
              <w:spacing w:before="40" w:after="120"/>
              <w:ind w:right="113"/>
              <w:rPr>
                <w:lang w:eastAsia="en-US"/>
              </w:rPr>
            </w:pPr>
            <w:bookmarkStart w:id="17" w:name="_Hlk60762873"/>
            <w:r w:rsidRPr="000822FB">
              <w:rPr>
                <w:lang w:eastAsia="en-US"/>
              </w:rPr>
              <w:t xml:space="preserve">Sweden </w:t>
            </w:r>
          </w:p>
        </w:tc>
        <w:tc>
          <w:tcPr>
            <w:tcW w:w="938" w:type="dxa"/>
            <w:shd w:val="clear" w:color="auto" w:fill="auto"/>
            <w:noWrap/>
            <w:hideMark/>
          </w:tcPr>
          <w:p w14:paraId="31F71A64"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6FBC38E1"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22DF05AD" w14:textId="77777777" w:rsidR="00931EFB" w:rsidRPr="000822FB" w:rsidRDefault="00931EFB" w:rsidP="000822FB">
            <w:pPr>
              <w:spacing w:before="40" w:after="120"/>
              <w:ind w:right="113"/>
              <w:rPr>
                <w:lang w:eastAsia="en-US"/>
              </w:rPr>
            </w:pPr>
            <w:r w:rsidRPr="000822FB">
              <w:rPr>
                <w:lang w:eastAsia="en-US"/>
              </w:rPr>
              <w:t>$24,900</w:t>
            </w:r>
          </w:p>
        </w:tc>
        <w:tc>
          <w:tcPr>
            <w:tcW w:w="4294" w:type="dxa"/>
            <w:shd w:val="clear" w:color="auto" w:fill="auto"/>
            <w:tcMar>
              <w:left w:w="86" w:type="dxa"/>
              <w:right w:w="14" w:type="dxa"/>
            </w:tcMar>
            <w:hideMark/>
          </w:tcPr>
          <w:p w14:paraId="60E99417" w14:textId="3038B492" w:rsidR="00931EFB" w:rsidRPr="000822FB" w:rsidRDefault="00931EFB" w:rsidP="000822FB">
            <w:pPr>
              <w:spacing w:before="40" w:after="120"/>
              <w:ind w:right="113"/>
              <w:rPr>
                <w:lang w:eastAsia="en-US"/>
              </w:rPr>
            </w:pPr>
            <w:r w:rsidRPr="000822FB">
              <w:rPr>
                <w:lang w:eastAsia="en-US"/>
              </w:rPr>
              <w:t>At least $8,300 per year for the intersessional period 2021–2023, to be paid in 2021, 2022 and 2023 (subject to confirmation).</w:t>
            </w:r>
          </w:p>
        </w:tc>
      </w:tr>
      <w:bookmarkEnd w:id="17"/>
      <w:tr w:rsidR="00931EFB" w:rsidRPr="000822FB" w14:paraId="5E9959E7" w14:textId="77777777" w:rsidTr="000822FB">
        <w:tc>
          <w:tcPr>
            <w:tcW w:w="2137" w:type="dxa"/>
            <w:shd w:val="clear" w:color="auto" w:fill="auto"/>
            <w:noWrap/>
            <w:hideMark/>
          </w:tcPr>
          <w:p w14:paraId="5155BB4F" w14:textId="77777777" w:rsidR="00931EFB" w:rsidRPr="000822FB" w:rsidRDefault="00931EFB" w:rsidP="000822FB">
            <w:pPr>
              <w:spacing w:before="40" w:after="120"/>
              <w:ind w:right="113"/>
              <w:rPr>
                <w:lang w:eastAsia="en-US"/>
              </w:rPr>
            </w:pPr>
            <w:r w:rsidRPr="000822FB">
              <w:rPr>
                <w:lang w:eastAsia="en-US"/>
              </w:rPr>
              <w:t xml:space="preserve">Switzerland </w:t>
            </w:r>
          </w:p>
        </w:tc>
        <w:tc>
          <w:tcPr>
            <w:tcW w:w="938" w:type="dxa"/>
            <w:shd w:val="clear" w:color="auto" w:fill="auto"/>
            <w:noWrap/>
            <w:hideMark/>
          </w:tcPr>
          <w:p w14:paraId="60FFA861"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4AEB738B" w14:textId="77777777" w:rsidR="00931EFB" w:rsidRPr="000822FB" w:rsidRDefault="00931EFB" w:rsidP="000822FB">
            <w:pPr>
              <w:spacing w:before="40" w:after="120"/>
              <w:ind w:right="113"/>
              <w:rPr>
                <w:lang w:eastAsia="en-US"/>
              </w:rPr>
            </w:pPr>
            <w:r w:rsidRPr="000822FB">
              <w:rPr>
                <w:lang w:eastAsia="en-US"/>
              </w:rPr>
              <w:t>No</w:t>
            </w:r>
          </w:p>
        </w:tc>
        <w:tc>
          <w:tcPr>
            <w:tcW w:w="1469" w:type="dxa"/>
            <w:shd w:val="clear" w:color="auto" w:fill="auto"/>
          </w:tcPr>
          <w:p w14:paraId="45BC8153" w14:textId="0A741691" w:rsidR="00931EFB" w:rsidRPr="000822FB" w:rsidRDefault="00931EFB" w:rsidP="000822FB">
            <w:pPr>
              <w:spacing w:before="40" w:after="120"/>
              <w:ind w:right="113"/>
              <w:rPr>
                <w:lang w:eastAsia="en-US"/>
              </w:rPr>
            </w:pPr>
            <w:r w:rsidRPr="000822FB">
              <w:rPr>
                <w:lang w:eastAsia="en-US"/>
              </w:rPr>
              <w:t>CHF 126,000</w:t>
            </w:r>
          </w:p>
        </w:tc>
        <w:tc>
          <w:tcPr>
            <w:tcW w:w="4294" w:type="dxa"/>
            <w:shd w:val="clear" w:color="auto" w:fill="auto"/>
            <w:tcMar>
              <w:left w:w="86" w:type="dxa"/>
              <w:right w:w="14" w:type="dxa"/>
            </w:tcMar>
            <w:hideMark/>
          </w:tcPr>
          <w:p w14:paraId="6BBA2138" w14:textId="0B20C4B2" w:rsidR="00931EFB" w:rsidRPr="000822FB" w:rsidRDefault="00931EFB" w:rsidP="000822FB">
            <w:pPr>
              <w:spacing w:before="40" w:after="120"/>
              <w:ind w:right="113"/>
              <w:rPr>
                <w:lang w:eastAsia="en-US"/>
              </w:rPr>
            </w:pPr>
            <w:r w:rsidRPr="000822FB">
              <w:rPr>
                <w:lang w:eastAsia="en-US"/>
              </w:rPr>
              <w:t xml:space="preserve">Subject to annual budgetary approval by the Parliament, CHF 42,000 per year for the intersessional period 2021–2023, to be paid in 2021, 2022 and 2023, including an annual contribution of CHF 20,000 and an additional </w:t>
            </w:r>
            <w:r w:rsidRPr="000822FB">
              <w:rPr>
                <w:lang w:eastAsia="en-US"/>
              </w:rPr>
              <w:lastRenderedPageBreak/>
              <w:t>contribution of CHF 22,000 earmarked for capacity-building activities in Central Asia and Azerbaijan that are to be specified subsequently.</w:t>
            </w:r>
          </w:p>
        </w:tc>
      </w:tr>
      <w:tr w:rsidR="00931EFB" w:rsidRPr="000822FB" w14:paraId="5EFBA7B3" w14:textId="77777777" w:rsidTr="000822FB">
        <w:tc>
          <w:tcPr>
            <w:tcW w:w="2137" w:type="dxa"/>
            <w:shd w:val="clear" w:color="auto" w:fill="auto"/>
            <w:noWrap/>
            <w:hideMark/>
          </w:tcPr>
          <w:p w14:paraId="39C18C17" w14:textId="77777777" w:rsidR="00931EFB" w:rsidRPr="000822FB" w:rsidRDefault="00931EFB" w:rsidP="000822FB">
            <w:pPr>
              <w:spacing w:before="40" w:after="120"/>
              <w:ind w:right="113"/>
              <w:rPr>
                <w:lang w:eastAsia="en-US"/>
              </w:rPr>
            </w:pPr>
            <w:r w:rsidRPr="000822FB">
              <w:rPr>
                <w:lang w:eastAsia="en-US"/>
              </w:rPr>
              <w:lastRenderedPageBreak/>
              <w:t xml:space="preserve">Ukraine </w:t>
            </w:r>
          </w:p>
        </w:tc>
        <w:tc>
          <w:tcPr>
            <w:tcW w:w="938" w:type="dxa"/>
            <w:shd w:val="clear" w:color="auto" w:fill="auto"/>
            <w:noWrap/>
            <w:hideMark/>
          </w:tcPr>
          <w:p w14:paraId="51283262" w14:textId="77777777" w:rsidR="00931EFB" w:rsidRPr="000822FB" w:rsidRDefault="00931EFB" w:rsidP="000822FB">
            <w:pPr>
              <w:spacing w:before="40" w:after="120"/>
              <w:ind w:right="113"/>
              <w:rPr>
                <w:lang w:eastAsia="en-US"/>
              </w:rPr>
            </w:pPr>
            <w:r w:rsidRPr="000822FB">
              <w:rPr>
                <w:lang w:eastAsia="en-US"/>
              </w:rPr>
              <w:t>Yes</w:t>
            </w:r>
          </w:p>
        </w:tc>
        <w:tc>
          <w:tcPr>
            <w:tcW w:w="799" w:type="dxa"/>
            <w:shd w:val="clear" w:color="auto" w:fill="auto"/>
            <w:noWrap/>
            <w:hideMark/>
          </w:tcPr>
          <w:p w14:paraId="0E21C640" w14:textId="77777777" w:rsidR="00931EFB" w:rsidRPr="000822FB" w:rsidRDefault="00931EFB" w:rsidP="000822FB">
            <w:pPr>
              <w:spacing w:before="40" w:after="120"/>
              <w:ind w:right="113"/>
              <w:rPr>
                <w:lang w:eastAsia="en-US"/>
              </w:rPr>
            </w:pPr>
            <w:r w:rsidRPr="000822FB">
              <w:rPr>
                <w:lang w:eastAsia="en-US"/>
              </w:rPr>
              <w:t>Yes</w:t>
            </w:r>
          </w:p>
        </w:tc>
        <w:tc>
          <w:tcPr>
            <w:tcW w:w="1469" w:type="dxa"/>
            <w:shd w:val="clear" w:color="auto" w:fill="auto"/>
          </w:tcPr>
          <w:p w14:paraId="40BF4743" w14:textId="77777777" w:rsidR="00931EFB" w:rsidRPr="000822FB" w:rsidRDefault="00931EFB" w:rsidP="000822FB">
            <w:pPr>
              <w:spacing w:before="40" w:after="120"/>
              <w:ind w:right="113"/>
              <w:rPr>
                <w:lang w:eastAsia="en-US"/>
              </w:rPr>
            </w:pPr>
            <w:r w:rsidRPr="000822FB">
              <w:rPr>
                <w:lang w:eastAsia="en-US"/>
              </w:rPr>
              <w:t>$6,000</w:t>
            </w:r>
          </w:p>
        </w:tc>
        <w:tc>
          <w:tcPr>
            <w:tcW w:w="4294" w:type="dxa"/>
            <w:shd w:val="clear" w:color="auto" w:fill="auto"/>
            <w:tcMar>
              <w:left w:w="86" w:type="dxa"/>
              <w:right w:w="14" w:type="dxa"/>
            </w:tcMar>
            <w:hideMark/>
          </w:tcPr>
          <w:p w14:paraId="051DB028" w14:textId="77777777" w:rsidR="00931EFB" w:rsidRPr="000822FB" w:rsidRDefault="00931EFB" w:rsidP="000822FB">
            <w:pPr>
              <w:spacing w:before="40" w:after="120"/>
              <w:ind w:right="113"/>
              <w:rPr>
                <w:lang w:eastAsia="en-US"/>
              </w:rPr>
            </w:pPr>
            <w:r w:rsidRPr="000822FB">
              <w:rPr>
                <w:lang w:eastAsia="en-US"/>
              </w:rPr>
              <w:t>$6,000 for the intersessional period 2021–2023, to be paid in three instalments of $2,000 each in 2021, 2022 and 2023.</w:t>
            </w:r>
          </w:p>
        </w:tc>
      </w:tr>
      <w:tr w:rsidR="00931EFB" w:rsidRPr="000822FB" w14:paraId="3686D662" w14:textId="77777777" w:rsidTr="000822FB">
        <w:tc>
          <w:tcPr>
            <w:tcW w:w="2137" w:type="dxa"/>
            <w:tcBorders>
              <w:bottom w:val="single" w:sz="12" w:space="0" w:color="auto"/>
            </w:tcBorders>
            <w:shd w:val="clear" w:color="auto" w:fill="auto"/>
            <w:noWrap/>
            <w:hideMark/>
          </w:tcPr>
          <w:p w14:paraId="775D6E91" w14:textId="1AA63978" w:rsidR="00931EFB" w:rsidRPr="000822FB" w:rsidRDefault="00931EFB" w:rsidP="000822FB">
            <w:pPr>
              <w:spacing w:before="40" w:after="120"/>
              <w:ind w:right="113"/>
              <w:rPr>
                <w:lang w:eastAsia="en-US"/>
              </w:rPr>
            </w:pPr>
            <w:r w:rsidRPr="000822FB">
              <w:rPr>
                <w:lang w:eastAsia="en-US"/>
              </w:rPr>
              <w:t xml:space="preserve">United Kingdom </w:t>
            </w:r>
          </w:p>
        </w:tc>
        <w:tc>
          <w:tcPr>
            <w:tcW w:w="938" w:type="dxa"/>
            <w:tcBorders>
              <w:bottom w:val="single" w:sz="12" w:space="0" w:color="auto"/>
            </w:tcBorders>
            <w:shd w:val="clear" w:color="auto" w:fill="auto"/>
            <w:noWrap/>
            <w:hideMark/>
          </w:tcPr>
          <w:p w14:paraId="5667AA22" w14:textId="77777777" w:rsidR="00931EFB" w:rsidRPr="000822FB" w:rsidRDefault="00931EFB" w:rsidP="000822FB">
            <w:pPr>
              <w:spacing w:before="40" w:after="120"/>
              <w:ind w:right="113"/>
              <w:rPr>
                <w:lang w:eastAsia="en-US"/>
              </w:rPr>
            </w:pPr>
            <w:r w:rsidRPr="000822FB">
              <w:rPr>
                <w:lang w:eastAsia="en-US"/>
              </w:rPr>
              <w:t>Yes</w:t>
            </w:r>
          </w:p>
        </w:tc>
        <w:tc>
          <w:tcPr>
            <w:tcW w:w="799" w:type="dxa"/>
            <w:tcBorders>
              <w:bottom w:val="single" w:sz="12" w:space="0" w:color="auto"/>
            </w:tcBorders>
            <w:shd w:val="clear" w:color="auto" w:fill="auto"/>
            <w:noWrap/>
            <w:hideMark/>
          </w:tcPr>
          <w:p w14:paraId="61F6C51F" w14:textId="77777777" w:rsidR="00931EFB" w:rsidRPr="000822FB" w:rsidRDefault="00931EFB" w:rsidP="000822FB">
            <w:pPr>
              <w:spacing w:before="40" w:after="120"/>
              <w:ind w:right="113"/>
              <w:rPr>
                <w:lang w:eastAsia="en-US"/>
              </w:rPr>
            </w:pPr>
            <w:r w:rsidRPr="000822FB">
              <w:rPr>
                <w:lang w:eastAsia="en-US"/>
              </w:rPr>
              <w:t>No</w:t>
            </w:r>
          </w:p>
        </w:tc>
        <w:tc>
          <w:tcPr>
            <w:tcW w:w="1469" w:type="dxa"/>
            <w:tcBorders>
              <w:bottom w:val="single" w:sz="12" w:space="0" w:color="auto"/>
            </w:tcBorders>
            <w:shd w:val="clear" w:color="auto" w:fill="auto"/>
          </w:tcPr>
          <w:p w14:paraId="52F5303F" w14:textId="77777777" w:rsidR="00931EFB" w:rsidRPr="000822FB" w:rsidRDefault="00931EFB" w:rsidP="000822FB">
            <w:pPr>
              <w:spacing w:before="40" w:after="120"/>
              <w:ind w:right="113"/>
              <w:rPr>
                <w:lang w:eastAsia="en-US"/>
              </w:rPr>
            </w:pPr>
            <w:r w:rsidRPr="000822FB">
              <w:rPr>
                <w:lang w:eastAsia="en-US"/>
              </w:rPr>
              <w:t>—</w:t>
            </w:r>
          </w:p>
        </w:tc>
        <w:tc>
          <w:tcPr>
            <w:tcW w:w="4294" w:type="dxa"/>
            <w:tcBorders>
              <w:bottom w:val="single" w:sz="12" w:space="0" w:color="auto"/>
            </w:tcBorders>
            <w:shd w:val="clear" w:color="auto" w:fill="auto"/>
            <w:tcMar>
              <w:left w:w="86" w:type="dxa"/>
              <w:right w:w="14" w:type="dxa"/>
            </w:tcMar>
            <w:hideMark/>
          </w:tcPr>
          <w:p w14:paraId="2348AFA3" w14:textId="77777777" w:rsidR="00931EFB" w:rsidRPr="000822FB" w:rsidRDefault="00931EFB" w:rsidP="000822FB">
            <w:pPr>
              <w:spacing w:before="40" w:after="120"/>
              <w:ind w:right="113"/>
              <w:rPr>
                <w:lang w:eastAsia="en-US"/>
              </w:rPr>
            </w:pPr>
            <w:r w:rsidRPr="000822FB">
              <w:rPr>
                <w:lang w:eastAsia="en-US"/>
              </w:rPr>
              <w:t>—</w:t>
            </w:r>
          </w:p>
        </w:tc>
      </w:tr>
    </w:tbl>
    <w:p w14:paraId="6DDB4318" w14:textId="77777777" w:rsidR="00942C0F" w:rsidRPr="00685BB1" w:rsidRDefault="00942C0F" w:rsidP="00942C0F">
      <w:pPr>
        <w:tabs>
          <w:tab w:val="right" w:pos="1021"/>
        </w:tabs>
        <w:spacing w:before="120" w:line="220" w:lineRule="exact"/>
        <w:ind w:right="561" w:firstLine="85"/>
        <w:rPr>
          <w:sz w:val="18"/>
          <w:lang w:eastAsia="en-US"/>
        </w:rPr>
      </w:pPr>
      <w:proofErr w:type="spellStart"/>
      <w:r w:rsidRPr="00685BB1">
        <w:rPr>
          <w:i/>
          <w:sz w:val="18"/>
          <w:vertAlign w:val="superscript"/>
          <w:lang w:eastAsia="en-US"/>
        </w:rPr>
        <w:t>a</w:t>
      </w:r>
      <w:proofErr w:type="spellEnd"/>
      <w:r w:rsidRPr="00685BB1">
        <w:rPr>
          <w:sz w:val="18"/>
          <w:lang w:eastAsia="en-US"/>
        </w:rPr>
        <w:t xml:space="preserve">  These two columns reflect the status of ratification of the Convention and the Protocol as at mid-June 2017.</w:t>
      </w:r>
    </w:p>
    <w:p w14:paraId="0FA9D33A" w14:textId="77777777" w:rsidR="00942C0F" w:rsidRPr="00685BB1" w:rsidRDefault="00942C0F" w:rsidP="00942C0F">
      <w:pPr>
        <w:tabs>
          <w:tab w:val="right" w:pos="540"/>
        </w:tabs>
        <w:spacing w:after="120" w:line="220" w:lineRule="exact"/>
        <w:ind w:right="561" w:firstLine="85"/>
        <w:rPr>
          <w:sz w:val="18"/>
          <w:lang w:eastAsia="en-US"/>
        </w:rPr>
      </w:pPr>
      <w:r w:rsidRPr="00685BB1">
        <w:rPr>
          <w:i/>
          <w:sz w:val="18"/>
          <w:vertAlign w:val="superscript"/>
          <w:lang w:eastAsia="en-US"/>
        </w:rPr>
        <w:t>b</w:t>
      </w:r>
      <w:r w:rsidRPr="00685BB1">
        <w:rPr>
          <w:sz w:val="18"/>
          <w:lang w:eastAsia="en-US"/>
        </w:rPr>
        <w:t xml:space="preserve">  An </w:t>
      </w:r>
      <w:proofErr w:type="spellStart"/>
      <w:r w:rsidRPr="00685BB1">
        <w:rPr>
          <w:sz w:val="18"/>
          <w:lang w:eastAsia="en-US"/>
        </w:rPr>
        <w:t>em</w:t>
      </w:r>
      <w:proofErr w:type="spellEnd"/>
      <w:r w:rsidRPr="00685BB1">
        <w:rPr>
          <w:sz w:val="18"/>
          <w:lang w:eastAsia="en-US"/>
        </w:rPr>
        <w:t>-dash (—) indicates that no financial resources were pledged.</w:t>
      </w:r>
    </w:p>
    <w:p w14:paraId="3A1EBD0C" w14:textId="5BE2EB38" w:rsidR="009464AD" w:rsidRPr="00685BB1" w:rsidRDefault="00942C0F" w:rsidP="009464AD">
      <w:pPr>
        <w:spacing w:before="240"/>
        <w:ind w:left="1134" w:right="1134"/>
        <w:jc w:val="center"/>
        <w:rPr>
          <w:u w:val="single"/>
          <w:lang w:eastAsia="en-US"/>
        </w:rPr>
      </w:pPr>
      <w:r w:rsidRPr="00685BB1">
        <w:rPr>
          <w:u w:val="single"/>
          <w:lang w:eastAsia="en-US"/>
        </w:rPr>
        <w:tab/>
      </w:r>
    </w:p>
    <w:p w14:paraId="79E27ED9" w14:textId="05302411" w:rsidR="009F4678" w:rsidRDefault="009F4678" w:rsidP="009F4678">
      <w:pPr>
        <w:suppressAutoHyphens w:val="0"/>
        <w:spacing w:line="240" w:lineRule="auto"/>
        <w:rPr>
          <w:u w:val="single"/>
          <w:lang w:eastAsia="en-US"/>
        </w:rPr>
        <w:sectPr w:rsidR="009F4678" w:rsidSect="00B73399">
          <w:endnotePr>
            <w:numFmt w:val="decimal"/>
          </w:endnotePr>
          <w:pgSz w:w="11907" w:h="16840" w:code="9"/>
          <w:pgMar w:top="1418" w:right="1134" w:bottom="1134" w:left="1134" w:header="680" w:footer="567" w:gutter="0"/>
          <w:cols w:space="720"/>
          <w:docGrid w:linePitch="272"/>
        </w:sectPr>
      </w:pPr>
    </w:p>
    <w:p w14:paraId="5F074CB8" w14:textId="085B2B52" w:rsidR="00942C0F" w:rsidRPr="00685BB1" w:rsidRDefault="00C4727E" w:rsidP="00BC043D">
      <w:pPr>
        <w:pStyle w:val="HChG"/>
      </w:pPr>
      <w:r w:rsidRPr="00BC043D">
        <w:lastRenderedPageBreak/>
        <w:t>Annex</w:t>
      </w:r>
      <w:r w:rsidRPr="00685BB1">
        <w:t xml:space="preserve"> II</w:t>
      </w:r>
    </w:p>
    <w:p w14:paraId="2C9995E6" w14:textId="75F77C1F" w:rsidR="00337238" w:rsidRPr="00685BB1" w:rsidRDefault="00337238" w:rsidP="00BC043D">
      <w:pPr>
        <w:pStyle w:val="HChG"/>
      </w:pPr>
      <w:r w:rsidRPr="00685BB1">
        <w:tab/>
      </w:r>
      <w:r w:rsidRPr="00685BB1">
        <w:tab/>
      </w:r>
      <w:r w:rsidR="00DA693F" w:rsidRPr="00685BB1">
        <w:t xml:space="preserve">Bureau </w:t>
      </w:r>
      <w:bookmarkStart w:id="18" w:name="_Hlk62742674"/>
      <w:r w:rsidR="00DA693F" w:rsidRPr="00685BB1">
        <w:t xml:space="preserve">to the Meetings of the Parties to the Convention on </w:t>
      </w:r>
      <w:r w:rsidR="007C02EA" w:rsidRPr="00BC043D">
        <w:t>Environmental</w:t>
      </w:r>
      <w:r w:rsidR="007C02EA" w:rsidRPr="00685BB1">
        <w:t xml:space="preserve"> Impact Assessment in a Transboundary Context </w:t>
      </w:r>
      <w:r w:rsidR="00AB54F2" w:rsidRPr="00685BB1">
        <w:t xml:space="preserve">and </w:t>
      </w:r>
      <w:r w:rsidR="00723B33" w:rsidRPr="00685BB1">
        <w:t>the</w:t>
      </w:r>
      <w:r w:rsidR="00AB54F2" w:rsidRPr="00685BB1">
        <w:t xml:space="preserve"> Protocol on Strategic Environmental Assessment</w:t>
      </w:r>
      <w:bookmarkEnd w:id="18"/>
      <w:r w:rsidR="006D58A4" w:rsidRPr="00685BB1">
        <w:t xml:space="preserve"> </w:t>
      </w:r>
      <w:r w:rsidR="002928C6" w:rsidRPr="00685BB1">
        <w:t xml:space="preserve">- </w:t>
      </w:r>
      <w:r w:rsidRPr="00685BB1">
        <w:t>Election criteria</w:t>
      </w:r>
      <w:r w:rsidR="00E67956" w:rsidRPr="00685BB1">
        <w:t xml:space="preserve"> for the officers and </w:t>
      </w:r>
      <w:r w:rsidRPr="00685BB1">
        <w:t xml:space="preserve">guidance on tasks and procedures </w:t>
      </w:r>
    </w:p>
    <w:p w14:paraId="1BA5F95B" w14:textId="053CE5D6" w:rsidR="00A862BC" w:rsidRPr="00685BB1" w:rsidRDefault="00BC043D" w:rsidP="00BC043D">
      <w:pPr>
        <w:pStyle w:val="HChG"/>
      </w:pPr>
      <w:r>
        <w:tab/>
      </w:r>
      <w:r w:rsidRPr="00685BB1">
        <w:t>I.</w:t>
      </w:r>
      <w:r w:rsidRPr="00685BB1">
        <w:tab/>
      </w:r>
      <w:r w:rsidR="00A2663C" w:rsidRPr="00685BB1">
        <w:t>Introduction</w:t>
      </w:r>
    </w:p>
    <w:p w14:paraId="57F4CC6D" w14:textId="07C4DF3D" w:rsidR="003A0BC6" w:rsidRPr="00685BB1" w:rsidRDefault="00AA3CB3" w:rsidP="00BC043D">
      <w:pPr>
        <w:pStyle w:val="SingleTxtG"/>
      </w:pPr>
      <w:r w:rsidRPr="00685BB1">
        <w:t>1.</w:t>
      </w:r>
      <w:r w:rsidRPr="00685BB1">
        <w:tab/>
      </w:r>
      <w:r w:rsidR="00F8444F" w:rsidRPr="00685BB1">
        <w:t xml:space="preserve">The </w:t>
      </w:r>
      <w:r w:rsidR="0087597E" w:rsidRPr="00685BB1">
        <w:t xml:space="preserve">present document outlines </w:t>
      </w:r>
      <w:r w:rsidR="006A2439" w:rsidRPr="00685BB1">
        <w:t xml:space="preserve">election criteria and guidance on tasks and procedure </w:t>
      </w:r>
      <w:r w:rsidR="001E5C94" w:rsidRPr="00685BB1">
        <w:t>for</w:t>
      </w:r>
      <w:r w:rsidR="006A2439" w:rsidRPr="00685BB1">
        <w:t xml:space="preserve"> the Bureau to the M</w:t>
      </w:r>
      <w:r w:rsidR="00F8444F" w:rsidRPr="00685BB1">
        <w:t xml:space="preserve">eeting of the Parties to the Convention on Environmental Impact Assessment in a Transboundary Context (Espoo Convention) and the </w:t>
      </w:r>
      <w:r w:rsidR="007C7F00" w:rsidRPr="00685BB1">
        <w:t xml:space="preserve">Meeting of the Parties to the </w:t>
      </w:r>
      <w:r w:rsidR="00F8444F" w:rsidRPr="00685BB1">
        <w:t xml:space="preserve">Protocol on Strategic </w:t>
      </w:r>
      <w:r w:rsidR="00F8444F" w:rsidRPr="00BC043D">
        <w:t>Environmental</w:t>
      </w:r>
      <w:r w:rsidR="00F8444F" w:rsidRPr="00685BB1">
        <w:t xml:space="preserve"> Assessment</w:t>
      </w:r>
      <w:r w:rsidR="006A2439" w:rsidRPr="00685BB1">
        <w:t xml:space="preserve">, </w:t>
      </w:r>
      <w:r w:rsidR="000E45D9" w:rsidRPr="00685BB1">
        <w:t xml:space="preserve">as </w:t>
      </w:r>
      <w:r w:rsidR="007C7F00" w:rsidRPr="00685BB1">
        <w:t xml:space="preserve">agreed </w:t>
      </w:r>
      <w:r w:rsidR="005E3F05" w:rsidRPr="00685BB1">
        <w:t xml:space="preserve">by the Meetings of the Parties </w:t>
      </w:r>
      <w:r w:rsidR="000E45D9" w:rsidRPr="00685BB1">
        <w:t xml:space="preserve">to both treaties </w:t>
      </w:r>
      <w:r w:rsidR="007C7F00" w:rsidRPr="00685BB1">
        <w:t>at</w:t>
      </w:r>
      <w:r w:rsidR="00F8444F" w:rsidRPr="00685BB1">
        <w:t xml:space="preserve"> their eighth and fourth sessions</w:t>
      </w:r>
      <w:r w:rsidR="00064974" w:rsidRPr="00685BB1">
        <w:t xml:space="preserve"> (</w:t>
      </w:r>
      <w:r w:rsidR="004C08B5" w:rsidRPr="00685BB1">
        <w:t>Vilnius (</w:t>
      </w:r>
      <w:r w:rsidR="00C45499" w:rsidRPr="00685BB1">
        <w:t>o</w:t>
      </w:r>
      <w:r w:rsidR="00064974" w:rsidRPr="00685BB1">
        <w:t>nline</w:t>
      </w:r>
      <w:r w:rsidR="004C08B5" w:rsidRPr="00685BB1">
        <w:t>)</w:t>
      </w:r>
      <w:r w:rsidR="00064974" w:rsidRPr="00685BB1">
        <w:t>, 8–11 December 2020)</w:t>
      </w:r>
      <w:r w:rsidR="00C45499" w:rsidRPr="00685BB1">
        <w:t xml:space="preserve">. </w:t>
      </w:r>
      <w:r w:rsidR="00D57780" w:rsidRPr="00685BB1">
        <w:t>It builds on proposals prepared by the Bureau with support from the secretariat</w:t>
      </w:r>
      <w:r w:rsidR="005F7F47" w:rsidRPr="00685BB1">
        <w:t xml:space="preserve"> </w:t>
      </w:r>
      <w:r w:rsidR="00923448" w:rsidRPr="00685BB1">
        <w:t>t</w:t>
      </w:r>
      <w:r w:rsidR="00F556E8" w:rsidRPr="00685BB1">
        <w:t>hat were considered</w:t>
      </w:r>
      <w:r w:rsidR="00CE2497" w:rsidRPr="00685BB1">
        <w:t xml:space="preserve"> by the </w:t>
      </w:r>
      <w:r w:rsidR="0060610E" w:rsidRPr="00685BB1">
        <w:t>Working Group on Environmental Impact Assessment and Strategic Environmental Assessment at its ninth meeting (Geneva, 24–26 August 2020)</w:t>
      </w:r>
      <w:r w:rsidR="00334715" w:rsidRPr="00685BB1">
        <w:t>.</w:t>
      </w:r>
      <w:r w:rsidR="005009E2" w:rsidRPr="00685BB1">
        <w:t xml:space="preserve"> </w:t>
      </w:r>
      <w:r w:rsidR="009C2EDB" w:rsidRPr="00685BB1">
        <w:t>As relevant, t</w:t>
      </w:r>
      <w:r w:rsidR="005009E2" w:rsidRPr="00685BB1">
        <w:t>he Meetings of the Parties reserve</w:t>
      </w:r>
      <w:r w:rsidR="004218CB" w:rsidRPr="00685BB1">
        <w:t>d</w:t>
      </w:r>
      <w:r w:rsidR="005009E2" w:rsidRPr="00685BB1">
        <w:t xml:space="preserve"> the right to decide differently</w:t>
      </w:r>
      <w:r w:rsidR="006A23D6" w:rsidRPr="00685BB1">
        <w:t>.</w:t>
      </w:r>
    </w:p>
    <w:p w14:paraId="547759E7" w14:textId="408CB98F" w:rsidR="00132606" w:rsidRPr="00685BB1" w:rsidRDefault="00B92527" w:rsidP="00BC043D">
      <w:pPr>
        <w:pStyle w:val="SingleTxtG"/>
      </w:pPr>
      <w:r w:rsidRPr="00685BB1">
        <w:t>2.</w:t>
      </w:r>
      <w:r w:rsidRPr="00685BB1">
        <w:tab/>
        <w:t>The document takes account of the</w:t>
      </w:r>
      <w:r w:rsidR="004C08B5" w:rsidRPr="00685BB1">
        <w:t>:</w:t>
      </w:r>
      <w:r w:rsidR="006F5622" w:rsidRPr="00685BB1">
        <w:t xml:space="preserve"> </w:t>
      </w:r>
      <w:r w:rsidR="00C34DEE" w:rsidRPr="00685BB1">
        <w:t>relevant provisions of t</w:t>
      </w:r>
      <w:r w:rsidR="006F5622" w:rsidRPr="00685BB1">
        <w:t>he Convention and the Protocol</w:t>
      </w:r>
      <w:r w:rsidR="00C34DEE" w:rsidRPr="00685BB1">
        <w:t xml:space="preserve">; </w:t>
      </w:r>
      <w:r w:rsidR="00132606" w:rsidRPr="00685BB1">
        <w:t xml:space="preserve"> </w:t>
      </w:r>
      <w:r w:rsidR="00A80180" w:rsidRPr="00685BB1">
        <w:t>rules of procedure of the Meeting of the Parties to the Convention (</w:t>
      </w:r>
      <w:r w:rsidR="006D4AB2" w:rsidRPr="00685BB1">
        <w:t xml:space="preserve">ECE/MP.EIA/2, annex I, </w:t>
      </w:r>
      <w:r w:rsidR="00A80180" w:rsidRPr="00685BB1">
        <w:t>decision I/1)</w:t>
      </w:r>
      <w:r w:rsidR="00000B58" w:rsidRPr="00685BB1">
        <w:t>, which</w:t>
      </w:r>
      <w:r w:rsidR="00A80180" w:rsidRPr="00685BB1">
        <w:t xml:space="preserve"> apply mutatis mutandis to the </w:t>
      </w:r>
      <w:r w:rsidR="00A80180" w:rsidRPr="00BC043D">
        <w:t>Meeting</w:t>
      </w:r>
      <w:r w:rsidR="00A80180" w:rsidRPr="00685BB1">
        <w:t xml:space="preserve"> of the Parties to the Protocol (article 14</w:t>
      </w:r>
      <w:r w:rsidR="0050113C" w:rsidRPr="00685BB1">
        <w:t xml:space="preserve"> (5)</w:t>
      </w:r>
      <w:r w:rsidR="00A80180" w:rsidRPr="00685BB1">
        <w:t xml:space="preserve"> of the Protocol) and to the subsidiary bodies established under them (in </w:t>
      </w:r>
      <w:r w:rsidR="006D4AB2" w:rsidRPr="00685BB1">
        <w:t xml:space="preserve">the </w:t>
      </w:r>
      <w:r w:rsidR="00A80180" w:rsidRPr="00685BB1">
        <w:t>absence of specific rules</w:t>
      </w:r>
      <w:r w:rsidR="00000B58" w:rsidRPr="00685BB1">
        <w:t xml:space="preserve"> adopted by these bodies)</w:t>
      </w:r>
      <w:r w:rsidR="00A732A5" w:rsidRPr="00685BB1">
        <w:t xml:space="preserve">; </w:t>
      </w:r>
      <w:r w:rsidR="00FF3611" w:rsidRPr="00685BB1">
        <w:t>relevant decisions of the Meetings of the Parties</w:t>
      </w:r>
      <w:r w:rsidR="00A732A5" w:rsidRPr="00685BB1">
        <w:t xml:space="preserve">; </w:t>
      </w:r>
      <w:r w:rsidR="00132606" w:rsidRPr="00685BB1">
        <w:t>and established practice</w:t>
      </w:r>
      <w:r w:rsidR="00A732A5" w:rsidRPr="00685BB1">
        <w:t xml:space="preserve"> under the two treaties</w:t>
      </w:r>
      <w:r w:rsidR="002624FB" w:rsidRPr="00685BB1">
        <w:t>.</w:t>
      </w:r>
    </w:p>
    <w:p w14:paraId="490740F7" w14:textId="5A8878BC" w:rsidR="00B92527" w:rsidRPr="00685BB1" w:rsidRDefault="00132606" w:rsidP="00BC043D">
      <w:pPr>
        <w:pStyle w:val="SingleTxtG"/>
      </w:pPr>
      <w:r w:rsidRPr="00685BB1">
        <w:t>3.</w:t>
      </w:r>
      <w:r w:rsidRPr="00685BB1">
        <w:tab/>
      </w:r>
      <w:r w:rsidR="006D4AB2" w:rsidRPr="00685BB1">
        <w:t>Rule 2.6 of t</w:t>
      </w:r>
      <w:r w:rsidR="002624FB" w:rsidRPr="00685BB1">
        <w:t>he rules o</w:t>
      </w:r>
      <w:r w:rsidR="006970A7" w:rsidRPr="00685BB1">
        <w:t>f procedure</w:t>
      </w:r>
      <w:r w:rsidR="0049627C" w:rsidRPr="00685BB1">
        <w:t xml:space="preserve"> </w:t>
      </w:r>
      <w:r w:rsidR="006970A7" w:rsidRPr="00685BB1">
        <w:t>define</w:t>
      </w:r>
      <w:r w:rsidR="006D4AB2" w:rsidRPr="00685BB1">
        <w:t>s</w:t>
      </w:r>
      <w:r w:rsidR="006970A7" w:rsidRPr="00685BB1">
        <w:t xml:space="preserve"> the Bureau as “the President and one or more Vice-President</w:t>
      </w:r>
      <w:r w:rsidR="006D4AB2" w:rsidRPr="00685BB1">
        <w:t>(</w:t>
      </w:r>
      <w:r w:rsidR="006970A7" w:rsidRPr="00685BB1">
        <w:t>s</w:t>
      </w:r>
      <w:r w:rsidR="006D4AB2" w:rsidRPr="00685BB1">
        <w:t>)</w:t>
      </w:r>
      <w:r w:rsidR="006970A7" w:rsidRPr="00685BB1">
        <w:t xml:space="preserve"> elected in accordance </w:t>
      </w:r>
      <w:r w:rsidR="006970A7" w:rsidRPr="00BC043D">
        <w:t>with</w:t>
      </w:r>
      <w:r w:rsidR="006970A7" w:rsidRPr="00685BB1">
        <w:t xml:space="preserve"> rule 19 of the rules of procedure”</w:t>
      </w:r>
      <w:r w:rsidR="006D4AB2" w:rsidRPr="00685BB1">
        <w:t>,</w:t>
      </w:r>
      <w:r w:rsidR="00844889">
        <w:rPr>
          <w:rStyle w:val="FootnoteReference"/>
        </w:rPr>
        <w:footnoteReference w:id="6"/>
      </w:r>
      <w:r w:rsidR="00163D30" w:rsidRPr="00685BB1">
        <w:t xml:space="preserve"> but contain few other </w:t>
      </w:r>
      <w:r w:rsidR="002624FB" w:rsidRPr="00685BB1">
        <w:t>details about the Bureau</w:t>
      </w:r>
      <w:r w:rsidR="00EF7C62" w:rsidRPr="00685BB1">
        <w:t>.</w:t>
      </w:r>
      <w:bookmarkStart w:id="19" w:name="_Hlk62745409"/>
    </w:p>
    <w:bookmarkEnd w:id="19"/>
    <w:p w14:paraId="7CF25521" w14:textId="71B7870D" w:rsidR="00137225" w:rsidRPr="00685BB1" w:rsidRDefault="00BC043D" w:rsidP="00BC043D">
      <w:pPr>
        <w:pStyle w:val="HChG"/>
      </w:pPr>
      <w:r>
        <w:tab/>
      </w:r>
      <w:r w:rsidRPr="00685BB1">
        <w:t>II.</w:t>
      </w:r>
      <w:r w:rsidRPr="00685BB1">
        <w:tab/>
      </w:r>
      <w:r w:rsidR="006D4AB2" w:rsidRPr="00BC043D">
        <w:t>S</w:t>
      </w:r>
      <w:r w:rsidR="00137225" w:rsidRPr="00BC043D">
        <w:t>ize</w:t>
      </w:r>
    </w:p>
    <w:p w14:paraId="75C88AD5" w14:textId="28C4F157" w:rsidR="00BE515E" w:rsidRPr="00685BB1" w:rsidRDefault="0050113C" w:rsidP="00BC043D">
      <w:pPr>
        <w:pStyle w:val="SingleTxtG"/>
      </w:pPr>
      <w:r w:rsidRPr="00685BB1">
        <w:t>4</w:t>
      </w:r>
      <w:r w:rsidR="00137225" w:rsidRPr="00685BB1">
        <w:t>.</w:t>
      </w:r>
      <w:r w:rsidR="00137225" w:rsidRPr="00685BB1">
        <w:tab/>
        <w:t xml:space="preserve">To maximise the effectiveness of its deliberations, the Bureau should consist </w:t>
      </w:r>
      <w:r w:rsidR="00266F87" w:rsidRPr="00685BB1">
        <w:t>of</w:t>
      </w:r>
      <w:r w:rsidR="00137225" w:rsidRPr="00685BB1">
        <w:t xml:space="preserve"> a maximum of 11 members</w:t>
      </w:r>
      <w:r w:rsidR="006D4AB2" w:rsidRPr="00685BB1">
        <w:t>,</w:t>
      </w:r>
      <w:r w:rsidR="00A206C3" w:rsidRPr="00685BB1">
        <w:t xml:space="preserve"> and include, i</w:t>
      </w:r>
      <w:r w:rsidR="00E361FC" w:rsidRPr="00685BB1">
        <w:t>n accordance with</w:t>
      </w:r>
      <w:r w:rsidR="00D832B7" w:rsidRPr="00685BB1">
        <w:t xml:space="preserve"> the established </w:t>
      </w:r>
      <w:r w:rsidR="00E124B5" w:rsidRPr="00685BB1">
        <w:t>practice</w:t>
      </w:r>
      <w:r w:rsidR="00A206C3" w:rsidRPr="00685BB1">
        <w:t xml:space="preserve">, </w:t>
      </w:r>
      <w:r w:rsidR="00137225" w:rsidRPr="00685BB1">
        <w:t>the following five ex-officio members: the Chair and the first Vice-Chair of the Implementation Committee</w:t>
      </w:r>
      <w:r w:rsidR="00A206C3" w:rsidRPr="00685BB1">
        <w:t>;</w:t>
      </w:r>
      <w:r w:rsidR="00137225" w:rsidRPr="00685BB1">
        <w:t xml:space="preserve"> </w:t>
      </w:r>
      <w:r w:rsidR="00A206C3" w:rsidRPr="00685BB1">
        <w:t xml:space="preserve">the </w:t>
      </w:r>
      <w:r w:rsidR="00137225" w:rsidRPr="00685BB1">
        <w:t>Chair and Vice-Chairs of the Working Group on Environmental Impact Assessment and Strategic Environmental Assessment</w:t>
      </w:r>
      <w:r w:rsidR="00A206C3" w:rsidRPr="00685BB1">
        <w:t xml:space="preserve">; </w:t>
      </w:r>
      <w:r w:rsidR="00137225" w:rsidRPr="00685BB1">
        <w:t>and, as relevant, a representative of the host country for the forthcoming sessions of the Meetings of the Parties</w:t>
      </w:r>
      <w:r w:rsidR="00A206C3" w:rsidRPr="00685BB1">
        <w:t>.</w:t>
      </w:r>
    </w:p>
    <w:p w14:paraId="2D93A073" w14:textId="28446C96" w:rsidR="003D1485" w:rsidRPr="00685BB1" w:rsidRDefault="003D1485" w:rsidP="00BC043D">
      <w:pPr>
        <w:pStyle w:val="SingleTxtG"/>
      </w:pPr>
      <w:r w:rsidRPr="00685BB1">
        <w:t>5.</w:t>
      </w:r>
      <w:r w:rsidRPr="00685BB1">
        <w:tab/>
      </w:r>
      <w:r w:rsidR="00F246A7" w:rsidRPr="00685BB1">
        <w:t>In practice, a</w:t>
      </w:r>
      <w:r w:rsidRPr="00685BB1">
        <w:t xml:space="preserve">s needed, the Bureau has invited relevant </w:t>
      </w:r>
      <w:r w:rsidRPr="00BC043D">
        <w:t>stakeholders</w:t>
      </w:r>
      <w:r w:rsidRPr="00685BB1">
        <w:t xml:space="preserve"> as observers to </w:t>
      </w:r>
      <w:r w:rsidR="00650537" w:rsidRPr="00685BB1">
        <w:t>its meetings</w:t>
      </w:r>
      <w:r w:rsidRPr="00685BB1">
        <w:t>, or to parts of them, to address specific agenda items</w:t>
      </w:r>
      <w:r w:rsidR="0020609A" w:rsidRPr="00685BB1">
        <w:t>.</w:t>
      </w:r>
    </w:p>
    <w:p w14:paraId="4527BD53" w14:textId="266B5493" w:rsidR="00334715" w:rsidRPr="00685BB1" w:rsidRDefault="00BC043D" w:rsidP="00BC043D">
      <w:pPr>
        <w:pStyle w:val="HChG"/>
      </w:pPr>
      <w:r>
        <w:tab/>
      </w:r>
      <w:r w:rsidRPr="00685BB1">
        <w:t>III.</w:t>
      </w:r>
      <w:r w:rsidRPr="00685BB1">
        <w:tab/>
      </w:r>
      <w:r w:rsidR="00AA3CB3" w:rsidRPr="00BC043D">
        <w:t>Election</w:t>
      </w:r>
      <w:r w:rsidR="00AA3CB3" w:rsidRPr="00685BB1">
        <w:t xml:space="preserve"> criteria/composition</w:t>
      </w:r>
    </w:p>
    <w:p w14:paraId="159B9AEF" w14:textId="08E1174A" w:rsidR="00474979" w:rsidRPr="00685BB1" w:rsidRDefault="004C0BA0" w:rsidP="00BC043D">
      <w:pPr>
        <w:pStyle w:val="SingleTxtG"/>
      </w:pPr>
      <w:r w:rsidRPr="00685BB1">
        <w:t>6</w:t>
      </w:r>
      <w:r w:rsidR="006E20BD" w:rsidRPr="00685BB1">
        <w:t>.</w:t>
      </w:r>
      <w:r w:rsidR="006E20BD" w:rsidRPr="00685BB1">
        <w:tab/>
      </w:r>
      <w:bookmarkStart w:id="20" w:name="_Hlk62743181"/>
      <w:r w:rsidR="00802CBB" w:rsidRPr="00685BB1">
        <w:t xml:space="preserve">The Bureau members are elected by the Meetings of the Parties. </w:t>
      </w:r>
      <w:r w:rsidR="00F27DF2" w:rsidRPr="00685BB1">
        <w:t xml:space="preserve">The </w:t>
      </w:r>
      <w:bookmarkEnd w:id="20"/>
      <w:r w:rsidR="00474979" w:rsidRPr="00685BB1">
        <w:t>three basic (minimum) criteria for the Bureau membership</w:t>
      </w:r>
      <w:r w:rsidR="0072374A" w:rsidRPr="00685BB1">
        <w:t xml:space="preserve"> </w:t>
      </w:r>
      <w:r w:rsidR="00560429" w:rsidRPr="00685BB1">
        <w:t>are:</w:t>
      </w:r>
    </w:p>
    <w:p w14:paraId="0D936E10" w14:textId="2CCC024B" w:rsidR="00474979" w:rsidRPr="00685BB1" w:rsidRDefault="00474979" w:rsidP="00BC043D">
      <w:pPr>
        <w:pStyle w:val="SingleTxtG"/>
        <w:ind w:firstLine="567"/>
      </w:pPr>
      <w:r w:rsidRPr="00685BB1">
        <w:tab/>
        <w:t>(a)</w:t>
      </w:r>
      <w:r w:rsidRPr="00685BB1">
        <w:tab/>
        <w:t xml:space="preserve">Adequate </w:t>
      </w:r>
      <w:r w:rsidRPr="00BC043D">
        <w:t>representation</w:t>
      </w:r>
      <w:r w:rsidRPr="00685BB1">
        <w:t xml:space="preserve"> of the </w:t>
      </w:r>
      <w:r w:rsidR="00FE7F90" w:rsidRPr="00685BB1">
        <w:t>United Nations Economic Commission for Europe (</w:t>
      </w:r>
      <w:r w:rsidRPr="00685BB1">
        <w:t>ECE</w:t>
      </w:r>
      <w:r w:rsidR="00FE7F90" w:rsidRPr="00685BB1">
        <w:t>)</w:t>
      </w:r>
      <w:r w:rsidRPr="00685BB1">
        <w:t xml:space="preserve"> subregions</w:t>
      </w:r>
      <w:r w:rsidR="005025A0" w:rsidRPr="00685BB1">
        <w:t>;</w:t>
      </w:r>
      <w:r w:rsidR="00D86EAE" w:rsidRPr="00685BB1">
        <w:rPr>
          <w:rStyle w:val="FootnoteReference"/>
        </w:rPr>
        <w:footnoteReference w:id="7"/>
      </w:r>
    </w:p>
    <w:p w14:paraId="6BF207DE" w14:textId="77777777" w:rsidR="00474979" w:rsidRPr="00685BB1" w:rsidRDefault="00474979" w:rsidP="00BC043D">
      <w:pPr>
        <w:pStyle w:val="SingleTxtG"/>
        <w:ind w:firstLine="567"/>
      </w:pPr>
      <w:r w:rsidRPr="00685BB1">
        <w:tab/>
        <w:t>(b)</w:t>
      </w:r>
      <w:r w:rsidRPr="00685BB1">
        <w:tab/>
        <w:t xml:space="preserve">Equal representation of the </w:t>
      </w:r>
      <w:r w:rsidRPr="00BC043D">
        <w:t>Convention</w:t>
      </w:r>
      <w:r w:rsidRPr="00685BB1">
        <w:t xml:space="preserve"> and the Protocol;</w:t>
      </w:r>
    </w:p>
    <w:p w14:paraId="752A5215" w14:textId="6E8FF73C" w:rsidR="00474979" w:rsidRPr="00685BB1" w:rsidRDefault="00474979" w:rsidP="00BC043D">
      <w:pPr>
        <w:pStyle w:val="SingleTxtG"/>
        <w:ind w:firstLine="567"/>
      </w:pPr>
      <w:r w:rsidRPr="00685BB1">
        <w:lastRenderedPageBreak/>
        <w:tab/>
        <w:t>(c)</w:t>
      </w:r>
      <w:r w:rsidRPr="00685BB1">
        <w:tab/>
        <w:t xml:space="preserve">Linguistic capacities: </w:t>
      </w:r>
      <w:r w:rsidRPr="00BC043D">
        <w:t>Fluency</w:t>
      </w:r>
      <w:r w:rsidRPr="00685BB1">
        <w:t xml:space="preserve"> in English</w:t>
      </w:r>
      <w:r w:rsidR="00070EE9" w:rsidRPr="00685BB1">
        <w:t>, the working language of the Bureau</w:t>
      </w:r>
      <w:r w:rsidR="0089635E" w:rsidRPr="00685BB1">
        <w:t xml:space="preserve"> (Bureau </w:t>
      </w:r>
      <w:r w:rsidR="00A10FD1" w:rsidRPr="00685BB1">
        <w:t xml:space="preserve">meetings </w:t>
      </w:r>
      <w:r w:rsidR="0089635E" w:rsidRPr="00685BB1">
        <w:t>are held in English only).</w:t>
      </w:r>
    </w:p>
    <w:p w14:paraId="15494D8D" w14:textId="18F73D6A" w:rsidR="00473135" w:rsidRPr="00685BB1" w:rsidRDefault="004C0BA0" w:rsidP="00BC043D">
      <w:pPr>
        <w:pStyle w:val="SingleTxtG"/>
      </w:pPr>
      <w:r w:rsidRPr="00685BB1">
        <w:t>7</w:t>
      </w:r>
      <w:r w:rsidR="00473135" w:rsidRPr="00685BB1">
        <w:t>.</w:t>
      </w:r>
      <w:r w:rsidR="00473135" w:rsidRPr="00685BB1">
        <w:tab/>
      </w:r>
      <w:r w:rsidR="00E20A2B" w:rsidRPr="00685BB1">
        <w:t>Th</w:t>
      </w:r>
      <w:r w:rsidR="00AF36A8" w:rsidRPr="00685BB1">
        <w:t xml:space="preserve">e Bureau must </w:t>
      </w:r>
      <w:r w:rsidR="00170675" w:rsidRPr="00685BB1">
        <w:t xml:space="preserve">also </w:t>
      </w:r>
      <w:r w:rsidR="00AF36A8" w:rsidRPr="00685BB1">
        <w:t>consist of an equal number of representatives of Parties to the Convention and the Protocol</w:t>
      </w:r>
      <w:r w:rsidR="007B7C97" w:rsidRPr="00685BB1">
        <w:t xml:space="preserve">. </w:t>
      </w:r>
      <w:r w:rsidR="003C6A7D" w:rsidRPr="00BC043D">
        <w:t>T</w:t>
      </w:r>
      <w:r w:rsidR="0061674E" w:rsidRPr="00BC043D">
        <w:t>he</w:t>
      </w:r>
      <w:r w:rsidR="0061674E" w:rsidRPr="00685BB1">
        <w:t xml:space="preserve"> Protocol (article 14</w:t>
      </w:r>
      <w:r w:rsidR="00266F87" w:rsidRPr="00685BB1">
        <w:t xml:space="preserve"> </w:t>
      </w:r>
      <w:r w:rsidR="0061674E" w:rsidRPr="00685BB1">
        <w:t>(3))</w:t>
      </w:r>
      <w:r w:rsidR="003C6A7D" w:rsidRPr="00685BB1">
        <w:t xml:space="preserve"> stipulates that w</w:t>
      </w:r>
      <w:r w:rsidR="00AF36A8" w:rsidRPr="00685BB1">
        <w:t>hen a</w:t>
      </w:r>
      <w:r w:rsidR="00996B8F" w:rsidRPr="00685BB1">
        <w:t>ny</w:t>
      </w:r>
      <w:r w:rsidR="00AF36A8" w:rsidRPr="00685BB1">
        <w:t xml:space="preserve"> </w:t>
      </w:r>
      <w:r w:rsidR="00996B8F" w:rsidRPr="00685BB1">
        <w:t xml:space="preserve">member of the </w:t>
      </w:r>
      <w:r w:rsidR="007B7C97" w:rsidRPr="00685BB1">
        <w:t xml:space="preserve">Bureau </w:t>
      </w:r>
      <w:r w:rsidR="00AF36A8" w:rsidRPr="00685BB1">
        <w:t>represents a Party to the Convention that is not</w:t>
      </w:r>
      <w:r w:rsidR="00B115C1" w:rsidRPr="00685BB1">
        <w:t>, at that time,</w:t>
      </w:r>
      <w:r w:rsidR="00AF36A8" w:rsidRPr="00685BB1">
        <w:t xml:space="preserve"> a Party to the Protocol, a “replacement” </w:t>
      </w:r>
      <w:r w:rsidR="003C6A7D" w:rsidRPr="00685BB1">
        <w:t>(</w:t>
      </w:r>
      <w:r w:rsidR="00FE1B26" w:rsidRPr="00685BB1">
        <w:t xml:space="preserve">or </w:t>
      </w:r>
      <w:r w:rsidR="00AF36A8" w:rsidRPr="00685BB1">
        <w:t>an “alternate”</w:t>
      </w:r>
      <w:r w:rsidR="003C6A7D" w:rsidRPr="00685BB1">
        <w:t>)</w:t>
      </w:r>
      <w:r w:rsidR="00AF36A8" w:rsidRPr="00685BB1">
        <w:t xml:space="preserve"> Bureau member must be elected by and from amongst the Parties to the Protocol. </w:t>
      </w:r>
      <w:r w:rsidR="000C1ECC" w:rsidRPr="00685BB1">
        <w:t>T</w:t>
      </w:r>
      <w:r w:rsidR="00AF36A8" w:rsidRPr="00685BB1">
        <w:t xml:space="preserve">he Meeting of the Parties to the Protocol </w:t>
      </w:r>
      <w:r w:rsidR="00266F87" w:rsidRPr="00685BB1">
        <w:t xml:space="preserve">further </w:t>
      </w:r>
      <w:r w:rsidR="000C1ECC" w:rsidRPr="00685BB1">
        <w:t>clarified t</w:t>
      </w:r>
      <w:r w:rsidR="00AF36A8" w:rsidRPr="00685BB1">
        <w:t>hat the alternate Bureau member for Protocol matters “shall serve a term of office that expires at the same time as the term of office of the member of the Bureau whom he or she replaces” (</w:t>
      </w:r>
      <w:r w:rsidR="00EC0E20" w:rsidRPr="00685BB1">
        <w:t xml:space="preserve">ECE/MP.EIA/SEA/2, part two, </w:t>
      </w:r>
      <w:r w:rsidR="00AF36A8" w:rsidRPr="00685BB1">
        <w:t>decision I/1, para. 1, modifying rule 19 of the rules of procedure).</w:t>
      </w:r>
    </w:p>
    <w:p w14:paraId="5CDD2C6B" w14:textId="3901FB91" w:rsidR="0023281E" w:rsidRPr="00685BB1" w:rsidRDefault="00BC043D" w:rsidP="002D0F03">
      <w:pPr>
        <w:pStyle w:val="HChG"/>
        <w:spacing w:before="320"/>
      </w:pPr>
      <w:r>
        <w:tab/>
      </w:r>
      <w:r w:rsidRPr="00685BB1">
        <w:t>IV.</w:t>
      </w:r>
      <w:r w:rsidRPr="00685BB1">
        <w:tab/>
      </w:r>
      <w:r w:rsidR="0023281E" w:rsidRPr="00BC043D">
        <w:t>Terms</w:t>
      </w:r>
      <w:r w:rsidR="0023281E" w:rsidRPr="00685BB1">
        <w:t xml:space="preserve"> of office</w:t>
      </w:r>
    </w:p>
    <w:p w14:paraId="07AD1D9D" w14:textId="756E9A00" w:rsidR="00D66C52" w:rsidRPr="00685BB1" w:rsidRDefault="00D53E38" w:rsidP="00BC043D">
      <w:pPr>
        <w:pStyle w:val="SingleTxtG"/>
      </w:pPr>
      <w:r w:rsidRPr="00685BB1">
        <w:t>8</w:t>
      </w:r>
      <w:r w:rsidR="00BB4637" w:rsidRPr="00685BB1">
        <w:t>.</w:t>
      </w:r>
      <w:r w:rsidR="00BB4637" w:rsidRPr="00685BB1">
        <w:tab/>
      </w:r>
      <w:r w:rsidR="001019E1" w:rsidRPr="00685BB1">
        <w:t>T</w:t>
      </w:r>
      <w:r w:rsidR="00D66C52" w:rsidRPr="00685BB1">
        <w:t xml:space="preserve">o better ensure a rotation/turnover among </w:t>
      </w:r>
      <w:r w:rsidR="00CE65D2" w:rsidRPr="00685BB1">
        <w:t xml:space="preserve">the </w:t>
      </w:r>
      <w:r w:rsidR="00463F1D" w:rsidRPr="00685BB1">
        <w:t>Bureau members</w:t>
      </w:r>
      <w:r w:rsidR="00D66C52" w:rsidRPr="00685BB1">
        <w:t>, the length of the mandate/</w:t>
      </w:r>
      <w:r w:rsidR="00D66C52" w:rsidRPr="00BC043D">
        <w:t>terms</w:t>
      </w:r>
      <w:r w:rsidR="00D66C52" w:rsidRPr="00685BB1">
        <w:t xml:space="preserve"> of service </w:t>
      </w:r>
      <w:r w:rsidR="00263230" w:rsidRPr="00685BB1">
        <w:t xml:space="preserve">should be limited to </w:t>
      </w:r>
      <w:r w:rsidR="00B00DA2" w:rsidRPr="00685BB1">
        <w:t xml:space="preserve">a </w:t>
      </w:r>
      <w:r w:rsidR="00D66C52" w:rsidRPr="00685BB1">
        <w:t>maximum of two consecutive terms</w:t>
      </w:r>
      <w:r w:rsidR="00CE65D2" w:rsidRPr="00685BB1">
        <w:t xml:space="preserve"> (o</w:t>
      </w:r>
      <w:r w:rsidR="00C07A2B" w:rsidRPr="00685BB1">
        <w:t>r intersessional periods)</w:t>
      </w:r>
      <w:r w:rsidR="00BE356C" w:rsidRPr="00685BB1">
        <w:t xml:space="preserve"> for each </w:t>
      </w:r>
      <w:r w:rsidR="0037562D" w:rsidRPr="00685BB1">
        <w:t xml:space="preserve">Party to </w:t>
      </w:r>
      <w:r w:rsidR="00BE356C" w:rsidRPr="00685BB1">
        <w:t>the Convention and the Protocol (</w:t>
      </w:r>
      <w:r w:rsidR="0037562D" w:rsidRPr="00685BB1">
        <w:t>with the exception of the European Commission</w:t>
      </w:r>
      <w:r w:rsidR="002950F0" w:rsidRPr="00685BB1">
        <w:t>, which represents</w:t>
      </w:r>
      <w:r w:rsidR="00BE356C" w:rsidRPr="00685BB1">
        <w:t xml:space="preserve"> </w:t>
      </w:r>
      <w:r w:rsidR="00563F7B" w:rsidRPr="00685BB1">
        <w:t xml:space="preserve">a </w:t>
      </w:r>
      <w:r w:rsidR="00D66C52" w:rsidRPr="00685BB1">
        <w:t>regional economic integration organization</w:t>
      </w:r>
      <w:r w:rsidR="002950F0" w:rsidRPr="00685BB1">
        <w:t>)</w:t>
      </w:r>
      <w:r w:rsidR="00D66C52" w:rsidRPr="00685BB1">
        <w:t xml:space="preserve">. </w:t>
      </w:r>
      <w:r w:rsidR="00D92706" w:rsidRPr="00685BB1">
        <w:t>Parties that have never or not recently nominated officers to the Bureau or other treaty bodies should be encouraged to do so.</w:t>
      </w:r>
    </w:p>
    <w:p w14:paraId="2D436D0D" w14:textId="4D0ECA7B" w:rsidR="004400A3" w:rsidRPr="00685BB1" w:rsidRDefault="00BC043D" w:rsidP="002D0F03">
      <w:pPr>
        <w:pStyle w:val="HChG"/>
        <w:spacing w:before="320"/>
      </w:pPr>
      <w:r>
        <w:tab/>
      </w:r>
      <w:r w:rsidRPr="00685BB1">
        <w:t>V.</w:t>
      </w:r>
      <w:r w:rsidRPr="00685BB1">
        <w:tab/>
      </w:r>
      <w:r w:rsidR="004400A3" w:rsidRPr="00685BB1">
        <w:t xml:space="preserve">Role </w:t>
      </w:r>
      <w:r w:rsidR="004400A3" w:rsidRPr="00BC043D">
        <w:t>and</w:t>
      </w:r>
      <w:r w:rsidR="004400A3" w:rsidRPr="00685BB1">
        <w:t xml:space="preserve"> tasks</w:t>
      </w:r>
    </w:p>
    <w:p w14:paraId="34EC293F" w14:textId="1826FC90" w:rsidR="00D53E38" w:rsidRPr="00685BB1" w:rsidRDefault="004E4476" w:rsidP="00BC043D">
      <w:pPr>
        <w:pStyle w:val="SingleTxtG"/>
      </w:pPr>
      <w:r w:rsidRPr="00685BB1">
        <w:t>9</w:t>
      </w:r>
      <w:r w:rsidR="00BB4637" w:rsidRPr="00685BB1">
        <w:t>.</w:t>
      </w:r>
      <w:r w:rsidR="00BB4637" w:rsidRPr="00685BB1">
        <w:tab/>
      </w:r>
      <w:r w:rsidR="00FB22B1" w:rsidRPr="00685BB1">
        <w:t xml:space="preserve">According to </w:t>
      </w:r>
      <w:r w:rsidR="00E6212A" w:rsidRPr="00685BB1">
        <w:t xml:space="preserve">rule 19 of </w:t>
      </w:r>
      <w:r w:rsidR="00FB22B1" w:rsidRPr="00685BB1">
        <w:t>t</w:t>
      </w:r>
      <w:r w:rsidR="0054109E" w:rsidRPr="00685BB1">
        <w:t>he rules of procedure</w:t>
      </w:r>
      <w:r w:rsidR="00E6212A" w:rsidRPr="00685BB1">
        <w:t>:</w:t>
      </w:r>
      <w:r w:rsidR="0054109E" w:rsidRPr="00685BB1">
        <w:t xml:space="preserve"> “</w:t>
      </w:r>
      <w:r w:rsidR="00535D7D" w:rsidRPr="00685BB1">
        <w:t>T</w:t>
      </w:r>
      <w:r w:rsidR="00E6212A" w:rsidRPr="00685BB1">
        <w:t>he</w:t>
      </w:r>
      <w:r w:rsidR="0054109E" w:rsidRPr="00685BB1">
        <w:t xml:space="preserve"> Meeting of the Parties may assign specific tasks to the officers to be carried out before its next meeting</w:t>
      </w:r>
      <w:r w:rsidR="00776297">
        <w:t>.</w:t>
      </w:r>
      <w:r w:rsidR="0054109E" w:rsidRPr="00685BB1">
        <w:t xml:space="preserve">” </w:t>
      </w:r>
      <w:r w:rsidR="00D40AFE" w:rsidRPr="00685BB1">
        <w:t xml:space="preserve">In practice, the Bureau </w:t>
      </w:r>
      <w:r w:rsidR="008003A5" w:rsidRPr="00685BB1">
        <w:t>meets at least once a year</w:t>
      </w:r>
      <w:r w:rsidR="003D0834" w:rsidRPr="00685BB1">
        <w:t xml:space="preserve"> </w:t>
      </w:r>
      <w:r w:rsidR="00704BFA" w:rsidRPr="00685BB1">
        <w:t xml:space="preserve">and </w:t>
      </w:r>
      <w:r w:rsidR="004274EB" w:rsidRPr="00685BB1">
        <w:t xml:space="preserve">is consulted by the secretariat </w:t>
      </w:r>
      <w:r w:rsidR="00D00576" w:rsidRPr="00685BB1">
        <w:t xml:space="preserve">electronically, </w:t>
      </w:r>
      <w:r w:rsidR="004274EB" w:rsidRPr="00685BB1">
        <w:t>on a regular basis</w:t>
      </w:r>
      <w:r w:rsidR="00E301ED" w:rsidRPr="00685BB1">
        <w:t>.</w:t>
      </w:r>
      <w:r w:rsidR="000733C8" w:rsidRPr="00685BB1">
        <w:t xml:space="preserve"> Its work is supported by </w:t>
      </w:r>
      <w:r w:rsidR="0002348C" w:rsidRPr="00685BB1">
        <w:t>the secretariat.</w:t>
      </w:r>
    </w:p>
    <w:p w14:paraId="3A478AA3" w14:textId="604DDF7F" w:rsidR="00392673" w:rsidRPr="00685BB1" w:rsidRDefault="004E4476" w:rsidP="00BC043D">
      <w:pPr>
        <w:pStyle w:val="SingleTxtG"/>
      </w:pPr>
      <w:r w:rsidRPr="00685BB1">
        <w:t>10.</w:t>
      </w:r>
      <w:r w:rsidRPr="00685BB1">
        <w:tab/>
      </w:r>
      <w:r w:rsidR="00392673" w:rsidRPr="00685BB1">
        <w:t xml:space="preserve">The key functions of the Bureau </w:t>
      </w:r>
      <w:r w:rsidR="005B132D" w:rsidRPr="00685BB1">
        <w:t>consist of the following:</w:t>
      </w:r>
    </w:p>
    <w:p w14:paraId="659E592B" w14:textId="2AB3EE51" w:rsidR="00392673" w:rsidRPr="00685BB1" w:rsidRDefault="00392673" w:rsidP="00BC043D">
      <w:pPr>
        <w:pStyle w:val="SingleTxtG"/>
        <w:ind w:firstLine="567"/>
      </w:pPr>
      <w:r w:rsidRPr="00685BB1">
        <w:tab/>
        <w:t>(a)</w:t>
      </w:r>
      <w:r w:rsidRPr="00685BB1">
        <w:tab/>
      </w:r>
      <w:r w:rsidR="00E6212A" w:rsidRPr="00685BB1">
        <w:t>H</w:t>
      </w:r>
      <w:r w:rsidRPr="00685BB1">
        <w:t>elp monitor and ensure implementation of the workplans, decisions and recommendations of the Meetings of the Parties during intersessional periods, providing advice and guidance, and, if needed, making recommendations on the further development of workplans or their adaptation to changing circumstances;</w:t>
      </w:r>
    </w:p>
    <w:p w14:paraId="06CFAB2E" w14:textId="21AEF7F1" w:rsidR="00392673" w:rsidRPr="00685BB1" w:rsidRDefault="00392673" w:rsidP="00BC043D">
      <w:pPr>
        <w:pStyle w:val="SingleTxtG"/>
        <w:ind w:firstLine="567"/>
      </w:pPr>
      <w:r w:rsidRPr="00685BB1">
        <w:tab/>
        <w:t>(b)</w:t>
      </w:r>
      <w:r w:rsidRPr="00685BB1">
        <w:tab/>
      </w:r>
      <w:r w:rsidR="00E6212A" w:rsidRPr="00685BB1">
        <w:t>H</w:t>
      </w:r>
      <w:r w:rsidRPr="00685BB1">
        <w:t xml:space="preserve">elp monitor the use of funding in accordance with the decisions on budget and financial arrangements of the Meetings of the Parties, involving </w:t>
      </w:r>
      <w:r w:rsidR="00FB2722" w:rsidRPr="00685BB1">
        <w:t xml:space="preserve">considering </w:t>
      </w:r>
      <w:r w:rsidRPr="00685BB1">
        <w:t xml:space="preserve">annual financial reports prepared by the </w:t>
      </w:r>
      <w:r w:rsidRPr="00BC043D">
        <w:t>secretariat</w:t>
      </w:r>
      <w:r w:rsidRPr="00685BB1">
        <w:t xml:space="preserve"> and agreeing on their publishing for information of the Parties;</w:t>
      </w:r>
      <w:r w:rsidR="003C1723" w:rsidRPr="00685BB1">
        <w:t xml:space="preserve"> </w:t>
      </w:r>
      <w:r w:rsidRPr="00685BB1">
        <w:t xml:space="preserve">deciding on the financial support </w:t>
      </w:r>
      <w:r w:rsidR="008F034F" w:rsidRPr="00685BB1">
        <w:t xml:space="preserve">to </w:t>
      </w:r>
      <w:r w:rsidR="00D968FD" w:rsidRPr="00685BB1">
        <w:t>meeting participants</w:t>
      </w:r>
      <w:r w:rsidR="0097354A" w:rsidRPr="00685BB1">
        <w:t xml:space="preserve">, including </w:t>
      </w:r>
      <w:r w:rsidRPr="00685BB1">
        <w:t xml:space="preserve">to </w:t>
      </w:r>
      <w:r w:rsidR="00BE5627" w:rsidRPr="00685BB1">
        <w:t>non-governmental organizations</w:t>
      </w:r>
      <w:r w:rsidRPr="00685BB1">
        <w:t xml:space="preserve"> </w:t>
      </w:r>
      <w:r w:rsidR="00BE5627" w:rsidRPr="00685BB1">
        <w:t xml:space="preserve">(NGOs) </w:t>
      </w:r>
      <w:r w:rsidRPr="00685BB1">
        <w:t xml:space="preserve">and countries outside the ECE region; </w:t>
      </w:r>
    </w:p>
    <w:p w14:paraId="67E6AE0B" w14:textId="53CA5046" w:rsidR="00392673" w:rsidRPr="00685BB1" w:rsidRDefault="00392673" w:rsidP="00BC043D">
      <w:pPr>
        <w:pStyle w:val="SingleTxtG"/>
        <w:ind w:firstLine="567"/>
      </w:pPr>
      <w:r w:rsidRPr="00685BB1">
        <w:tab/>
        <w:t>(c)</w:t>
      </w:r>
      <w:r w:rsidRPr="00685BB1">
        <w:tab/>
      </w:r>
      <w:r w:rsidR="00E6212A" w:rsidRPr="00685BB1">
        <w:t>H</w:t>
      </w:r>
      <w:r w:rsidRPr="00685BB1">
        <w:t xml:space="preserve">elp ensure effective preparations of meetings of the Working Group and sessions of the Meetings of the Parties to the Convention and its Protocol, including agreeing on draft agendas and draft documents, </w:t>
      </w:r>
      <w:r w:rsidR="00283634" w:rsidRPr="00685BB1">
        <w:t xml:space="preserve">and revising </w:t>
      </w:r>
      <w:r w:rsidR="0001474D" w:rsidRPr="00685BB1">
        <w:t>documents</w:t>
      </w:r>
      <w:r w:rsidR="00283634" w:rsidRPr="00685BB1">
        <w:t xml:space="preserve"> </w:t>
      </w:r>
      <w:r w:rsidR="00283634" w:rsidRPr="00BC043D">
        <w:t>based</w:t>
      </w:r>
      <w:r w:rsidR="00283634" w:rsidRPr="00685BB1">
        <w:t xml:space="preserve"> on </w:t>
      </w:r>
      <w:r w:rsidR="00020433" w:rsidRPr="00685BB1">
        <w:t>the</w:t>
      </w:r>
      <w:r w:rsidR="009256BE" w:rsidRPr="00685BB1">
        <w:t xml:space="preserve"> feedback;</w:t>
      </w:r>
    </w:p>
    <w:p w14:paraId="17AFCDE4" w14:textId="0382E4D0" w:rsidR="00392673" w:rsidRPr="00685BB1" w:rsidRDefault="00392673" w:rsidP="00BC043D">
      <w:pPr>
        <w:pStyle w:val="SingleTxtG"/>
        <w:ind w:firstLine="567"/>
      </w:pPr>
      <w:r w:rsidRPr="00685BB1">
        <w:tab/>
        <w:t>(d)</w:t>
      </w:r>
      <w:r w:rsidRPr="00685BB1">
        <w:tab/>
        <w:t xml:space="preserve"> </w:t>
      </w:r>
      <w:r w:rsidR="00E6212A" w:rsidRPr="00685BB1">
        <w:t>H</w:t>
      </w:r>
      <w:r w:rsidRPr="00685BB1">
        <w:t xml:space="preserve">elp ensure effective conduct of business for the preparations and the conduct of the meetings of the treaty bodies in full compliance with the rules of procedure, and facilitate consensus-building </w:t>
      </w:r>
      <w:r w:rsidRPr="00BC043D">
        <w:t>process</w:t>
      </w:r>
      <w:r w:rsidRPr="00685BB1">
        <w:t xml:space="preserve"> and the reaching </w:t>
      </w:r>
      <w:r w:rsidR="00BE5627" w:rsidRPr="00685BB1">
        <w:t xml:space="preserve">of </w:t>
      </w:r>
      <w:r w:rsidRPr="00685BB1">
        <w:t>agreement on decisions and recommendations (Unless Parties decide otherwise, the Chair or a Vice</w:t>
      </w:r>
      <w:r w:rsidR="00BE5627" w:rsidRPr="00685BB1">
        <w:t>-</w:t>
      </w:r>
      <w:r w:rsidRPr="00685BB1">
        <w:t>Chair of the Bureau chairs the general segment of the Meetings of the Parties’ sessions);</w:t>
      </w:r>
    </w:p>
    <w:p w14:paraId="4E7A5AE6" w14:textId="0EADCC3A" w:rsidR="00392673" w:rsidRPr="00685BB1" w:rsidRDefault="00392673" w:rsidP="00BC043D">
      <w:pPr>
        <w:pStyle w:val="SingleTxtG"/>
        <w:ind w:firstLine="567"/>
      </w:pPr>
      <w:r w:rsidRPr="00685BB1">
        <w:tab/>
        <w:t>(e)</w:t>
      </w:r>
      <w:r w:rsidRPr="00685BB1">
        <w:tab/>
      </w:r>
      <w:r w:rsidR="00E6212A" w:rsidRPr="00685BB1">
        <w:t>T</w:t>
      </w:r>
      <w:r w:rsidRPr="00685BB1">
        <w:t xml:space="preserve">ake initiatives and make </w:t>
      </w:r>
      <w:r w:rsidRPr="00BC043D">
        <w:t>recommendations</w:t>
      </w:r>
      <w:r w:rsidRPr="00685BB1">
        <w:t xml:space="preserve"> to strengthen and facilitate the implementation of the Convention and the Protocol; </w:t>
      </w:r>
    </w:p>
    <w:p w14:paraId="46FE16CD" w14:textId="4C866022" w:rsidR="00392673" w:rsidRPr="00685BB1" w:rsidRDefault="00392673" w:rsidP="00BC043D">
      <w:pPr>
        <w:pStyle w:val="SingleTxtG"/>
        <w:ind w:firstLine="567"/>
      </w:pPr>
      <w:r w:rsidRPr="00685BB1">
        <w:tab/>
        <w:t>(f)</w:t>
      </w:r>
      <w:r w:rsidRPr="00685BB1">
        <w:tab/>
      </w:r>
      <w:r w:rsidR="00E6212A" w:rsidRPr="00685BB1">
        <w:t>L</w:t>
      </w:r>
      <w:r w:rsidRPr="00685BB1">
        <w:t>iaise with relevant partners, including other ECE multilateral environmental agreements, and the ECE Committee on Environmental Policy, international organizations and programmes, multilateral forums and representatives of civil society</w:t>
      </w:r>
      <w:r w:rsidR="00BE5627" w:rsidRPr="00685BB1">
        <w:t xml:space="preserve"> and NGOs,</w:t>
      </w:r>
      <w:r w:rsidRPr="00685BB1">
        <w:t xml:space="preserve"> to cooperate, coordinate and exchange information on the implementation of the Convention and the Protocol, and their workplans; </w:t>
      </w:r>
    </w:p>
    <w:p w14:paraId="50BBA471" w14:textId="5A22E599" w:rsidR="00D66C52" w:rsidRPr="00685BB1" w:rsidRDefault="00392673" w:rsidP="00BC043D">
      <w:pPr>
        <w:pStyle w:val="SingleTxtG"/>
        <w:ind w:firstLine="567"/>
        <w:rPr>
          <w:rFonts w:eastAsia="Calibri"/>
          <w:lang w:eastAsia="en-US"/>
        </w:rPr>
      </w:pPr>
      <w:r w:rsidRPr="00685BB1">
        <w:rPr>
          <w:lang w:eastAsia="en-US"/>
        </w:rPr>
        <w:tab/>
        <w:t>(g)</w:t>
      </w:r>
      <w:r w:rsidRPr="00685BB1">
        <w:rPr>
          <w:lang w:eastAsia="en-US"/>
        </w:rPr>
        <w:tab/>
      </w:r>
      <w:r w:rsidR="00E6212A" w:rsidRPr="00685BB1">
        <w:rPr>
          <w:lang w:eastAsia="en-US"/>
        </w:rPr>
        <w:t>C</w:t>
      </w:r>
      <w:r w:rsidRPr="00685BB1">
        <w:rPr>
          <w:rFonts w:eastAsia="Calibri"/>
          <w:lang w:eastAsia="en-US"/>
        </w:rPr>
        <w:t xml:space="preserve">arry out </w:t>
      </w:r>
      <w:r w:rsidRPr="00BC043D">
        <w:rPr>
          <w:rFonts w:eastAsia="Calibri"/>
        </w:rPr>
        <w:t>other</w:t>
      </w:r>
      <w:r w:rsidRPr="00685BB1">
        <w:rPr>
          <w:rFonts w:eastAsia="Calibri"/>
          <w:lang w:eastAsia="en-US"/>
        </w:rPr>
        <w:t xml:space="preserve"> tasks entrusted to it by the Meetings of the Parties</w:t>
      </w:r>
      <w:r w:rsidR="00547D50" w:rsidRPr="00685BB1">
        <w:rPr>
          <w:rFonts w:eastAsia="Calibri"/>
          <w:lang w:eastAsia="en-US"/>
        </w:rPr>
        <w:t>.</w:t>
      </w:r>
    </w:p>
    <w:p w14:paraId="570F3723" w14:textId="6F769D3F" w:rsidR="009464AD" w:rsidRPr="00DB152C" w:rsidRDefault="005027DD" w:rsidP="00DB152C">
      <w:pPr>
        <w:spacing w:before="240"/>
        <w:jc w:val="center"/>
        <w:rPr>
          <w:rFonts w:eastAsia="Calibri"/>
          <w:u w:val="single"/>
          <w:lang w:eastAsia="en-US"/>
        </w:rPr>
      </w:pPr>
      <w:r>
        <w:rPr>
          <w:rFonts w:eastAsia="Calibri"/>
          <w:u w:val="single"/>
          <w:lang w:eastAsia="en-US"/>
        </w:rPr>
        <w:tab/>
      </w:r>
      <w:r>
        <w:rPr>
          <w:rFonts w:eastAsia="Calibri"/>
          <w:u w:val="single"/>
          <w:lang w:eastAsia="en-US"/>
        </w:rPr>
        <w:tab/>
      </w:r>
      <w:r>
        <w:rPr>
          <w:rFonts w:eastAsia="Calibri"/>
          <w:u w:val="single"/>
          <w:lang w:eastAsia="en-US"/>
        </w:rPr>
        <w:tab/>
      </w:r>
    </w:p>
    <w:sectPr w:rsidR="009464AD" w:rsidRPr="00DB152C" w:rsidSect="002D0F03">
      <w:footnotePr>
        <w:numRestart w:val="eachSect"/>
      </w:footnotePr>
      <w:endnotePr>
        <w:numFmt w:val="decimal"/>
      </w:endnotePr>
      <w:pgSz w:w="11907" w:h="16840" w:code="9"/>
      <w:pgMar w:top="1418" w:right="1134" w:bottom="851"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4CFA" w14:textId="77777777" w:rsidR="00440603" w:rsidRDefault="00440603"/>
  </w:endnote>
  <w:endnote w:type="continuationSeparator" w:id="0">
    <w:p w14:paraId="51E02ED5" w14:textId="77777777" w:rsidR="00440603" w:rsidRDefault="00440603"/>
  </w:endnote>
  <w:endnote w:type="continuationNotice" w:id="1">
    <w:p w14:paraId="3BA80F7E" w14:textId="77777777" w:rsidR="00440603" w:rsidRDefault="00440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B1E4" w14:textId="2A8CB7D2" w:rsidR="00440603" w:rsidRPr="00DB152C" w:rsidRDefault="00440603" w:rsidP="008D3716">
    <w:pPr>
      <w:pStyle w:val="Footer"/>
      <w:tabs>
        <w:tab w:val="right" w:pos="9638"/>
      </w:tabs>
      <w:rPr>
        <w:b/>
        <w:sz w:val="18"/>
      </w:rPr>
    </w:pPr>
    <w:r w:rsidRPr="00DB152C">
      <w:rPr>
        <w:b/>
        <w:sz w:val="18"/>
      </w:rPr>
      <w:fldChar w:fldCharType="begin"/>
    </w:r>
    <w:r w:rsidRPr="00DB152C">
      <w:rPr>
        <w:b/>
        <w:sz w:val="18"/>
      </w:rPr>
      <w:instrText xml:space="preserve"> PAGE  \* MERGEFORMAT </w:instrText>
    </w:r>
    <w:r w:rsidRPr="00DB152C">
      <w:rPr>
        <w:b/>
        <w:sz w:val="18"/>
      </w:rPr>
      <w:fldChar w:fldCharType="separate"/>
    </w:r>
    <w:r w:rsidRPr="00DB152C">
      <w:rPr>
        <w:b/>
        <w:noProof/>
        <w:sz w:val="18"/>
      </w:rPr>
      <w:t>20</w:t>
    </w:r>
    <w:r w:rsidRPr="00DB152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FBAD" w14:textId="7374CF99" w:rsidR="00440603" w:rsidRPr="0078073F" w:rsidRDefault="00440603" w:rsidP="008D3716">
    <w:pPr>
      <w:pStyle w:val="Footer"/>
      <w:tabs>
        <w:tab w:val="right" w:pos="9638"/>
      </w:tabs>
      <w:jc w:val="right"/>
      <w:rPr>
        <w:b/>
        <w:bCs/>
        <w:sz w:val="18"/>
      </w:rPr>
    </w:pPr>
    <w:r w:rsidRPr="0078073F">
      <w:rPr>
        <w:b/>
        <w:bCs/>
        <w:sz w:val="18"/>
      </w:rPr>
      <w:fldChar w:fldCharType="begin"/>
    </w:r>
    <w:r w:rsidRPr="0078073F">
      <w:rPr>
        <w:b/>
        <w:bCs/>
        <w:sz w:val="18"/>
      </w:rPr>
      <w:instrText xml:space="preserve"> PAGE  \* MERGEFORMAT </w:instrText>
    </w:r>
    <w:r w:rsidRPr="0078073F">
      <w:rPr>
        <w:b/>
        <w:bCs/>
        <w:sz w:val="18"/>
      </w:rPr>
      <w:fldChar w:fldCharType="separate"/>
    </w:r>
    <w:r w:rsidRPr="0078073F">
      <w:rPr>
        <w:b/>
        <w:bCs/>
        <w:noProof/>
        <w:sz w:val="18"/>
      </w:rPr>
      <w:t>19</w:t>
    </w:r>
    <w:r w:rsidRPr="007807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32EF" w14:textId="724BE7CA" w:rsidR="00440603" w:rsidRDefault="00440603" w:rsidP="006F26E4">
    <w:pPr>
      <w:pStyle w:val="Footer"/>
    </w:pPr>
    <w:r>
      <w:rPr>
        <w:noProof/>
        <w:sz w:val="20"/>
      </w:rPr>
      <w:drawing>
        <wp:anchor distT="0" distB="0" distL="114300" distR="114300" simplePos="0" relativeHeight="251660288" behindDoc="0" locked="0" layoutInCell="1" allowOverlap="1" wp14:anchorId="6B87C93D" wp14:editId="1877F158">
          <wp:simplePos x="0" y="0"/>
          <wp:positionH relativeFrom="margin">
            <wp:posOffset>5615940</wp:posOffset>
          </wp:positionH>
          <wp:positionV relativeFrom="margin">
            <wp:posOffset>8997462</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A33FF29" wp14:editId="47D0AD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7E4651" w14:textId="19AF39DF" w:rsidR="00440603" w:rsidRPr="006F26E4" w:rsidRDefault="00440603" w:rsidP="006F26E4">
    <w:pPr>
      <w:pStyle w:val="Footer"/>
      <w:ind w:right="1134"/>
      <w:rPr>
        <w:sz w:val="20"/>
      </w:rPr>
    </w:pPr>
    <w:r>
      <w:rPr>
        <w:sz w:val="20"/>
      </w:rPr>
      <w:t>GE.21-01858(E)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BD7C" w14:textId="77777777" w:rsidR="00440603" w:rsidRPr="000B175B" w:rsidRDefault="00440603" w:rsidP="000B175B">
      <w:pPr>
        <w:tabs>
          <w:tab w:val="right" w:pos="2155"/>
        </w:tabs>
        <w:spacing w:after="80"/>
        <w:ind w:left="680"/>
        <w:rPr>
          <w:u w:val="single"/>
        </w:rPr>
      </w:pPr>
      <w:r>
        <w:rPr>
          <w:u w:val="single"/>
        </w:rPr>
        <w:tab/>
      </w:r>
    </w:p>
  </w:footnote>
  <w:footnote w:type="continuationSeparator" w:id="0">
    <w:p w14:paraId="54821E66" w14:textId="77777777" w:rsidR="00440603" w:rsidRPr="00FC68B7" w:rsidRDefault="00440603" w:rsidP="00FC68B7">
      <w:pPr>
        <w:tabs>
          <w:tab w:val="left" w:pos="2155"/>
        </w:tabs>
        <w:spacing w:after="80"/>
        <w:ind w:left="680"/>
        <w:rPr>
          <w:u w:val="single"/>
        </w:rPr>
      </w:pPr>
      <w:r>
        <w:rPr>
          <w:u w:val="single"/>
        </w:rPr>
        <w:tab/>
      </w:r>
    </w:p>
  </w:footnote>
  <w:footnote w:type="continuationNotice" w:id="1">
    <w:p w14:paraId="71216410" w14:textId="77777777" w:rsidR="00440603" w:rsidRDefault="00440603"/>
  </w:footnote>
  <w:footnote w:id="2">
    <w:p w14:paraId="4247C37B" w14:textId="1CEC5EEB" w:rsidR="00440603" w:rsidRDefault="00440603" w:rsidP="00874B0C">
      <w:pPr>
        <w:pStyle w:val="FootnoteText"/>
      </w:pPr>
      <w:r>
        <w:tab/>
      </w:r>
      <w:r>
        <w:rPr>
          <w:rStyle w:val="FootnoteReference"/>
        </w:rPr>
        <w:footnoteRef/>
      </w:r>
      <w:r>
        <w:tab/>
      </w:r>
      <w:r w:rsidRPr="005B5213">
        <w:t xml:space="preserve">All </w:t>
      </w:r>
      <w:r>
        <w:t xml:space="preserve">official and informal </w:t>
      </w:r>
      <w:r w:rsidRPr="005B5213">
        <w:t>meeting documentation for the session</w:t>
      </w:r>
      <w:r>
        <w:t xml:space="preserve">s, the programme of the side event and </w:t>
      </w:r>
      <w:r w:rsidRPr="005B5213">
        <w:t>other information</w:t>
      </w:r>
      <w:r>
        <w:t>,</w:t>
      </w:r>
      <w:r w:rsidRPr="005B5213">
        <w:t xml:space="preserve"> such </w:t>
      </w:r>
      <w:r w:rsidRPr="00874B0C">
        <w:t>as</w:t>
      </w:r>
      <w:r w:rsidRPr="005B5213">
        <w:t xml:space="preserve"> presentations that were provided to the secretariat and a list of participants, </w:t>
      </w:r>
      <w:r>
        <w:t>are</w:t>
      </w:r>
      <w:r w:rsidRPr="005B5213">
        <w:t xml:space="preserve"> available </w:t>
      </w:r>
      <w:r>
        <w:t>at www.</w:t>
      </w:r>
      <w:r w:rsidRPr="00EA01B4">
        <w:t>unece.org/environmental-policy/events/meeting-parties-espoo-convention-8th-session-and-meeting-parties</w:t>
      </w:r>
      <w:r w:rsidRPr="003B708D">
        <w:rPr>
          <w:color w:val="000000" w:themeColor="text1"/>
        </w:rPr>
        <w:t>.</w:t>
      </w:r>
    </w:p>
  </w:footnote>
  <w:footnote w:id="3">
    <w:p w14:paraId="46383BF9" w14:textId="60C6E2A6" w:rsidR="00440603" w:rsidRPr="0078073F" w:rsidRDefault="00440603" w:rsidP="00874B0C">
      <w:pPr>
        <w:pStyle w:val="FootnoteText"/>
        <w:rPr>
          <w:lang w:val="en-US"/>
        </w:rPr>
      </w:pPr>
      <w:r>
        <w:tab/>
      </w:r>
      <w:r>
        <w:rPr>
          <w:rStyle w:val="FootnoteReference"/>
        </w:rPr>
        <w:footnoteRef/>
      </w:r>
      <w:r>
        <w:tab/>
      </w:r>
      <w:r w:rsidRPr="0078073F">
        <w:t>Available at http://staging2.unece.org.net4all.ch/fileadmin/DAM/env/eia/documents/MOP8_Vilnius/Informal_docs/Note_on_procedural_issues_</w:t>
      </w:r>
      <w:r w:rsidRPr="00874B0C">
        <w:t>MOP8</w:t>
      </w:r>
      <w:r w:rsidRPr="0078073F">
        <w:t>_and_MOPMOP4_FINAL_by_Bureau_revNov2020.pdf.</w:t>
      </w:r>
      <w:r>
        <w:t xml:space="preserve"> </w:t>
      </w:r>
    </w:p>
  </w:footnote>
  <w:footnote w:id="4">
    <w:p w14:paraId="1A8D9DF4" w14:textId="2F3D9C30" w:rsidR="00440603" w:rsidRPr="00D15BCD" w:rsidRDefault="00440603" w:rsidP="00874B0C">
      <w:pPr>
        <w:pStyle w:val="FootnoteText"/>
      </w:pPr>
      <w:r>
        <w:tab/>
      </w:r>
      <w:r>
        <w:rPr>
          <w:rStyle w:val="FootnoteReference"/>
        </w:rPr>
        <w:footnoteRef/>
      </w:r>
      <w:r>
        <w:tab/>
      </w:r>
      <w:r w:rsidRPr="00E83FFB">
        <w:t xml:space="preserve">The delegation of Belarus requested that the meeting report reflect the fact that Belarus had, in a spirit of cooperation and compromise, agreed to the suggestion made by the European Union, considering the thematic seminar as a preliminary stage for the development of guidance, possibly in the next intersessional period. </w:t>
      </w:r>
      <w:r w:rsidRPr="00874B0C">
        <w:t>Moreover</w:t>
      </w:r>
      <w:r w:rsidRPr="00E83FFB">
        <w:t>, mindful of the interest of the European Union in the subject, the delegation expressed the hope that the European Union would be involved in the organization of the seminar.</w:t>
      </w:r>
    </w:p>
  </w:footnote>
  <w:footnote w:id="5">
    <w:p w14:paraId="1DCC2BA5" w14:textId="0A015680" w:rsidR="00440603" w:rsidRPr="0078073F" w:rsidRDefault="00440603" w:rsidP="000822FB">
      <w:pPr>
        <w:pStyle w:val="FootnoteText"/>
        <w:rPr>
          <w:lang w:val="en-US"/>
        </w:rPr>
      </w:pPr>
      <w:r>
        <w:tab/>
      </w:r>
      <w:r>
        <w:rPr>
          <w:rStyle w:val="FootnoteReference"/>
        </w:rPr>
        <w:footnoteRef/>
      </w:r>
      <w:r>
        <w:tab/>
        <w:t xml:space="preserve">Tea Aulavuo, “Convention on </w:t>
      </w:r>
      <w:r w:rsidRPr="000822FB">
        <w:t>Environmental</w:t>
      </w:r>
      <w:r>
        <w:t xml:space="preserve"> Impact Assessment in a Transboundary Context”, </w:t>
      </w:r>
      <w:proofErr w:type="spellStart"/>
      <w:r>
        <w:t>FasTips</w:t>
      </w:r>
      <w:proofErr w:type="spellEnd"/>
      <w:r>
        <w:t xml:space="preserve"> No. 21 (May 2020). Available at </w:t>
      </w:r>
      <w:r w:rsidRPr="000105BC">
        <w:t>https://www.iaia.org/fasttips.php</w:t>
      </w:r>
      <w:r>
        <w:t xml:space="preserve">. </w:t>
      </w:r>
    </w:p>
  </w:footnote>
  <w:footnote w:id="6">
    <w:p w14:paraId="0E27E235" w14:textId="4184FA51" w:rsidR="00440603" w:rsidRPr="00844889" w:rsidRDefault="00440603" w:rsidP="00844889">
      <w:pPr>
        <w:pStyle w:val="FootnoteText"/>
        <w:widowControl w:val="0"/>
        <w:tabs>
          <w:tab w:val="clear" w:pos="1021"/>
          <w:tab w:val="right" w:pos="1020"/>
        </w:tabs>
        <w:rPr>
          <w:lang w:val="en-US"/>
        </w:rPr>
      </w:pPr>
      <w:r>
        <w:tab/>
      </w:r>
      <w:r>
        <w:rPr>
          <w:rStyle w:val="FootnoteReference"/>
        </w:rPr>
        <w:footnoteRef/>
      </w:r>
      <w:r>
        <w:tab/>
        <w:t xml:space="preserve">Referred to in practice to as “Chair” and “Vice-Chairs”. </w:t>
      </w:r>
    </w:p>
  </w:footnote>
  <w:footnote w:id="7">
    <w:p w14:paraId="4BCA8D8B" w14:textId="4E3EF6AE" w:rsidR="00440603" w:rsidRPr="00650537" w:rsidRDefault="00440603" w:rsidP="00BC043D">
      <w:pPr>
        <w:pStyle w:val="FootnoteText"/>
      </w:pPr>
      <w:r>
        <w:tab/>
      </w:r>
      <w:r>
        <w:rPr>
          <w:rStyle w:val="FootnoteReference"/>
        </w:rPr>
        <w:footnoteRef/>
      </w:r>
      <w:r>
        <w:t xml:space="preserve"> </w:t>
      </w:r>
      <w:r w:rsidRPr="00650537">
        <w:tab/>
        <w:t>Rule 19</w:t>
      </w:r>
      <w:r>
        <w:t>.1</w:t>
      </w:r>
      <w:r w:rsidRPr="00650537">
        <w:t xml:space="preserve"> of </w:t>
      </w:r>
      <w:r w:rsidRPr="00BC043D">
        <w:t>the</w:t>
      </w:r>
      <w:r w:rsidRPr="00650537">
        <w:t xml:space="preserve"> rules of </w:t>
      </w:r>
      <w:r w:rsidRPr="00BC043D">
        <w:t>procedure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84F8" w14:textId="1256A58C" w:rsidR="00440603" w:rsidRPr="00DD72CB" w:rsidRDefault="00440603" w:rsidP="00C955E2">
    <w:pPr>
      <w:pStyle w:val="Header"/>
      <w:rPr>
        <w:lang w:val="es-ES"/>
      </w:rPr>
    </w:pPr>
    <w:r>
      <w:fldChar w:fldCharType="begin"/>
    </w:r>
    <w:r w:rsidRPr="00DD72CB">
      <w:rPr>
        <w:lang w:val="es-ES"/>
      </w:rPr>
      <w:instrText xml:space="preserve"> TITLE  \* MERGEFORMAT </w:instrText>
    </w:r>
    <w:r>
      <w:fldChar w:fldCharType="separate"/>
    </w:r>
    <w:r>
      <w:rPr>
        <w:lang w:val="es-ES"/>
      </w:rPr>
      <w:t>ECE/MP.EIA/30</w:t>
    </w:r>
    <w:r>
      <w:fldChar w:fldCharType="end"/>
    </w:r>
    <w:r w:rsidRPr="00DD72CB">
      <w:rPr>
        <w:lang w:val="es-ES"/>
      </w:rPr>
      <w:br/>
    </w:r>
    <w:r w:rsidR="00331591">
      <w:t>ECE/MP.EIA/SEA/13</w:t>
    </w:r>
    <w:r>
      <w:fldChar w:fldCharType="begin"/>
    </w:r>
    <w:r w:rsidRPr="00DD72CB">
      <w:rPr>
        <w:lang w:val="es-ES"/>
      </w:rPr>
      <w:instrText xml:space="preserve"> KEYWORDS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B19F" w14:textId="4874E8D7" w:rsidR="00440603" w:rsidRPr="00DD72CB" w:rsidRDefault="00440603" w:rsidP="00C70028">
    <w:pPr>
      <w:pStyle w:val="Header"/>
      <w:jc w:val="right"/>
      <w:rPr>
        <w:lang w:val="es-ES"/>
      </w:rPr>
    </w:pPr>
    <w:r>
      <w:fldChar w:fldCharType="begin"/>
    </w:r>
    <w:r w:rsidRPr="00DD72CB">
      <w:rPr>
        <w:lang w:val="es-ES"/>
      </w:rPr>
      <w:instrText xml:space="preserve"> TITLE  \* MERGEFORMAT </w:instrText>
    </w:r>
    <w:r>
      <w:fldChar w:fldCharType="separate"/>
    </w:r>
    <w:r>
      <w:rPr>
        <w:lang w:val="es-ES"/>
      </w:rPr>
      <w:t>ECE/MP.EIA/30</w:t>
    </w:r>
    <w:r>
      <w:fldChar w:fldCharType="end"/>
    </w:r>
    <w:r w:rsidRPr="00DD72CB">
      <w:rPr>
        <w:lang w:val="es-ES"/>
      </w:rPr>
      <w:br/>
    </w:r>
    <w:r w:rsidR="00331591">
      <w:t>ECE/MP.EIA/SEA/13</w:t>
    </w:r>
    <w:r>
      <w:fldChar w:fldCharType="begin"/>
    </w:r>
    <w:r w:rsidRPr="00DD72CB">
      <w:rPr>
        <w:lang w:val="es-ES"/>
      </w:rPr>
      <w:instrText xml:space="preserve"> KEYWORDS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351DF6"/>
    <w:multiLevelType w:val="hybridMultilevel"/>
    <w:tmpl w:val="5A68BC4C"/>
    <w:lvl w:ilvl="0" w:tplc="2834B10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8D52FA"/>
    <w:multiLevelType w:val="hybridMultilevel"/>
    <w:tmpl w:val="57247206"/>
    <w:lvl w:ilvl="0" w:tplc="38BA82A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C30CB9"/>
    <w:multiLevelType w:val="hybridMultilevel"/>
    <w:tmpl w:val="8C3660F4"/>
    <w:lvl w:ilvl="0" w:tplc="792AACA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00BF5"/>
    <w:multiLevelType w:val="hybridMultilevel"/>
    <w:tmpl w:val="59A81384"/>
    <w:lvl w:ilvl="0" w:tplc="979CBA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EA813D1"/>
    <w:multiLevelType w:val="hybridMultilevel"/>
    <w:tmpl w:val="14463CE0"/>
    <w:lvl w:ilvl="0" w:tplc="36747182">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6C1927"/>
    <w:multiLevelType w:val="hybridMultilevel"/>
    <w:tmpl w:val="3DA430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A2E297F"/>
    <w:multiLevelType w:val="hybridMultilevel"/>
    <w:tmpl w:val="35C2CCA6"/>
    <w:lvl w:ilvl="0" w:tplc="792AACA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A02F6"/>
    <w:multiLevelType w:val="hybridMultilevel"/>
    <w:tmpl w:val="8F82FD08"/>
    <w:lvl w:ilvl="0" w:tplc="00CE1BAA">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7" w15:restartNumberingAfterBreak="0">
    <w:nsid w:val="4464746C"/>
    <w:multiLevelType w:val="hybridMultilevel"/>
    <w:tmpl w:val="45460322"/>
    <w:lvl w:ilvl="0" w:tplc="1F20740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4A1C630F"/>
    <w:multiLevelType w:val="hybridMultilevel"/>
    <w:tmpl w:val="F20A095E"/>
    <w:lvl w:ilvl="0" w:tplc="792AACAC">
      <w:start w:val="1"/>
      <w:numFmt w:val="bullet"/>
      <w:lvlText w:val="‾"/>
      <w:lvlJc w:val="left"/>
      <w:pPr>
        <w:ind w:left="2988" w:hanging="360"/>
      </w:pPr>
      <w:rPr>
        <w:rFonts w:ascii="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5F2B43CB"/>
    <w:multiLevelType w:val="hybridMultilevel"/>
    <w:tmpl w:val="2E8C2E0C"/>
    <w:lvl w:ilvl="0" w:tplc="5FA4860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D3E8A"/>
    <w:multiLevelType w:val="hybridMultilevel"/>
    <w:tmpl w:val="DA407CF0"/>
    <w:lvl w:ilvl="0" w:tplc="DD64F5D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6660F9"/>
    <w:multiLevelType w:val="hybridMultilevel"/>
    <w:tmpl w:val="7DACD1C8"/>
    <w:lvl w:ilvl="0" w:tplc="E79CF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57839"/>
    <w:multiLevelType w:val="hybridMultilevel"/>
    <w:tmpl w:val="F13C422C"/>
    <w:lvl w:ilvl="0" w:tplc="792AACAC">
      <w:start w:val="1"/>
      <w:numFmt w:val="bullet"/>
      <w:lvlText w:val="‾"/>
      <w:lvlJc w:val="left"/>
      <w:pPr>
        <w:ind w:left="720" w:hanging="360"/>
      </w:pPr>
      <w:rPr>
        <w:rFonts w:ascii="Times New Roman" w:hAnsi="Times New Roman" w:cs="Times New Roman" w:hint="default"/>
      </w:rPr>
    </w:lvl>
    <w:lvl w:ilvl="1" w:tplc="792AACAC">
      <w:start w:val="1"/>
      <w:numFmt w:val="bullet"/>
      <w:lvlText w:val="‾"/>
      <w:lvlJc w:val="left"/>
      <w:pPr>
        <w:ind w:left="1440" w:hanging="360"/>
      </w:pPr>
      <w:rPr>
        <w:rFonts w:ascii="Times New Roman" w:hAnsi="Times New Roman" w:cs="Times New Roman"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43D71"/>
    <w:multiLevelType w:val="hybridMultilevel"/>
    <w:tmpl w:val="ED8EE504"/>
    <w:lvl w:ilvl="0" w:tplc="AA866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D6548D"/>
    <w:multiLevelType w:val="hybridMultilevel"/>
    <w:tmpl w:val="1504798E"/>
    <w:lvl w:ilvl="0" w:tplc="CC3825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5"/>
  </w:num>
  <w:num w:numId="15">
    <w:abstractNumId w:val="23"/>
  </w:num>
  <w:num w:numId="16">
    <w:abstractNumId w:val="17"/>
  </w:num>
  <w:num w:numId="17">
    <w:abstractNumId w:val="31"/>
  </w:num>
  <w:num w:numId="18">
    <w:abstractNumId w:val="34"/>
  </w:num>
  <w:num w:numId="19">
    <w:abstractNumId w:val="12"/>
  </w:num>
  <w:num w:numId="20">
    <w:abstractNumId w:val="30"/>
  </w:num>
  <w:num w:numId="21">
    <w:abstractNumId w:val="14"/>
  </w:num>
  <w:num w:numId="22">
    <w:abstractNumId w:val="11"/>
  </w:num>
  <w:num w:numId="23">
    <w:abstractNumId w:val="28"/>
  </w:num>
  <w:num w:numId="24">
    <w:abstractNumId w:val="19"/>
  </w:num>
  <w:num w:numId="25">
    <w:abstractNumId w:val="25"/>
  </w:num>
  <w:num w:numId="26">
    <w:abstractNumId w:val="35"/>
  </w:num>
  <w:num w:numId="27">
    <w:abstractNumId w:val="24"/>
  </w:num>
  <w:num w:numId="28">
    <w:abstractNumId w:val="27"/>
  </w:num>
  <w:num w:numId="29">
    <w:abstractNumId w:val="26"/>
  </w:num>
  <w:num w:numId="30">
    <w:abstractNumId w:val="21"/>
  </w:num>
  <w:num w:numId="31">
    <w:abstractNumId w:val="29"/>
  </w:num>
  <w:num w:numId="32">
    <w:abstractNumId w:val="33"/>
  </w:num>
  <w:num w:numId="33">
    <w:abstractNumId w:val="16"/>
  </w:num>
  <w:num w:numId="34">
    <w:abstractNumId w:val="32"/>
  </w:num>
  <w:num w:numId="35">
    <w:abstractNumId w:val="37"/>
  </w:num>
  <w:num w:numId="36">
    <w:abstractNumId w:val="36"/>
  </w:num>
  <w:num w:numId="37">
    <w:abstractNumId w:val="20"/>
  </w:num>
  <w:num w:numId="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6424A8"/>
    <w:rsid w:val="00000B58"/>
    <w:rsid w:val="00002118"/>
    <w:rsid w:val="00002A60"/>
    <w:rsid w:val="00002A7D"/>
    <w:rsid w:val="00003505"/>
    <w:rsid w:val="000038A8"/>
    <w:rsid w:val="00003F65"/>
    <w:rsid w:val="00004139"/>
    <w:rsid w:val="00006790"/>
    <w:rsid w:val="000105BC"/>
    <w:rsid w:val="00010D18"/>
    <w:rsid w:val="00013749"/>
    <w:rsid w:val="000142E3"/>
    <w:rsid w:val="0001474D"/>
    <w:rsid w:val="00016026"/>
    <w:rsid w:val="000169CC"/>
    <w:rsid w:val="0001708E"/>
    <w:rsid w:val="00020433"/>
    <w:rsid w:val="00020905"/>
    <w:rsid w:val="0002134B"/>
    <w:rsid w:val="0002348C"/>
    <w:rsid w:val="00025B23"/>
    <w:rsid w:val="00025C3A"/>
    <w:rsid w:val="0002641D"/>
    <w:rsid w:val="00027624"/>
    <w:rsid w:val="00031C16"/>
    <w:rsid w:val="000337AC"/>
    <w:rsid w:val="00033E58"/>
    <w:rsid w:val="00033EF5"/>
    <w:rsid w:val="000347E9"/>
    <w:rsid w:val="00035075"/>
    <w:rsid w:val="000350F2"/>
    <w:rsid w:val="0003522C"/>
    <w:rsid w:val="000355A9"/>
    <w:rsid w:val="0003737D"/>
    <w:rsid w:val="00037AEA"/>
    <w:rsid w:val="00040370"/>
    <w:rsid w:val="00040785"/>
    <w:rsid w:val="00041522"/>
    <w:rsid w:val="0004210C"/>
    <w:rsid w:val="000427EA"/>
    <w:rsid w:val="00043E00"/>
    <w:rsid w:val="00044086"/>
    <w:rsid w:val="000461FB"/>
    <w:rsid w:val="00046DC3"/>
    <w:rsid w:val="0004763E"/>
    <w:rsid w:val="00047BDE"/>
    <w:rsid w:val="00047C71"/>
    <w:rsid w:val="00050F6B"/>
    <w:rsid w:val="000512F7"/>
    <w:rsid w:val="0005242E"/>
    <w:rsid w:val="000530EA"/>
    <w:rsid w:val="00056AEA"/>
    <w:rsid w:val="000577A7"/>
    <w:rsid w:val="0006037F"/>
    <w:rsid w:val="00060852"/>
    <w:rsid w:val="0006114A"/>
    <w:rsid w:val="000614B3"/>
    <w:rsid w:val="00062860"/>
    <w:rsid w:val="00063772"/>
    <w:rsid w:val="000647BA"/>
    <w:rsid w:val="00064974"/>
    <w:rsid w:val="00064AF0"/>
    <w:rsid w:val="00065B30"/>
    <w:rsid w:val="000676D0"/>
    <w:rsid w:val="000678CD"/>
    <w:rsid w:val="000707E7"/>
    <w:rsid w:val="00070CE0"/>
    <w:rsid w:val="00070EE9"/>
    <w:rsid w:val="000724BB"/>
    <w:rsid w:val="00072C8C"/>
    <w:rsid w:val="000733C8"/>
    <w:rsid w:val="000734C3"/>
    <w:rsid w:val="00073C64"/>
    <w:rsid w:val="00074C9A"/>
    <w:rsid w:val="00074CF0"/>
    <w:rsid w:val="00076B2A"/>
    <w:rsid w:val="000803B7"/>
    <w:rsid w:val="00080580"/>
    <w:rsid w:val="00081700"/>
    <w:rsid w:val="00081CE0"/>
    <w:rsid w:val="00082095"/>
    <w:rsid w:val="000822FB"/>
    <w:rsid w:val="00082A6C"/>
    <w:rsid w:val="000837D4"/>
    <w:rsid w:val="00083AE0"/>
    <w:rsid w:val="00083DC8"/>
    <w:rsid w:val="0008435C"/>
    <w:rsid w:val="00084D30"/>
    <w:rsid w:val="000866C6"/>
    <w:rsid w:val="000874DF"/>
    <w:rsid w:val="000900A9"/>
    <w:rsid w:val="00090320"/>
    <w:rsid w:val="00090F41"/>
    <w:rsid w:val="000931C0"/>
    <w:rsid w:val="0009441D"/>
    <w:rsid w:val="000949A4"/>
    <w:rsid w:val="00095ACF"/>
    <w:rsid w:val="00095C75"/>
    <w:rsid w:val="00096E19"/>
    <w:rsid w:val="00097032"/>
    <w:rsid w:val="00097CF2"/>
    <w:rsid w:val="000A0403"/>
    <w:rsid w:val="000A0E0F"/>
    <w:rsid w:val="000A1B58"/>
    <w:rsid w:val="000A2E09"/>
    <w:rsid w:val="000A61C5"/>
    <w:rsid w:val="000A6433"/>
    <w:rsid w:val="000A65A7"/>
    <w:rsid w:val="000A6EE2"/>
    <w:rsid w:val="000B175B"/>
    <w:rsid w:val="000B1BE4"/>
    <w:rsid w:val="000B26B4"/>
    <w:rsid w:val="000B284F"/>
    <w:rsid w:val="000B3A0F"/>
    <w:rsid w:val="000B3DE8"/>
    <w:rsid w:val="000B66E8"/>
    <w:rsid w:val="000B70B9"/>
    <w:rsid w:val="000B7E7F"/>
    <w:rsid w:val="000C05F5"/>
    <w:rsid w:val="000C1C01"/>
    <w:rsid w:val="000C1CA4"/>
    <w:rsid w:val="000C1ECC"/>
    <w:rsid w:val="000C3828"/>
    <w:rsid w:val="000C5C98"/>
    <w:rsid w:val="000D19E3"/>
    <w:rsid w:val="000D238A"/>
    <w:rsid w:val="000D33DE"/>
    <w:rsid w:val="000D3E0C"/>
    <w:rsid w:val="000D42AE"/>
    <w:rsid w:val="000D4593"/>
    <w:rsid w:val="000D4BDC"/>
    <w:rsid w:val="000D62D4"/>
    <w:rsid w:val="000D703F"/>
    <w:rsid w:val="000D7237"/>
    <w:rsid w:val="000D7303"/>
    <w:rsid w:val="000E0415"/>
    <w:rsid w:val="000E072C"/>
    <w:rsid w:val="000E14D1"/>
    <w:rsid w:val="000E1D41"/>
    <w:rsid w:val="000E2230"/>
    <w:rsid w:val="000E4158"/>
    <w:rsid w:val="000E4333"/>
    <w:rsid w:val="000E449F"/>
    <w:rsid w:val="000E44C7"/>
    <w:rsid w:val="000E45D9"/>
    <w:rsid w:val="000E6AE9"/>
    <w:rsid w:val="000E7611"/>
    <w:rsid w:val="000E78D1"/>
    <w:rsid w:val="000F05BC"/>
    <w:rsid w:val="000F08D9"/>
    <w:rsid w:val="000F0C24"/>
    <w:rsid w:val="000F1D13"/>
    <w:rsid w:val="000F24DB"/>
    <w:rsid w:val="000F2781"/>
    <w:rsid w:val="000F4B70"/>
    <w:rsid w:val="000F6CF4"/>
    <w:rsid w:val="000F7106"/>
    <w:rsid w:val="000F74AE"/>
    <w:rsid w:val="000F76F3"/>
    <w:rsid w:val="000F7715"/>
    <w:rsid w:val="00100E91"/>
    <w:rsid w:val="001019E1"/>
    <w:rsid w:val="00102479"/>
    <w:rsid w:val="00103C71"/>
    <w:rsid w:val="0010423F"/>
    <w:rsid w:val="001044DF"/>
    <w:rsid w:val="00104B3F"/>
    <w:rsid w:val="00105948"/>
    <w:rsid w:val="00105CB0"/>
    <w:rsid w:val="0010642E"/>
    <w:rsid w:val="00110C6D"/>
    <w:rsid w:val="001116F3"/>
    <w:rsid w:val="0011272A"/>
    <w:rsid w:val="00112920"/>
    <w:rsid w:val="0011417E"/>
    <w:rsid w:val="00124CBB"/>
    <w:rsid w:val="0012558A"/>
    <w:rsid w:val="00126844"/>
    <w:rsid w:val="0013258D"/>
    <w:rsid w:val="00132606"/>
    <w:rsid w:val="00132746"/>
    <w:rsid w:val="001357B3"/>
    <w:rsid w:val="00135BC4"/>
    <w:rsid w:val="0013707E"/>
    <w:rsid w:val="00137225"/>
    <w:rsid w:val="001379C0"/>
    <w:rsid w:val="001401E7"/>
    <w:rsid w:val="00140759"/>
    <w:rsid w:val="00141111"/>
    <w:rsid w:val="00141B3D"/>
    <w:rsid w:val="00142664"/>
    <w:rsid w:val="00142AD5"/>
    <w:rsid w:val="001434BC"/>
    <w:rsid w:val="00143853"/>
    <w:rsid w:val="001442D7"/>
    <w:rsid w:val="001464E2"/>
    <w:rsid w:val="00146711"/>
    <w:rsid w:val="00150075"/>
    <w:rsid w:val="00150CE8"/>
    <w:rsid w:val="00150CF2"/>
    <w:rsid w:val="00151165"/>
    <w:rsid w:val="00151550"/>
    <w:rsid w:val="0015193D"/>
    <w:rsid w:val="0015216A"/>
    <w:rsid w:val="0015241F"/>
    <w:rsid w:val="00153557"/>
    <w:rsid w:val="00153C2C"/>
    <w:rsid w:val="00154D4A"/>
    <w:rsid w:val="00156995"/>
    <w:rsid w:val="00156AEF"/>
    <w:rsid w:val="00156B18"/>
    <w:rsid w:val="00156B99"/>
    <w:rsid w:val="00157F28"/>
    <w:rsid w:val="001615CD"/>
    <w:rsid w:val="001616D4"/>
    <w:rsid w:val="00162A1C"/>
    <w:rsid w:val="00162BF2"/>
    <w:rsid w:val="00163D30"/>
    <w:rsid w:val="00163F2D"/>
    <w:rsid w:val="001645C3"/>
    <w:rsid w:val="00165641"/>
    <w:rsid w:val="00166124"/>
    <w:rsid w:val="00166D15"/>
    <w:rsid w:val="00167D4D"/>
    <w:rsid w:val="00170241"/>
    <w:rsid w:val="00170675"/>
    <w:rsid w:val="001709A8"/>
    <w:rsid w:val="00171599"/>
    <w:rsid w:val="00172AAB"/>
    <w:rsid w:val="00172EEA"/>
    <w:rsid w:val="001731FB"/>
    <w:rsid w:val="00173566"/>
    <w:rsid w:val="001735C9"/>
    <w:rsid w:val="001753FC"/>
    <w:rsid w:val="00176441"/>
    <w:rsid w:val="00176E00"/>
    <w:rsid w:val="001770DD"/>
    <w:rsid w:val="0018014F"/>
    <w:rsid w:val="00181862"/>
    <w:rsid w:val="00181D4C"/>
    <w:rsid w:val="00181FE9"/>
    <w:rsid w:val="00182D10"/>
    <w:rsid w:val="00183436"/>
    <w:rsid w:val="00184DDA"/>
    <w:rsid w:val="00185285"/>
    <w:rsid w:val="00185B23"/>
    <w:rsid w:val="00185B71"/>
    <w:rsid w:val="00187CBE"/>
    <w:rsid w:val="001900CD"/>
    <w:rsid w:val="001903ED"/>
    <w:rsid w:val="0019142B"/>
    <w:rsid w:val="00192DA5"/>
    <w:rsid w:val="00193C76"/>
    <w:rsid w:val="001944D0"/>
    <w:rsid w:val="00194632"/>
    <w:rsid w:val="0019479A"/>
    <w:rsid w:val="00194947"/>
    <w:rsid w:val="00194F2F"/>
    <w:rsid w:val="001953BB"/>
    <w:rsid w:val="00196869"/>
    <w:rsid w:val="001970F1"/>
    <w:rsid w:val="00197779"/>
    <w:rsid w:val="001A0452"/>
    <w:rsid w:val="001A22BD"/>
    <w:rsid w:val="001A4A83"/>
    <w:rsid w:val="001A4BAD"/>
    <w:rsid w:val="001A5616"/>
    <w:rsid w:val="001A5A77"/>
    <w:rsid w:val="001B0678"/>
    <w:rsid w:val="001B175B"/>
    <w:rsid w:val="001B1818"/>
    <w:rsid w:val="001B1879"/>
    <w:rsid w:val="001B1D88"/>
    <w:rsid w:val="001B1DA7"/>
    <w:rsid w:val="001B2EE7"/>
    <w:rsid w:val="001B41BF"/>
    <w:rsid w:val="001B4227"/>
    <w:rsid w:val="001B46F5"/>
    <w:rsid w:val="001B4976"/>
    <w:rsid w:val="001B4B04"/>
    <w:rsid w:val="001B5841"/>
    <w:rsid w:val="001B5875"/>
    <w:rsid w:val="001B65AB"/>
    <w:rsid w:val="001C03CC"/>
    <w:rsid w:val="001C1AC9"/>
    <w:rsid w:val="001C258D"/>
    <w:rsid w:val="001C2748"/>
    <w:rsid w:val="001C42B8"/>
    <w:rsid w:val="001C4B9C"/>
    <w:rsid w:val="001C5386"/>
    <w:rsid w:val="001C5D6D"/>
    <w:rsid w:val="001C6663"/>
    <w:rsid w:val="001C7895"/>
    <w:rsid w:val="001D0FEB"/>
    <w:rsid w:val="001D1566"/>
    <w:rsid w:val="001D26DF"/>
    <w:rsid w:val="001D40F8"/>
    <w:rsid w:val="001D4170"/>
    <w:rsid w:val="001E0CA4"/>
    <w:rsid w:val="001E15DA"/>
    <w:rsid w:val="001E2F30"/>
    <w:rsid w:val="001E390A"/>
    <w:rsid w:val="001E3FC5"/>
    <w:rsid w:val="001E4C28"/>
    <w:rsid w:val="001E5C94"/>
    <w:rsid w:val="001E5D2C"/>
    <w:rsid w:val="001E6A33"/>
    <w:rsid w:val="001E6A81"/>
    <w:rsid w:val="001E73AB"/>
    <w:rsid w:val="001F01BE"/>
    <w:rsid w:val="001F07AF"/>
    <w:rsid w:val="001F0A12"/>
    <w:rsid w:val="001F1599"/>
    <w:rsid w:val="001F19C4"/>
    <w:rsid w:val="001F1D1D"/>
    <w:rsid w:val="001F242E"/>
    <w:rsid w:val="001F3334"/>
    <w:rsid w:val="001F3F36"/>
    <w:rsid w:val="001F5508"/>
    <w:rsid w:val="001F5BF7"/>
    <w:rsid w:val="001F5C8C"/>
    <w:rsid w:val="001F642D"/>
    <w:rsid w:val="002043F0"/>
    <w:rsid w:val="0020609A"/>
    <w:rsid w:val="002064A8"/>
    <w:rsid w:val="0020654E"/>
    <w:rsid w:val="00206E4E"/>
    <w:rsid w:val="00206E6C"/>
    <w:rsid w:val="0020780A"/>
    <w:rsid w:val="00210C75"/>
    <w:rsid w:val="00211E0B"/>
    <w:rsid w:val="002128D2"/>
    <w:rsid w:val="00214E4D"/>
    <w:rsid w:val="00216041"/>
    <w:rsid w:val="00220667"/>
    <w:rsid w:val="00221572"/>
    <w:rsid w:val="00221AA2"/>
    <w:rsid w:val="0022236E"/>
    <w:rsid w:val="00222FF3"/>
    <w:rsid w:val="0022757B"/>
    <w:rsid w:val="0022792D"/>
    <w:rsid w:val="002304EB"/>
    <w:rsid w:val="002309B1"/>
    <w:rsid w:val="00231293"/>
    <w:rsid w:val="002321AE"/>
    <w:rsid w:val="0023234D"/>
    <w:rsid w:val="00232575"/>
    <w:rsid w:val="0023281E"/>
    <w:rsid w:val="002332E6"/>
    <w:rsid w:val="00233741"/>
    <w:rsid w:val="00234043"/>
    <w:rsid w:val="00236255"/>
    <w:rsid w:val="00236C8A"/>
    <w:rsid w:val="00237902"/>
    <w:rsid w:val="002430F8"/>
    <w:rsid w:val="00244415"/>
    <w:rsid w:val="00245107"/>
    <w:rsid w:val="0024701D"/>
    <w:rsid w:val="00247258"/>
    <w:rsid w:val="002477A5"/>
    <w:rsid w:val="00247E8D"/>
    <w:rsid w:val="00250309"/>
    <w:rsid w:val="00250665"/>
    <w:rsid w:val="0025111E"/>
    <w:rsid w:val="0025156A"/>
    <w:rsid w:val="00251839"/>
    <w:rsid w:val="00251CC8"/>
    <w:rsid w:val="002522DC"/>
    <w:rsid w:val="00253B1D"/>
    <w:rsid w:val="0025524A"/>
    <w:rsid w:val="00255CC9"/>
    <w:rsid w:val="00255F2B"/>
    <w:rsid w:val="00257301"/>
    <w:rsid w:val="00257CAC"/>
    <w:rsid w:val="002624FB"/>
    <w:rsid w:val="0026298B"/>
    <w:rsid w:val="00263230"/>
    <w:rsid w:val="00263485"/>
    <w:rsid w:val="0026442A"/>
    <w:rsid w:val="00264D28"/>
    <w:rsid w:val="00265703"/>
    <w:rsid w:val="00266310"/>
    <w:rsid w:val="00266F87"/>
    <w:rsid w:val="002671F3"/>
    <w:rsid w:val="00267F4C"/>
    <w:rsid w:val="00267F8C"/>
    <w:rsid w:val="0027040E"/>
    <w:rsid w:val="00271088"/>
    <w:rsid w:val="0027237A"/>
    <w:rsid w:val="002737A4"/>
    <w:rsid w:val="002744CC"/>
    <w:rsid w:val="0027560F"/>
    <w:rsid w:val="00276519"/>
    <w:rsid w:val="0027778D"/>
    <w:rsid w:val="002815C5"/>
    <w:rsid w:val="00282454"/>
    <w:rsid w:val="00283634"/>
    <w:rsid w:val="00283CF3"/>
    <w:rsid w:val="002879A2"/>
    <w:rsid w:val="002928C6"/>
    <w:rsid w:val="00292C65"/>
    <w:rsid w:val="00293093"/>
    <w:rsid w:val="00294FE1"/>
    <w:rsid w:val="002950F0"/>
    <w:rsid w:val="002958C1"/>
    <w:rsid w:val="00297125"/>
    <w:rsid w:val="002971D0"/>
    <w:rsid w:val="00297443"/>
    <w:rsid w:val="002974E9"/>
    <w:rsid w:val="00297C30"/>
    <w:rsid w:val="002A004A"/>
    <w:rsid w:val="002A1550"/>
    <w:rsid w:val="002A16D3"/>
    <w:rsid w:val="002A247D"/>
    <w:rsid w:val="002A25EF"/>
    <w:rsid w:val="002A289F"/>
    <w:rsid w:val="002A3979"/>
    <w:rsid w:val="002A51C8"/>
    <w:rsid w:val="002A7F64"/>
    <w:rsid w:val="002A7F94"/>
    <w:rsid w:val="002B109A"/>
    <w:rsid w:val="002B19D0"/>
    <w:rsid w:val="002B45E9"/>
    <w:rsid w:val="002B7A4C"/>
    <w:rsid w:val="002B7E5A"/>
    <w:rsid w:val="002C0307"/>
    <w:rsid w:val="002C037B"/>
    <w:rsid w:val="002C422F"/>
    <w:rsid w:val="002C4F83"/>
    <w:rsid w:val="002C4FE8"/>
    <w:rsid w:val="002C516D"/>
    <w:rsid w:val="002C529F"/>
    <w:rsid w:val="002C54D5"/>
    <w:rsid w:val="002C6691"/>
    <w:rsid w:val="002C6D45"/>
    <w:rsid w:val="002C6D51"/>
    <w:rsid w:val="002D0F03"/>
    <w:rsid w:val="002D0FD6"/>
    <w:rsid w:val="002D17EC"/>
    <w:rsid w:val="002D29DA"/>
    <w:rsid w:val="002D307C"/>
    <w:rsid w:val="002D35CD"/>
    <w:rsid w:val="002D5D6E"/>
    <w:rsid w:val="002D5FF3"/>
    <w:rsid w:val="002D6E53"/>
    <w:rsid w:val="002D75DD"/>
    <w:rsid w:val="002E1120"/>
    <w:rsid w:val="002E1F17"/>
    <w:rsid w:val="002E2638"/>
    <w:rsid w:val="002E36CA"/>
    <w:rsid w:val="002E44B5"/>
    <w:rsid w:val="002E44F9"/>
    <w:rsid w:val="002E5D6B"/>
    <w:rsid w:val="002E69B8"/>
    <w:rsid w:val="002E6A04"/>
    <w:rsid w:val="002F046D"/>
    <w:rsid w:val="002F1F53"/>
    <w:rsid w:val="002F27FC"/>
    <w:rsid w:val="002F3023"/>
    <w:rsid w:val="002F40A3"/>
    <w:rsid w:val="002F467F"/>
    <w:rsid w:val="002F506D"/>
    <w:rsid w:val="002F5A6A"/>
    <w:rsid w:val="002F5B79"/>
    <w:rsid w:val="002F7031"/>
    <w:rsid w:val="002F74EF"/>
    <w:rsid w:val="00300504"/>
    <w:rsid w:val="00300FD7"/>
    <w:rsid w:val="00301031"/>
    <w:rsid w:val="00301764"/>
    <w:rsid w:val="00301BB9"/>
    <w:rsid w:val="00301F18"/>
    <w:rsid w:val="00303199"/>
    <w:rsid w:val="003033DB"/>
    <w:rsid w:val="00303B5C"/>
    <w:rsid w:val="00304ABD"/>
    <w:rsid w:val="00306818"/>
    <w:rsid w:val="00310390"/>
    <w:rsid w:val="00310B19"/>
    <w:rsid w:val="00312F43"/>
    <w:rsid w:val="00313CB9"/>
    <w:rsid w:val="003141A5"/>
    <w:rsid w:val="0031497B"/>
    <w:rsid w:val="003154C2"/>
    <w:rsid w:val="00315562"/>
    <w:rsid w:val="00320FC3"/>
    <w:rsid w:val="00321B78"/>
    <w:rsid w:val="003229C7"/>
    <w:rsid w:val="003229D8"/>
    <w:rsid w:val="00323CF4"/>
    <w:rsid w:val="003241F9"/>
    <w:rsid w:val="00325C61"/>
    <w:rsid w:val="00325FC8"/>
    <w:rsid w:val="00326962"/>
    <w:rsid w:val="003278D4"/>
    <w:rsid w:val="00327D3E"/>
    <w:rsid w:val="00330FD1"/>
    <w:rsid w:val="0033135F"/>
    <w:rsid w:val="00331591"/>
    <w:rsid w:val="003322DD"/>
    <w:rsid w:val="00333C06"/>
    <w:rsid w:val="00334715"/>
    <w:rsid w:val="00335B03"/>
    <w:rsid w:val="00336C97"/>
    <w:rsid w:val="00337238"/>
    <w:rsid w:val="00337803"/>
    <w:rsid w:val="00337C1C"/>
    <w:rsid w:val="00337F88"/>
    <w:rsid w:val="00340505"/>
    <w:rsid w:val="00341CAF"/>
    <w:rsid w:val="00342432"/>
    <w:rsid w:val="00342980"/>
    <w:rsid w:val="00343453"/>
    <w:rsid w:val="00343DB8"/>
    <w:rsid w:val="003440A6"/>
    <w:rsid w:val="00344F3E"/>
    <w:rsid w:val="00345A07"/>
    <w:rsid w:val="00346312"/>
    <w:rsid w:val="003463EA"/>
    <w:rsid w:val="00346432"/>
    <w:rsid w:val="00346729"/>
    <w:rsid w:val="0034706C"/>
    <w:rsid w:val="0035007D"/>
    <w:rsid w:val="0035016D"/>
    <w:rsid w:val="00350D01"/>
    <w:rsid w:val="003513A8"/>
    <w:rsid w:val="00351DFA"/>
    <w:rsid w:val="00351F8B"/>
    <w:rsid w:val="0035223F"/>
    <w:rsid w:val="00352D4B"/>
    <w:rsid w:val="00352D72"/>
    <w:rsid w:val="00353187"/>
    <w:rsid w:val="00353D68"/>
    <w:rsid w:val="00353E3D"/>
    <w:rsid w:val="00353F6D"/>
    <w:rsid w:val="0035638C"/>
    <w:rsid w:val="0035679E"/>
    <w:rsid w:val="00356925"/>
    <w:rsid w:val="0035695C"/>
    <w:rsid w:val="0036024D"/>
    <w:rsid w:val="003616D7"/>
    <w:rsid w:val="00363E17"/>
    <w:rsid w:val="00363F82"/>
    <w:rsid w:val="0036418B"/>
    <w:rsid w:val="00365331"/>
    <w:rsid w:val="00365877"/>
    <w:rsid w:val="00365C9E"/>
    <w:rsid w:val="00365DC7"/>
    <w:rsid w:val="00366AEC"/>
    <w:rsid w:val="00366DC4"/>
    <w:rsid w:val="00367DA3"/>
    <w:rsid w:val="0037034E"/>
    <w:rsid w:val="00370FD8"/>
    <w:rsid w:val="0037123A"/>
    <w:rsid w:val="00373265"/>
    <w:rsid w:val="0037354E"/>
    <w:rsid w:val="00373750"/>
    <w:rsid w:val="00373B80"/>
    <w:rsid w:val="00374FCB"/>
    <w:rsid w:val="0037562D"/>
    <w:rsid w:val="0037583C"/>
    <w:rsid w:val="00380CB7"/>
    <w:rsid w:val="00381641"/>
    <w:rsid w:val="003816CF"/>
    <w:rsid w:val="00382DCA"/>
    <w:rsid w:val="00382EB4"/>
    <w:rsid w:val="003838D8"/>
    <w:rsid w:val="0038469E"/>
    <w:rsid w:val="0038546E"/>
    <w:rsid w:val="00385E5D"/>
    <w:rsid w:val="0038627D"/>
    <w:rsid w:val="0038781E"/>
    <w:rsid w:val="003911E1"/>
    <w:rsid w:val="00391534"/>
    <w:rsid w:val="00392673"/>
    <w:rsid w:val="003934F5"/>
    <w:rsid w:val="00394A18"/>
    <w:rsid w:val="00395D64"/>
    <w:rsid w:val="0039622E"/>
    <w:rsid w:val="0039629C"/>
    <w:rsid w:val="0039647C"/>
    <w:rsid w:val="003A00BC"/>
    <w:rsid w:val="003A0BC6"/>
    <w:rsid w:val="003A1451"/>
    <w:rsid w:val="003A233E"/>
    <w:rsid w:val="003A46BB"/>
    <w:rsid w:val="003A479E"/>
    <w:rsid w:val="003A4EC7"/>
    <w:rsid w:val="003A4F74"/>
    <w:rsid w:val="003A6D9A"/>
    <w:rsid w:val="003A7295"/>
    <w:rsid w:val="003A76E9"/>
    <w:rsid w:val="003A7B3D"/>
    <w:rsid w:val="003B11C7"/>
    <w:rsid w:val="003B1F60"/>
    <w:rsid w:val="003B2078"/>
    <w:rsid w:val="003B38E4"/>
    <w:rsid w:val="003B40F0"/>
    <w:rsid w:val="003B6B74"/>
    <w:rsid w:val="003B708D"/>
    <w:rsid w:val="003B7E41"/>
    <w:rsid w:val="003C096E"/>
    <w:rsid w:val="003C1723"/>
    <w:rsid w:val="003C1BC6"/>
    <w:rsid w:val="003C2777"/>
    <w:rsid w:val="003C2CC4"/>
    <w:rsid w:val="003C2CD9"/>
    <w:rsid w:val="003C4359"/>
    <w:rsid w:val="003C4AFE"/>
    <w:rsid w:val="003C555F"/>
    <w:rsid w:val="003C6A7D"/>
    <w:rsid w:val="003C706C"/>
    <w:rsid w:val="003D0834"/>
    <w:rsid w:val="003D1485"/>
    <w:rsid w:val="003D156D"/>
    <w:rsid w:val="003D22CC"/>
    <w:rsid w:val="003D25AE"/>
    <w:rsid w:val="003D2602"/>
    <w:rsid w:val="003D2764"/>
    <w:rsid w:val="003D2B42"/>
    <w:rsid w:val="003D45D6"/>
    <w:rsid w:val="003D4ADF"/>
    <w:rsid w:val="003D4B23"/>
    <w:rsid w:val="003D4CB9"/>
    <w:rsid w:val="003D62D8"/>
    <w:rsid w:val="003D6482"/>
    <w:rsid w:val="003D66CB"/>
    <w:rsid w:val="003D687E"/>
    <w:rsid w:val="003D716D"/>
    <w:rsid w:val="003E278A"/>
    <w:rsid w:val="003E2E38"/>
    <w:rsid w:val="003E47F6"/>
    <w:rsid w:val="003E4911"/>
    <w:rsid w:val="003E61E0"/>
    <w:rsid w:val="003F138C"/>
    <w:rsid w:val="003F17A4"/>
    <w:rsid w:val="003F1B07"/>
    <w:rsid w:val="003F23F4"/>
    <w:rsid w:val="003F3411"/>
    <w:rsid w:val="003F4E37"/>
    <w:rsid w:val="003F59DA"/>
    <w:rsid w:val="003F5E29"/>
    <w:rsid w:val="003F6A53"/>
    <w:rsid w:val="003F7129"/>
    <w:rsid w:val="003F7F18"/>
    <w:rsid w:val="0040073C"/>
    <w:rsid w:val="00401D0E"/>
    <w:rsid w:val="0040234A"/>
    <w:rsid w:val="0040386D"/>
    <w:rsid w:val="00404865"/>
    <w:rsid w:val="00404942"/>
    <w:rsid w:val="004064FC"/>
    <w:rsid w:val="00406E1E"/>
    <w:rsid w:val="00410FBF"/>
    <w:rsid w:val="00411A97"/>
    <w:rsid w:val="00412A3E"/>
    <w:rsid w:val="00413520"/>
    <w:rsid w:val="00413B49"/>
    <w:rsid w:val="004150FB"/>
    <w:rsid w:val="00415AFF"/>
    <w:rsid w:val="004167C4"/>
    <w:rsid w:val="00417E32"/>
    <w:rsid w:val="004210C1"/>
    <w:rsid w:val="004218CB"/>
    <w:rsid w:val="004234C5"/>
    <w:rsid w:val="00425B53"/>
    <w:rsid w:val="00425F51"/>
    <w:rsid w:val="0042664C"/>
    <w:rsid w:val="00426B7E"/>
    <w:rsid w:val="004274EB"/>
    <w:rsid w:val="00427545"/>
    <w:rsid w:val="0043165F"/>
    <w:rsid w:val="004325CB"/>
    <w:rsid w:val="0043335F"/>
    <w:rsid w:val="0043527A"/>
    <w:rsid w:val="00436D58"/>
    <w:rsid w:val="0043788B"/>
    <w:rsid w:val="004400A3"/>
    <w:rsid w:val="004401B2"/>
    <w:rsid w:val="00440603"/>
    <w:rsid w:val="00440A07"/>
    <w:rsid w:val="00441565"/>
    <w:rsid w:val="00441929"/>
    <w:rsid w:val="00442E30"/>
    <w:rsid w:val="0044356B"/>
    <w:rsid w:val="00445CF7"/>
    <w:rsid w:val="00445D33"/>
    <w:rsid w:val="0044606A"/>
    <w:rsid w:val="004470AA"/>
    <w:rsid w:val="0044716F"/>
    <w:rsid w:val="004479C7"/>
    <w:rsid w:val="00450801"/>
    <w:rsid w:val="004508FD"/>
    <w:rsid w:val="004509AC"/>
    <w:rsid w:val="0045180F"/>
    <w:rsid w:val="00452267"/>
    <w:rsid w:val="00453F88"/>
    <w:rsid w:val="0045498D"/>
    <w:rsid w:val="00454D26"/>
    <w:rsid w:val="004559D8"/>
    <w:rsid w:val="00461683"/>
    <w:rsid w:val="00462880"/>
    <w:rsid w:val="00463500"/>
    <w:rsid w:val="00463EC4"/>
    <w:rsid w:val="00463F1D"/>
    <w:rsid w:val="004652EF"/>
    <w:rsid w:val="004661C5"/>
    <w:rsid w:val="00466A18"/>
    <w:rsid w:val="00466B22"/>
    <w:rsid w:val="00471068"/>
    <w:rsid w:val="00471DF2"/>
    <w:rsid w:val="00472E98"/>
    <w:rsid w:val="00473135"/>
    <w:rsid w:val="00474979"/>
    <w:rsid w:val="00474E8E"/>
    <w:rsid w:val="00475A90"/>
    <w:rsid w:val="00476730"/>
    <w:rsid w:val="00476F24"/>
    <w:rsid w:val="0047728F"/>
    <w:rsid w:val="0047731D"/>
    <w:rsid w:val="00477C0A"/>
    <w:rsid w:val="004814FB"/>
    <w:rsid w:val="004815B6"/>
    <w:rsid w:val="00481B7A"/>
    <w:rsid w:val="00481CC7"/>
    <w:rsid w:val="00482D4D"/>
    <w:rsid w:val="0048307A"/>
    <w:rsid w:val="0048337D"/>
    <w:rsid w:val="004838D7"/>
    <w:rsid w:val="00483F17"/>
    <w:rsid w:val="00484732"/>
    <w:rsid w:val="004861F3"/>
    <w:rsid w:val="00490094"/>
    <w:rsid w:val="0049369B"/>
    <w:rsid w:val="00495104"/>
    <w:rsid w:val="0049580A"/>
    <w:rsid w:val="0049627C"/>
    <w:rsid w:val="004A18C1"/>
    <w:rsid w:val="004A2A77"/>
    <w:rsid w:val="004A2FF9"/>
    <w:rsid w:val="004A322A"/>
    <w:rsid w:val="004A44E9"/>
    <w:rsid w:val="004A4D32"/>
    <w:rsid w:val="004A5CBD"/>
    <w:rsid w:val="004B0B58"/>
    <w:rsid w:val="004B1DEE"/>
    <w:rsid w:val="004B1F24"/>
    <w:rsid w:val="004B2EE4"/>
    <w:rsid w:val="004B2F65"/>
    <w:rsid w:val="004B36A4"/>
    <w:rsid w:val="004B5A53"/>
    <w:rsid w:val="004B64BB"/>
    <w:rsid w:val="004B6B14"/>
    <w:rsid w:val="004B7085"/>
    <w:rsid w:val="004B78FB"/>
    <w:rsid w:val="004C0346"/>
    <w:rsid w:val="004C08B5"/>
    <w:rsid w:val="004C0BA0"/>
    <w:rsid w:val="004C0EB9"/>
    <w:rsid w:val="004C252A"/>
    <w:rsid w:val="004C55B0"/>
    <w:rsid w:val="004C5B57"/>
    <w:rsid w:val="004C5CE9"/>
    <w:rsid w:val="004C644D"/>
    <w:rsid w:val="004D06D4"/>
    <w:rsid w:val="004D0E36"/>
    <w:rsid w:val="004D10E2"/>
    <w:rsid w:val="004D1794"/>
    <w:rsid w:val="004D1925"/>
    <w:rsid w:val="004D2321"/>
    <w:rsid w:val="004D2A3C"/>
    <w:rsid w:val="004D370C"/>
    <w:rsid w:val="004D3747"/>
    <w:rsid w:val="004D38CF"/>
    <w:rsid w:val="004D4F45"/>
    <w:rsid w:val="004D5A62"/>
    <w:rsid w:val="004D7A5A"/>
    <w:rsid w:val="004E2EFC"/>
    <w:rsid w:val="004E37EE"/>
    <w:rsid w:val="004E4476"/>
    <w:rsid w:val="004E5800"/>
    <w:rsid w:val="004E593A"/>
    <w:rsid w:val="004E6084"/>
    <w:rsid w:val="004E6DD0"/>
    <w:rsid w:val="004E788E"/>
    <w:rsid w:val="004F1D3A"/>
    <w:rsid w:val="004F4C6E"/>
    <w:rsid w:val="004F69BE"/>
    <w:rsid w:val="004F6BA0"/>
    <w:rsid w:val="004F6F01"/>
    <w:rsid w:val="004F73BB"/>
    <w:rsid w:val="005009E2"/>
    <w:rsid w:val="0050113C"/>
    <w:rsid w:val="00501453"/>
    <w:rsid w:val="00501A0B"/>
    <w:rsid w:val="00501A3B"/>
    <w:rsid w:val="005025A0"/>
    <w:rsid w:val="005027DD"/>
    <w:rsid w:val="00503826"/>
    <w:rsid w:val="00503BEA"/>
    <w:rsid w:val="00503C08"/>
    <w:rsid w:val="00504359"/>
    <w:rsid w:val="00506BE0"/>
    <w:rsid w:val="00507255"/>
    <w:rsid w:val="00511034"/>
    <w:rsid w:val="00511909"/>
    <w:rsid w:val="00511A54"/>
    <w:rsid w:val="0051491E"/>
    <w:rsid w:val="00515F97"/>
    <w:rsid w:val="00515FCA"/>
    <w:rsid w:val="00522D68"/>
    <w:rsid w:val="00524726"/>
    <w:rsid w:val="00524CC8"/>
    <w:rsid w:val="00526A39"/>
    <w:rsid w:val="00530D60"/>
    <w:rsid w:val="00531510"/>
    <w:rsid w:val="0053185D"/>
    <w:rsid w:val="00532219"/>
    <w:rsid w:val="00532496"/>
    <w:rsid w:val="005325D5"/>
    <w:rsid w:val="00532C68"/>
    <w:rsid w:val="00533616"/>
    <w:rsid w:val="00533678"/>
    <w:rsid w:val="00535ABA"/>
    <w:rsid w:val="00535D7D"/>
    <w:rsid w:val="00536287"/>
    <w:rsid w:val="0053768B"/>
    <w:rsid w:val="00540BF7"/>
    <w:rsid w:val="0054109E"/>
    <w:rsid w:val="00541FCB"/>
    <w:rsid w:val="005420F2"/>
    <w:rsid w:val="005427A7"/>
    <w:rsid w:val="0054285C"/>
    <w:rsid w:val="00542A6A"/>
    <w:rsid w:val="00543355"/>
    <w:rsid w:val="005440AB"/>
    <w:rsid w:val="00544B28"/>
    <w:rsid w:val="00545C24"/>
    <w:rsid w:val="00546061"/>
    <w:rsid w:val="005465D6"/>
    <w:rsid w:val="00546FE1"/>
    <w:rsid w:val="00547D31"/>
    <w:rsid w:val="00547D50"/>
    <w:rsid w:val="00550A1C"/>
    <w:rsid w:val="00553A82"/>
    <w:rsid w:val="00554CE7"/>
    <w:rsid w:val="00554E9F"/>
    <w:rsid w:val="00555737"/>
    <w:rsid w:val="005563CA"/>
    <w:rsid w:val="005565C5"/>
    <w:rsid w:val="005601B2"/>
    <w:rsid w:val="00560429"/>
    <w:rsid w:val="00560BB4"/>
    <w:rsid w:val="005610DB"/>
    <w:rsid w:val="0056157E"/>
    <w:rsid w:val="005623FA"/>
    <w:rsid w:val="00563168"/>
    <w:rsid w:val="00563B93"/>
    <w:rsid w:val="00563BA6"/>
    <w:rsid w:val="00563E3A"/>
    <w:rsid w:val="00563E5C"/>
    <w:rsid w:val="00563F7B"/>
    <w:rsid w:val="005644A9"/>
    <w:rsid w:val="00564EAA"/>
    <w:rsid w:val="005659C0"/>
    <w:rsid w:val="00570144"/>
    <w:rsid w:val="005724CE"/>
    <w:rsid w:val="00574E52"/>
    <w:rsid w:val="0057523A"/>
    <w:rsid w:val="0057641A"/>
    <w:rsid w:val="005823BB"/>
    <w:rsid w:val="0058278D"/>
    <w:rsid w:val="00583087"/>
    <w:rsid w:val="005832B2"/>
    <w:rsid w:val="00584173"/>
    <w:rsid w:val="00584309"/>
    <w:rsid w:val="00584900"/>
    <w:rsid w:val="00584C6C"/>
    <w:rsid w:val="0058529E"/>
    <w:rsid w:val="00585F71"/>
    <w:rsid w:val="005870FF"/>
    <w:rsid w:val="00587174"/>
    <w:rsid w:val="00590D5C"/>
    <w:rsid w:val="00590EAF"/>
    <w:rsid w:val="00593AE9"/>
    <w:rsid w:val="00594288"/>
    <w:rsid w:val="00594641"/>
    <w:rsid w:val="00595520"/>
    <w:rsid w:val="00595A28"/>
    <w:rsid w:val="00597882"/>
    <w:rsid w:val="005A083E"/>
    <w:rsid w:val="005A126D"/>
    <w:rsid w:val="005A16C7"/>
    <w:rsid w:val="005A44B9"/>
    <w:rsid w:val="005A58B3"/>
    <w:rsid w:val="005A5F87"/>
    <w:rsid w:val="005A66E8"/>
    <w:rsid w:val="005A6987"/>
    <w:rsid w:val="005A6A03"/>
    <w:rsid w:val="005A794B"/>
    <w:rsid w:val="005B132D"/>
    <w:rsid w:val="005B1BA0"/>
    <w:rsid w:val="005B2E93"/>
    <w:rsid w:val="005B3DB3"/>
    <w:rsid w:val="005B79FB"/>
    <w:rsid w:val="005C1C69"/>
    <w:rsid w:val="005C3353"/>
    <w:rsid w:val="005C4E7F"/>
    <w:rsid w:val="005C6057"/>
    <w:rsid w:val="005C6A49"/>
    <w:rsid w:val="005C7089"/>
    <w:rsid w:val="005C75E6"/>
    <w:rsid w:val="005D0AE3"/>
    <w:rsid w:val="005D12D5"/>
    <w:rsid w:val="005D15CA"/>
    <w:rsid w:val="005D1845"/>
    <w:rsid w:val="005D3D10"/>
    <w:rsid w:val="005D53FE"/>
    <w:rsid w:val="005E18B3"/>
    <w:rsid w:val="005E25F8"/>
    <w:rsid w:val="005E2685"/>
    <w:rsid w:val="005E27D0"/>
    <w:rsid w:val="005E3F05"/>
    <w:rsid w:val="005E3F53"/>
    <w:rsid w:val="005E597E"/>
    <w:rsid w:val="005E7330"/>
    <w:rsid w:val="005F03C7"/>
    <w:rsid w:val="005F03DF"/>
    <w:rsid w:val="005F08DF"/>
    <w:rsid w:val="005F0FF9"/>
    <w:rsid w:val="005F1742"/>
    <w:rsid w:val="005F3066"/>
    <w:rsid w:val="005F3E61"/>
    <w:rsid w:val="005F4267"/>
    <w:rsid w:val="005F5AFC"/>
    <w:rsid w:val="005F7D8D"/>
    <w:rsid w:val="005F7F47"/>
    <w:rsid w:val="006007A2"/>
    <w:rsid w:val="00601931"/>
    <w:rsid w:val="00602500"/>
    <w:rsid w:val="006039A5"/>
    <w:rsid w:val="00604DDD"/>
    <w:rsid w:val="0060582D"/>
    <w:rsid w:val="0060610E"/>
    <w:rsid w:val="00607C2A"/>
    <w:rsid w:val="00610484"/>
    <w:rsid w:val="00610C9D"/>
    <w:rsid w:val="006114FC"/>
    <w:rsid w:val="006115CC"/>
    <w:rsid w:val="00611FC4"/>
    <w:rsid w:val="006124C1"/>
    <w:rsid w:val="006135D7"/>
    <w:rsid w:val="00613A50"/>
    <w:rsid w:val="00613D2D"/>
    <w:rsid w:val="00615EA2"/>
    <w:rsid w:val="00616367"/>
    <w:rsid w:val="006165F0"/>
    <w:rsid w:val="0061674E"/>
    <w:rsid w:val="006176FB"/>
    <w:rsid w:val="00620E9E"/>
    <w:rsid w:val="006213A9"/>
    <w:rsid w:val="00622862"/>
    <w:rsid w:val="00626213"/>
    <w:rsid w:val="00626D66"/>
    <w:rsid w:val="0062723F"/>
    <w:rsid w:val="00627B12"/>
    <w:rsid w:val="0063077D"/>
    <w:rsid w:val="00630FCB"/>
    <w:rsid w:val="006324A4"/>
    <w:rsid w:val="00633152"/>
    <w:rsid w:val="006336F6"/>
    <w:rsid w:val="006348D0"/>
    <w:rsid w:val="006355CC"/>
    <w:rsid w:val="00636BBC"/>
    <w:rsid w:val="00637D7C"/>
    <w:rsid w:val="00640A85"/>
    <w:rsid w:val="00640B26"/>
    <w:rsid w:val="00642289"/>
    <w:rsid w:val="006424A8"/>
    <w:rsid w:val="00642B76"/>
    <w:rsid w:val="00642DA6"/>
    <w:rsid w:val="00644F74"/>
    <w:rsid w:val="00646998"/>
    <w:rsid w:val="00646BD2"/>
    <w:rsid w:val="0065050B"/>
    <w:rsid w:val="00650537"/>
    <w:rsid w:val="00651D3F"/>
    <w:rsid w:val="0065286E"/>
    <w:rsid w:val="00652E30"/>
    <w:rsid w:val="006544E3"/>
    <w:rsid w:val="00654B28"/>
    <w:rsid w:val="006566A3"/>
    <w:rsid w:val="00657371"/>
    <w:rsid w:val="0065766B"/>
    <w:rsid w:val="00660273"/>
    <w:rsid w:val="00661331"/>
    <w:rsid w:val="00661D0D"/>
    <w:rsid w:val="006639FB"/>
    <w:rsid w:val="006642AC"/>
    <w:rsid w:val="006649CC"/>
    <w:rsid w:val="006662FD"/>
    <w:rsid w:val="0066653D"/>
    <w:rsid w:val="006665D2"/>
    <w:rsid w:val="00666AE5"/>
    <w:rsid w:val="00666DBC"/>
    <w:rsid w:val="00666F2D"/>
    <w:rsid w:val="00670025"/>
    <w:rsid w:val="006723CF"/>
    <w:rsid w:val="0067264D"/>
    <w:rsid w:val="006770B2"/>
    <w:rsid w:val="0067778D"/>
    <w:rsid w:val="00677CE5"/>
    <w:rsid w:val="006801A9"/>
    <w:rsid w:val="006805C2"/>
    <w:rsid w:val="00683597"/>
    <w:rsid w:val="00683C6F"/>
    <w:rsid w:val="00683DC6"/>
    <w:rsid w:val="00684DB2"/>
    <w:rsid w:val="00684F64"/>
    <w:rsid w:val="00685BB1"/>
    <w:rsid w:val="0068631A"/>
    <w:rsid w:val="00686572"/>
    <w:rsid w:val="00686A48"/>
    <w:rsid w:val="00686C7D"/>
    <w:rsid w:val="00687094"/>
    <w:rsid w:val="00693D88"/>
    <w:rsid w:val="006940E1"/>
    <w:rsid w:val="006945B7"/>
    <w:rsid w:val="00694C0E"/>
    <w:rsid w:val="00695708"/>
    <w:rsid w:val="00695FEE"/>
    <w:rsid w:val="006962D7"/>
    <w:rsid w:val="00696A01"/>
    <w:rsid w:val="00696B01"/>
    <w:rsid w:val="006970A7"/>
    <w:rsid w:val="006979F3"/>
    <w:rsid w:val="006A23D6"/>
    <w:rsid w:val="006A2439"/>
    <w:rsid w:val="006A3A42"/>
    <w:rsid w:val="006A3C72"/>
    <w:rsid w:val="006A3FB7"/>
    <w:rsid w:val="006A600E"/>
    <w:rsid w:val="006A7392"/>
    <w:rsid w:val="006B00E1"/>
    <w:rsid w:val="006B03A1"/>
    <w:rsid w:val="006B048F"/>
    <w:rsid w:val="006B08A8"/>
    <w:rsid w:val="006B2480"/>
    <w:rsid w:val="006B3B9A"/>
    <w:rsid w:val="006B4D69"/>
    <w:rsid w:val="006B4DD6"/>
    <w:rsid w:val="006B645E"/>
    <w:rsid w:val="006B658C"/>
    <w:rsid w:val="006B67D9"/>
    <w:rsid w:val="006B793E"/>
    <w:rsid w:val="006C134C"/>
    <w:rsid w:val="006C2E7D"/>
    <w:rsid w:val="006C36A7"/>
    <w:rsid w:val="006C3FA3"/>
    <w:rsid w:val="006C4BCD"/>
    <w:rsid w:val="006C5535"/>
    <w:rsid w:val="006C6D81"/>
    <w:rsid w:val="006C769D"/>
    <w:rsid w:val="006D039F"/>
    <w:rsid w:val="006D0589"/>
    <w:rsid w:val="006D05C2"/>
    <w:rsid w:val="006D1346"/>
    <w:rsid w:val="006D220E"/>
    <w:rsid w:val="006D44E3"/>
    <w:rsid w:val="006D4AB2"/>
    <w:rsid w:val="006D4EE6"/>
    <w:rsid w:val="006D58A4"/>
    <w:rsid w:val="006D6518"/>
    <w:rsid w:val="006D727F"/>
    <w:rsid w:val="006E16C9"/>
    <w:rsid w:val="006E20BD"/>
    <w:rsid w:val="006E34C8"/>
    <w:rsid w:val="006E4671"/>
    <w:rsid w:val="006E564B"/>
    <w:rsid w:val="006E7154"/>
    <w:rsid w:val="006F110F"/>
    <w:rsid w:val="006F26E4"/>
    <w:rsid w:val="006F32DF"/>
    <w:rsid w:val="006F3E50"/>
    <w:rsid w:val="006F5622"/>
    <w:rsid w:val="006F5ED5"/>
    <w:rsid w:val="006F6183"/>
    <w:rsid w:val="006F7DFA"/>
    <w:rsid w:val="007003CD"/>
    <w:rsid w:val="00700505"/>
    <w:rsid w:val="00701469"/>
    <w:rsid w:val="00701AF3"/>
    <w:rsid w:val="00702CB0"/>
    <w:rsid w:val="00704552"/>
    <w:rsid w:val="00704BFA"/>
    <w:rsid w:val="00706D1A"/>
    <w:rsid w:val="0070701E"/>
    <w:rsid w:val="00707408"/>
    <w:rsid w:val="0070779E"/>
    <w:rsid w:val="0070797E"/>
    <w:rsid w:val="00711C46"/>
    <w:rsid w:val="0071217E"/>
    <w:rsid w:val="0071578C"/>
    <w:rsid w:val="00717671"/>
    <w:rsid w:val="00720056"/>
    <w:rsid w:val="007200AF"/>
    <w:rsid w:val="00720FC1"/>
    <w:rsid w:val="00721080"/>
    <w:rsid w:val="007233DC"/>
    <w:rsid w:val="0072374A"/>
    <w:rsid w:val="00723B33"/>
    <w:rsid w:val="0072401A"/>
    <w:rsid w:val="00724609"/>
    <w:rsid w:val="007246CC"/>
    <w:rsid w:val="0072488C"/>
    <w:rsid w:val="00724E08"/>
    <w:rsid w:val="00725F32"/>
    <w:rsid w:val="0072632A"/>
    <w:rsid w:val="00726C9D"/>
    <w:rsid w:val="00727599"/>
    <w:rsid w:val="007277CE"/>
    <w:rsid w:val="00732C00"/>
    <w:rsid w:val="007335FD"/>
    <w:rsid w:val="0073396D"/>
    <w:rsid w:val="007349ED"/>
    <w:rsid w:val="00734DF4"/>
    <w:rsid w:val="007358E8"/>
    <w:rsid w:val="007365D5"/>
    <w:rsid w:val="00736ECE"/>
    <w:rsid w:val="007373DF"/>
    <w:rsid w:val="007411A9"/>
    <w:rsid w:val="0074280A"/>
    <w:rsid w:val="00742934"/>
    <w:rsid w:val="00743F74"/>
    <w:rsid w:val="007448B3"/>
    <w:rsid w:val="00744C84"/>
    <w:rsid w:val="0074533B"/>
    <w:rsid w:val="00746996"/>
    <w:rsid w:val="007478BA"/>
    <w:rsid w:val="00747D69"/>
    <w:rsid w:val="007501F1"/>
    <w:rsid w:val="007504C3"/>
    <w:rsid w:val="00750553"/>
    <w:rsid w:val="0075396E"/>
    <w:rsid w:val="00754543"/>
    <w:rsid w:val="00754C00"/>
    <w:rsid w:val="0075522E"/>
    <w:rsid w:val="00755B3A"/>
    <w:rsid w:val="00760033"/>
    <w:rsid w:val="00760761"/>
    <w:rsid w:val="00761123"/>
    <w:rsid w:val="00762FF9"/>
    <w:rsid w:val="00763010"/>
    <w:rsid w:val="00763582"/>
    <w:rsid w:val="00763B4A"/>
    <w:rsid w:val="007643BC"/>
    <w:rsid w:val="00765E28"/>
    <w:rsid w:val="00766AFC"/>
    <w:rsid w:val="0076749A"/>
    <w:rsid w:val="00767FA9"/>
    <w:rsid w:val="0077077C"/>
    <w:rsid w:val="007714B6"/>
    <w:rsid w:val="007726B1"/>
    <w:rsid w:val="00773A2A"/>
    <w:rsid w:val="00773B11"/>
    <w:rsid w:val="00774417"/>
    <w:rsid w:val="00774BBD"/>
    <w:rsid w:val="00776297"/>
    <w:rsid w:val="00776C92"/>
    <w:rsid w:val="00776F51"/>
    <w:rsid w:val="0077728D"/>
    <w:rsid w:val="00777D52"/>
    <w:rsid w:val="0078073F"/>
    <w:rsid w:val="00780BB1"/>
    <w:rsid w:val="00780BD0"/>
    <w:rsid w:val="00780C68"/>
    <w:rsid w:val="00781529"/>
    <w:rsid w:val="00782629"/>
    <w:rsid w:val="00782833"/>
    <w:rsid w:val="00784331"/>
    <w:rsid w:val="00784502"/>
    <w:rsid w:val="007858CF"/>
    <w:rsid w:val="00785EA9"/>
    <w:rsid w:val="00785F70"/>
    <w:rsid w:val="007865E7"/>
    <w:rsid w:val="007876CB"/>
    <w:rsid w:val="00787CAF"/>
    <w:rsid w:val="00787D46"/>
    <w:rsid w:val="00790631"/>
    <w:rsid w:val="00790B0F"/>
    <w:rsid w:val="00791402"/>
    <w:rsid w:val="00791787"/>
    <w:rsid w:val="007918F2"/>
    <w:rsid w:val="00791AE8"/>
    <w:rsid w:val="007923C3"/>
    <w:rsid w:val="00792B79"/>
    <w:rsid w:val="00792C7B"/>
    <w:rsid w:val="0079314E"/>
    <w:rsid w:val="00793B1A"/>
    <w:rsid w:val="00794ECC"/>
    <w:rsid w:val="0079532D"/>
    <w:rsid w:val="007959FE"/>
    <w:rsid w:val="007A031B"/>
    <w:rsid w:val="007A07C4"/>
    <w:rsid w:val="007A082A"/>
    <w:rsid w:val="007A0B37"/>
    <w:rsid w:val="007A0CF1"/>
    <w:rsid w:val="007A1AB2"/>
    <w:rsid w:val="007A2330"/>
    <w:rsid w:val="007A2B11"/>
    <w:rsid w:val="007A3714"/>
    <w:rsid w:val="007A3ABE"/>
    <w:rsid w:val="007A4DC8"/>
    <w:rsid w:val="007A54AD"/>
    <w:rsid w:val="007A6138"/>
    <w:rsid w:val="007B0115"/>
    <w:rsid w:val="007B18BD"/>
    <w:rsid w:val="007B1B7B"/>
    <w:rsid w:val="007B2DA6"/>
    <w:rsid w:val="007B3641"/>
    <w:rsid w:val="007B4EDF"/>
    <w:rsid w:val="007B5914"/>
    <w:rsid w:val="007B5CFB"/>
    <w:rsid w:val="007B6BA5"/>
    <w:rsid w:val="007B7492"/>
    <w:rsid w:val="007B7590"/>
    <w:rsid w:val="007B7757"/>
    <w:rsid w:val="007B7C97"/>
    <w:rsid w:val="007B7CC5"/>
    <w:rsid w:val="007B7F90"/>
    <w:rsid w:val="007C02EA"/>
    <w:rsid w:val="007C0D30"/>
    <w:rsid w:val="007C1419"/>
    <w:rsid w:val="007C26C4"/>
    <w:rsid w:val="007C3291"/>
    <w:rsid w:val="007C3390"/>
    <w:rsid w:val="007C3B45"/>
    <w:rsid w:val="007C42D8"/>
    <w:rsid w:val="007C4F4B"/>
    <w:rsid w:val="007C4F90"/>
    <w:rsid w:val="007C520F"/>
    <w:rsid w:val="007C5E75"/>
    <w:rsid w:val="007C65BB"/>
    <w:rsid w:val="007C6BF5"/>
    <w:rsid w:val="007C70F0"/>
    <w:rsid w:val="007C7B62"/>
    <w:rsid w:val="007C7F00"/>
    <w:rsid w:val="007D030E"/>
    <w:rsid w:val="007D4022"/>
    <w:rsid w:val="007D42E6"/>
    <w:rsid w:val="007D48F1"/>
    <w:rsid w:val="007D4FB2"/>
    <w:rsid w:val="007D7362"/>
    <w:rsid w:val="007D7BEE"/>
    <w:rsid w:val="007E21FD"/>
    <w:rsid w:val="007E2611"/>
    <w:rsid w:val="007E4B8B"/>
    <w:rsid w:val="007E539C"/>
    <w:rsid w:val="007E6070"/>
    <w:rsid w:val="007E6727"/>
    <w:rsid w:val="007E7233"/>
    <w:rsid w:val="007F1BEB"/>
    <w:rsid w:val="007F22AE"/>
    <w:rsid w:val="007F5977"/>
    <w:rsid w:val="007F5996"/>
    <w:rsid w:val="007F5B55"/>
    <w:rsid w:val="007F5CE2"/>
    <w:rsid w:val="007F6611"/>
    <w:rsid w:val="007F7411"/>
    <w:rsid w:val="008003A5"/>
    <w:rsid w:val="00800AB7"/>
    <w:rsid w:val="00800C32"/>
    <w:rsid w:val="00802CBB"/>
    <w:rsid w:val="00805485"/>
    <w:rsid w:val="00805C10"/>
    <w:rsid w:val="00810785"/>
    <w:rsid w:val="00810BAC"/>
    <w:rsid w:val="00810FDC"/>
    <w:rsid w:val="008120C7"/>
    <w:rsid w:val="008131C2"/>
    <w:rsid w:val="008175E9"/>
    <w:rsid w:val="00817844"/>
    <w:rsid w:val="008201BE"/>
    <w:rsid w:val="008201CB"/>
    <w:rsid w:val="008210CD"/>
    <w:rsid w:val="008242D7"/>
    <w:rsid w:val="00825045"/>
    <w:rsid w:val="0082536B"/>
    <w:rsid w:val="00825515"/>
    <w:rsid w:val="0082577B"/>
    <w:rsid w:val="00825E97"/>
    <w:rsid w:val="00825F14"/>
    <w:rsid w:val="00826672"/>
    <w:rsid w:val="0082689D"/>
    <w:rsid w:val="00827372"/>
    <w:rsid w:val="008305F5"/>
    <w:rsid w:val="008314EB"/>
    <w:rsid w:val="00831AEB"/>
    <w:rsid w:val="00833371"/>
    <w:rsid w:val="008346E0"/>
    <w:rsid w:val="00835140"/>
    <w:rsid w:val="0083648F"/>
    <w:rsid w:val="00840335"/>
    <w:rsid w:val="008420DB"/>
    <w:rsid w:val="00843572"/>
    <w:rsid w:val="00844889"/>
    <w:rsid w:val="008464F7"/>
    <w:rsid w:val="008473E4"/>
    <w:rsid w:val="00850B1D"/>
    <w:rsid w:val="00852246"/>
    <w:rsid w:val="00852FA0"/>
    <w:rsid w:val="00853568"/>
    <w:rsid w:val="00853905"/>
    <w:rsid w:val="008555CA"/>
    <w:rsid w:val="00855EF0"/>
    <w:rsid w:val="008560E0"/>
    <w:rsid w:val="00856B85"/>
    <w:rsid w:val="00860013"/>
    <w:rsid w:val="008621BB"/>
    <w:rsid w:val="008623AA"/>
    <w:rsid w:val="00862B34"/>
    <w:rsid w:val="00862D6E"/>
    <w:rsid w:val="008647B9"/>
    <w:rsid w:val="00865D52"/>
    <w:rsid w:val="00866389"/>
    <w:rsid w:val="00866893"/>
    <w:rsid w:val="00866A0D"/>
    <w:rsid w:val="00866F02"/>
    <w:rsid w:val="00867D18"/>
    <w:rsid w:val="00867E05"/>
    <w:rsid w:val="00870B3A"/>
    <w:rsid w:val="00870CBA"/>
    <w:rsid w:val="00871148"/>
    <w:rsid w:val="00871E21"/>
    <w:rsid w:val="00871E60"/>
    <w:rsid w:val="00871F9A"/>
    <w:rsid w:val="00871FD5"/>
    <w:rsid w:val="008733A0"/>
    <w:rsid w:val="008743D8"/>
    <w:rsid w:val="00874B0C"/>
    <w:rsid w:val="0087597E"/>
    <w:rsid w:val="008762B1"/>
    <w:rsid w:val="00880087"/>
    <w:rsid w:val="0088085C"/>
    <w:rsid w:val="0088172E"/>
    <w:rsid w:val="00881AC2"/>
    <w:rsid w:val="00881EFA"/>
    <w:rsid w:val="00884541"/>
    <w:rsid w:val="008860D3"/>
    <w:rsid w:val="008860EB"/>
    <w:rsid w:val="00887239"/>
    <w:rsid w:val="0088758D"/>
    <w:rsid w:val="008879CB"/>
    <w:rsid w:val="00890519"/>
    <w:rsid w:val="00890CA3"/>
    <w:rsid w:val="008910A9"/>
    <w:rsid w:val="00891E7C"/>
    <w:rsid w:val="00893814"/>
    <w:rsid w:val="00893D4E"/>
    <w:rsid w:val="008947A4"/>
    <w:rsid w:val="0089635E"/>
    <w:rsid w:val="00896E83"/>
    <w:rsid w:val="008977A9"/>
    <w:rsid w:val="008979B1"/>
    <w:rsid w:val="008A0FA1"/>
    <w:rsid w:val="008A217A"/>
    <w:rsid w:val="008A4889"/>
    <w:rsid w:val="008A6318"/>
    <w:rsid w:val="008A6829"/>
    <w:rsid w:val="008A6B25"/>
    <w:rsid w:val="008A6C4F"/>
    <w:rsid w:val="008B12CD"/>
    <w:rsid w:val="008B389E"/>
    <w:rsid w:val="008B3B54"/>
    <w:rsid w:val="008B5CF4"/>
    <w:rsid w:val="008C000C"/>
    <w:rsid w:val="008C29B7"/>
    <w:rsid w:val="008C55AD"/>
    <w:rsid w:val="008D045E"/>
    <w:rsid w:val="008D16D5"/>
    <w:rsid w:val="008D36AE"/>
    <w:rsid w:val="008D3716"/>
    <w:rsid w:val="008D3F25"/>
    <w:rsid w:val="008D3F98"/>
    <w:rsid w:val="008D44A4"/>
    <w:rsid w:val="008D4D82"/>
    <w:rsid w:val="008D6A73"/>
    <w:rsid w:val="008E0BB0"/>
    <w:rsid w:val="008E0E46"/>
    <w:rsid w:val="008E3173"/>
    <w:rsid w:val="008E5619"/>
    <w:rsid w:val="008E650E"/>
    <w:rsid w:val="008E7116"/>
    <w:rsid w:val="008E73A6"/>
    <w:rsid w:val="008E7DD8"/>
    <w:rsid w:val="008F004C"/>
    <w:rsid w:val="008F034F"/>
    <w:rsid w:val="008F1143"/>
    <w:rsid w:val="008F143B"/>
    <w:rsid w:val="008F151D"/>
    <w:rsid w:val="008F1896"/>
    <w:rsid w:val="008F205C"/>
    <w:rsid w:val="008F3882"/>
    <w:rsid w:val="008F3CF7"/>
    <w:rsid w:val="008F462F"/>
    <w:rsid w:val="008F4B7C"/>
    <w:rsid w:val="008F5EFD"/>
    <w:rsid w:val="008F69AB"/>
    <w:rsid w:val="009033C5"/>
    <w:rsid w:val="00903A9A"/>
    <w:rsid w:val="00906797"/>
    <w:rsid w:val="0090762C"/>
    <w:rsid w:val="009108DE"/>
    <w:rsid w:val="0091151A"/>
    <w:rsid w:val="00912BD0"/>
    <w:rsid w:val="00912C9B"/>
    <w:rsid w:val="00913A1D"/>
    <w:rsid w:val="0091418F"/>
    <w:rsid w:val="00914452"/>
    <w:rsid w:val="00915A06"/>
    <w:rsid w:val="00916B5B"/>
    <w:rsid w:val="00917E24"/>
    <w:rsid w:val="009229FE"/>
    <w:rsid w:val="00923069"/>
    <w:rsid w:val="0092313B"/>
    <w:rsid w:val="00923448"/>
    <w:rsid w:val="00923618"/>
    <w:rsid w:val="009248BA"/>
    <w:rsid w:val="009256BE"/>
    <w:rsid w:val="00925B6E"/>
    <w:rsid w:val="00926E47"/>
    <w:rsid w:val="00927038"/>
    <w:rsid w:val="009271D6"/>
    <w:rsid w:val="00931EFB"/>
    <w:rsid w:val="00932021"/>
    <w:rsid w:val="00932EB7"/>
    <w:rsid w:val="00937B65"/>
    <w:rsid w:val="0094059D"/>
    <w:rsid w:val="0094066D"/>
    <w:rsid w:val="00940E61"/>
    <w:rsid w:val="00941939"/>
    <w:rsid w:val="0094228B"/>
    <w:rsid w:val="00942C0F"/>
    <w:rsid w:val="0094388D"/>
    <w:rsid w:val="0094548B"/>
    <w:rsid w:val="009464AD"/>
    <w:rsid w:val="0094684F"/>
    <w:rsid w:val="00947162"/>
    <w:rsid w:val="009506FA"/>
    <w:rsid w:val="00950FEE"/>
    <w:rsid w:val="00952757"/>
    <w:rsid w:val="00953730"/>
    <w:rsid w:val="00953E6D"/>
    <w:rsid w:val="00954E13"/>
    <w:rsid w:val="0095618A"/>
    <w:rsid w:val="00956524"/>
    <w:rsid w:val="00956D9E"/>
    <w:rsid w:val="00957626"/>
    <w:rsid w:val="0096011E"/>
    <w:rsid w:val="009610D0"/>
    <w:rsid w:val="00961151"/>
    <w:rsid w:val="00961FE2"/>
    <w:rsid w:val="0096272D"/>
    <w:rsid w:val="00962F5C"/>
    <w:rsid w:val="0096375C"/>
    <w:rsid w:val="00964FC2"/>
    <w:rsid w:val="009662E6"/>
    <w:rsid w:val="00966A0B"/>
    <w:rsid w:val="00966AFD"/>
    <w:rsid w:val="00966F91"/>
    <w:rsid w:val="0097095E"/>
    <w:rsid w:val="009714F5"/>
    <w:rsid w:val="00973511"/>
    <w:rsid w:val="0097354A"/>
    <w:rsid w:val="00974156"/>
    <w:rsid w:val="009743D2"/>
    <w:rsid w:val="009749FF"/>
    <w:rsid w:val="00976AB5"/>
    <w:rsid w:val="00976B74"/>
    <w:rsid w:val="00977087"/>
    <w:rsid w:val="0097780D"/>
    <w:rsid w:val="00977CE8"/>
    <w:rsid w:val="00980063"/>
    <w:rsid w:val="009814AC"/>
    <w:rsid w:val="00981C71"/>
    <w:rsid w:val="00982148"/>
    <w:rsid w:val="0098219D"/>
    <w:rsid w:val="00983202"/>
    <w:rsid w:val="00983823"/>
    <w:rsid w:val="00983BC2"/>
    <w:rsid w:val="009841E4"/>
    <w:rsid w:val="009850C8"/>
    <w:rsid w:val="0098592B"/>
    <w:rsid w:val="00985FC4"/>
    <w:rsid w:val="00986ECB"/>
    <w:rsid w:val="00987472"/>
    <w:rsid w:val="009876BA"/>
    <w:rsid w:val="00987963"/>
    <w:rsid w:val="00990766"/>
    <w:rsid w:val="00990D5C"/>
    <w:rsid w:val="00991261"/>
    <w:rsid w:val="00991DEC"/>
    <w:rsid w:val="00991E7A"/>
    <w:rsid w:val="00991EDE"/>
    <w:rsid w:val="00992379"/>
    <w:rsid w:val="00993C1B"/>
    <w:rsid w:val="00993C4C"/>
    <w:rsid w:val="0099418F"/>
    <w:rsid w:val="009944B7"/>
    <w:rsid w:val="00994593"/>
    <w:rsid w:val="00994C0C"/>
    <w:rsid w:val="00995079"/>
    <w:rsid w:val="009964C4"/>
    <w:rsid w:val="00996B8F"/>
    <w:rsid w:val="009A2D05"/>
    <w:rsid w:val="009A3FAA"/>
    <w:rsid w:val="009A43B5"/>
    <w:rsid w:val="009A4CB8"/>
    <w:rsid w:val="009A6B48"/>
    <w:rsid w:val="009A6C85"/>
    <w:rsid w:val="009A6D17"/>
    <w:rsid w:val="009A7627"/>
    <w:rsid w:val="009A7B81"/>
    <w:rsid w:val="009A7F89"/>
    <w:rsid w:val="009B05E9"/>
    <w:rsid w:val="009B07AA"/>
    <w:rsid w:val="009B2BDB"/>
    <w:rsid w:val="009B3594"/>
    <w:rsid w:val="009B369C"/>
    <w:rsid w:val="009B3994"/>
    <w:rsid w:val="009B426C"/>
    <w:rsid w:val="009B434B"/>
    <w:rsid w:val="009B526B"/>
    <w:rsid w:val="009B5887"/>
    <w:rsid w:val="009B6D9D"/>
    <w:rsid w:val="009B7733"/>
    <w:rsid w:val="009B7DAF"/>
    <w:rsid w:val="009C0394"/>
    <w:rsid w:val="009C11B1"/>
    <w:rsid w:val="009C1D4A"/>
    <w:rsid w:val="009C27B1"/>
    <w:rsid w:val="009C2EDB"/>
    <w:rsid w:val="009C350F"/>
    <w:rsid w:val="009C4AEE"/>
    <w:rsid w:val="009C7080"/>
    <w:rsid w:val="009C70D7"/>
    <w:rsid w:val="009C7B8C"/>
    <w:rsid w:val="009D01C0"/>
    <w:rsid w:val="009D0D2E"/>
    <w:rsid w:val="009D1299"/>
    <w:rsid w:val="009D12D2"/>
    <w:rsid w:val="009D311D"/>
    <w:rsid w:val="009D5E9D"/>
    <w:rsid w:val="009D6A08"/>
    <w:rsid w:val="009E0A16"/>
    <w:rsid w:val="009E13A9"/>
    <w:rsid w:val="009E1781"/>
    <w:rsid w:val="009E1B06"/>
    <w:rsid w:val="009E3251"/>
    <w:rsid w:val="009E5A6B"/>
    <w:rsid w:val="009E6121"/>
    <w:rsid w:val="009E699B"/>
    <w:rsid w:val="009E6CB7"/>
    <w:rsid w:val="009E6E23"/>
    <w:rsid w:val="009E7970"/>
    <w:rsid w:val="009E7BB8"/>
    <w:rsid w:val="009F0E2E"/>
    <w:rsid w:val="009F2EAC"/>
    <w:rsid w:val="009F38C0"/>
    <w:rsid w:val="009F4678"/>
    <w:rsid w:val="009F49AD"/>
    <w:rsid w:val="009F530B"/>
    <w:rsid w:val="009F57E3"/>
    <w:rsid w:val="009F6B24"/>
    <w:rsid w:val="009F6F96"/>
    <w:rsid w:val="009F7D38"/>
    <w:rsid w:val="00A00216"/>
    <w:rsid w:val="00A03169"/>
    <w:rsid w:val="00A03831"/>
    <w:rsid w:val="00A060AE"/>
    <w:rsid w:val="00A06BDE"/>
    <w:rsid w:val="00A0748A"/>
    <w:rsid w:val="00A07BD8"/>
    <w:rsid w:val="00A102CE"/>
    <w:rsid w:val="00A10A42"/>
    <w:rsid w:val="00A10F4F"/>
    <w:rsid w:val="00A10FD1"/>
    <w:rsid w:val="00A11067"/>
    <w:rsid w:val="00A11A8C"/>
    <w:rsid w:val="00A127F0"/>
    <w:rsid w:val="00A13235"/>
    <w:rsid w:val="00A13627"/>
    <w:rsid w:val="00A149C3"/>
    <w:rsid w:val="00A15E24"/>
    <w:rsid w:val="00A16A0A"/>
    <w:rsid w:val="00A1704A"/>
    <w:rsid w:val="00A206C3"/>
    <w:rsid w:val="00A23376"/>
    <w:rsid w:val="00A2502D"/>
    <w:rsid w:val="00A25DF8"/>
    <w:rsid w:val="00A2663C"/>
    <w:rsid w:val="00A3001B"/>
    <w:rsid w:val="00A33219"/>
    <w:rsid w:val="00A33DFC"/>
    <w:rsid w:val="00A3726B"/>
    <w:rsid w:val="00A37D49"/>
    <w:rsid w:val="00A40051"/>
    <w:rsid w:val="00A40E39"/>
    <w:rsid w:val="00A40E98"/>
    <w:rsid w:val="00A4103B"/>
    <w:rsid w:val="00A41AE4"/>
    <w:rsid w:val="00A41D9C"/>
    <w:rsid w:val="00A425EB"/>
    <w:rsid w:val="00A427FD"/>
    <w:rsid w:val="00A4312F"/>
    <w:rsid w:val="00A43AEB"/>
    <w:rsid w:val="00A448BC"/>
    <w:rsid w:val="00A44CB2"/>
    <w:rsid w:val="00A45323"/>
    <w:rsid w:val="00A46370"/>
    <w:rsid w:val="00A46A51"/>
    <w:rsid w:val="00A47D6A"/>
    <w:rsid w:val="00A50447"/>
    <w:rsid w:val="00A50CAA"/>
    <w:rsid w:val="00A52237"/>
    <w:rsid w:val="00A5417A"/>
    <w:rsid w:val="00A541E8"/>
    <w:rsid w:val="00A54F2B"/>
    <w:rsid w:val="00A557C9"/>
    <w:rsid w:val="00A558CC"/>
    <w:rsid w:val="00A561B3"/>
    <w:rsid w:val="00A56962"/>
    <w:rsid w:val="00A579CD"/>
    <w:rsid w:val="00A604AF"/>
    <w:rsid w:val="00A60B46"/>
    <w:rsid w:val="00A61727"/>
    <w:rsid w:val="00A62E57"/>
    <w:rsid w:val="00A62FCB"/>
    <w:rsid w:val="00A632C2"/>
    <w:rsid w:val="00A63CF8"/>
    <w:rsid w:val="00A65FE9"/>
    <w:rsid w:val="00A66505"/>
    <w:rsid w:val="00A66792"/>
    <w:rsid w:val="00A72573"/>
    <w:rsid w:val="00A72695"/>
    <w:rsid w:val="00A72B2E"/>
    <w:rsid w:val="00A72F22"/>
    <w:rsid w:val="00A72FD2"/>
    <w:rsid w:val="00A732A5"/>
    <w:rsid w:val="00A733BC"/>
    <w:rsid w:val="00A73CC9"/>
    <w:rsid w:val="00A748A6"/>
    <w:rsid w:val="00A7498D"/>
    <w:rsid w:val="00A75493"/>
    <w:rsid w:val="00A76A69"/>
    <w:rsid w:val="00A76C3A"/>
    <w:rsid w:val="00A76C54"/>
    <w:rsid w:val="00A77F50"/>
    <w:rsid w:val="00A80180"/>
    <w:rsid w:val="00A80592"/>
    <w:rsid w:val="00A82531"/>
    <w:rsid w:val="00A862BC"/>
    <w:rsid w:val="00A865C2"/>
    <w:rsid w:val="00A86F74"/>
    <w:rsid w:val="00A87339"/>
    <w:rsid w:val="00A879A4"/>
    <w:rsid w:val="00A906F1"/>
    <w:rsid w:val="00A91A3C"/>
    <w:rsid w:val="00A92D97"/>
    <w:rsid w:val="00A93190"/>
    <w:rsid w:val="00A931CE"/>
    <w:rsid w:val="00A96EA1"/>
    <w:rsid w:val="00A97BE7"/>
    <w:rsid w:val="00A97CDA"/>
    <w:rsid w:val="00AA00D2"/>
    <w:rsid w:val="00AA0FF8"/>
    <w:rsid w:val="00AA202D"/>
    <w:rsid w:val="00AA21FC"/>
    <w:rsid w:val="00AA335F"/>
    <w:rsid w:val="00AA3CB3"/>
    <w:rsid w:val="00AA415B"/>
    <w:rsid w:val="00AA46F1"/>
    <w:rsid w:val="00AA74BA"/>
    <w:rsid w:val="00AB0D27"/>
    <w:rsid w:val="00AB244B"/>
    <w:rsid w:val="00AB382B"/>
    <w:rsid w:val="00AB50D2"/>
    <w:rsid w:val="00AB54F2"/>
    <w:rsid w:val="00AB5832"/>
    <w:rsid w:val="00AB6ADE"/>
    <w:rsid w:val="00AB6B04"/>
    <w:rsid w:val="00AC075C"/>
    <w:rsid w:val="00AC0F2C"/>
    <w:rsid w:val="00AC232A"/>
    <w:rsid w:val="00AC374A"/>
    <w:rsid w:val="00AC502A"/>
    <w:rsid w:val="00AC5211"/>
    <w:rsid w:val="00AC55C5"/>
    <w:rsid w:val="00AC62F5"/>
    <w:rsid w:val="00AC69DE"/>
    <w:rsid w:val="00AD0ACD"/>
    <w:rsid w:val="00AD176C"/>
    <w:rsid w:val="00AD1AEB"/>
    <w:rsid w:val="00AD2F0F"/>
    <w:rsid w:val="00AD3EAE"/>
    <w:rsid w:val="00AD76FA"/>
    <w:rsid w:val="00AE0C92"/>
    <w:rsid w:val="00AE1A16"/>
    <w:rsid w:val="00AE1F1F"/>
    <w:rsid w:val="00AE3124"/>
    <w:rsid w:val="00AE48CB"/>
    <w:rsid w:val="00AE51AA"/>
    <w:rsid w:val="00AF0938"/>
    <w:rsid w:val="00AF09B7"/>
    <w:rsid w:val="00AF1882"/>
    <w:rsid w:val="00AF36A8"/>
    <w:rsid w:val="00AF4C54"/>
    <w:rsid w:val="00AF58C1"/>
    <w:rsid w:val="00AF5CB5"/>
    <w:rsid w:val="00AF5CEF"/>
    <w:rsid w:val="00AF6053"/>
    <w:rsid w:val="00AF6839"/>
    <w:rsid w:val="00AF68C2"/>
    <w:rsid w:val="00AF6C61"/>
    <w:rsid w:val="00B00CAF"/>
    <w:rsid w:val="00B00DA2"/>
    <w:rsid w:val="00B01478"/>
    <w:rsid w:val="00B0229D"/>
    <w:rsid w:val="00B02494"/>
    <w:rsid w:val="00B028BF"/>
    <w:rsid w:val="00B02C32"/>
    <w:rsid w:val="00B045DB"/>
    <w:rsid w:val="00B04A3F"/>
    <w:rsid w:val="00B06643"/>
    <w:rsid w:val="00B10502"/>
    <w:rsid w:val="00B10BC6"/>
    <w:rsid w:val="00B115C1"/>
    <w:rsid w:val="00B11B0B"/>
    <w:rsid w:val="00B144C9"/>
    <w:rsid w:val="00B15055"/>
    <w:rsid w:val="00B153B9"/>
    <w:rsid w:val="00B17983"/>
    <w:rsid w:val="00B20551"/>
    <w:rsid w:val="00B21A00"/>
    <w:rsid w:val="00B233A1"/>
    <w:rsid w:val="00B23501"/>
    <w:rsid w:val="00B255C3"/>
    <w:rsid w:val="00B26BD2"/>
    <w:rsid w:val="00B27016"/>
    <w:rsid w:val="00B270D2"/>
    <w:rsid w:val="00B2774B"/>
    <w:rsid w:val="00B2794E"/>
    <w:rsid w:val="00B30179"/>
    <w:rsid w:val="00B31147"/>
    <w:rsid w:val="00B31384"/>
    <w:rsid w:val="00B31B72"/>
    <w:rsid w:val="00B31CC2"/>
    <w:rsid w:val="00B33FC7"/>
    <w:rsid w:val="00B34BC2"/>
    <w:rsid w:val="00B366C1"/>
    <w:rsid w:val="00B36B02"/>
    <w:rsid w:val="00B36F49"/>
    <w:rsid w:val="00B37896"/>
    <w:rsid w:val="00B37B15"/>
    <w:rsid w:val="00B4016A"/>
    <w:rsid w:val="00B4165A"/>
    <w:rsid w:val="00B44B29"/>
    <w:rsid w:val="00B44E5F"/>
    <w:rsid w:val="00B45C02"/>
    <w:rsid w:val="00B465CC"/>
    <w:rsid w:val="00B507F4"/>
    <w:rsid w:val="00B51061"/>
    <w:rsid w:val="00B51FCF"/>
    <w:rsid w:val="00B530CD"/>
    <w:rsid w:val="00B54000"/>
    <w:rsid w:val="00B55C72"/>
    <w:rsid w:val="00B577A2"/>
    <w:rsid w:val="00B6007F"/>
    <w:rsid w:val="00B6109C"/>
    <w:rsid w:val="00B62EFD"/>
    <w:rsid w:val="00B64328"/>
    <w:rsid w:val="00B65049"/>
    <w:rsid w:val="00B65CF6"/>
    <w:rsid w:val="00B66892"/>
    <w:rsid w:val="00B70B63"/>
    <w:rsid w:val="00B714AD"/>
    <w:rsid w:val="00B71509"/>
    <w:rsid w:val="00B71967"/>
    <w:rsid w:val="00B72188"/>
    <w:rsid w:val="00B72A1E"/>
    <w:rsid w:val="00B73399"/>
    <w:rsid w:val="00B736EF"/>
    <w:rsid w:val="00B73711"/>
    <w:rsid w:val="00B75363"/>
    <w:rsid w:val="00B76DE1"/>
    <w:rsid w:val="00B76E15"/>
    <w:rsid w:val="00B770BB"/>
    <w:rsid w:val="00B77DB2"/>
    <w:rsid w:val="00B8164F"/>
    <w:rsid w:val="00B81E12"/>
    <w:rsid w:val="00B84FA2"/>
    <w:rsid w:val="00B86D67"/>
    <w:rsid w:val="00B87C33"/>
    <w:rsid w:val="00B911A4"/>
    <w:rsid w:val="00B91284"/>
    <w:rsid w:val="00B92527"/>
    <w:rsid w:val="00B941A1"/>
    <w:rsid w:val="00B9615F"/>
    <w:rsid w:val="00B96BE5"/>
    <w:rsid w:val="00B97A5E"/>
    <w:rsid w:val="00B97C5E"/>
    <w:rsid w:val="00BA02B7"/>
    <w:rsid w:val="00BA03EB"/>
    <w:rsid w:val="00BA0936"/>
    <w:rsid w:val="00BA0FDD"/>
    <w:rsid w:val="00BA1BB7"/>
    <w:rsid w:val="00BA28BF"/>
    <w:rsid w:val="00BA339B"/>
    <w:rsid w:val="00BA3415"/>
    <w:rsid w:val="00BA3955"/>
    <w:rsid w:val="00BA54F7"/>
    <w:rsid w:val="00BA5FF4"/>
    <w:rsid w:val="00BA76AE"/>
    <w:rsid w:val="00BB069F"/>
    <w:rsid w:val="00BB11C3"/>
    <w:rsid w:val="00BB154B"/>
    <w:rsid w:val="00BB2936"/>
    <w:rsid w:val="00BB3B2B"/>
    <w:rsid w:val="00BB3C36"/>
    <w:rsid w:val="00BB40BD"/>
    <w:rsid w:val="00BB4637"/>
    <w:rsid w:val="00BB5B63"/>
    <w:rsid w:val="00BB7FE8"/>
    <w:rsid w:val="00BC043D"/>
    <w:rsid w:val="00BC0ACE"/>
    <w:rsid w:val="00BC1475"/>
    <w:rsid w:val="00BC1E7E"/>
    <w:rsid w:val="00BC315B"/>
    <w:rsid w:val="00BC414A"/>
    <w:rsid w:val="00BC4639"/>
    <w:rsid w:val="00BC519E"/>
    <w:rsid w:val="00BC524A"/>
    <w:rsid w:val="00BC5555"/>
    <w:rsid w:val="00BC58D6"/>
    <w:rsid w:val="00BC74E9"/>
    <w:rsid w:val="00BC7BEA"/>
    <w:rsid w:val="00BD19EC"/>
    <w:rsid w:val="00BD2D03"/>
    <w:rsid w:val="00BD5EEF"/>
    <w:rsid w:val="00BD6823"/>
    <w:rsid w:val="00BD68E9"/>
    <w:rsid w:val="00BD68F4"/>
    <w:rsid w:val="00BE0D7D"/>
    <w:rsid w:val="00BE2BF5"/>
    <w:rsid w:val="00BE2ED3"/>
    <w:rsid w:val="00BE356C"/>
    <w:rsid w:val="00BE36A9"/>
    <w:rsid w:val="00BE3733"/>
    <w:rsid w:val="00BE515E"/>
    <w:rsid w:val="00BE5627"/>
    <w:rsid w:val="00BE5896"/>
    <w:rsid w:val="00BE618E"/>
    <w:rsid w:val="00BE7BEC"/>
    <w:rsid w:val="00BF0A5A"/>
    <w:rsid w:val="00BF0E63"/>
    <w:rsid w:val="00BF12A3"/>
    <w:rsid w:val="00BF16D7"/>
    <w:rsid w:val="00BF2373"/>
    <w:rsid w:val="00BF3B49"/>
    <w:rsid w:val="00BF3F4F"/>
    <w:rsid w:val="00BF3F6B"/>
    <w:rsid w:val="00BF3F7E"/>
    <w:rsid w:val="00BF473C"/>
    <w:rsid w:val="00BF556A"/>
    <w:rsid w:val="00BF63C1"/>
    <w:rsid w:val="00BF7140"/>
    <w:rsid w:val="00BF7860"/>
    <w:rsid w:val="00BF79AA"/>
    <w:rsid w:val="00C01065"/>
    <w:rsid w:val="00C01D2F"/>
    <w:rsid w:val="00C01FA0"/>
    <w:rsid w:val="00C02198"/>
    <w:rsid w:val="00C024C1"/>
    <w:rsid w:val="00C03714"/>
    <w:rsid w:val="00C0382E"/>
    <w:rsid w:val="00C044E2"/>
    <w:rsid w:val="00C048CB"/>
    <w:rsid w:val="00C05A9D"/>
    <w:rsid w:val="00C060EF"/>
    <w:rsid w:val="00C066F3"/>
    <w:rsid w:val="00C06D98"/>
    <w:rsid w:val="00C07A2B"/>
    <w:rsid w:val="00C10E10"/>
    <w:rsid w:val="00C10F92"/>
    <w:rsid w:val="00C118C0"/>
    <w:rsid w:val="00C11B71"/>
    <w:rsid w:val="00C12424"/>
    <w:rsid w:val="00C12827"/>
    <w:rsid w:val="00C133F2"/>
    <w:rsid w:val="00C1377C"/>
    <w:rsid w:val="00C14079"/>
    <w:rsid w:val="00C14D98"/>
    <w:rsid w:val="00C14F4F"/>
    <w:rsid w:val="00C15C45"/>
    <w:rsid w:val="00C162E5"/>
    <w:rsid w:val="00C1782D"/>
    <w:rsid w:val="00C211EF"/>
    <w:rsid w:val="00C240AB"/>
    <w:rsid w:val="00C249B8"/>
    <w:rsid w:val="00C250B7"/>
    <w:rsid w:val="00C25C0F"/>
    <w:rsid w:val="00C27EFA"/>
    <w:rsid w:val="00C326CC"/>
    <w:rsid w:val="00C32B0C"/>
    <w:rsid w:val="00C32C4A"/>
    <w:rsid w:val="00C332FD"/>
    <w:rsid w:val="00C34254"/>
    <w:rsid w:val="00C34DEE"/>
    <w:rsid w:val="00C35F27"/>
    <w:rsid w:val="00C369A3"/>
    <w:rsid w:val="00C37064"/>
    <w:rsid w:val="00C40645"/>
    <w:rsid w:val="00C417C7"/>
    <w:rsid w:val="00C42317"/>
    <w:rsid w:val="00C4391E"/>
    <w:rsid w:val="00C44B82"/>
    <w:rsid w:val="00C4525C"/>
    <w:rsid w:val="00C45468"/>
    <w:rsid w:val="00C45499"/>
    <w:rsid w:val="00C45DD8"/>
    <w:rsid w:val="00C463DD"/>
    <w:rsid w:val="00C46B5A"/>
    <w:rsid w:val="00C4727E"/>
    <w:rsid w:val="00C505CF"/>
    <w:rsid w:val="00C512C6"/>
    <w:rsid w:val="00C524E4"/>
    <w:rsid w:val="00C53E03"/>
    <w:rsid w:val="00C54904"/>
    <w:rsid w:val="00C575A5"/>
    <w:rsid w:val="00C610D1"/>
    <w:rsid w:val="00C61709"/>
    <w:rsid w:val="00C62DBA"/>
    <w:rsid w:val="00C63539"/>
    <w:rsid w:val="00C63F48"/>
    <w:rsid w:val="00C64400"/>
    <w:rsid w:val="00C64A08"/>
    <w:rsid w:val="00C64CD9"/>
    <w:rsid w:val="00C65C34"/>
    <w:rsid w:val="00C6605B"/>
    <w:rsid w:val="00C66BAD"/>
    <w:rsid w:val="00C66D61"/>
    <w:rsid w:val="00C6776D"/>
    <w:rsid w:val="00C70028"/>
    <w:rsid w:val="00C70243"/>
    <w:rsid w:val="00C70A2A"/>
    <w:rsid w:val="00C72A2E"/>
    <w:rsid w:val="00C73191"/>
    <w:rsid w:val="00C739B1"/>
    <w:rsid w:val="00C745C3"/>
    <w:rsid w:val="00C750DF"/>
    <w:rsid w:val="00C8235B"/>
    <w:rsid w:val="00C829B5"/>
    <w:rsid w:val="00C836AE"/>
    <w:rsid w:val="00C836F6"/>
    <w:rsid w:val="00C84451"/>
    <w:rsid w:val="00C84833"/>
    <w:rsid w:val="00C84B46"/>
    <w:rsid w:val="00C8528F"/>
    <w:rsid w:val="00C859EC"/>
    <w:rsid w:val="00C859EF"/>
    <w:rsid w:val="00C86525"/>
    <w:rsid w:val="00C87B76"/>
    <w:rsid w:val="00C907F1"/>
    <w:rsid w:val="00C90F25"/>
    <w:rsid w:val="00C91959"/>
    <w:rsid w:val="00C921BF"/>
    <w:rsid w:val="00C932FA"/>
    <w:rsid w:val="00C93EE1"/>
    <w:rsid w:val="00C944CB"/>
    <w:rsid w:val="00C95162"/>
    <w:rsid w:val="00C955E2"/>
    <w:rsid w:val="00C95708"/>
    <w:rsid w:val="00C95F90"/>
    <w:rsid w:val="00C97045"/>
    <w:rsid w:val="00C978F5"/>
    <w:rsid w:val="00C97DEB"/>
    <w:rsid w:val="00CA0FA3"/>
    <w:rsid w:val="00CA248B"/>
    <w:rsid w:val="00CA24A4"/>
    <w:rsid w:val="00CA2CF5"/>
    <w:rsid w:val="00CA34C3"/>
    <w:rsid w:val="00CA3852"/>
    <w:rsid w:val="00CA43B8"/>
    <w:rsid w:val="00CA73DF"/>
    <w:rsid w:val="00CB0A9F"/>
    <w:rsid w:val="00CB348D"/>
    <w:rsid w:val="00CB3CDE"/>
    <w:rsid w:val="00CB74CF"/>
    <w:rsid w:val="00CC2B23"/>
    <w:rsid w:val="00CC306F"/>
    <w:rsid w:val="00CC4F13"/>
    <w:rsid w:val="00CC57ED"/>
    <w:rsid w:val="00CC5873"/>
    <w:rsid w:val="00CC62D4"/>
    <w:rsid w:val="00CC6355"/>
    <w:rsid w:val="00CC67F6"/>
    <w:rsid w:val="00CC6914"/>
    <w:rsid w:val="00CC6CF1"/>
    <w:rsid w:val="00CC74D5"/>
    <w:rsid w:val="00CD04C7"/>
    <w:rsid w:val="00CD28E3"/>
    <w:rsid w:val="00CD2D61"/>
    <w:rsid w:val="00CD3E29"/>
    <w:rsid w:val="00CD46F5"/>
    <w:rsid w:val="00CD5E8A"/>
    <w:rsid w:val="00CD67A6"/>
    <w:rsid w:val="00CD6AC7"/>
    <w:rsid w:val="00CD6FCF"/>
    <w:rsid w:val="00CD7080"/>
    <w:rsid w:val="00CE02B0"/>
    <w:rsid w:val="00CE2497"/>
    <w:rsid w:val="00CE3A5A"/>
    <w:rsid w:val="00CE4602"/>
    <w:rsid w:val="00CE4A8F"/>
    <w:rsid w:val="00CE65D2"/>
    <w:rsid w:val="00CE71B9"/>
    <w:rsid w:val="00CE77D4"/>
    <w:rsid w:val="00CF071D"/>
    <w:rsid w:val="00CF083B"/>
    <w:rsid w:val="00CF2770"/>
    <w:rsid w:val="00CF2856"/>
    <w:rsid w:val="00CF2F06"/>
    <w:rsid w:val="00CF49FC"/>
    <w:rsid w:val="00CF50B5"/>
    <w:rsid w:val="00CF557D"/>
    <w:rsid w:val="00CF64B0"/>
    <w:rsid w:val="00CF6998"/>
    <w:rsid w:val="00CF6CF1"/>
    <w:rsid w:val="00CF7DBA"/>
    <w:rsid w:val="00D000A0"/>
    <w:rsid w:val="00D00576"/>
    <w:rsid w:val="00D008C0"/>
    <w:rsid w:val="00D00FAF"/>
    <w:rsid w:val="00D0123D"/>
    <w:rsid w:val="00D0295A"/>
    <w:rsid w:val="00D0303A"/>
    <w:rsid w:val="00D03689"/>
    <w:rsid w:val="00D046BF"/>
    <w:rsid w:val="00D04841"/>
    <w:rsid w:val="00D04CD2"/>
    <w:rsid w:val="00D05718"/>
    <w:rsid w:val="00D05851"/>
    <w:rsid w:val="00D05C20"/>
    <w:rsid w:val="00D06DF6"/>
    <w:rsid w:val="00D10864"/>
    <w:rsid w:val="00D1236D"/>
    <w:rsid w:val="00D13BED"/>
    <w:rsid w:val="00D14A8D"/>
    <w:rsid w:val="00D15B04"/>
    <w:rsid w:val="00D15BCD"/>
    <w:rsid w:val="00D15D40"/>
    <w:rsid w:val="00D15F3B"/>
    <w:rsid w:val="00D2031B"/>
    <w:rsid w:val="00D20D1F"/>
    <w:rsid w:val="00D22B9A"/>
    <w:rsid w:val="00D23B50"/>
    <w:rsid w:val="00D24917"/>
    <w:rsid w:val="00D2500C"/>
    <w:rsid w:val="00D25FE2"/>
    <w:rsid w:val="00D27188"/>
    <w:rsid w:val="00D300DC"/>
    <w:rsid w:val="00D30637"/>
    <w:rsid w:val="00D30936"/>
    <w:rsid w:val="00D315CA"/>
    <w:rsid w:val="00D31DAF"/>
    <w:rsid w:val="00D321B1"/>
    <w:rsid w:val="00D33DB2"/>
    <w:rsid w:val="00D3409A"/>
    <w:rsid w:val="00D3410D"/>
    <w:rsid w:val="00D350E8"/>
    <w:rsid w:val="00D353D0"/>
    <w:rsid w:val="00D35718"/>
    <w:rsid w:val="00D3578B"/>
    <w:rsid w:val="00D3603E"/>
    <w:rsid w:val="00D3703B"/>
    <w:rsid w:val="00D3774F"/>
    <w:rsid w:val="00D37DA9"/>
    <w:rsid w:val="00D40287"/>
    <w:rsid w:val="00D406A7"/>
    <w:rsid w:val="00D40AFE"/>
    <w:rsid w:val="00D40F40"/>
    <w:rsid w:val="00D415C4"/>
    <w:rsid w:val="00D41FEC"/>
    <w:rsid w:val="00D4224C"/>
    <w:rsid w:val="00D427E2"/>
    <w:rsid w:val="00D42B8A"/>
    <w:rsid w:val="00D43252"/>
    <w:rsid w:val="00D43766"/>
    <w:rsid w:val="00D4447F"/>
    <w:rsid w:val="00D447E6"/>
    <w:rsid w:val="00D44D86"/>
    <w:rsid w:val="00D4577C"/>
    <w:rsid w:val="00D473FF"/>
    <w:rsid w:val="00D50217"/>
    <w:rsid w:val="00D50B7D"/>
    <w:rsid w:val="00D51B99"/>
    <w:rsid w:val="00D52012"/>
    <w:rsid w:val="00D532CB"/>
    <w:rsid w:val="00D538D5"/>
    <w:rsid w:val="00D53C3D"/>
    <w:rsid w:val="00D53E38"/>
    <w:rsid w:val="00D53FDE"/>
    <w:rsid w:val="00D543CC"/>
    <w:rsid w:val="00D54BAF"/>
    <w:rsid w:val="00D55168"/>
    <w:rsid w:val="00D553A3"/>
    <w:rsid w:val="00D573FB"/>
    <w:rsid w:val="00D5756F"/>
    <w:rsid w:val="00D57780"/>
    <w:rsid w:val="00D5790A"/>
    <w:rsid w:val="00D602CC"/>
    <w:rsid w:val="00D607E5"/>
    <w:rsid w:val="00D60B2A"/>
    <w:rsid w:val="00D60C6B"/>
    <w:rsid w:val="00D61CA6"/>
    <w:rsid w:val="00D62283"/>
    <w:rsid w:val="00D63BD7"/>
    <w:rsid w:val="00D647F7"/>
    <w:rsid w:val="00D6515F"/>
    <w:rsid w:val="00D65C50"/>
    <w:rsid w:val="00D65C5F"/>
    <w:rsid w:val="00D66C52"/>
    <w:rsid w:val="00D66D3F"/>
    <w:rsid w:val="00D67907"/>
    <w:rsid w:val="00D704E5"/>
    <w:rsid w:val="00D70677"/>
    <w:rsid w:val="00D70A6B"/>
    <w:rsid w:val="00D70D55"/>
    <w:rsid w:val="00D70FCD"/>
    <w:rsid w:val="00D7211E"/>
    <w:rsid w:val="00D72727"/>
    <w:rsid w:val="00D728EC"/>
    <w:rsid w:val="00D73C21"/>
    <w:rsid w:val="00D73E5D"/>
    <w:rsid w:val="00D73F5E"/>
    <w:rsid w:val="00D74515"/>
    <w:rsid w:val="00D75142"/>
    <w:rsid w:val="00D7551D"/>
    <w:rsid w:val="00D7602E"/>
    <w:rsid w:val="00D76232"/>
    <w:rsid w:val="00D76430"/>
    <w:rsid w:val="00D76806"/>
    <w:rsid w:val="00D77051"/>
    <w:rsid w:val="00D77BDA"/>
    <w:rsid w:val="00D808B2"/>
    <w:rsid w:val="00D81504"/>
    <w:rsid w:val="00D82CA2"/>
    <w:rsid w:val="00D82F59"/>
    <w:rsid w:val="00D832B7"/>
    <w:rsid w:val="00D83520"/>
    <w:rsid w:val="00D85251"/>
    <w:rsid w:val="00D852BE"/>
    <w:rsid w:val="00D86EAE"/>
    <w:rsid w:val="00D875CF"/>
    <w:rsid w:val="00D90069"/>
    <w:rsid w:val="00D910E7"/>
    <w:rsid w:val="00D91C7C"/>
    <w:rsid w:val="00D92706"/>
    <w:rsid w:val="00D92ECD"/>
    <w:rsid w:val="00D94484"/>
    <w:rsid w:val="00D94688"/>
    <w:rsid w:val="00D94CC3"/>
    <w:rsid w:val="00D94D5B"/>
    <w:rsid w:val="00D956DB"/>
    <w:rsid w:val="00D96050"/>
    <w:rsid w:val="00D968FD"/>
    <w:rsid w:val="00D96B8D"/>
    <w:rsid w:val="00D96CE0"/>
    <w:rsid w:val="00D97516"/>
    <w:rsid w:val="00D978C6"/>
    <w:rsid w:val="00D97B89"/>
    <w:rsid w:val="00DA0956"/>
    <w:rsid w:val="00DA1D9E"/>
    <w:rsid w:val="00DA1F2D"/>
    <w:rsid w:val="00DA2DDB"/>
    <w:rsid w:val="00DA2F65"/>
    <w:rsid w:val="00DA357F"/>
    <w:rsid w:val="00DA3E12"/>
    <w:rsid w:val="00DA58BB"/>
    <w:rsid w:val="00DA693F"/>
    <w:rsid w:val="00DA6EA6"/>
    <w:rsid w:val="00DA7068"/>
    <w:rsid w:val="00DA7966"/>
    <w:rsid w:val="00DB06C3"/>
    <w:rsid w:val="00DB12FD"/>
    <w:rsid w:val="00DB152C"/>
    <w:rsid w:val="00DB29A3"/>
    <w:rsid w:val="00DB359F"/>
    <w:rsid w:val="00DB3903"/>
    <w:rsid w:val="00DB44E5"/>
    <w:rsid w:val="00DB4A1A"/>
    <w:rsid w:val="00DB4D84"/>
    <w:rsid w:val="00DB4EFC"/>
    <w:rsid w:val="00DB5357"/>
    <w:rsid w:val="00DC18AD"/>
    <w:rsid w:val="00DC2A4E"/>
    <w:rsid w:val="00DC2B5C"/>
    <w:rsid w:val="00DC4E82"/>
    <w:rsid w:val="00DC5C9A"/>
    <w:rsid w:val="00DC6043"/>
    <w:rsid w:val="00DC610F"/>
    <w:rsid w:val="00DC633E"/>
    <w:rsid w:val="00DC72A2"/>
    <w:rsid w:val="00DC7916"/>
    <w:rsid w:val="00DC7E37"/>
    <w:rsid w:val="00DC7EB2"/>
    <w:rsid w:val="00DD17A5"/>
    <w:rsid w:val="00DD1DA8"/>
    <w:rsid w:val="00DD288C"/>
    <w:rsid w:val="00DD30A2"/>
    <w:rsid w:val="00DD45C5"/>
    <w:rsid w:val="00DD4EFE"/>
    <w:rsid w:val="00DD5CE3"/>
    <w:rsid w:val="00DD6EE2"/>
    <w:rsid w:val="00DD72CB"/>
    <w:rsid w:val="00DE0993"/>
    <w:rsid w:val="00DE0EDA"/>
    <w:rsid w:val="00DE12FB"/>
    <w:rsid w:val="00DE14EB"/>
    <w:rsid w:val="00DE1555"/>
    <w:rsid w:val="00DE228E"/>
    <w:rsid w:val="00DE2691"/>
    <w:rsid w:val="00DE2CEB"/>
    <w:rsid w:val="00DE4563"/>
    <w:rsid w:val="00DE5244"/>
    <w:rsid w:val="00DE5FA6"/>
    <w:rsid w:val="00DE75FC"/>
    <w:rsid w:val="00DE7FFA"/>
    <w:rsid w:val="00DF0C4B"/>
    <w:rsid w:val="00DF1C5F"/>
    <w:rsid w:val="00DF35F6"/>
    <w:rsid w:val="00DF3AF3"/>
    <w:rsid w:val="00DF3C79"/>
    <w:rsid w:val="00DF3F90"/>
    <w:rsid w:val="00DF4319"/>
    <w:rsid w:val="00DF452D"/>
    <w:rsid w:val="00DF56BF"/>
    <w:rsid w:val="00DF59E5"/>
    <w:rsid w:val="00DF5E23"/>
    <w:rsid w:val="00DF61AC"/>
    <w:rsid w:val="00DF637B"/>
    <w:rsid w:val="00DF649B"/>
    <w:rsid w:val="00DF6ABC"/>
    <w:rsid w:val="00DF7C65"/>
    <w:rsid w:val="00DF7CAE"/>
    <w:rsid w:val="00E01FE7"/>
    <w:rsid w:val="00E0239E"/>
    <w:rsid w:val="00E025AE"/>
    <w:rsid w:val="00E02896"/>
    <w:rsid w:val="00E0449E"/>
    <w:rsid w:val="00E04CBE"/>
    <w:rsid w:val="00E06F96"/>
    <w:rsid w:val="00E07C8D"/>
    <w:rsid w:val="00E1140A"/>
    <w:rsid w:val="00E1144F"/>
    <w:rsid w:val="00E12173"/>
    <w:rsid w:val="00E124B5"/>
    <w:rsid w:val="00E135C0"/>
    <w:rsid w:val="00E143DB"/>
    <w:rsid w:val="00E14AC4"/>
    <w:rsid w:val="00E14BE0"/>
    <w:rsid w:val="00E1686D"/>
    <w:rsid w:val="00E20360"/>
    <w:rsid w:val="00E204A3"/>
    <w:rsid w:val="00E2080A"/>
    <w:rsid w:val="00E20A2B"/>
    <w:rsid w:val="00E21C88"/>
    <w:rsid w:val="00E22CD2"/>
    <w:rsid w:val="00E23752"/>
    <w:rsid w:val="00E24EEF"/>
    <w:rsid w:val="00E2657A"/>
    <w:rsid w:val="00E27C18"/>
    <w:rsid w:val="00E27D54"/>
    <w:rsid w:val="00E301ED"/>
    <w:rsid w:val="00E31F2D"/>
    <w:rsid w:val="00E32744"/>
    <w:rsid w:val="00E35489"/>
    <w:rsid w:val="00E35936"/>
    <w:rsid w:val="00E361FC"/>
    <w:rsid w:val="00E37725"/>
    <w:rsid w:val="00E37B2E"/>
    <w:rsid w:val="00E37C14"/>
    <w:rsid w:val="00E423C0"/>
    <w:rsid w:val="00E428C2"/>
    <w:rsid w:val="00E43B97"/>
    <w:rsid w:val="00E443F9"/>
    <w:rsid w:val="00E44689"/>
    <w:rsid w:val="00E44994"/>
    <w:rsid w:val="00E46FAB"/>
    <w:rsid w:val="00E515F2"/>
    <w:rsid w:val="00E522D6"/>
    <w:rsid w:val="00E53E23"/>
    <w:rsid w:val="00E54F02"/>
    <w:rsid w:val="00E55598"/>
    <w:rsid w:val="00E557A0"/>
    <w:rsid w:val="00E56DDE"/>
    <w:rsid w:val="00E61683"/>
    <w:rsid w:val="00E6168C"/>
    <w:rsid w:val="00E61B60"/>
    <w:rsid w:val="00E61F86"/>
    <w:rsid w:val="00E6204B"/>
    <w:rsid w:val="00E6212A"/>
    <w:rsid w:val="00E62175"/>
    <w:rsid w:val="00E62763"/>
    <w:rsid w:val="00E62FF6"/>
    <w:rsid w:val="00E6414C"/>
    <w:rsid w:val="00E64D93"/>
    <w:rsid w:val="00E64DDB"/>
    <w:rsid w:val="00E64F66"/>
    <w:rsid w:val="00E6794D"/>
    <w:rsid w:val="00E67956"/>
    <w:rsid w:val="00E67978"/>
    <w:rsid w:val="00E70262"/>
    <w:rsid w:val="00E703CF"/>
    <w:rsid w:val="00E7260F"/>
    <w:rsid w:val="00E7328A"/>
    <w:rsid w:val="00E73E1B"/>
    <w:rsid w:val="00E7536E"/>
    <w:rsid w:val="00E7541A"/>
    <w:rsid w:val="00E7740F"/>
    <w:rsid w:val="00E8179F"/>
    <w:rsid w:val="00E81D2D"/>
    <w:rsid w:val="00E81E8C"/>
    <w:rsid w:val="00E83252"/>
    <w:rsid w:val="00E844C4"/>
    <w:rsid w:val="00E84594"/>
    <w:rsid w:val="00E856F7"/>
    <w:rsid w:val="00E86CED"/>
    <w:rsid w:val="00E8702D"/>
    <w:rsid w:val="00E87921"/>
    <w:rsid w:val="00E879D3"/>
    <w:rsid w:val="00E90579"/>
    <w:rsid w:val="00E905F4"/>
    <w:rsid w:val="00E90A25"/>
    <w:rsid w:val="00E916A9"/>
    <w:rsid w:val="00E916DE"/>
    <w:rsid w:val="00E925AD"/>
    <w:rsid w:val="00E926B5"/>
    <w:rsid w:val="00E96630"/>
    <w:rsid w:val="00E9683A"/>
    <w:rsid w:val="00E96DD6"/>
    <w:rsid w:val="00E977AC"/>
    <w:rsid w:val="00EA01B4"/>
    <w:rsid w:val="00EA1592"/>
    <w:rsid w:val="00EA2875"/>
    <w:rsid w:val="00EA3255"/>
    <w:rsid w:val="00EA437C"/>
    <w:rsid w:val="00EA4C9B"/>
    <w:rsid w:val="00EA524F"/>
    <w:rsid w:val="00EA56FD"/>
    <w:rsid w:val="00EA5EC2"/>
    <w:rsid w:val="00EA7322"/>
    <w:rsid w:val="00EB03F7"/>
    <w:rsid w:val="00EB23D8"/>
    <w:rsid w:val="00EB2649"/>
    <w:rsid w:val="00EB2BFD"/>
    <w:rsid w:val="00EB2C2B"/>
    <w:rsid w:val="00EB3245"/>
    <w:rsid w:val="00EB3707"/>
    <w:rsid w:val="00EB3A6F"/>
    <w:rsid w:val="00EB550F"/>
    <w:rsid w:val="00EB662D"/>
    <w:rsid w:val="00EB76A2"/>
    <w:rsid w:val="00EB7871"/>
    <w:rsid w:val="00EC0E20"/>
    <w:rsid w:val="00EC13CF"/>
    <w:rsid w:val="00EC16DA"/>
    <w:rsid w:val="00EC29AF"/>
    <w:rsid w:val="00EC43EB"/>
    <w:rsid w:val="00EC5A9A"/>
    <w:rsid w:val="00EC5C01"/>
    <w:rsid w:val="00EC764F"/>
    <w:rsid w:val="00ED0AB3"/>
    <w:rsid w:val="00ED0FD3"/>
    <w:rsid w:val="00ED1208"/>
    <w:rsid w:val="00ED18DC"/>
    <w:rsid w:val="00ED1DB5"/>
    <w:rsid w:val="00ED22A1"/>
    <w:rsid w:val="00ED238B"/>
    <w:rsid w:val="00ED367A"/>
    <w:rsid w:val="00ED5048"/>
    <w:rsid w:val="00ED5438"/>
    <w:rsid w:val="00ED5514"/>
    <w:rsid w:val="00ED6201"/>
    <w:rsid w:val="00ED6E34"/>
    <w:rsid w:val="00ED7A2A"/>
    <w:rsid w:val="00ED7B44"/>
    <w:rsid w:val="00ED7F27"/>
    <w:rsid w:val="00EE245D"/>
    <w:rsid w:val="00EE27FD"/>
    <w:rsid w:val="00EE320A"/>
    <w:rsid w:val="00EE325B"/>
    <w:rsid w:val="00EE5950"/>
    <w:rsid w:val="00EE602E"/>
    <w:rsid w:val="00EE79A3"/>
    <w:rsid w:val="00EF0CE9"/>
    <w:rsid w:val="00EF1D7F"/>
    <w:rsid w:val="00EF269E"/>
    <w:rsid w:val="00EF2EA6"/>
    <w:rsid w:val="00EF36E5"/>
    <w:rsid w:val="00EF53BB"/>
    <w:rsid w:val="00EF7A71"/>
    <w:rsid w:val="00EF7C62"/>
    <w:rsid w:val="00F006DA"/>
    <w:rsid w:val="00F0137E"/>
    <w:rsid w:val="00F03E7E"/>
    <w:rsid w:val="00F04977"/>
    <w:rsid w:val="00F05091"/>
    <w:rsid w:val="00F06C72"/>
    <w:rsid w:val="00F07CD8"/>
    <w:rsid w:val="00F10299"/>
    <w:rsid w:val="00F1092D"/>
    <w:rsid w:val="00F10F1F"/>
    <w:rsid w:val="00F11AFF"/>
    <w:rsid w:val="00F12C32"/>
    <w:rsid w:val="00F146E4"/>
    <w:rsid w:val="00F1498A"/>
    <w:rsid w:val="00F14C1B"/>
    <w:rsid w:val="00F15A4D"/>
    <w:rsid w:val="00F162E3"/>
    <w:rsid w:val="00F16F6A"/>
    <w:rsid w:val="00F2026A"/>
    <w:rsid w:val="00F204A2"/>
    <w:rsid w:val="00F2050A"/>
    <w:rsid w:val="00F2097B"/>
    <w:rsid w:val="00F21786"/>
    <w:rsid w:val="00F218E8"/>
    <w:rsid w:val="00F21FD8"/>
    <w:rsid w:val="00F22A63"/>
    <w:rsid w:val="00F23E8A"/>
    <w:rsid w:val="00F24397"/>
    <w:rsid w:val="00F246A7"/>
    <w:rsid w:val="00F25814"/>
    <w:rsid w:val="00F26145"/>
    <w:rsid w:val="00F27525"/>
    <w:rsid w:val="00F27DF2"/>
    <w:rsid w:val="00F308DE"/>
    <w:rsid w:val="00F30B48"/>
    <w:rsid w:val="00F32E53"/>
    <w:rsid w:val="00F32F0A"/>
    <w:rsid w:val="00F33C36"/>
    <w:rsid w:val="00F3742B"/>
    <w:rsid w:val="00F37DD3"/>
    <w:rsid w:val="00F41FDB"/>
    <w:rsid w:val="00F43D4F"/>
    <w:rsid w:val="00F457B1"/>
    <w:rsid w:val="00F46857"/>
    <w:rsid w:val="00F46DCB"/>
    <w:rsid w:val="00F471BD"/>
    <w:rsid w:val="00F5200E"/>
    <w:rsid w:val="00F52D51"/>
    <w:rsid w:val="00F53352"/>
    <w:rsid w:val="00F53841"/>
    <w:rsid w:val="00F53863"/>
    <w:rsid w:val="00F53A11"/>
    <w:rsid w:val="00F53A1D"/>
    <w:rsid w:val="00F54497"/>
    <w:rsid w:val="00F55231"/>
    <w:rsid w:val="00F55587"/>
    <w:rsid w:val="00F556E8"/>
    <w:rsid w:val="00F558D8"/>
    <w:rsid w:val="00F56D63"/>
    <w:rsid w:val="00F57446"/>
    <w:rsid w:val="00F609A9"/>
    <w:rsid w:val="00F614DC"/>
    <w:rsid w:val="00F614E8"/>
    <w:rsid w:val="00F61C27"/>
    <w:rsid w:val="00F61C6A"/>
    <w:rsid w:val="00F628F2"/>
    <w:rsid w:val="00F6365D"/>
    <w:rsid w:val="00F664BD"/>
    <w:rsid w:val="00F66C35"/>
    <w:rsid w:val="00F67413"/>
    <w:rsid w:val="00F67F46"/>
    <w:rsid w:val="00F717D6"/>
    <w:rsid w:val="00F72592"/>
    <w:rsid w:val="00F744F6"/>
    <w:rsid w:val="00F7678B"/>
    <w:rsid w:val="00F76D79"/>
    <w:rsid w:val="00F77F8D"/>
    <w:rsid w:val="00F80C99"/>
    <w:rsid w:val="00F81E78"/>
    <w:rsid w:val="00F82F82"/>
    <w:rsid w:val="00F8350E"/>
    <w:rsid w:val="00F8444F"/>
    <w:rsid w:val="00F853C4"/>
    <w:rsid w:val="00F8555F"/>
    <w:rsid w:val="00F85F1E"/>
    <w:rsid w:val="00F867EC"/>
    <w:rsid w:val="00F87807"/>
    <w:rsid w:val="00F87CE0"/>
    <w:rsid w:val="00F87E4B"/>
    <w:rsid w:val="00F9009D"/>
    <w:rsid w:val="00F90F46"/>
    <w:rsid w:val="00F90F4A"/>
    <w:rsid w:val="00F91216"/>
    <w:rsid w:val="00F9159C"/>
    <w:rsid w:val="00F91B2B"/>
    <w:rsid w:val="00F920CF"/>
    <w:rsid w:val="00F921D6"/>
    <w:rsid w:val="00F92924"/>
    <w:rsid w:val="00F9762A"/>
    <w:rsid w:val="00FA2318"/>
    <w:rsid w:val="00FA2344"/>
    <w:rsid w:val="00FA27C6"/>
    <w:rsid w:val="00FA5E5E"/>
    <w:rsid w:val="00FA5F38"/>
    <w:rsid w:val="00FA60BD"/>
    <w:rsid w:val="00FA6692"/>
    <w:rsid w:val="00FA6766"/>
    <w:rsid w:val="00FA7091"/>
    <w:rsid w:val="00FA7F0C"/>
    <w:rsid w:val="00FB06A3"/>
    <w:rsid w:val="00FB0711"/>
    <w:rsid w:val="00FB19C4"/>
    <w:rsid w:val="00FB1F18"/>
    <w:rsid w:val="00FB22B1"/>
    <w:rsid w:val="00FB2722"/>
    <w:rsid w:val="00FB3072"/>
    <w:rsid w:val="00FB59B6"/>
    <w:rsid w:val="00FB5CB1"/>
    <w:rsid w:val="00FB718F"/>
    <w:rsid w:val="00FC03CD"/>
    <w:rsid w:val="00FC0646"/>
    <w:rsid w:val="00FC11E9"/>
    <w:rsid w:val="00FC1FEC"/>
    <w:rsid w:val="00FC27E7"/>
    <w:rsid w:val="00FC2953"/>
    <w:rsid w:val="00FC2DE8"/>
    <w:rsid w:val="00FC55A7"/>
    <w:rsid w:val="00FC5FE6"/>
    <w:rsid w:val="00FC68B7"/>
    <w:rsid w:val="00FC7A19"/>
    <w:rsid w:val="00FD08F1"/>
    <w:rsid w:val="00FD1C3C"/>
    <w:rsid w:val="00FD207C"/>
    <w:rsid w:val="00FD28F2"/>
    <w:rsid w:val="00FD462C"/>
    <w:rsid w:val="00FD493A"/>
    <w:rsid w:val="00FD586D"/>
    <w:rsid w:val="00FD7B5F"/>
    <w:rsid w:val="00FE04E0"/>
    <w:rsid w:val="00FE062B"/>
    <w:rsid w:val="00FE1434"/>
    <w:rsid w:val="00FE1B26"/>
    <w:rsid w:val="00FE3432"/>
    <w:rsid w:val="00FE3C27"/>
    <w:rsid w:val="00FE449A"/>
    <w:rsid w:val="00FE4B43"/>
    <w:rsid w:val="00FE4D2D"/>
    <w:rsid w:val="00FE6985"/>
    <w:rsid w:val="00FE7D3A"/>
    <w:rsid w:val="00FE7E68"/>
    <w:rsid w:val="00FE7F90"/>
    <w:rsid w:val="00FF1D34"/>
    <w:rsid w:val="00FF3611"/>
    <w:rsid w:val="00FF5AFD"/>
    <w:rsid w:val="00FF5F39"/>
    <w:rsid w:val="00FF6167"/>
    <w:rsid w:val="00FF63E4"/>
    <w:rsid w:val="00FF694E"/>
    <w:rsid w:val="00FF74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D4A04F"/>
  <w15:docId w15:val="{6562EDC5-1DDB-4633-94F7-B8834EA1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FE1"/>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AF09B7"/>
    <w:rPr>
      <w:b/>
      <w:sz w:val="28"/>
      <w:lang w:val="en-GB"/>
    </w:rPr>
  </w:style>
  <w:style w:type="paragraph" w:styleId="CommentText">
    <w:name w:val="annotation text"/>
    <w:basedOn w:val="Normal"/>
    <w:link w:val="CommentTextChar"/>
    <w:rsid w:val="00AF09B7"/>
    <w:rPr>
      <w:lang w:eastAsia="en-US"/>
    </w:rPr>
  </w:style>
  <w:style w:type="character" w:customStyle="1" w:styleId="CommentTextChar">
    <w:name w:val="Comment Text Char"/>
    <w:basedOn w:val="DefaultParagraphFont"/>
    <w:link w:val="CommentText"/>
    <w:rsid w:val="00AF09B7"/>
    <w:rPr>
      <w:lang w:val="en-GB" w:eastAsia="en-US"/>
    </w:rPr>
  </w:style>
  <w:style w:type="paragraph" w:styleId="CommentSubject">
    <w:name w:val="annotation subject"/>
    <w:basedOn w:val="CommentText"/>
    <w:next w:val="CommentText"/>
    <w:link w:val="CommentSubjectChar"/>
    <w:rsid w:val="00AF09B7"/>
    <w:rPr>
      <w:b/>
      <w:bCs/>
    </w:rPr>
  </w:style>
  <w:style w:type="character" w:customStyle="1" w:styleId="CommentSubjectChar">
    <w:name w:val="Comment Subject Char"/>
    <w:basedOn w:val="CommentTextChar"/>
    <w:link w:val="CommentSubject"/>
    <w:rsid w:val="00AF09B7"/>
    <w:rPr>
      <w:b/>
      <w:bCs/>
      <w:lang w:val="en-GB" w:eastAsia="en-US"/>
    </w:rPr>
  </w:style>
  <w:style w:type="paragraph" w:styleId="PlainText">
    <w:name w:val="Plain Text"/>
    <w:basedOn w:val="Normal"/>
    <w:link w:val="PlainTextChar"/>
    <w:rsid w:val="00AF09B7"/>
    <w:rPr>
      <w:rFonts w:cs="Courier New"/>
      <w:lang w:eastAsia="en-US"/>
    </w:rPr>
  </w:style>
  <w:style w:type="character" w:customStyle="1" w:styleId="PlainTextChar">
    <w:name w:val="Plain Text Char"/>
    <w:basedOn w:val="DefaultParagraphFont"/>
    <w:link w:val="PlainText"/>
    <w:rsid w:val="00AF09B7"/>
    <w:rPr>
      <w:rFonts w:cs="Courier New"/>
      <w:lang w:val="en-GB" w:eastAsia="en-US"/>
    </w:rPr>
  </w:style>
  <w:style w:type="paragraph" w:styleId="BodyText">
    <w:name w:val="Body Text"/>
    <w:basedOn w:val="Normal"/>
    <w:next w:val="Normal"/>
    <w:link w:val="BodyTextChar"/>
    <w:rsid w:val="00AF09B7"/>
    <w:rPr>
      <w:lang w:eastAsia="en-US"/>
    </w:rPr>
  </w:style>
  <w:style w:type="character" w:customStyle="1" w:styleId="BodyTextChar">
    <w:name w:val="Body Text Char"/>
    <w:basedOn w:val="DefaultParagraphFont"/>
    <w:link w:val="BodyText"/>
    <w:rsid w:val="00AF09B7"/>
    <w:rPr>
      <w:lang w:val="en-GB" w:eastAsia="en-US"/>
    </w:rPr>
  </w:style>
  <w:style w:type="paragraph" w:styleId="BodyTextIndent">
    <w:name w:val="Body Text Indent"/>
    <w:basedOn w:val="Normal"/>
    <w:link w:val="BodyTextIndentChar"/>
    <w:rsid w:val="00AF09B7"/>
    <w:pPr>
      <w:spacing w:after="120"/>
      <w:ind w:left="283"/>
    </w:pPr>
    <w:rPr>
      <w:lang w:eastAsia="en-US"/>
    </w:rPr>
  </w:style>
  <w:style w:type="character" w:customStyle="1" w:styleId="BodyTextIndentChar">
    <w:name w:val="Body Text Indent Char"/>
    <w:basedOn w:val="DefaultParagraphFont"/>
    <w:link w:val="BodyTextIndent"/>
    <w:rsid w:val="00AF09B7"/>
    <w:rPr>
      <w:lang w:val="en-GB" w:eastAsia="en-US"/>
    </w:rPr>
  </w:style>
  <w:style w:type="paragraph" w:styleId="BlockText">
    <w:name w:val="Block Text"/>
    <w:basedOn w:val="Normal"/>
    <w:rsid w:val="00AF09B7"/>
    <w:pPr>
      <w:ind w:left="1440" w:right="1440"/>
    </w:pPr>
    <w:rPr>
      <w:lang w:eastAsia="en-US"/>
    </w:rPr>
  </w:style>
  <w:style w:type="character" w:styleId="CommentReference">
    <w:name w:val="annotation reference"/>
    <w:rsid w:val="00AF09B7"/>
    <w:rPr>
      <w:sz w:val="6"/>
    </w:rPr>
  </w:style>
  <w:style w:type="character" w:styleId="LineNumber">
    <w:name w:val="line number"/>
    <w:rsid w:val="00AF09B7"/>
    <w:rPr>
      <w:sz w:val="14"/>
    </w:rPr>
  </w:style>
  <w:style w:type="numbering" w:styleId="111111">
    <w:name w:val="Outline List 2"/>
    <w:basedOn w:val="NoList"/>
    <w:rsid w:val="00AF09B7"/>
  </w:style>
  <w:style w:type="numbering" w:styleId="1ai">
    <w:name w:val="Outline List 1"/>
    <w:basedOn w:val="NoList"/>
    <w:rsid w:val="00AF09B7"/>
  </w:style>
  <w:style w:type="numbering" w:styleId="ArticleSection">
    <w:name w:val="Outline List 3"/>
    <w:basedOn w:val="NoList"/>
    <w:rsid w:val="00AF09B7"/>
  </w:style>
  <w:style w:type="paragraph" w:styleId="BodyText2">
    <w:name w:val="Body Text 2"/>
    <w:basedOn w:val="Normal"/>
    <w:link w:val="BodyText2Char"/>
    <w:rsid w:val="00AF09B7"/>
    <w:pPr>
      <w:spacing w:after="120" w:line="480" w:lineRule="auto"/>
    </w:pPr>
    <w:rPr>
      <w:lang w:eastAsia="en-US"/>
    </w:rPr>
  </w:style>
  <w:style w:type="character" w:customStyle="1" w:styleId="BodyText2Char">
    <w:name w:val="Body Text 2 Char"/>
    <w:basedOn w:val="DefaultParagraphFont"/>
    <w:link w:val="BodyText2"/>
    <w:rsid w:val="00AF09B7"/>
    <w:rPr>
      <w:lang w:val="en-GB" w:eastAsia="en-US"/>
    </w:rPr>
  </w:style>
  <w:style w:type="paragraph" w:styleId="BodyText3">
    <w:name w:val="Body Text 3"/>
    <w:basedOn w:val="Normal"/>
    <w:link w:val="BodyText3Char"/>
    <w:rsid w:val="00AF09B7"/>
    <w:pPr>
      <w:spacing w:after="120"/>
    </w:pPr>
    <w:rPr>
      <w:sz w:val="16"/>
      <w:szCs w:val="16"/>
      <w:lang w:eastAsia="en-US"/>
    </w:rPr>
  </w:style>
  <w:style w:type="character" w:customStyle="1" w:styleId="BodyText3Char">
    <w:name w:val="Body Text 3 Char"/>
    <w:basedOn w:val="DefaultParagraphFont"/>
    <w:link w:val="BodyText3"/>
    <w:rsid w:val="00AF09B7"/>
    <w:rPr>
      <w:sz w:val="16"/>
      <w:szCs w:val="16"/>
      <w:lang w:val="en-GB" w:eastAsia="en-US"/>
    </w:rPr>
  </w:style>
  <w:style w:type="paragraph" w:styleId="BodyTextFirstIndent">
    <w:name w:val="Body Text First Indent"/>
    <w:basedOn w:val="BodyText"/>
    <w:link w:val="BodyTextFirstIndentChar"/>
    <w:rsid w:val="00AF09B7"/>
    <w:pPr>
      <w:spacing w:after="120"/>
      <w:ind w:firstLine="210"/>
    </w:pPr>
  </w:style>
  <w:style w:type="character" w:customStyle="1" w:styleId="BodyTextFirstIndentChar">
    <w:name w:val="Body Text First Indent Char"/>
    <w:basedOn w:val="BodyTextChar"/>
    <w:link w:val="BodyTextFirstIndent"/>
    <w:rsid w:val="00AF09B7"/>
    <w:rPr>
      <w:lang w:val="en-GB" w:eastAsia="en-US"/>
    </w:rPr>
  </w:style>
  <w:style w:type="paragraph" w:styleId="BodyTextFirstIndent2">
    <w:name w:val="Body Text First Indent 2"/>
    <w:basedOn w:val="BodyTextIndent"/>
    <w:link w:val="BodyTextFirstIndent2Char"/>
    <w:rsid w:val="00AF09B7"/>
    <w:pPr>
      <w:ind w:firstLine="210"/>
    </w:pPr>
  </w:style>
  <w:style w:type="character" w:customStyle="1" w:styleId="BodyTextFirstIndent2Char">
    <w:name w:val="Body Text First Indent 2 Char"/>
    <w:basedOn w:val="BodyTextIndentChar"/>
    <w:link w:val="BodyTextFirstIndent2"/>
    <w:rsid w:val="00AF09B7"/>
    <w:rPr>
      <w:lang w:val="en-GB" w:eastAsia="en-US"/>
    </w:rPr>
  </w:style>
  <w:style w:type="paragraph" w:styleId="BodyTextIndent2">
    <w:name w:val="Body Text Indent 2"/>
    <w:basedOn w:val="Normal"/>
    <w:link w:val="BodyTextIndent2Char"/>
    <w:rsid w:val="00AF09B7"/>
    <w:pPr>
      <w:spacing w:after="120" w:line="480" w:lineRule="auto"/>
      <w:ind w:left="283"/>
    </w:pPr>
    <w:rPr>
      <w:lang w:eastAsia="en-US"/>
    </w:rPr>
  </w:style>
  <w:style w:type="character" w:customStyle="1" w:styleId="BodyTextIndent2Char">
    <w:name w:val="Body Text Indent 2 Char"/>
    <w:basedOn w:val="DefaultParagraphFont"/>
    <w:link w:val="BodyTextIndent2"/>
    <w:rsid w:val="00AF09B7"/>
    <w:rPr>
      <w:lang w:val="en-GB" w:eastAsia="en-US"/>
    </w:rPr>
  </w:style>
  <w:style w:type="paragraph" w:styleId="BodyTextIndent3">
    <w:name w:val="Body Text Indent 3"/>
    <w:basedOn w:val="Normal"/>
    <w:link w:val="BodyTextIndent3Char"/>
    <w:rsid w:val="00AF09B7"/>
    <w:pPr>
      <w:spacing w:after="120"/>
      <w:ind w:left="283"/>
    </w:pPr>
    <w:rPr>
      <w:sz w:val="16"/>
      <w:szCs w:val="16"/>
      <w:lang w:eastAsia="en-US"/>
    </w:rPr>
  </w:style>
  <w:style w:type="character" w:customStyle="1" w:styleId="BodyTextIndent3Char">
    <w:name w:val="Body Text Indent 3 Char"/>
    <w:basedOn w:val="DefaultParagraphFont"/>
    <w:link w:val="BodyTextIndent3"/>
    <w:rsid w:val="00AF09B7"/>
    <w:rPr>
      <w:sz w:val="16"/>
      <w:szCs w:val="16"/>
      <w:lang w:val="en-GB" w:eastAsia="en-US"/>
    </w:rPr>
  </w:style>
  <w:style w:type="paragraph" w:styleId="Closing">
    <w:name w:val="Closing"/>
    <w:basedOn w:val="Normal"/>
    <w:link w:val="ClosingChar"/>
    <w:rsid w:val="00AF09B7"/>
    <w:pPr>
      <w:ind w:left="4252"/>
    </w:pPr>
    <w:rPr>
      <w:lang w:eastAsia="en-US"/>
    </w:rPr>
  </w:style>
  <w:style w:type="character" w:customStyle="1" w:styleId="ClosingChar">
    <w:name w:val="Closing Char"/>
    <w:basedOn w:val="DefaultParagraphFont"/>
    <w:link w:val="Closing"/>
    <w:rsid w:val="00AF09B7"/>
    <w:rPr>
      <w:lang w:val="en-GB" w:eastAsia="en-US"/>
    </w:rPr>
  </w:style>
  <w:style w:type="paragraph" w:styleId="Date">
    <w:name w:val="Date"/>
    <w:basedOn w:val="Normal"/>
    <w:next w:val="Normal"/>
    <w:link w:val="DateChar"/>
    <w:rsid w:val="00AF09B7"/>
    <w:rPr>
      <w:lang w:eastAsia="en-US"/>
    </w:rPr>
  </w:style>
  <w:style w:type="character" w:customStyle="1" w:styleId="DateChar">
    <w:name w:val="Date Char"/>
    <w:basedOn w:val="DefaultParagraphFont"/>
    <w:link w:val="Date"/>
    <w:rsid w:val="00AF09B7"/>
    <w:rPr>
      <w:lang w:val="en-GB" w:eastAsia="en-US"/>
    </w:rPr>
  </w:style>
  <w:style w:type="paragraph" w:styleId="E-mailSignature">
    <w:name w:val="E-mail Signature"/>
    <w:basedOn w:val="Normal"/>
    <w:link w:val="E-mailSignatureChar"/>
    <w:rsid w:val="00AF09B7"/>
    <w:rPr>
      <w:lang w:eastAsia="en-US"/>
    </w:rPr>
  </w:style>
  <w:style w:type="character" w:customStyle="1" w:styleId="E-mailSignatureChar">
    <w:name w:val="E-mail Signature Char"/>
    <w:basedOn w:val="DefaultParagraphFont"/>
    <w:link w:val="E-mailSignature"/>
    <w:rsid w:val="00AF09B7"/>
    <w:rPr>
      <w:lang w:val="en-GB" w:eastAsia="en-US"/>
    </w:rPr>
  </w:style>
  <w:style w:type="character" w:styleId="Emphasis">
    <w:name w:val="Emphasis"/>
    <w:qFormat/>
    <w:rsid w:val="00AF09B7"/>
    <w:rPr>
      <w:i/>
      <w:iCs/>
    </w:rPr>
  </w:style>
  <w:style w:type="paragraph" w:styleId="EnvelopeReturn">
    <w:name w:val="envelope return"/>
    <w:basedOn w:val="Normal"/>
    <w:rsid w:val="00AF09B7"/>
    <w:rPr>
      <w:rFonts w:ascii="Arial" w:hAnsi="Arial" w:cs="Arial"/>
      <w:lang w:eastAsia="en-US"/>
    </w:rPr>
  </w:style>
  <w:style w:type="character" w:styleId="HTMLAcronym">
    <w:name w:val="HTML Acronym"/>
    <w:basedOn w:val="DefaultParagraphFont"/>
    <w:rsid w:val="00AF09B7"/>
  </w:style>
  <w:style w:type="paragraph" w:styleId="HTMLAddress">
    <w:name w:val="HTML Address"/>
    <w:basedOn w:val="Normal"/>
    <w:link w:val="HTMLAddressChar"/>
    <w:rsid w:val="00AF09B7"/>
    <w:rPr>
      <w:i/>
      <w:iCs/>
      <w:lang w:eastAsia="en-US"/>
    </w:rPr>
  </w:style>
  <w:style w:type="character" w:customStyle="1" w:styleId="HTMLAddressChar">
    <w:name w:val="HTML Address Char"/>
    <w:basedOn w:val="DefaultParagraphFont"/>
    <w:link w:val="HTMLAddress"/>
    <w:rsid w:val="00AF09B7"/>
    <w:rPr>
      <w:i/>
      <w:iCs/>
      <w:lang w:val="en-GB" w:eastAsia="en-US"/>
    </w:rPr>
  </w:style>
  <w:style w:type="character" w:styleId="HTMLCite">
    <w:name w:val="HTML Cite"/>
    <w:rsid w:val="00AF09B7"/>
    <w:rPr>
      <w:i/>
      <w:iCs/>
    </w:rPr>
  </w:style>
  <w:style w:type="character" w:styleId="HTMLCode">
    <w:name w:val="HTML Code"/>
    <w:rsid w:val="00AF09B7"/>
    <w:rPr>
      <w:rFonts w:ascii="Courier New" w:hAnsi="Courier New" w:cs="Courier New"/>
      <w:sz w:val="20"/>
      <w:szCs w:val="20"/>
    </w:rPr>
  </w:style>
  <w:style w:type="character" w:styleId="HTMLDefinition">
    <w:name w:val="HTML Definition"/>
    <w:rsid w:val="00AF09B7"/>
    <w:rPr>
      <w:i/>
      <w:iCs/>
    </w:rPr>
  </w:style>
  <w:style w:type="character" w:styleId="HTMLKeyboard">
    <w:name w:val="HTML Keyboard"/>
    <w:rsid w:val="00AF09B7"/>
    <w:rPr>
      <w:rFonts w:ascii="Courier New" w:hAnsi="Courier New" w:cs="Courier New"/>
      <w:sz w:val="20"/>
      <w:szCs w:val="20"/>
    </w:rPr>
  </w:style>
  <w:style w:type="paragraph" w:styleId="HTMLPreformatted">
    <w:name w:val="HTML Preformatted"/>
    <w:basedOn w:val="Normal"/>
    <w:link w:val="HTMLPreformattedChar"/>
    <w:rsid w:val="00AF09B7"/>
    <w:rPr>
      <w:rFonts w:ascii="Courier New" w:hAnsi="Courier New" w:cs="Courier New"/>
      <w:lang w:eastAsia="en-US"/>
    </w:rPr>
  </w:style>
  <w:style w:type="character" w:customStyle="1" w:styleId="HTMLPreformattedChar">
    <w:name w:val="HTML Preformatted Char"/>
    <w:basedOn w:val="DefaultParagraphFont"/>
    <w:link w:val="HTMLPreformatted"/>
    <w:rsid w:val="00AF09B7"/>
    <w:rPr>
      <w:rFonts w:ascii="Courier New" w:hAnsi="Courier New" w:cs="Courier New"/>
      <w:lang w:val="en-GB" w:eastAsia="en-US"/>
    </w:rPr>
  </w:style>
  <w:style w:type="character" w:styleId="HTMLSample">
    <w:name w:val="HTML Sample"/>
    <w:rsid w:val="00AF09B7"/>
    <w:rPr>
      <w:rFonts w:ascii="Courier New" w:hAnsi="Courier New" w:cs="Courier New"/>
    </w:rPr>
  </w:style>
  <w:style w:type="character" w:styleId="HTMLTypewriter">
    <w:name w:val="HTML Typewriter"/>
    <w:rsid w:val="00AF09B7"/>
    <w:rPr>
      <w:rFonts w:ascii="Courier New" w:hAnsi="Courier New" w:cs="Courier New"/>
      <w:sz w:val="20"/>
      <w:szCs w:val="20"/>
    </w:rPr>
  </w:style>
  <w:style w:type="character" w:styleId="HTMLVariable">
    <w:name w:val="HTML Variable"/>
    <w:rsid w:val="00AF09B7"/>
    <w:rPr>
      <w:i/>
      <w:iCs/>
    </w:rPr>
  </w:style>
  <w:style w:type="paragraph" w:styleId="List">
    <w:name w:val="List"/>
    <w:basedOn w:val="Normal"/>
    <w:rsid w:val="00AF09B7"/>
    <w:pPr>
      <w:ind w:left="283" w:hanging="283"/>
    </w:pPr>
    <w:rPr>
      <w:lang w:eastAsia="en-US"/>
    </w:rPr>
  </w:style>
  <w:style w:type="paragraph" w:styleId="List2">
    <w:name w:val="List 2"/>
    <w:basedOn w:val="Normal"/>
    <w:rsid w:val="00AF09B7"/>
    <w:pPr>
      <w:ind w:left="566" w:hanging="283"/>
    </w:pPr>
    <w:rPr>
      <w:lang w:eastAsia="en-US"/>
    </w:rPr>
  </w:style>
  <w:style w:type="paragraph" w:styleId="List3">
    <w:name w:val="List 3"/>
    <w:basedOn w:val="Normal"/>
    <w:rsid w:val="00AF09B7"/>
    <w:pPr>
      <w:ind w:left="849" w:hanging="283"/>
    </w:pPr>
    <w:rPr>
      <w:lang w:eastAsia="en-US"/>
    </w:rPr>
  </w:style>
  <w:style w:type="paragraph" w:styleId="List4">
    <w:name w:val="List 4"/>
    <w:basedOn w:val="Normal"/>
    <w:rsid w:val="00AF09B7"/>
    <w:pPr>
      <w:ind w:left="1132" w:hanging="283"/>
    </w:pPr>
    <w:rPr>
      <w:lang w:eastAsia="en-US"/>
    </w:rPr>
  </w:style>
  <w:style w:type="paragraph" w:styleId="List5">
    <w:name w:val="List 5"/>
    <w:basedOn w:val="Normal"/>
    <w:rsid w:val="00AF09B7"/>
    <w:pPr>
      <w:ind w:left="1415" w:hanging="283"/>
    </w:pPr>
    <w:rPr>
      <w:lang w:eastAsia="en-US"/>
    </w:rPr>
  </w:style>
  <w:style w:type="paragraph" w:styleId="ListBullet">
    <w:name w:val="List Bullet"/>
    <w:basedOn w:val="Normal"/>
    <w:rsid w:val="00AF09B7"/>
    <w:pPr>
      <w:tabs>
        <w:tab w:val="num" w:pos="360"/>
      </w:tabs>
      <w:ind w:left="360" w:hanging="360"/>
    </w:pPr>
    <w:rPr>
      <w:lang w:eastAsia="en-US"/>
    </w:rPr>
  </w:style>
  <w:style w:type="paragraph" w:styleId="ListBullet2">
    <w:name w:val="List Bullet 2"/>
    <w:basedOn w:val="Normal"/>
    <w:rsid w:val="00AF09B7"/>
    <w:pPr>
      <w:tabs>
        <w:tab w:val="num" w:pos="643"/>
      </w:tabs>
      <w:ind w:left="643" w:hanging="360"/>
    </w:pPr>
    <w:rPr>
      <w:lang w:eastAsia="en-US"/>
    </w:rPr>
  </w:style>
  <w:style w:type="paragraph" w:styleId="ListBullet3">
    <w:name w:val="List Bullet 3"/>
    <w:basedOn w:val="Normal"/>
    <w:rsid w:val="00AF09B7"/>
    <w:pPr>
      <w:tabs>
        <w:tab w:val="num" w:pos="926"/>
      </w:tabs>
      <w:ind w:left="926" w:hanging="360"/>
    </w:pPr>
    <w:rPr>
      <w:lang w:eastAsia="en-US"/>
    </w:rPr>
  </w:style>
  <w:style w:type="paragraph" w:styleId="ListBullet4">
    <w:name w:val="List Bullet 4"/>
    <w:basedOn w:val="Normal"/>
    <w:rsid w:val="00AF09B7"/>
    <w:pPr>
      <w:tabs>
        <w:tab w:val="num" w:pos="1209"/>
      </w:tabs>
      <w:ind w:left="1209" w:hanging="360"/>
    </w:pPr>
    <w:rPr>
      <w:lang w:eastAsia="en-US"/>
    </w:rPr>
  </w:style>
  <w:style w:type="paragraph" w:styleId="ListBullet5">
    <w:name w:val="List Bullet 5"/>
    <w:basedOn w:val="Normal"/>
    <w:rsid w:val="00AF09B7"/>
    <w:pPr>
      <w:tabs>
        <w:tab w:val="num" w:pos="1492"/>
      </w:tabs>
      <w:ind w:left="1492" w:hanging="360"/>
    </w:pPr>
    <w:rPr>
      <w:lang w:eastAsia="en-US"/>
    </w:rPr>
  </w:style>
  <w:style w:type="paragraph" w:styleId="ListContinue">
    <w:name w:val="List Continue"/>
    <w:basedOn w:val="Normal"/>
    <w:rsid w:val="00AF09B7"/>
    <w:pPr>
      <w:spacing w:after="120"/>
      <w:ind w:left="283"/>
    </w:pPr>
    <w:rPr>
      <w:lang w:eastAsia="en-US"/>
    </w:rPr>
  </w:style>
  <w:style w:type="paragraph" w:styleId="ListContinue2">
    <w:name w:val="List Continue 2"/>
    <w:basedOn w:val="Normal"/>
    <w:rsid w:val="00AF09B7"/>
    <w:pPr>
      <w:spacing w:after="120"/>
      <w:ind w:left="566"/>
    </w:pPr>
    <w:rPr>
      <w:lang w:eastAsia="en-US"/>
    </w:rPr>
  </w:style>
  <w:style w:type="paragraph" w:styleId="ListContinue3">
    <w:name w:val="List Continue 3"/>
    <w:basedOn w:val="Normal"/>
    <w:rsid w:val="00AF09B7"/>
    <w:pPr>
      <w:spacing w:after="120"/>
      <w:ind w:left="849"/>
    </w:pPr>
    <w:rPr>
      <w:lang w:eastAsia="en-US"/>
    </w:rPr>
  </w:style>
  <w:style w:type="paragraph" w:styleId="ListContinue4">
    <w:name w:val="List Continue 4"/>
    <w:basedOn w:val="Normal"/>
    <w:rsid w:val="00AF09B7"/>
    <w:pPr>
      <w:spacing w:after="120"/>
      <w:ind w:left="1132"/>
    </w:pPr>
    <w:rPr>
      <w:lang w:eastAsia="en-US"/>
    </w:rPr>
  </w:style>
  <w:style w:type="paragraph" w:styleId="ListContinue5">
    <w:name w:val="List Continue 5"/>
    <w:basedOn w:val="Normal"/>
    <w:rsid w:val="00AF09B7"/>
    <w:pPr>
      <w:spacing w:after="120"/>
      <w:ind w:left="1415"/>
    </w:pPr>
    <w:rPr>
      <w:lang w:eastAsia="en-US"/>
    </w:rPr>
  </w:style>
  <w:style w:type="paragraph" w:styleId="ListNumber">
    <w:name w:val="List Number"/>
    <w:basedOn w:val="Normal"/>
    <w:rsid w:val="00AF09B7"/>
    <w:pPr>
      <w:tabs>
        <w:tab w:val="num" w:pos="360"/>
      </w:tabs>
      <w:ind w:left="360" w:hanging="360"/>
    </w:pPr>
    <w:rPr>
      <w:lang w:eastAsia="en-US"/>
    </w:rPr>
  </w:style>
  <w:style w:type="paragraph" w:styleId="ListNumber2">
    <w:name w:val="List Number 2"/>
    <w:basedOn w:val="Normal"/>
    <w:rsid w:val="00AF09B7"/>
    <w:pPr>
      <w:tabs>
        <w:tab w:val="num" w:pos="643"/>
      </w:tabs>
      <w:ind w:left="643" w:hanging="360"/>
    </w:pPr>
    <w:rPr>
      <w:lang w:eastAsia="en-US"/>
    </w:rPr>
  </w:style>
  <w:style w:type="paragraph" w:styleId="ListNumber3">
    <w:name w:val="List Number 3"/>
    <w:basedOn w:val="Normal"/>
    <w:rsid w:val="00AF09B7"/>
    <w:pPr>
      <w:tabs>
        <w:tab w:val="num" w:pos="926"/>
      </w:tabs>
      <w:ind w:left="926" w:hanging="360"/>
    </w:pPr>
    <w:rPr>
      <w:lang w:eastAsia="en-US"/>
    </w:rPr>
  </w:style>
  <w:style w:type="paragraph" w:styleId="ListNumber4">
    <w:name w:val="List Number 4"/>
    <w:basedOn w:val="Normal"/>
    <w:rsid w:val="00AF09B7"/>
    <w:pPr>
      <w:tabs>
        <w:tab w:val="num" w:pos="1209"/>
      </w:tabs>
      <w:ind w:left="1209" w:hanging="360"/>
    </w:pPr>
    <w:rPr>
      <w:lang w:eastAsia="en-US"/>
    </w:rPr>
  </w:style>
  <w:style w:type="paragraph" w:styleId="ListNumber5">
    <w:name w:val="List Number 5"/>
    <w:basedOn w:val="Normal"/>
    <w:rsid w:val="00AF09B7"/>
    <w:pPr>
      <w:tabs>
        <w:tab w:val="num" w:pos="1492"/>
      </w:tabs>
      <w:ind w:left="1492" w:hanging="360"/>
    </w:pPr>
    <w:rPr>
      <w:lang w:eastAsia="en-US"/>
    </w:rPr>
  </w:style>
  <w:style w:type="paragraph" w:styleId="MessageHeader">
    <w:name w:val="Message Header"/>
    <w:basedOn w:val="Normal"/>
    <w:link w:val="MessageHeaderChar"/>
    <w:rsid w:val="00AF09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AF09B7"/>
    <w:rPr>
      <w:rFonts w:ascii="Arial" w:hAnsi="Arial" w:cs="Arial"/>
      <w:sz w:val="24"/>
      <w:szCs w:val="24"/>
      <w:shd w:val="pct20" w:color="auto" w:fill="auto"/>
      <w:lang w:val="en-GB" w:eastAsia="en-US"/>
    </w:rPr>
  </w:style>
  <w:style w:type="paragraph" w:styleId="NormalWeb">
    <w:name w:val="Normal (Web)"/>
    <w:basedOn w:val="Normal"/>
    <w:uiPriority w:val="99"/>
    <w:rsid w:val="00AF09B7"/>
    <w:rPr>
      <w:sz w:val="24"/>
      <w:szCs w:val="24"/>
      <w:lang w:eastAsia="en-US"/>
    </w:rPr>
  </w:style>
  <w:style w:type="paragraph" w:styleId="NormalIndent">
    <w:name w:val="Normal Indent"/>
    <w:basedOn w:val="Normal"/>
    <w:rsid w:val="00AF09B7"/>
    <w:pPr>
      <w:ind w:left="567"/>
    </w:pPr>
    <w:rPr>
      <w:lang w:eastAsia="en-US"/>
    </w:rPr>
  </w:style>
  <w:style w:type="paragraph" w:styleId="NoteHeading">
    <w:name w:val="Note Heading"/>
    <w:basedOn w:val="Normal"/>
    <w:next w:val="Normal"/>
    <w:link w:val="NoteHeadingChar"/>
    <w:rsid w:val="00AF09B7"/>
    <w:rPr>
      <w:lang w:eastAsia="en-US"/>
    </w:rPr>
  </w:style>
  <w:style w:type="character" w:customStyle="1" w:styleId="NoteHeadingChar">
    <w:name w:val="Note Heading Char"/>
    <w:basedOn w:val="DefaultParagraphFont"/>
    <w:link w:val="NoteHeading"/>
    <w:rsid w:val="00AF09B7"/>
    <w:rPr>
      <w:lang w:val="en-GB" w:eastAsia="en-US"/>
    </w:rPr>
  </w:style>
  <w:style w:type="paragraph" w:styleId="Salutation">
    <w:name w:val="Salutation"/>
    <w:basedOn w:val="Normal"/>
    <w:next w:val="Normal"/>
    <w:link w:val="SalutationChar"/>
    <w:rsid w:val="00AF09B7"/>
    <w:rPr>
      <w:lang w:eastAsia="en-US"/>
    </w:rPr>
  </w:style>
  <w:style w:type="character" w:customStyle="1" w:styleId="SalutationChar">
    <w:name w:val="Salutation Char"/>
    <w:basedOn w:val="DefaultParagraphFont"/>
    <w:link w:val="Salutation"/>
    <w:rsid w:val="00AF09B7"/>
    <w:rPr>
      <w:lang w:val="en-GB" w:eastAsia="en-US"/>
    </w:rPr>
  </w:style>
  <w:style w:type="paragraph" w:styleId="Signature">
    <w:name w:val="Signature"/>
    <w:basedOn w:val="Normal"/>
    <w:link w:val="SignatureChar"/>
    <w:rsid w:val="00AF09B7"/>
    <w:pPr>
      <w:ind w:left="4252"/>
    </w:pPr>
    <w:rPr>
      <w:lang w:eastAsia="en-US"/>
    </w:rPr>
  </w:style>
  <w:style w:type="character" w:customStyle="1" w:styleId="SignatureChar">
    <w:name w:val="Signature Char"/>
    <w:basedOn w:val="DefaultParagraphFont"/>
    <w:link w:val="Signature"/>
    <w:rsid w:val="00AF09B7"/>
    <w:rPr>
      <w:lang w:val="en-GB" w:eastAsia="en-US"/>
    </w:rPr>
  </w:style>
  <w:style w:type="character" w:styleId="Strong">
    <w:name w:val="Strong"/>
    <w:qFormat/>
    <w:rsid w:val="00AF09B7"/>
    <w:rPr>
      <w:b/>
      <w:bCs/>
    </w:rPr>
  </w:style>
  <w:style w:type="paragraph" w:styleId="Subtitle">
    <w:name w:val="Subtitle"/>
    <w:basedOn w:val="Normal"/>
    <w:link w:val="SubtitleChar"/>
    <w:qFormat/>
    <w:rsid w:val="00AF09B7"/>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AF09B7"/>
    <w:rPr>
      <w:rFonts w:ascii="Arial" w:hAnsi="Arial" w:cs="Arial"/>
      <w:sz w:val="24"/>
      <w:szCs w:val="24"/>
      <w:lang w:val="en-GB" w:eastAsia="en-US"/>
    </w:rPr>
  </w:style>
  <w:style w:type="table" w:styleId="Table3Deffects1">
    <w:name w:val="Table 3D effects 1"/>
    <w:basedOn w:val="TableNormal"/>
    <w:rsid w:val="00AF09B7"/>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F09B7"/>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F09B7"/>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09B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F09B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F09B7"/>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F09B7"/>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F09B7"/>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F09B7"/>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F09B7"/>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F09B7"/>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F09B7"/>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F09B7"/>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F09B7"/>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F09B7"/>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F09B7"/>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F09B7"/>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F09B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F09B7"/>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F09B7"/>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F09B7"/>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F09B7"/>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F09B7"/>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F09B7"/>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F09B7"/>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F09B7"/>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F09B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F09B7"/>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F09B7"/>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F09B7"/>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F09B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F09B7"/>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F09B7"/>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F09B7"/>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9B7"/>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9B7"/>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F09B7"/>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F09B7"/>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F09B7"/>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F09B7"/>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AF09B7"/>
    <w:rPr>
      <w:rFonts w:ascii="Arial" w:hAnsi="Arial" w:cs="Arial"/>
      <w:b/>
      <w:bCs/>
      <w:kern w:val="28"/>
      <w:sz w:val="32"/>
      <w:szCs w:val="32"/>
      <w:lang w:val="en-GB" w:eastAsia="en-US"/>
    </w:rPr>
  </w:style>
  <w:style w:type="paragraph" w:styleId="EnvelopeAddress">
    <w:name w:val="envelope address"/>
    <w:basedOn w:val="Normal"/>
    <w:rsid w:val="00AF09B7"/>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AF09B7"/>
    <w:rPr>
      <w:b/>
      <w:sz w:val="24"/>
      <w:lang w:val="en-GB"/>
    </w:rPr>
  </w:style>
  <w:style w:type="character" w:customStyle="1" w:styleId="SingleTxtGChar">
    <w:name w:val="_ Single Txt_G Char"/>
    <w:link w:val="SingleTxtG"/>
    <w:rsid w:val="00AF09B7"/>
    <w:rPr>
      <w:lang w:val="en-GB"/>
    </w:rPr>
  </w:style>
  <w:style w:type="paragraph" w:customStyle="1" w:styleId="ListParagraph1">
    <w:name w:val="List Paragraph1"/>
    <w:aliases w:val="Heading Number"/>
    <w:basedOn w:val="Normal"/>
    <w:link w:val="ListParagraphChar"/>
    <w:uiPriority w:val="34"/>
    <w:qFormat/>
    <w:rsid w:val="00AF09B7"/>
    <w:pPr>
      <w:suppressAutoHyphens w:val="0"/>
      <w:spacing w:line="240" w:lineRule="auto"/>
      <w:ind w:left="720"/>
    </w:pPr>
    <w:rPr>
      <w:sz w:val="24"/>
      <w:szCs w:val="24"/>
      <w:lang w:eastAsia="en-GB"/>
    </w:rPr>
  </w:style>
  <w:style w:type="character" w:customStyle="1" w:styleId="ListParagraphChar">
    <w:name w:val="List Paragraph Char"/>
    <w:aliases w:val="Heading Number Char"/>
    <w:link w:val="ListParagraph1"/>
    <w:uiPriority w:val="34"/>
    <w:rsid w:val="00AF09B7"/>
    <w:rPr>
      <w:sz w:val="24"/>
      <w:szCs w:val="24"/>
      <w:lang w:val="en-GB" w:eastAsia="en-GB"/>
    </w:rPr>
  </w:style>
  <w:style w:type="character" w:customStyle="1" w:styleId="FootnoteTextChar">
    <w:name w:val="Footnote Text Char"/>
    <w:aliases w:val="5_G Char"/>
    <w:link w:val="FootnoteText"/>
    <w:rsid w:val="00AF09B7"/>
    <w:rPr>
      <w:sz w:val="18"/>
      <w:lang w:val="en-GB"/>
    </w:rPr>
  </w:style>
  <w:style w:type="character" w:customStyle="1" w:styleId="Heading1Char">
    <w:name w:val="Heading 1 Char"/>
    <w:aliases w:val="Table_G Char"/>
    <w:link w:val="Heading1"/>
    <w:rsid w:val="00AF09B7"/>
    <w:rPr>
      <w:lang w:val="en-GB"/>
    </w:rPr>
  </w:style>
  <w:style w:type="character" w:customStyle="1" w:styleId="Heading2Char">
    <w:name w:val="Heading 2 Char"/>
    <w:link w:val="Heading2"/>
    <w:rsid w:val="00AF09B7"/>
    <w:rPr>
      <w:lang w:val="en-GB"/>
    </w:rPr>
  </w:style>
  <w:style w:type="character" w:customStyle="1" w:styleId="Heading3Char">
    <w:name w:val="Heading 3 Char"/>
    <w:link w:val="Heading3"/>
    <w:rsid w:val="00AF09B7"/>
    <w:rPr>
      <w:lang w:val="en-GB"/>
    </w:rPr>
  </w:style>
  <w:style w:type="character" w:customStyle="1" w:styleId="Heading4Char">
    <w:name w:val="Heading 4 Char"/>
    <w:link w:val="Heading4"/>
    <w:rsid w:val="00AF09B7"/>
    <w:rPr>
      <w:lang w:val="en-GB"/>
    </w:rPr>
  </w:style>
  <w:style w:type="character" w:customStyle="1" w:styleId="Heading5Char">
    <w:name w:val="Heading 5 Char"/>
    <w:link w:val="Heading5"/>
    <w:rsid w:val="00AF09B7"/>
    <w:rPr>
      <w:lang w:val="en-GB"/>
    </w:rPr>
  </w:style>
  <w:style w:type="character" w:customStyle="1" w:styleId="Heading6Char">
    <w:name w:val="Heading 6 Char"/>
    <w:link w:val="Heading6"/>
    <w:rsid w:val="00AF09B7"/>
    <w:rPr>
      <w:lang w:val="en-GB"/>
    </w:rPr>
  </w:style>
  <w:style w:type="character" w:customStyle="1" w:styleId="Heading7Char">
    <w:name w:val="Heading 7 Char"/>
    <w:link w:val="Heading7"/>
    <w:rsid w:val="00AF09B7"/>
    <w:rPr>
      <w:lang w:val="en-GB"/>
    </w:rPr>
  </w:style>
  <w:style w:type="character" w:customStyle="1" w:styleId="Heading8Char">
    <w:name w:val="Heading 8 Char"/>
    <w:link w:val="Heading8"/>
    <w:rsid w:val="00AF09B7"/>
    <w:rPr>
      <w:lang w:val="en-GB"/>
    </w:rPr>
  </w:style>
  <w:style w:type="character" w:customStyle="1" w:styleId="Heading9Char">
    <w:name w:val="Heading 9 Char"/>
    <w:link w:val="Heading9"/>
    <w:rsid w:val="00AF09B7"/>
    <w:rPr>
      <w:lang w:val="en-GB"/>
    </w:rPr>
  </w:style>
  <w:style w:type="character" w:customStyle="1" w:styleId="EndnoteTextChar">
    <w:name w:val="Endnote Text Char"/>
    <w:aliases w:val="2_G Char"/>
    <w:link w:val="EndnoteText"/>
    <w:rsid w:val="00AF09B7"/>
    <w:rPr>
      <w:sz w:val="18"/>
      <w:lang w:val="en-GB"/>
    </w:rPr>
  </w:style>
  <w:style w:type="character" w:customStyle="1" w:styleId="FooterChar">
    <w:name w:val="Footer Char"/>
    <w:aliases w:val="3_G Char"/>
    <w:link w:val="Footer"/>
    <w:rsid w:val="00AF09B7"/>
    <w:rPr>
      <w:sz w:val="16"/>
      <w:lang w:val="en-GB"/>
    </w:rPr>
  </w:style>
  <w:style w:type="character" w:customStyle="1" w:styleId="HeaderChar">
    <w:name w:val="Header Char"/>
    <w:aliases w:val="6_G Char"/>
    <w:link w:val="Header"/>
    <w:rsid w:val="00AF09B7"/>
    <w:rPr>
      <w:b/>
      <w:sz w:val="18"/>
      <w:lang w:val="en-GB"/>
    </w:rPr>
  </w:style>
  <w:style w:type="paragraph" w:styleId="Revision">
    <w:name w:val="Revision"/>
    <w:hidden/>
    <w:uiPriority w:val="99"/>
    <w:semiHidden/>
    <w:rsid w:val="00AF09B7"/>
    <w:rPr>
      <w:lang w:val="en-GB" w:eastAsia="en-US"/>
    </w:rPr>
  </w:style>
  <w:style w:type="numbering" w:customStyle="1" w:styleId="1111111">
    <w:name w:val="1 / 1.1 / 1.1.11"/>
    <w:basedOn w:val="NoList"/>
    <w:next w:val="111111"/>
    <w:semiHidden/>
    <w:rsid w:val="00AF09B7"/>
    <w:pPr>
      <w:numPr>
        <w:numId w:val="20"/>
      </w:numPr>
    </w:pPr>
  </w:style>
  <w:style w:type="numbering" w:customStyle="1" w:styleId="1ai1">
    <w:name w:val="1 / a / i1"/>
    <w:basedOn w:val="NoList"/>
    <w:next w:val="1ai"/>
    <w:semiHidden/>
    <w:rsid w:val="00AF09B7"/>
    <w:pPr>
      <w:numPr>
        <w:numId w:val="21"/>
      </w:numPr>
    </w:pPr>
  </w:style>
  <w:style w:type="numbering" w:customStyle="1" w:styleId="ArticleSection1">
    <w:name w:val="Article / Section1"/>
    <w:basedOn w:val="NoList"/>
    <w:next w:val="ArticleSection"/>
    <w:semiHidden/>
    <w:rsid w:val="00AF09B7"/>
    <w:pPr>
      <w:numPr>
        <w:numId w:val="22"/>
      </w:numPr>
    </w:pPr>
  </w:style>
  <w:style w:type="table" w:customStyle="1" w:styleId="Table3Deffects11">
    <w:name w:val="Table 3D effects 11"/>
    <w:basedOn w:val="TableNormal"/>
    <w:next w:val="Table3Deffects1"/>
    <w:semiHidden/>
    <w:rsid w:val="00AF09B7"/>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F09B7"/>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F09B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F09B7"/>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F09B7"/>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F09B7"/>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F09B7"/>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F09B7"/>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F09B7"/>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F09B7"/>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F09B7"/>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F09B7"/>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F09B7"/>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F09B7"/>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F09B7"/>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F09B7"/>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F09B7"/>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F09B7"/>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F09B7"/>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F09B7"/>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AF09B7"/>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F09B7"/>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F09B7"/>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AF09B7"/>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F09B7"/>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AF09B7"/>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F09B7"/>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F09B7"/>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rsid w:val="00AF09B7"/>
    <w:rPr>
      <w:lang w:eastAsia="en-US"/>
    </w:rPr>
  </w:style>
  <w:style w:type="character" w:customStyle="1" w:styleId="st">
    <w:name w:val="st"/>
    <w:rsid w:val="00AF09B7"/>
  </w:style>
  <w:style w:type="character" w:customStyle="1" w:styleId="UnresolvedMention1">
    <w:name w:val="Unresolved Mention1"/>
    <w:basedOn w:val="DefaultParagraphFont"/>
    <w:uiPriority w:val="99"/>
    <w:semiHidden/>
    <w:unhideWhenUsed/>
    <w:rsid w:val="00DC7E37"/>
    <w:rPr>
      <w:color w:val="605E5C"/>
      <w:shd w:val="clear" w:color="auto" w:fill="E1DFDD"/>
    </w:rPr>
  </w:style>
  <w:style w:type="paragraph" w:styleId="ListParagraph">
    <w:name w:val="List Paragraph"/>
    <w:basedOn w:val="Normal"/>
    <w:uiPriority w:val="34"/>
    <w:qFormat/>
    <w:rsid w:val="0098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hina\Desktop\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AD6D-44FF-4716-9B29-20CF06BB8407}">
  <ds:schemaRefs>
    <ds:schemaRef ds:uri="http://schemas.microsoft.com/office/2006/metadata/properties"/>
    <ds:schemaRef ds:uri="http://schemas.microsoft.com/office/infopath/2007/PartnerControls"/>
    <ds:schemaRef ds:uri="99a2c2c3-fdcf-4e63-9c12-39b3de610a76"/>
  </ds:schemaRefs>
</ds:datastoreItem>
</file>

<file path=customXml/itemProps2.xml><?xml version="1.0" encoding="utf-8"?>
<ds:datastoreItem xmlns:ds="http://schemas.openxmlformats.org/officeDocument/2006/customXml" ds:itemID="{9A3FAFB0-9B3C-4FDA-911B-7B25E8270111}">
  <ds:schemaRefs>
    <ds:schemaRef ds:uri="http://schemas.microsoft.com/sharepoint/v3/contenttype/forms"/>
  </ds:schemaRefs>
</ds:datastoreItem>
</file>

<file path=customXml/itemProps3.xml><?xml version="1.0" encoding="utf-8"?>
<ds:datastoreItem xmlns:ds="http://schemas.openxmlformats.org/officeDocument/2006/customXml" ds:itemID="{070C0AAD-F9BE-455E-B1F8-8C9995D0E336}"/>
</file>

<file path=customXml/itemProps4.xml><?xml version="1.0" encoding="utf-8"?>
<ds:datastoreItem xmlns:ds="http://schemas.openxmlformats.org/officeDocument/2006/customXml" ds:itemID="{8E369D3B-2F80-408B-9331-E35E37A3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18</Pages>
  <Words>7825</Words>
  <Characters>43903</Characters>
  <Application>Microsoft Office Word</Application>
  <DocSecurity>0</DocSecurity>
  <Lines>968</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ECE/MP.EIA/30</vt:lpstr>
      <vt:lpstr/>
    </vt:vector>
  </TitlesOfParts>
  <Company>CSD</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dc:title>
  <dc:subject>2101858</dc:subject>
  <dc:creator>Una Philippa GILTSOFF</dc:creator>
  <cp:keywords/>
  <dc:description/>
  <cp:lastModifiedBy>Una Philippa GILTSOFF</cp:lastModifiedBy>
  <cp:revision>2</cp:revision>
  <cp:lastPrinted>2021-03-04T12:36:00Z</cp:lastPrinted>
  <dcterms:created xsi:type="dcterms:W3CDTF">2021-03-04T12:39:00Z</dcterms:created>
  <dcterms:modified xsi:type="dcterms:W3CDTF">2021-03-04T12:39:00Z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