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C4195" w14:paraId="2F58A1DA" w14:textId="77777777" w:rsidTr="00F106E0">
        <w:trPr>
          <w:cantSplit/>
          <w:trHeight w:hRule="exact" w:val="851"/>
        </w:trPr>
        <w:tc>
          <w:tcPr>
            <w:tcW w:w="1276" w:type="dxa"/>
            <w:tcBorders>
              <w:bottom w:val="single" w:sz="4" w:space="0" w:color="auto"/>
            </w:tcBorders>
            <w:vAlign w:val="bottom"/>
          </w:tcPr>
          <w:p w14:paraId="6A3727B7" w14:textId="77777777" w:rsidR="002C4195" w:rsidRDefault="002C4195" w:rsidP="00F106E0">
            <w:pPr>
              <w:pStyle w:val="Heading6"/>
            </w:pPr>
          </w:p>
        </w:tc>
        <w:tc>
          <w:tcPr>
            <w:tcW w:w="8363" w:type="dxa"/>
            <w:gridSpan w:val="2"/>
            <w:tcBorders>
              <w:bottom w:val="single" w:sz="4" w:space="0" w:color="auto"/>
            </w:tcBorders>
            <w:vAlign w:val="bottom"/>
          </w:tcPr>
          <w:p w14:paraId="60FB9A3B" w14:textId="3E055337" w:rsidR="002C4195" w:rsidRPr="00D47EEA" w:rsidRDefault="002C4195" w:rsidP="00F106E0">
            <w:pPr>
              <w:jc w:val="right"/>
            </w:pPr>
            <w:r>
              <w:rPr>
                <w:b/>
                <w:sz w:val="40"/>
                <w:szCs w:val="40"/>
              </w:rPr>
              <w:t>INF.</w:t>
            </w:r>
            <w:r w:rsidR="009C5466">
              <w:rPr>
                <w:b/>
                <w:sz w:val="40"/>
                <w:szCs w:val="40"/>
              </w:rPr>
              <w:t>1</w:t>
            </w:r>
            <w:r w:rsidR="00042C32">
              <w:rPr>
                <w:b/>
                <w:sz w:val="40"/>
                <w:szCs w:val="40"/>
              </w:rPr>
              <w:t>6</w:t>
            </w:r>
            <w:r w:rsidR="001079CC">
              <w:rPr>
                <w:b/>
                <w:sz w:val="40"/>
                <w:szCs w:val="40"/>
              </w:rPr>
              <w:t>/R</w:t>
            </w:r>
            <w:r w:rsidR="008C3DED">
              <w:rPr>
                <w:b/>
                <w:sz w:val="40"/>
                <w:szCs w:val="40"/>
              </w:rPr>
              <w:t>ev.</w:t>
            </w:r>
            <w:r w:rsidR="001079CC">
              <w:rPr>
                <w:b/>
                <w:sz w:val="40"/>
                <w:szCs w:val="40"/>
              </w:rPr>
              <w:t>2</w:t>
            </w:r>
          </w:p>
        </w:tc>
      </w:tr>
      <w:tr w:rsidR="002C4195" w:rsidRPr="00C52031" w14:paraId="76FD08BB" w14:textId="77777777" w:rsidTr="000F088E">
        <w:trPr>
          <w:cantSplit/>
          <w:trHeight w:hRule="exact" w:val="3547"/>
        </w:trPr>
        <w:tc>
          <w:tcPr>
            <w:tcW w:w="6804" w:type="dxa"/>
            <w:gridSpan w:val="2"/>
            <w:tcBorders>
              <w:top w:val="single" w:sz="4" w:space="0" w:color="auto"/>
              <w:bottom w:val="single" w:sz="12" w:space="0" w:color="auto"/>
            </w:tcBorders>
          </w:tcPr>
          <w:p w14:paraId="7645E88E" w14:textId="77777777" w:rsidR="002C4195" w:rsidRPr="00C52031" w:rsidRDefault="002C4195" w:rsidP="00F106E0">
            <w:pPr>
              <w:spacing w:before="120"/>
              <w:rPr>
                <w:b/>
                <w:sz w:val="28"/>
                <w:szCs w:val="28"/>
                <w:lang w:val="en-GB"/>
              </w:rPr>
            </w:pPr>
            <w:r w:rsidRPr="00C52031">
              <w:rPr>
                <w:b/>
                <w:sz w:val="28"/>
                <w:szCs w:val="28"/>
                <w:lang w:val="en-GB"/>
              </w:rPr>
              <w:t>Economic Commission for Europe</w:t>
            </w:r>
          </w:p>
          <w:p w14:paraId="72F790E9" w14:textId="77777777" w:rsidR="002C4195" w:rsidRPr="00C52031" w:rsidRDefault="002C4195" w:rsidP="00F106E0">
            <w:pPr>
              <w:spacing w:before="120"/>
              <w:rPr>
                <w:sz w:val="28"/>
                <w:szCs w:val="28"/>
                <w:lang w:val="en-GB"/>
              </w:rPr>
            </w:pPr>
            <w:r w:rsidRPr="00C52031">
              <w:rPr>
                <w:sz w:val="28"/>
                <w:szCs w:val="28"/>
                <w:lang w:val="en-GB"/>
              </w:rPr>
              <w:t>Inland Transport Committee</w:t>
            </w:r>
          </w:p>
          <w:p w14:paraId="1E7F2844" w14:textId="77777777" w:rsidR="002C4195" w:rsidRPr="00C52031" w:rsidRDefault="002C4195" w:rsidP="00F106E0">
            <w:pPr>
              <w:spacing w:before="120"/>
              <w:rPr>
                <w:b/>
                <w:sz w:val="24"/>
                <w:szCs w:val="24"/>
                <w:lang w:val="en-GB"/>
              </w:rPr>
            </w:pPr>
            <w:r w:rsidRPr="00C52031">
              <w:rPr>
                <w:b/>
                <w:sz w:val="24"/>
                <w:szCs w:val="24"/>
                <w:lang w:val="en-GB"/>
              </w:rPr>
              <w:t>Working Party on the Transport of Dangerous Goods</w:t>
            </w:r>
          </w:p>
          <w:p w14:paraId="0F3888A8" w14:textId="77777777" w:rsidR="002C4195" w:rsidRPr="00C52031" w:rsidRDefault="002C4195" w:rsidP="00F106E0">
            <w:pPr>
              <w:spacing w:before="120"/>
              <w:rPr>
                <w:b/>
                <w:lang w:val="en-GB"/>
              </w:rPr>
            </w:pPr>
            <w:r w:rsidRPr="00C52031">
              <w:rPr>
                <w:b/>
                <w:lang w:val="en-GB"/>
              </w:rPr>
              <w:t>Joint Meeting of Experts on the Regulations annexed to the</w:t>
            </w:r>
            <w:r w:rsidRPr="00C52031">
              <w:rPr>
                <w:b/>
                <w:lang w:val="en-GB"/>
              </w:rPr>
              <w:br/>
              <w:t>European Agreement concerning the International Carriage</w:t>
            </w:r>
            <w:r w:rsidRPr="00C52031">
              <w:rPr>
                <w:b/>
                <w:lang w:val="en-GB"/>
              </w:rPr>
              <w:br/>
              <w:t>of Dangerous Goods by Inland Waterways (ADN)</w:t>
            </w:r>
            <w:r w:rsidRPr="00C52031">
              <w:rPr>
                <w:b/>
                <w:lang w:val="en-GB"/>
              </w:rPr>
              <w:br/>
              <w:t>(ADN Safety Committee)</w:t>
            </w:r>
          </w:p>
          <w:p w14:paraId="06DF413E" w14:textId="77777777" w:rsidR="002C4195" w:rsidRPr="00C52031" w:rsidRDefault="002C4195" w:rsidP="00F106E0">
            <w:pPr>
              <w:spacing w:before="120"/>
              <w:rPr>
                <w:b/>
                <w:lang w:val="en-GB"/>
              </w:rPr>
            </w:pPr>
            <w:r w:rsidRPr="00C52031">
              <w:rPr>
                <w:b/>
                <w:lang w:val="en-GB"/>
              </w:rPr>
              <w:t>Thirty-eighth session</w:t>
            </w:r>
          </w:p>
          <w:p w14:paraId="3DD6A172" w14:textId="77777777" w:rsidR="002C4195" w:rsidRPr="00C52031" w:rsidRDefault="002C4195" w:rsidP="00F106E0">
            <w:pPr>
              <w:rPr>
                <w:lang w:val="en-GB" w:eastAsia="fr-FR"/>
              </w:rPr>
            </w:pPr>
            <w:r w:rsidRPr="00C52031">
              <w:rPr>
                <w:lang w:val="en-GB" w:eastAsia="fr-FR"/>
              </w:rPr>
              <w:t>Geneva, 23–27 August 2021</w:t>
            </w:r>
          </w:p>
          <w:p w14:paraId="6DFC558C" w14:textId="61C900AD" w:rsidR="002C4195" w:rsidRPr="00C52031" w:rsidRDefault="002C4195" w:rsidP="00F106E0">
            <w:pPr>
              <w:rPr>
                <w:lang w:val="en-GB" w:eastAsia="fr-FR"/>
              </w:rPr>
            </w:pPr>
            <w:r w:rsidRPr="00C52031">
              <w:rPr>
                <w:lang w:val="en-GB" w:eastAsia="fr-FR"/>
              </w:rPr>
              <w:t xml:space="preserve">Item </w:t>
            </w:r>
            <w:r w:rsidR="00042C32">
              <w:rPr>
                <w:lang w:val="en-GB" w:eastAsia="fr-FR"/>
              </w:rPr>
              <w:t>5</w:t>
            </w:r>
            <w:r w:rsidRPr="00C52031">
              <w:rPr>
                <w:lang w:val="en-GB" w:eastAsia="fr-FR"/>
              </w:rPr>
              <w:t xml:space="preserve"> of the provisional agenda</w:t>
            </w:r>
          </w:p>
          <w:p w14:paraId="046AD27A" w14:textId="354EBCCA" w:rsidR="002C4195" w:rsidRPr="00C52031" w:rsidRDefault="000F088E" w:rsidP="00B40B13">
            <w:pPr>
              <w:rPr>
                <w:lang w:val="en-GB"/>
              </w:rPr>
            </w:pPr>
            <w:r w:rsidRPr="00E96E99">
              <w:rPr>
                <w:b/>
              </w:rPr>
              <w:t xml:space="preserve">Reports of </w:t>
            </w:r>
            <w:proofErr w:type="spellStart"/>
            <w:r w:rsidRPr="00E96E99">
              <w:rPr>
                <w:b/>
              </w:rPr>
              <w:t>informal</w:t>
            </w:r>
            <w:proofErr w:type="spellEnd"/>
            <w:r w:rsidRPr="00E96E99">
              <w:rPr>
                <w:b/>
              </w:rPr>
              <w:t xml:space="preserve"> </w:t>
            </w:r>
            <w:proofErr w:type="spellStart"/>
            <w:r w:rsidRPr="00E96E99">
              <w:rPr>
                <w:b/>
              </w:rPr>
              <w:t>working</w:t>
            </w:r>
            <w:proofErr w:type="spellEnd"/>
            <w:r w:rsidRPr="00E96E99">
              <w:rPr>
                <w:b/>
              </w:rPr>
              <w:t xml:space="preserve"> groups</w:t>
            </w:r>
          </w:p>
        </w:tc>
        <w:tc>
          <w:tcPr>
            <w:tcW w:w="2835" w:type="dxa"/>
            <w:tcBorders>
              <w:top w:val="single" w:sz="4" w:space="0" w:color="auto"/>
              <w:bottom w:val="single" w:sz="12" w:space="0" w:color="auto"/>
            </w:tcBorders>
          </w:tcPr>
          <w:p w14:paraId="1119341E" w14:textId="77777777" w:rsidR="002C4195" w:rsidRPr="00C52031" w:rsidRDefault="002C4195" w:rsidP="00F106E0">
            <w:pPr>
              <w:tabs>
                <w:tab w:val="right" w:pos="2835"/>
              </w:tabs>
              <w:spacing w:before="120"/>
              <w:rPr>
                <w:lang w:val="en-GB"/>
              </w:rPr>
            </w:pPr>
            <w:r w:rsidRPr="00C52031">
              <w:rPr>
                <w:lang w:val="en-GB"/>
              </w:rPr>
              <w:tab/>
            </w:r>
          </w:p>
          <w:p w14:paraId="0EF1134E" w14:textId="1348D8AB" w:rsidR="002C4195" w:rsidRPr="00C52031" w:rsidRDefault="008C3DED" w:rsidP="00F106E0">
            <w:pPr>
              <w:spacing w:before="120"/>
              <w:rPr>
                <w:lang w:val="en-GB"/>
              </w:rPr>
            </w:pPr>
            <w:r>
              <w:rPr>
                <w:lang w:val="en-GB"/>
              </w:rPr>
              <w:t>19</w:t>
            </w:r>
            <w:r w:rsidR="000E011D" w:rsidRPr="00C52031">
              <w:rPr>
                <w:lang w:val="en-GB"/>
              </w:rPr>
              <w:t xml:space="preserve"> </w:t>
            </w:r>
            <w:r w:rsidR="00EA7872">
              <w:rPr>
                <w:lang w:val="en-GB"/>
              </w:rPr>
              <w:t>August</w:t>
            </w:r>
            <w:r w:rsidR="002C4195" w:rsidRPr="00C52031">
              <w:rPr>
                <w:lang w:val="en-GB"/>
              </w:rPr>
              <w:t xml:space="preserve"> 2021</w:t>
            </w:r>
            <w:r w:rsidR="002C4195" w:rsidRPr="00C52031">
              <w:rPr>
                <w:lang w:val="en-GB"/>
              </w:rPr>
              <w:br/>
            </w:r>
          </w:p>
          <w:p w14:paraId="517E57D9" w14:textId="4BEA686E" w:rsidR="002C4195" w:rsidRPr="00C52031" w:rsidRDefault="00042C32" w:rsidP="00F106E0">
            <w:pPr>
              <w:spacing w:before="120"/>
              <w:rPr>
                <w:lang w:val="en-GB"/>
              </w:rPr>
            </w:pPr>
            <w:r>
              <w:rPr>
                <w:lang w:val="en-GB"/>
              </w:rPr>
              <w:t>German</w:t>
            </w:r>
          </w:p>
        </w:tc>
      </w:tr>
    </w:tbl>
    <w:p w14:paraId="1AB7C07B" w14:textId="77777777" w:rsidR="00BF197C" w:rsidRPr="001159F5" w:rsidRDefault="00F1417C" w:rsidP="00BF197C">
      <w:pPr>
        <w:pStyle w:val="HChG"/>
        <w:rPr>
          <w:lang w:val="de-DE"/>
        </w:rPr>
      </w:pPr>
      <w:bookmarkStart w:id="0" w:name="OLE_LINK1"/>
      <w:r w:rsidRPr="00EF6775">
        <w:rPr>
          <w:lang w:val="en-GB"/>
        </w:rPr>
        <w:tab/>
      </w:r>
      <w:r w:rsidRPr="00EF6775">
        <w:rPr>
          <w:lang w:val="en-GB"/>
        </w:rPr>
        <w:tab/>
      </w:r>
      <w:r w:rsidR="00BF197C" w:rsidRPr="001159F5">
        <w:rPr>
          <w:lang w:val="de-DE"/>
        </w:rPr>
        <w:t>Bericht über die einundzwanzigste Sitzung der Gruppe der Empfohlenen ADN-Klassifikationsgesellschaften</w:t>
      </w:r>
    </w:p>
    <w:p w14:paraId="3F5F865E" w14:textId="54DCC3EC" w:rsidR="00F1417C" w:rsidRPr="001159F5" w:rsidRDefault="00BF197C" w:rsidP="00BF197C">
      <w:pPr>
        <w:pStyle w:val="HChG"/>
        <w:rPr>
          <w:sz w:val="32"/>
          <w:szCs w:val="32"/>
          <w:lang w:val="de-DE" w:eastAsia="en-GB"/>
        </w:rPr>
      </w:pPr>
      <w:r w:rsidRPr="001159F5">
        <w:rPr>
          <w:lang w:val="de-DE"/>
        </w:rPr>
        <w:tab/>
      </w:r>
      <w:r w:rsidRPr="001159F5">
        <w:rPr>
          <w:lang w:val="de-DE"/>
        </w:rPr>
        <w:tab/>
        <w:t>ECE/TRANS/WP.15/AC.2/2021/18, Abschnitt III a), zu Absatz 9.3.x.53.1 ADN</w:t>
      </w:r>
    </w:p>
    <w:p w14:paraId="245E1D73" w14:textId="7BD8BCD2" w:rsidR="00E0333C" w:rsidRPr="001159F5" w:rsidRDefault="000E011D" w:rsidP="00070CA8">
      <w:pPr>
        <w:pStyle w:val="H1G"/>
        <w:rPr>
          <w:bCs/>
          <w:lang w:val="de-DE" w:eastAsia="fr-FR"/>
        </w:rPr>
      </w:pPr>
      <w:r w:rsidRPr="001159F5">
        <w:rPr>
          <w:lang w:val="de-DE" w:eastAsia="fr-FR"/>
        </w:rPr>
        <w:tab/>
      </w:r>
      <w:r w:rsidRPr="001159F5">
        <w:rPr>
          <w:lang w:val="de-DE" w:eastAsia="fr-FR"/>
        </w:rPr>
        <w:tab/>
      </w:r>
      <w:r w:rsidR="009A3C86" w:rsidRPr="001159F5">
        <w:rPr>
          <w:lang w:val="de-DE"/>
        </w:rPr>
        <w:t>Vorgelegt von Deutschland</w:t>
      </w:r>
    </w:p>
    <w:bookmarkEnd w:id="0"/>
    <w:p w14:paraId="3D3CE39D" w14:textId="276AE5A9" w:rsidR="001159F5" w:rsidRPr="001159F5" w:rsidRDefault="001159F5" w:rsidP="001159F5">
      <w:pPr>
        <w:pStyle w:val="HChG"/>
        <w:rPr>
          <w:lang w:val="de-DE"/>
        </w:rPr>
      </w:pPr>
      <w:r w:rsidRPr="001159F5">
        <w:rPr>
          <w:lang w:val="de-DE"/>
        </w:rPr>
        <w:tab/>
      </w:r>
      <w:r w:rsidRPr="001159F5">
        <w:rPr>
          <w:lang w:val="de-DE"/>
        </w:rPr>
        <w:tab/>
        <w:t>Einleitung</w:t>
      </w:r>
    </w:p>
    <w:p w14:paraId="63F4C6A4" w14:textId="77777777" w:rsidR="001159F5" w:rsidRPr="001159F5" w:rsidRDefault="001159F5" w:rsidP="001159F5">
      <w:pPr>
        <w:pStyle w:val="SingleTxtG"/>
        <w:rPr>
          <w:lang w:val="de-DE"/>
        </w:rPr>
      </w:pPr>
      <w:r w:rsidRPr="001159F5">
        <w:rPr>
          <w:lang w:val="de-DE"/>
        </w:rPr>
        <w:t>1.</w:t>
      </w:r>
      <w:r w:rsidRPr="001159F5">
        <w:rPr>
          <w:lang w:val="de-DE"/>
        </w:rPr>
        <w:tab/>
        <w:t>Das Beratungsergebnis zu diesem Punkt ist aus Sicht der deutschen Delegation zu hinterfragen. Die Ausführungen in den Absätzen 13. bis 16. lassen vermuten, dass die Gruppe diese Problematik der Verwendung nicht-elektrischer Anlagen und Geräte an Bord von Tankschiffen nicht inhaltlich und sicherheitstechnisch diskutiert hat. Unverständlich ist, dass zuerst in Absatz 15 eine Übergangsvorschrift gefordert wird, dann aber in Absatz 16 festgestellt wird, es bestehe kein weiterer Handlungsbedarf.</w:t>
      </w:r>
    </w:p>
    <w:p w14:paraId="714F48E5" w14:textId="77777777" w:rsidR="001159F5" w:rsidRPr="001159F5" w:rsidRDefault="001159F5" w:rsidP="001159F5">
      <w:pPr>
        <w:pStyle w:val="SingleTxtG"/>
        <w:rPr>
          <w:lang w:val="de-DE"/>
        </w:rPr>
      </w:pPr>
      <w:r w:rsidRPr="001159F5">
        <w:rPr>
          <w:lang w:val="de-DE"/>
        </w:rPr>
        <w:t>2.</w:t>
      </w:r>
      <w:r w:rsidRPr="001159F5">
        <w:rPr>
          <w:lang w:val="de-DE"/>
        </w:rPr>
        <w:tab/>
        <w:t xml:space="preserve">Es ist richtig, dass bis zum ADN 2017 die Verwendung nicht-elektrischer Anlagen und Geräte nicht näher reguliert war. Dies änderte sich jedoch mit dem ADN 2019. Deutschland hat Verständnis dafür, dass diese neue Bauvorschrift Klassifikationsgesellschaften und Betreiber und Eigentümer der Schiffe vor große Herausforderungen stellen kann. Beide Gruppen waren in der Informellen Arbeitsgruppe “Explosionsschutz” an der Vorschriftenentwicklung beteiligt und sollten deshalb auch zu einer bestmöglichen Umsetzung beitragen, </w:t>
      </w:r>
    </w:p>
    <w:p w14:paraId="35922DDB" w14:textId="77777777" w:rsidR="001159F5" w:rsidRPr="001159F5" w:rsidRDefault="001159F5" w:rsidP="001159F5">
      <w:pPr>
        <w:pStyle w:val="HChG"/>
        <w:rPr>
          <w:lang w:val="de-DE"/>
        </w:rPr>
      </w:pPr>
      <w:r w:rsidRPr="001159F5">
        <w:rPr>
          <w:lang w:val="de-DE"/>
        </w:rPr>
        <w:tab/>
      </w:r>
      <w:r w:rsidRPr="001159F5">
        <w:rPr>
          <w:lang w:val="de-DE"/>
        </w:rPr>
        <w:tab/>
        <w:t>Entwicklung und Auslegung der Vorschrift</w:t>
      </w:r>
    </w:p>
    <w:p w14:paraId="43F5F2A4" w14:textId="77777777" w:rsidR="001159F5" w:rsidRPr="001159F5" w:rsidRDefault="001159F5" w:rsidP="001159F5">
      <w:pPr>
        <w:pStyle w:val="SingleTxtG"/>
        <w:rPr>
          <w:lang w:val="de-DE"/>
        </w:rPr>
      </w:pPr>
      <w:r w:rsidRPr="001159F5">
        <w:rPr>
          <w:lang w:val="de-DE"/>
        </w:rPr>
        <w:t>3.</w:t>
      </w:r>
      <w:r w:rsidRPr="001159F5">
        <w:rPr>
          <w:lang w:val="de-DE"/>
        </w:rPr>
        <w:tab/>
        <w:t>Absatz 9.3.x,53.1 Satz 1 ADN hat den folgenden Wortlaut:</w:t>
      </w:r>
    </w:p>
    <w:p w14:paraId="022746E0" w14:textId="77777777" w:rsidR="001159F5" w:rsidRPr="001159F5" w:rsidRDefault="001159F5" w:rsidP="001159F5">
      <w:pPr>
        <w:pStyle w:val="SingleTxtG"/>
        <w:rPr>
          <w:lang w:val="de-DE"/>
        </w:rPr>
      </w:pPr>
      <w:r w:rsidRPr="001159F5">
        <w:rPr>
          <w:lang w:val="de-DE"/>
        </w:rPr>
        <w:t>“An Bord von Schiffen, für die die Zoneneinteilung gemäß der Begriffsbestimmung in Abschnitt 1.2.1 gilt, müssen die elektrischen und nicht-elektrischen Anlagen und Geräte, die in den explosionsgefährdeten Bereichen betrieben werden, mindestens die Anforderungen für den Einsatz in der jeweiligen Zone erfüllen.”.</w:t>
      </w:r>
    </w:p>
    <w:p w14:paraId="44CB8D86" w14:textId="77777777" w:rsidR="001159F5" w:rsidRPr="001159F5" w:rsidRDefault="001159F5" w:rsidP="001159F5">
      <w:pPr>
        <w:pStyle w:val="SingleTxtG"/>
        <w:rPr>
          <w:lang w:val="de-DE"/>
        </w:rPr>
      </w:pPr>
      <w:r w:rsidRPr="001159F5">
        <w:rPr>
          <w:lang w:val="de-DE"/>
        </w:rPr>
        <w:t xml:space="preserve">Diese Vorgabe betrifft nach dem </w:t>
      </w:r>
      <w:proofErr w:type="spellStart"/>
      <w:r w:rsidRPr="001159F5">
        <w:rPr>
          <w:lang w:val="de-DE"/>
        </w:rPr>
        <w:t>eindeutigigen</w:t>
      </w:r>
      <w:proofErr w:type="spellEnd"/>
      <w:r w:rsidRPr="001159F5">
        <w:rPr>
          <w:lang w:val="de-DE"/>
        </w:rPr>
        <w:t xml:space="preserve"> Wortlaut auch die “nicht-elektrischen” Anlagen und Geräte.</w:t>
      </w:r>
    </w:p>
    <w:p w14:paraId="54A6E9E5" w14:textId="77777777" w:rsidR="001159F5" w:rsidRPr="001159F5" w:rsidRDefault="001159F5" w:rsidP="001159F5">
      <w:pPr>
        <w:pStyle w:val="SingleTxtG"/>
        <w:rPr>
          <w:lang w:val="de-DE"/>
        </w:rPr>
      </w:pPr>
      <w:r w:rsidRPr="001159F5">
        <w:rPr>
          <w:lang w:val="de-DE"/>
        </w:rPr>
        <w:t>4.</w:t>
      </w:r>
      <w:r w:rsidRPr="001159F5">
        <w:rPr>
          <w:lang w:val="de-DE"/>
        </w:rPr>
        <w:tab/>
        <w:t xml:space="preserve">Absatz 1.6.7.2.2.2 Tabelle der allgemeinen Übergangsvorschriften für Tankschiffe enthält unter anderem die folgende </w:t>
      </w:r>
      <w:proofErr w:type="spellStart"/>
      <w:r w:rsidRPr="001159F5">
        <w:rPr>
          <w:lang w:val="de-DE"/>
        </w:rPr>
        <w:t>Übergangsvorschift</w:t>
      </w:r>
      <w:proofErr w:type="spellEnd"/>
      <w:r w:rsidRPr="001159F5">
        <w:rPr>
          <w:lang w:val="de-DE"/>
        </w:rPr>
        <w:t>:</w:t>
      </w:r>
    </w:p>
    <w:tbl>
      <w:tblPr>
        <w:tblW w:w="7650" w:type="dxa"/>
        <w:tblInd w:w="1131" w:type="dxa"/>
        <w:tblLayout w:type="fixed"/>
        <w:tblCellMar>
          <w:left w:w="70" w:type="dxa"/>
          <w:right w:w="70" w:type="dxa"/>
        </w:tblCellMar>
        <w:tblLook w:val="0000" w:firstRow="0" w:lastRow="0" w:firstColumn="0" w:lastColumn="0" w:noHBand="0" w:noVBand="0"/>
      </w:tblPr>
      <w:tblGrid>
        <w:gridCol w:w="1207"/>
        <w:gridCol w:w="2552"/>
        <w:gridCol w:w="3891"/>
      </w:tblGrid>
      <w:tr w:rsidR="001159F5" w:rsidRPr="00451F4F" w14:paraId="07C58F53" w14:textId="77777777" w:rsidTr="00451F4F">
        <w:trPr>
          <w:cantSplit/>
        </w:trPr>
        <w:tc>
          <w:tcPr>
            <w:tcW w:w="1207" w:type="dxa"/>
            <w:tcBorders>
              <w:top w:val="single" w:sz="6" w:space="0" w:color="auto"/>
              <w:left w:val="single" w:sz="6" w:space="0" w:color="auto"/>
              <w:bottom w:val="single" w:sz="6" w:space="0" w:color="auto"/>
              <w:right w:val="single" w:sz="6" w:space="0" w:color="auto"/>
            </w:tcBorders>
          </w:tcPr>
          <w:p w14:paraId="077308BE" w14:textId="77777777" w:rsidR="001159F5" w:rsidRPr="00451F4F" w:rsidRDefault="001159F5" w:rsidP="00451F4F">
            <w:pPr>
              <w:keepNext/>
              <w:keepLines/>
              <w:spacing w:line="276" w:lineRule="auto"/>
              <w:jc w:val="center"/>
              <w:rPr>
                <w:lang w:val="de-DE"/>
              </w:rPr>
            </w:pPr>
            <w:r w:rsidRPr="00451F4F">
              <w:rPr>
                <w:lang w:val="de-DE"/>
              </w:rPr>
              <w:lastRenderedPageBreak/>
              <w:t>Absatz</w:t>
            </w:r>
          </w:p>
        </w:tc>
        <w:tc>
          <w:tcPr>
            <w:tcW w:w="2552" w:type="dxa"/>
            <w:tcBorders>
              <w:top w:val="single" w:sz="6" w:space="0" w:color="auto"/>
              <w:left w:val="single" w:sz="6" w:space="0" w:color="auto"/>
              <w:bottom w:val="single" w:sz="6" w:space="0" w:color="auto"/>
              <w:right w:val="single" w:sz="6" w:space="0" w:color="auto"/>
            </w:tcBorders>
          </w:tcPr>
          <w:p w14:paraId="63230417" w14:textId="77777777" w:rsidR="001159F5" w:rsidRPr="00451F4F" w:rsidRDefault="001159F5" w:rsidP="00451F4F">
            <w:pPr>
              <w:keepNext/>
              <w:keepLines/>
              <w:tabs>
                <w:tab w:val="left" w:pos="708"/>
              </w:tabs>
              <w:spacing w:line="276" w:lineRule="auto"/>
              <w:rPr>
                <w:lang w:val="de-DE"/>
              </w:rPr>
            </w:pPr>
            <w:r w:rsidRPr="00451F4F">
              <w:rPr>
                <w:lang w:val="de-DE"/>
              </w:rPr>
              <w:t>Inhalt</w:t>
            </w:r>
          </w:p>
        </w:tc>
        <w:tc>
          <w:tcPr>
            <w:tcW w:w="3891" w:type="dxa"/>
            <w:tcBorders>
              <w:top w:val="single" w:sz="6" w:space="0" w:color="auto"/>
              <w:left w:val="single" w:sz="6" w:space="0" w:color="auto"/>
              <w:bottom w:val="single" w:sz="6" w:space="0" w:color="auto"/>
              <w:right w:val="single" w:sz="6" w:space="0" w:color="auto"/>
            </w:tcBorders>
          </w:tcPr>
          <w:p w14:paraId="5160C07E" w14:textId="77777777" w:rsidR="001159F5" w:rsidRPr="00451F4F" w:rsidRDefault="001159F5" w:rsidP="00451F4F">
            <w:pPr>
              <w:keepNext/>
              <w:keepLines/>
              <w:tabs>
                <w:tab w:val="left" w:pos="708"/>
              </w:tabs>
              <w:spacing w:line="276" w:lineRule="auto"/>
              <w:rPr>
                <w:lang w:val="de-DE"/>
              </w:rPr>
            </w:pPr>
            <w:r w:rsidRPr="00451F4F">
              <w:rPr>
                <w:lang w:val="de-DE"/>
              </w:rPr>
              <w:t>Frist und Nebenbestimmungen</w:t>
            </w:r>
          </w:p>
        </w:tc>
      </w:tr>
      <w:tr w:rsidR="001159F5" w:rsidRPr="00451F4F" w14:paraId="7EE36B0F" w14:textId="77777777" w:rsidTr="00451F4F">
        <w:trPr>
          <w:cantSplit/>
        </w:trPr>
        <w:tc>
          <w:tcPr>
            <w:tcW w:w="1207" w:type="dxa"/>
            <w:tcBorders>
              <w:top w:val="single" w:sz="6" w:space="0" w:color="auto"/>
              <w:left w:val="single" w:sz="6" w:space="0" w:color="auto"/>
              <w:bottom w:val="single" w:sz="6" w:space="0" w:color="auto"/>
              <w:right w:val="single" w:sz="6" w:space="0" w:color="auto"/>
            </w:tcBorders>
          </w:tcPr>
          <w:p w14:paraId="411805B2" w14:textId="77777777" w:rsidR="001159F5" w:rsidRPr="00451F4F" w:rsidRDefault="001159F5" w:rsidP="00451F4F">
            <w:pPr>
              <w:keepNext/>
              <w:keepLines/>
              <w:spacing w:before="60" w:after="60" w:line="276" w:lineRule="auto"/>
              <w:jc w:val="center"/>
              <w:rPr>
                <w:lang w:val="de-DE"/>
              </w:rPr>
            </w:pPr>
            <w:r w:rsidRPr="00451F4F">
              <w:rPr>
                <w:lang w:val="de-DE"/>
              </w:rPr>
              <w:t>9.3.1.53.1</w:t>
            </w:r>
            <w:r w:rsidRPr="00451F4F">
              <w:rPr>
                <w:lang w:val="de-DE"/>
              </w:rPr>
              <w:br/>
              <w:t>9.3.2.53.1</w:t>
            </w:r>
            <w:r w:rsidRPr="00451F4F">
              <w:rPr>
                <w:lang w:val="de-DE"/>
              </w:rPr>
              <w:br/>
              <w:t>9.3.3.53.1</w:t>
            </w:r>
          </w:p>
        </w:tc>
        <w:tc>
          <w:tcPr>
            <w:tcW w:w="2552" w:type="dxa"/>
            <w:tcBorders>
              <w:top w:val="single" w:sz="6" w:space="0" w:color="auto"/>
              <w:left w:val="single" w:sz="6" w:space="0" w:color="auto"/>
              <w:bottom w:val="single" w:sz="6" w:space="0" w:color="auto"/>
              <w:right w:val="single" w:sz="6" w:space="0" w:color="auto"/>
            </w:tcBorders>
          </w:tcPr>
          <w:p w14:paraId="519F4D63" w14:textId="77777777" w:rsidR="001159F5" w:rsidRPr="00451F4F" w:rsidRDefault="001159F5" w:rsidP="00451F4F">
            <w:pPr>
              <w:keepNext/>
              <w:keepLines/>
              <w:tabs>
                <w:tab w:val="left" w:pos="708"/>
              </w:tabs>
              <w:spacing w:before="60" w:after="60" w:line="276" w:lineRule="auto"/>
              <w:rPr>
                <w:lang w:val="de-DE"/>
              </w:rPr>
            </w:pPr>
            <w:r w:rsidRPr="00451F4F">
              <w:rPr>
                <w:lang w:val="de-DE"/>
              </w:rPr>
              <w:t>Art und Aufstellungsort der elektrischen Anlagen und Geräte zum Einsatz in explosionsgefährdeten Bereichen</w:t>
            </w:r>
          </w:p>
          <w:p w14:paraId="6768B2FE" w14:textId="77777777" w:rsidR="001159F5" w:rsidRPr="00451F4F" w:rsidRDefault="001159F5" w:rsidP="00451F4F">
            <w:pPr>
              <w:pStyle w:val="N3"/>
              <w:keepNext/>
              <w:keepLines/>
              <w:tabs>
                <w:tab w:val="clear" w:pos="170"/>
              </w:tabs>
              <w:spacing w:before="60" w:after="60" w:line="276" w:lineRule="auto"/>
              <w:rPr>
                <w:rFonts w:ascii="Times New Roman" w:hAnsi="Times New Roman"/>
                <w:sz w:val="20"/>
              </w:rPr>
            </w:pPr>
            <w:r w:rsidRPr="00451F4F">
              <w:rPr>
                <w:rFonts w:ascii="Times New Roman" w:hAnsi="Times New Roman"/>
                <w:sz w:val="20"/>
              </w:rPr>
              <w:t>Zone 0, Zone 1</w:t>
            </w:r>
          </w:p>
        </w:tc>
        <w:tc>
          <w:tcPr>
            <w:tcW w:w="3891" w:type="dxa"/>
            <w:tcBorders>
              <w:top w:val="single" w:sz="6" w:space="0" w:color="auto"/>
              <w:left w:val="single" w:sz="6" w:space="0" w:color="auto"/>
              <w:bottom w:val="single" w:sz="6" w:space="0" w:color="auto"/>
              <w:right w:val="single" w:sz="6" w:space="0" w:color="auto"/>
            </w:tcBorders>
          </w:tcPr>
          <w:p w14:paraId="36A7A6EC" w14:textId="77777777" w:rsidR="001159F5" w:rsidRPr="00451F4F" w:rsidRDefault="001159F5" w:rsidP="00451F4F">
            <w:pPr>
              <w:keepNext/>
              <w:keepLines/>
              <w:tabs>
                <w:tab w:val="left" w:pos="708"/>
              </w:tabs>
              <w:spacing w:before="60" w:after="60" w:line="276" w:lineRule="auto"/>
              <w:rPr>
                <w:lang w:val="de-DE"/>
              </w:rPr>
            </w:pPr>
            <w:r w:rsidRPr="00451F4F">
              <w:rPr>
                <w:lang w:val="de-DE"/>
              </w:rPr>
              <w:t>N.E.U. ab 1. Januar 2019</w:t>
            </w:r>
          </w:p>
          <w:p w14:paraId="58BB6DBF" w14:textId="77777777" w:rsidR="001159F5" w:rsidRPr="00451F4F" w:rsidRDefault="001159F5" w:rsidP="00451F4F">
            <w:pPr>
              <w:keepNext/>
              <w:keepLines/>
              <w:tabs>
                <w:tab w:val="left" w:pos="708"/>
              </w:tabs>
              <w:spacing w:before="60" w:after="60" w:line="276" w:lineRule="auto"/>
              <w:rPr>
                <w:lang w:val="de-DE"/>
              </w:rPr>
            </w:pPr>
            <w:r w:rsidRPr="00451F4F">
              <w:rPr>
                <w:lang w:val="de-DE"/>
              </w:rPr>
              <w:t>Erneuerung des Zulassungszeugnisses nach dem 31. Dezember 2034</w:t>
            </w:r>
          </w:p>
          <w:p w14:paraId="296E1334" w14:textId="77777777" w:rsidR="001159F5" w:rsidRPr="00451F4F" w:rsidRDefault="001159F5" w:rsidP="00451F4F">
            <w:pPr>
              <w:pStyle w:val="N3"/>
              <w:keepNext/>
              <w:keepLines/>
              <w:spacing w:before="60" w:after="120" w:line="276" w:lineRule="auto"/>
              <w:jc w:val="both"/>
              <w:rPr>
                <w:rFonts w:ascii="Times New Roman" w:hAnsi="Times New Roman"/>
                <w:sz w:val="20"/>
              </w:rPr>
            </w:pPr>
            <w:r w:rsidRPr="00451F4F">
              <w:rPr>
                <w:rFonts w:ascii="Times New Roman" w:hAnsi="Times New Roman"/>
                <w:sz w:val="20"/>
              </w:rPr>
              <w:t>.......</w:t>
            </w:r>
          </w:p>
        </w:tc>
      </w:tr>
    </w:tbl>
    <w:p w14:paraId="0C3EF986" w14:textId="77777777" w:rsidR="001159F5" w:rsidRPr="001159F5" w:rsidRDefault="001159F5" w:rsidP="00451F4F">
      <w:pPr>
        <w:pStyle w:val="SingleTxtG"/>
        <w:spacing w:before="120"/>
        <w:rPr>
          <w:lang w:val="de-DE"/>
        </w:rPr>
      </w:pPr>
      <w:r w:rsidRPr="001159F5">
        <w:rPr>
          <w:lang w:val="de-DE"/>
        </w:rPr>
        <w:t>Diese Übergangsvorschrift ist unmissverständlich auf die “elektrischen” Anlagen und Geräte beschränkt.</w:t>
      </w:r>
    </w:p>
    <w:p w14:paraId="34D28623" w14:textId="77777777" w:rsidR="001159F5" w:rsidRPr="001159F5" w:rsidRDefault="001159F5" w:rsidP="001159F5">
      <w:pPr>
        <w:pStyle w:val="SingleTxtG"/>
        <w:rPr>
          <w:lang w:val="de-DE"/>
        </w:rPr>
      </w:pPr>
      <w:r w:rsidRPr="001159F5">
        <w:rPr>
          <w:lang w:val="de-DE"/>
        </w:rPr>
        <w:t>5.</w:t>
      </w:r>
      <w:r w:rsidRPr="001159F5">
        <w:rPr>
          <w:lang w:val="de-DE"/>
        </w:rPr>
        <w:tab/>
        <w:t>Bereits in der 19. Sitzung des ADN-Sicherheitsausschusses im August 2011 wurde von der Informellen Arbeitsgruppe “Explosionsschutz” vorgestellt, dass auch die nicht-elektrischen Anlagen und Geräte die Anforderungen für die jeweilige Zone erfüllen müssen, Der Sicherheitsausschuss hatte das bestätigt.</w:t>
      </w:r>
    </w:p>
    <w:p w14:paraId="7EF1591A" w14:textId="77777777" w:rsidR="001159F5" w:rsidRPr="001159F5" w:rsidRDefault="001159F5" w:rsidP="001159F5">
      <w:pPr>
        <w:pStyle w:val="SingleTxtG"/>
        <w:rPr>
          <w:b/>
          <w:u w:val="single"/>
          <w:lang w:val="de-DE"/>
        </w:rPr>
      </w:pPr>
      <w:r w:rsidRPr="001159F5">
        <w:rPr>
          <w:b/>
          <w:u w:val="single"/>
          <w:lang w:val="de-DE"/>
        </w:rPr>
        <w:t xml:space="preserve">INF.16 Explosion </w:t>
      </w:r>
      <w:proofErr w:type="spellStart"/>
      <w:r w:rsidRPr="001159F5">
        <w:rPr>
          <w:b/>
          <w:u w:val="single"/>
          <w:lang w:val="de-DE"/>
        </w:rPr>
        <w:t>protection</w:t>
      </w:r>
      <w:proofErr w:type="spellEnd"/>
      <w:r w:rsidRPr="001159F5">
        <w:rPr>
          <w:b/>
          <w:u w:val="single"/>
          <w:lang w:val="de-DE"/>
        </w:rPr>
        <w:t xml:space="preserve"> on tank </w:t>
      </w:r>
      <w:proofErr w:type="spellStart"/>
      <w:r w:rsidRPr="001159F5">
        <w:rPr>
          <w:b/>
          <w:u w:val="single"/>
          <w:lang w:val="de-DE"/>
        </w:rPr>
        <w:t>vessels</w:t>
      </w:r>
      <w:proofErr w:type="spellEnd"/>
      <w:r w:rsidRPr="001159F5">
        <w:rPr>
          <w:b/>
          <w:u w:val="single"/>
          <w:lang w:val="de-DE"/>
        </w:rPr>
        <w:t xml:space="preserve"> / </w:t>
      </w:r>
      <w:proofErr w:type="spellStart"/>
      <w:r w:rsidRPr="001159F5">
        <w:rPr>
          <w:b/>
          <w:u w:val="single"/>
          <w:lang w:val="de-DE"/>
        </w:rPr>
        <w:t>Transmitted</w:t>
      </w:r>
      <w:proofErr w:type="spellEnd"/>
      <w:r w:rsidRPr="001159F5">
        <w:rPr>
          <w:b/>
          <w:u w:val="single"/>
          <w:lang w:val="de-DE"/>
        </w:rPr>
        <w:t xml:space="preserve"> </w:t>
      </w:r>
      <w:proofErr w:type="spellStart"/>
      <w:r w:rsidRPr="001159F5">
        <w:rPr>
          <w:b/>
          <w:u w:val="single"/>
          <w:lang w:val="de-DE"/>
        </w:rPr>
        <w:t>by</w:t>
      </w:r>
      <w:proofErr w:type="spellEnd"/>
      <w:r w:rsidRPr="001159F5">
        <w:rPr>
          <w:b/>
          <w:u w:val="single"/>
          <w:lang w:val="de-DE"/>
        </w:rPr>
        <w:t xml:space="preserve"> the Governments of Germany and </w:t>
      </w:r>
      <w:proofErr w:type="spellStart"/>
      <w:r w:rsidRPr="001159F5">
        <w:rPr>
          <w:b/>
          <w:u w:val="single"/>
          <w:lang w:val="de-DE"/>
        </w:rPr>
        <w:t>Netherlands</w:t>
      </w:r>
      <w:proofErr w:type="spellEnd"/>
    </w:p>
    <w:p w14:paraId="0BF43375" w14:textId="77777777" w:rsidR="001159F5" w:rsidRPr="001159F5" w:rsidRDefault="001159F5" w:rsidP="00D841C5">
      <w:pPr>
        <w:pStyle w:val="SingleTxtG"/>
        <w:ind w:left="1701"/>
        <w:rPr>
          <w:lang w:val="de-DE"/>
        </w:rPr>
      </w:pPr>
      <w:r w:rsidRPr="001159F5">
        <w:rPr>
          <w:lang w:val="de-DE"/>
        </w:rPr>
        <w:t>“8.</w:t>
      </w:r>
      <w:r w:rsidRPr="001159F5">
        <w:rPr>
          <w:lang w:val="de-DE"/>
        </w:rPr>
        <w:tab/>
        <w:t xml:space="preserve">The </w:t>
      </w:r>
      <w:proofErr w:type="spellStart"/>
      <w:r w:rsidRPr="001159F5">
        <w:rPr>
          <w:lang w:val="de-DE"/>
        </w:rPr>
        <w:t>electrical</w:t>
      </w:r>
      <w:proofErr w:type="spellEnd"/>
      <w:r w:rsidRPr="001159F5">
        <w:rPr>
          <w:lang w:val="de-DE"/>
        </w:rPr>
        <w:t xml:space="preserve"> and non-</w:t>
      </w:r>
      <w:proofErr w:type="spellStart"/>
      <w:r w:rsidRPr="001159F5">
        <w:rPr>
          <w:lang w:val="de-DE"/>
        </w:rPr>
        <w:t>electrical</w:t>
      </w:r>
      <w:proofErr w:type="spellEnd"/>
      <w:r w:rsidRPr="001159F5">
        <w:rPr>
          <w:lang w:val="de-DE"/>
        </w:rPr>
        <w:t xml:space="preserve"> (</w:t>
      </w:r>
      <w:proofErr w:type="spellStart"/>
      <w:r w:rsidRPr="001159F5">
        <w:rPr>
          <w:lang w:val="de-DE"/>
        </w:rPr>
        <w:t>mechanical</w:t>
      </w:r>
      <w:proofErr w:type="spellEnd"/>
      <w:r w:rsidRPr="001159F5">
        <w:rPr>
          <w:lang w:val="de-DE"/>
        </w:rPr>
        <w:t xml:space="preserve">) </w:t>
      </w:r>
      <w:proofErr w:type="spellStart"/>
      <w:r w:rsidRPr="001159F5">
        <w:rPr>
          <w:lang w:val="de-DE"/>
        </w:rPr>
        <w:t>equipment</w:t>
      </w:r>
      <w:proofErr w:type="spellEnd"/>
      <w:r w:rsidRPr="001159F5">
        <w:rPr>
          <w:lang w:val="de-DE"/>
        </w:rPr>
        <w:t xml:space="preserve"> </w:t>
      </w:r>
      <w:proofErr w:type="spellStart"/>
      <w:r w:rsidRPr="001159F5">
        <w:rPr>
          <w:lang w:val="de-DE"/>
        </w:rPr>
        <w:t>to</w:t>
      </w:r>
      <w:proofErr w:type="spellEnd"/>
      <w:r w:rsidRPr="001159F5">
        <w:rPr>
          <w:lang w:val="de-DE"/>
        </w:rPr>
        <w:t xml:space="preserve"> </w:t>
      </w:r>
      <w:proofErr w:type="spellStart"/>
      <w:r w:rsidRPr="001159F5">
        <w:rPr>
          <w:lang w:val="de-DE"/>
        </w:rPr>
        <w:t>be</w:t>
      </w:r>
      <w:proofErr w:type="spellEnd"/>
      <w:r w:rsidRPr="001159F5">
        <w:rPr>
          <w:lang w:val="de-DE"/>
        </w:rPr>
        <w:t xml:space="preserve"> </w:t>
      </w:r>
      <w:proofErr w:type="spellStart"/>
      <w:r w:rsidRPr="001159F5">
        <w:rPr>
          <w:lang w:val="de-DE"/>
        </w:rPr>
        <w:t>used</w:t>
      </w:r>
      <w:proofErr w:type="spellEnd"/>
      <w:r w:rsidRPr="001159F5">
        <w:rPr>
          <w:lang w:val="de-DE"/>
        </w:rPr>
        <w:t xml:space="preserve"> </w:t>
      </w:r>
      <w:proofErr w:type="spellStart"/>
      <w:r w:rsidRPr="001159F5">
        <w:rPr>
          <w:lang w:val="de-DE"/>
        </w:rPr>
        <w:t>within</w:t>
      </w:r>
      <w:proofErr w:type="spellEnd"/>
      <w:r w:rsidRPr="001159F5">
        <w:rPr>
          <w:lang w:val="de-DE"/>
        </w:rPr>
        <w:t xml:space="preserve"> the </w:t>
      </w:r>
      <w:proofErr w:type="spellStart"/>
      <w:r w:rsidRPr="001159F5">
        <w:rPr>
          <w:lang w:val="de-DE"/>
        </w:rPr>
        <w:t>zones</w:t>
      </w:r>
      <w:proofErr w:type="spellEnd"/>
      <w:r w:rsidRPr="001159F5">
        <w:rPr>
          <w:lang w:val="de-DE"/>
        </w:rPr>
        <w:t xml:space="preserve"> </w:t>
      </w:r>
      <w:proofErr w:type="spellStart"/>
      <w:r w:rsidRPr="001159F5">
        <w:rPr>
          <w:lang w:val="de-DE"/>
        </w:rPr>
        <w:t>should</w:t>
      </w:r>
      <w:proofErr w:type="spellEnd"/>
      <w:r w:rsidRPr="001159F5">
        <w:rPr>
          <w:lang w:val="de-DE"/>
        </w:rPr>
        <w:t xml:space="preserve"> </w:t>
      </w:r>
      <w:proofErr w:type="spellStart"/>
      <w:r w:rsidRPr="001159F5">
        <w:rPr>
          <w:lang w:val="de-DE"/>
        </w:rPr>
        <w:t>fulfil</w:t>
      </w:r>
      <w:proofErr w:type="spellEnd"/>
      <w:r w:rsidRPr="001159F5">
        <w:rPr>
          <w:lang w:val="de-DE"/>
        </w:rPr>
        <w:t xml:space="preserve"> the </w:t>
      </w:r>
      <w:proofErr w:type="spellStart"/>
      <w:r w:rsidRPr="001159F5">
        <w:rPr>
          <w:lang w:val="de-DE"/>
        </w:rPr>
        <w:t>requirements</w:t>
      </w:r>
      <w:proofErr w:type="spellEnd"/>
      <w:r w:rsidRPr="001159F5">
        <w:rPr>
          <w:lang w:val="de-DE"/>
        </w:rPr>
        <w:t xml:space="preserve"> of the </w:t>
      </w:r>
      <w:proofErr w:type="spellStart"/>
      <w:r w:rsidRPr="001159F5">
        <w:rPr>
          <w:lang w:val="de-DE"/>
        </w:rPr>
        <w:t>corresponding</w:t>
      </w:r>
      <w:proofErr w:type="spellEnd"/>
      <w:r w:rsidRPr="001159F5">
        <w:rPr>
          <w:lang w:val="de-DE"/>
        </w:rPr>
        <w:t xml:space="preserve"> </w:t>
      </w:r>
      <w:proofErr w:type="spellStart"/>
      <w:r w:rsidRPr="001159F5">
        <w:rPr>
          <w:lang w:val="de-DE"/>
        </w:rPr>
        <w:t>categories</w:t>
      </w:r>
      <w:proofErr w:type="spellEnd"/>
      <w:r w:rsidRPr="001159F5">
        <w:rPr>
          <w:lang w:val="de-DE"/>
        </w:rPr>
        <w:t xml:space="preserve"> (</w:t>
      </w:r>
      <w:proofErr w:type="spellStart"/>
      <w:r w:rsidRPr="001159F5">
        <w:rPr>
          <w:lang w:val="de-DE"/>
        </w:rPr>
        <w:t>according</w:t>
      </w:r>
      <w:proofErr w:type="spellEnd"/>
      <w:r w:rsidRPr="001159F5">
        <w:rPr>
          <w:lang w:val="de-DE"/>
        </w:rPr>
        <w:t xml:space="preserve"> </w:t>
      </w:r>
      <w:proofErr w:type="spellStart"/>
      <w:r w:rsidRPr="001159F5">
        <w:rPr>
          <w:lang w:val="de-DE"/>
        </w:rPr>
        <w:t>to</w:t>
      </w:r>
      <w:proofErr w:type="spellEnd"/>
      <w:r w:rsidRPr="001159F5">
        <w:rPr>
          <w:lang w:val="de-DE"/>
        </w:rPr>
        <w:t xml:space="preserve"> </w:t>
      </w:r>
      <w:proofErr w:type="spellStart"/>
      <w:r w:rsidRPr="001159F5">
        <w:rPr>
          <w:i/>
          <w:lang w:val="de-DE"/>
        </w:rPr>
        <w:t>Directive</w:t>
      </w:r>
      <w:proofErr w:type="spellEnd"/>
      <w:r w:rsidRPr="001159F5">
        <w:rPr>
          <w:i/>
          <w:lang w:val="de-DE"/>
        </w:rPr>
        <w:t xml:space="preserve"> 94/9/EC of the European </w:t>
      </w:r>
      <w:proofErr w:type="spellStart"/>
      <w:r w:rsidRPr="001159F5">
        <w:rPr>
          <w:i/>
          <w:lang w:val="de-DE"/>
        </w:rPr>
        <w:t>Parliament</w:t>
      </w:r>
      <w:proofErr w:type="spellEnd"/>
      <w:r w:rsidRPr="001159F5">
        <w:rPr>
          <w:i/>
          <w:lang w:val="de-DE"/>
        </w:rPr>
        <w:t xml:space="preserve"> and the Council of 23 March 1994 on the </w:t>
      </w:r>
      <w:proofErr w:type="spellStart"/>
      <w:r w:rsidRPr="001159F5">
        <w:rPr>
          <w:i/>
          <w:lang w:val="de-DE"/>
        </w:rPr>
        <w:t>approximation</w:t>
      </w:r>
      <w:proofErr w:type="spellEnd"/>
      <w:r w:rsidRPr="001159F5">
        <w:rPr>
          <w:i/>
          <w:lang w:val="de-DE"/>
        </w:rPr>
        <w:t xml:space="preserve"> of the </w:t>
      </w:r>
      <w:proofErr w:type="spellStart"/>
      <w:r w:rsidRPr="001159F5">
        <w:rPr>
          <w:i/>
          <w:lang w:val="de-DE"/>
        </w:rPr>
        <w:t>laws</w:t>
      </w:r>
      <w:proofErr w:type="spellEnd"/>
      <w:r w:rsidRPr="001159F5">
        <w:rPr>
          <w:i/>
          <w:lang w:val="de-DE"/>
        </w:rPr>
        <w:t xml:space="preserve"> of the Member States </w:t>
      </w:r>
      <w:proofErr w:type="spellStart"/>
      <w:r w:rsidRPr="001159F5">
        <w:rPr>
          <w:i/>
          <w:lang w:val="de-DE"/>
        </w:rPr>
        <w:t>concerning</w:t>
      </w:r>
      <w:proofErr w:type="spellEnd"/>
      <w:r w:rsidRPr="001159F5">
        <w:rPr>
          <w:i/>
          <w:lang w:val="de-DE"/>
        </w:rPr>
        <w:t xml:space="preserve"> </w:t>
      </w:r>
      <w:proofErr w:type="spellStart"/>
      <w:r w:rsidRPr="001159F5">
        <w:rPr>
          <w:i/>
          <w:lang w:val="de-DE"/>
        </w:rPr>
        <w:t>equipment</w:t>
      </w:r>
      <w:proofErr w:type="spellEnd"/>
      <w:r w:rsidRPr="001159F5">
        <w:rPr>
          <w:i/>
          <w:lang w:val="de-DE"/>
        </w:rPr>
        <w:t xml:space="preserve"> and </w:t>
      </w:r>
      <w:proofErr w:type="spellStart"/>
      <w:r w:rsidRPr="001159F5">
        <w:rPr>
          <w:i/>
          <w:lang w:val="de-DE"/>
        </w:rPr>
        <w:t>protective</w:t>
      </w:r>
      <w:proofErr w:type="spellEnd"/>
      <w:r w:rsidRPr="001159F5">
        <w:rPr>
          <w:i/>
          <w:lang w:val="de-DE"/>
        </w:rPr>
        <w:t xml:space="preserve"> </w:t>
      </w:r>
      <w:proofErr w:type="spellStart"/>
      <w:r w:rsidRPr="001159F5">
        <w:rPr>
          <w:i/>
          <w:lang w:val="de-DE"/>
        </w:rPr>
        <w:t>systems</w:t>
      </w:r>
      <w:proofErr w:type="spellEnd"/>
      <w:r w:rsidRPr="001159F5">
        <w:rPr>
          <w:i/>
          <w:lang w:val="de-DE"/>
        </w:rPr>
        <w:t xml:space="preserve"> </w:t>
      </w:r>
      <w:proofErr w:type="spellStart"/>
      <w:r w:rsidRPr="001159F5">
        <w:rPr>
          <w:i/>
          <w:lang w:val="de-DE"/>
        </w:rPr>
        <w:t>intended</w:t>
      </w:r>
      <w:proofErr w:type="spellEnd"/>
      <w:r w:rsidRPr="001159F5">
        <w:rPr>
          <w:i/>
          <w:lang w:val="de-DE"/>
        </w:rPr>
        <w:t xml:space="preserve"> </w:t>
      </w:r>
      <w:proofErr w:type="spellStart"/>
      <w:r w:rsidRPr="001159F5">
        <w:rPr>
          <w:i/>
          <w:lang w:val="de-DE"/>
        </w:rPr>
        <w:t>for</w:t>
      </w:r>
      <w:proofErr w:type="spellEnd"/>
      <w:r w:rsidRPr="001159F5">
        <w:rPr>
          <w:i/>
          <w:lang w:val="de-DE"/>
        </w:rPr>
        <w:t xml:space="preserve"> </w:t>
      </w:r>
      <w:proofErr w:type="spellStart"/>
      <w:r w:rsidRPr="001159F5">
        <w:rPr>
          <w:i/>
          <w:lang w:val="de-DE"/>
        </w:rPr>
        <w:t>use</w:t>
      </w:r>
      <w:proofErr w:type="spellEnd"/>
      <w:r w:rsidRPr="001159F5">
        <w:rPr>
          <w:i/>
          <w:lang w:val="de-DE"/>
        </w:rPr>
        <w:t xml:space="preserve"> in </w:t>
      </w:r>
      <w:proofErr w:type="spellStart"/>
      <w:r w:rsidRPr="001159F5">
        <w:rPr>
          <w:i/>
          <w:lang w:val="de-DE"/>
        </w:rPr>
        <w:t>potentially</w:t>
      </w:r>
      <w:proofErr w:type="spellEnd"/>
      <w:r w:rsidRPr="001159F5">
        <w:rPr>
          <w:i/>
          <w:lang w:val="de-DE"/>
        </w:rPr>
        <w:t xml:space="preserve"> explosive </w:t>
      </w:r>
      <w:proofErr w:type="spellStart"/>
      <w:r w:rsidRPr="001159F5">
        <w:rPr>
          <w:i/>
          <w:lang w:val="de-DE"/>
        </w:rPr>
        <w:t>atmospheres</w:t>
      </w:r>
      <w:proofErr w:type="spellEnd"/>
      <w:r w:rsidRPr="001159F5">
        <w:rPr>
          <w:lang w:val="de-DE"/>
        </w:rPr>
        <w:t>)”.</w:t>
      </w:r>
    </w:p>
    <w:p w14:paraId="303E6745" w14:textId="44344D01" w:rsidR="001159F5" w:rsidRPr="001159F5" w:rsidRDefault="003B5C7E" w:rsidP="001159F5">
      <w:pPr>
        <w:pStyle w:val="SingleTxtG"/>
        <w:rPr>
          <w:b/>
          <w:u w:val="single"/>
          <w:lang w:val="de-DE"/>
        </w:rPr>
      </w:pPr>
      <w:r>
        <w:rPr>
          <w:b/>
          <w:u w:val="single"/>
          <w:lang w:val="de-DE"/>
        </w:rPr>
        <w:t>ECE/TRANS</w:t>
      </w:r>
      <w:r w:rsidR="001159F5" w:rsidRPr="001159F5">
        <w:rPr>
          <w:b/>
          <w:u w:val="single"/>
          <w:lang w:val="de-DE"/>
        </w:rPr>
        <w:t>/WP.15/AC.2/40</w:t>
      </w:r>
    </w:p>
    <w:p w14:paraId="650C8700" w14:textId="77777777" w:rsidR="001159F5" w:rsidRPr="001159F5" w:rsidRDefault="001159F5" w:rsidP="001159F5">
      <w:pPr>
        <w:pStyle w:val="SingleTxtG"/>
        <w:rPr>
          <w:lang w:val="de-DE"/>
        </w:rPr>
      </w:pPr>
      <w:r w:rsidRPr="001159F5">
        <w:rPr>
          <w:lang w:val="de-DE"/>
        </w:rPr>
        <w:t>Protokoll über die 19. Sitzung des ADN-Sicherheitsausschusses im August 2011:</w:t>
      </w:r>
    </w:p>
    <w:p w14:paraId="2CA3E909" w14:textId="77777777" w:rsidR="001159F5" w:rsidRPr="001159F5" w:rsidRDefault="001159F5" w:rsidP="00D841C5">
      <w:pPr>
        <w:pStyle w:val="SingleTxtG"/>
        <w:ind w:left="1701"/>
        <w:rPr>
          <w:b/>
          <w:lang w:val="de-DE"/>
        </w:rPr>
      </w:pPr>
      <w:r w:rsidRPr="001159F5">
        <w:rPr>
          <w:b/>
          <w:lang w:val="de-DE"/>
        </w:rPr>
        <w:t>“21.</w:t>
      </w:r>
      <w:r w:rsidRPr="001159F5">
        <w:rPr>
          <w:b/>
          <w:lang w:val="de-DE"/>
        </w:rPr>
        <w:tab/>
        <w:t xml:space="preserve">Explosionsschutz auf Tankschiffen </w:t>
      </w:r>
    </w:p>
    <w:p w14:paraId="272FD689" w14:textId="77777777" w:rsidR="001159F5" w:rsidRPr="001159F5" w:rsidRDefault="001159F5" w:rsidP="00D841C5">
      <w:pPr>
        <w:pStyle w:val="SingleTxtG"/>
        <w:ind w:left="1701"/>
        <w:rPr>
          <w:lang w:val="de-DE"/>
        </w:rPr>
      </w:pPr>
      <w:r w:rsidRPr="001159F5">
        <w:rPr>
          <w:i/>
          <w:lang w:val="de-DE"/>
        </w:rPr>
        <w:t>Informelles Dokument</w:t>
      </w:r>
      <w:r w:rsidRPr="001159F5">
        <w:rPr>
          <w:lang w:val="de-DE"/>
        </w:rPr>
        <w:t>:</w:t>
      </w:r>
      <w:r w:rsidRPr="001159F5">
        <w:rPr>
          <w:lang w:val="de-DE"/>
        </w:rPr>
        <w:tab/>
        <w:t>INF.16 (Deutschland und Niederlande)</w:t>
      </w:r>
    </w:p>
    <w:p w14:paraId="71461E8F" w14:textId="77777777" w:rsidR="001159F5" w:rsidRPr="001159F5" w:rsidRDefault="001159F5" w:rsidP="00D841C5">
      <w:pPr>
        <w:pStyle w:val="SingleTxtG"/>
        <w:ind w:left="1701"/>
        <w:rPr>
          <w:lang w:val="de-DE"/>
        </w:rPr>
      </w:pPr>
      <w:r w:rsidRPr="001159F5">
        <w:rPr>
          <w:lang w:val="de-DE"/>
        </w:rPr>
        <w:t>34.</w:t>
      </w:r>
      <w:r w:rsidRPr="001159F5">
        <w:rPr>
          <w:lang w:val="de-DE"/>
        </w:rPr>
        <w:tab/>
        <w:t>Der Sicherheitsausschuss begrüßt diesen Vorschlag, der Ergebnis der Arbeit der Arbeitsgruppe für Gefahrguttransporte der ZKR ist, die insbesondere darauf abzielt, die Bereiche mit explosiven Atmosphären an Bord der Tankschiffe besser zu definieren. Er bleibt auf der Tagesordnung der nächsten Sitzungsperiode, da die Delegationen ihn näher untersuchen möchten.”.</w:t>
      </w:r>
    </w:p>
    <w:p w14:paraId="24C3BFE4" w14:textId="02A4732F" w:rsidR="001159F5" w:rsidRPr="001159F5" w:rsidRDefault="001159F5" w:rsidP="001159F5">
      <w:pPr>
        <w:pStyle w:val="SingleTxtG"/>
        <w:rPr>
          <w:lang w:val="de-DE"/>
        </w:rPr>
      </w:pPr>
      <w:r w:rsidRPr="001159F5">
        <w:rPr>
          <w:lang w:val="de-DE"/>
        </w:rPr>
        <w:t>6.</w:t>
      </w:r>
      <w:r w:rsidRPr="001159F5">
        <w:rPr>
          <w:lang w:val="de-DE"/>
        </w:rPr>
        <w:tab/>
        <w:t xml:space="preserve">Dieser Gedanke wurde </w:t>
      </w:r>
      <w:r w:rsidRPr="008C3DED">
        <w:rPr>
          <w:lang w:val="de-DE"/>
        </w:rPr>
        <w:t>seitdem</w:t>
      </w:r>
      <w:r w:rsidRPr="001159F5">
        <w:rPr>
          <w:lang w:val="de-DE"/>
        </w:rPr>
        <w:t xml:space="preserve"> bei der Neuordnung des </w:t>
      </w:r>
      <w:proofErr w:type="spellStart"/>
      <w:r w:rsidRPr="001159F5">
        <w:rPr>
          <w:lang w:val="de-DE"/>
        </w:rPr>
        <w:t>Explosionsschutzs</w:t>
      </w:r>
      <w:proofErr w:type="spellEnd"/>
      <w:r w:rsidRPr="001159F5">
        <w:rPr>
          <w:lang w:val="de-DE"/>
        </w:rPr>
        <w:t xml:space="preserve"> auf Binnentankschiffen nicht mehr aufgegeben. Er wurde konsequent in die </w:t>
      </w:r>
      <w:proofErr w:type="spellStart"/>
      <w:r w:rsidRPr="001159F5">
        <w:rPr>
          <w:lang w:val="de-DE"/>
        </w:rPr>
        <w:t>Detaillvorschriften</w:t>
      </w:r>
      <w:proofErr w:type="spellEnd"/>
      <w:r w:rsidRPr="001159F5">
        <w:rPr>
          <w:lang w:val="de-DE"/>
        </w:rPr>
        <w:t>, insbesondere Absatz 9.3.x.53.1 ADN, übernommen.</w:t>
      </w:r>
    </w:p>
    <w:p w14:paraId="560019E4" w14:textId="1ECF6C6A" w:rsidR="001159F5" w:rsidRPr="001159F5" w:rsidRDefault="003B5C7E" w:rsidP="001159F5">
      <w:pPr>
        <w:pStyle w:val="SingleTxtG"/>
        <w:rPr>
          <w:b/>
          <w:u w:val="single"/>
          <w:lang w:val="de-DE"/>
        </w:rPr>
      </w:pPr>
      <w:r>
        <w:rPr>
          <w:b/>
          <w:u w:val="single"/>
          <w:lang w:val="de-DE"/>
        </w:rPr>
        <w:t>ECE/TRANS</w:t>
      </w:r>
      <w:r w:rsidR="001159F5" w:rsidRPr="001159F5">
        <w:rPr>
          <w:b/>
          <w:u w:val="single"/>
          <w:lang w:val="de-DE"/>
        </w:rPr>
        <w:t>/WP.15/AC.2/44</w:t>
      </w:r>
    </w:p>
    <w:p w14:paraId="5CEE1FBC" w14:textId="56243F15" w:rsidR="001159F5" w:rsidRPr="001159F5" w:rsidRDefault="001159F5" w:rsidP="00D21181">
      <w:pPr>
        <w:pStyle w:val="SingleTxtG"/>
        <w:ind w:left="1701"/>
        <w:rPr>
          <w:lang w:val="de-DE"/>
        </w:rPr>
      </w:pPr>
      <w:r w:rsidRPr="001159F5">
        <w:rPr>
          <w:lang w:val="de-DE"/>
        </w:rPr>
        <w:t xml:space="preserve">Protokoll über die </w:t>
      </w:r>
      <w:r w:rsidR="008C3DED" w:rsidRPr="008C3DED">
        <w:rPr>
          <w:u w:val="single"/>
          <w:lang w:val="de-DE"/>
        </w:rPr>
        <w:t>21</w:t>
      </w:r>
      <w:r w:rsidRPr="001159F5">
        <w:rPr>
          <w:lang w:val="de-DE"/>
        </w:rPr>
        <w:t xml:space="preserve">. Sitzung des ADN-Sicherheitsausschusses im </w:t>
      </w:r>
      <w:r w:rsidR="008C3DED" w:rsidRPr="00155954">
        <w:rPr>
          <w:u w:val="double"/>
          <w:lang w:val="de-DE"/>
        </w:rPr>
        <w:t>August</w:t>
      </w:r>
      <w:r w:rsidRPr="00155954">
        <w:rPr>
          <w:u w:val="double"/>
          <w:lang w:val="de-DE"/>
        </w:rPr>
        <w:t xml:space="preserve"> 201</w:t>
      </w:r>
      <w:r w:rsidR="00155954">
        <w:rPr>
          <w:u w:val="double"/>
          <w:lang w:val="de-DE"/>
        </w:rPr>
        <w:t>2</w:t>
      </w:r>
      <w:r w:rsidRPr="00155954">
        <w:rPr>
          <w:u w:val="double"/>
          <w:lang w:val="de-DE"/>
        </w:rPr>
        <w:t>:</w:t>
      </w:r>
    </w:p>
    <w:p w14:paraId="77967447" w14:textId="77777777" w:rsidR="001159F5" w:rsidRPr="001159F5" w:rsidRDefault="001159F5" w:rsidP="00D21181">
      <w:pPr>
        <w:pStyle w:val="SingleTxtG"/>
        <w:ind w:left="1701"/>
        <w:rPr>
          <w:lang w:val="de-DE"/>
        </w:rPr>
      </w:pPr>
      <w:r w:rsidRPr="001159F5">
        <w:rPr>
          <w:lang w:val="de-DE"/>
        </w:rPr>
        <w:tab/>
        <w:t>9.</w:t>
      </w:r>
      <w:r w:rsidRPr="001159F5">
        <w:rPr>
          <w:lang w:val="de-DE"/>
        </w:rPr>
        <w:tab/>
        <w:t>Bericht über die erste Sitzung der informellen Arbeitsgruppe „Explosionsschutz“ auf Tankschiffen (Straßburg, 6. – 7. Juni 2012)</w:t>
      </w:r>
    </w:p>
    <w:p w14:paraId="61F7B45D" w14:textId="77777777" w:rsidR="001159F5" w:rsidRPr="001159F5" w:rsidRDefault="001159F5" w:rsidP="00D21181">
      <w:pPr>
        <w:pStyle w:val="SingleTxtG"/>
        <w:ind w:left="1701"/>
        <w:rPr>
          <w:lang w:val="de-DE"/>
        </w:rPr>
      </w:pPr>
      <w:r w:rsidRPr="001159F5">
        <w:rPr>
          <w:i/>
          <w:lang w:val="de-DE"/>
        </w:rPr>
        <w:t>Informelles Dokument</w:t>
      </w:r>
      <w:r w:rsidRPr="001159F5">
        <w:rPr>
          <w:lang w:val="de-DE"/>
        </w:rPr>
        <w:t>:</w:t>
      </w:r>
      <w:r w:rsidRPr="001159F5">
        <w:rPr>
          <w:lang w:val="de-DE"/>
        </w:rPr>
        <w:tab/>
        <w:t>INF.10 (ZKR)</w:t>
      </w:r>
    </w:p>
    <w:p w14:paraId="76CF3544" w14:textId="77777777" w:rsidR="001159F5" w:rsidRPr="001159F5" w:rsidRDefault="001159F5" w:rsidP="00D21181">
      <w:pPr>
        <w:pStyle w:val="SingleTxtG"/>
        <w:ind w:left="1701"/>
        <w:rPr>
          <w:lang w:val="de-DE"/>
        </w:rPr>
      </w:pPr>
      <w:r w:rsidRPr="001159F5">
        <w:rPr>
          <w:lang w:val="de-DE"/>
        </w:rPr>
        <w:t>32.</w:t>
      </w:r>
      <w:r w:rsidRPr="001159F5">
        <w:rPr>
          <w:lang w:val="de-DE"/>
        </w:rPr>
        <w:tab/>
        <w:t>Die vorgeschlagenen Konzepte (die Einteilung in Zonen, damit einhergehende Schutzmaßnahmen und zusätzliche Schutzmaßnahmen) stießen zwar nicht auf grundsätzliche Bedenken, es waren jedoch noch viele Einzelheiten zu klären. Zunächst gab die Arbeitsgruppe an, welche Bereiche der Verordnung davon betroffen waren. Anschließend setzte sie ihre Arbeit in einem größeren Zusammenhang fort, wobei z.B. die für Landanlagen und die Schiff-Land-Verbindung während der Be- und Entladung geltenden Verordnungen berücksichtigt wurden.</w:t>
      </w:r>
    </w:p>
    <w:p w14:paraId="2623F8BD" w14:textId="77777777" w:rsidR="008C3DED" w:rsidRDefault="008C3DED" w:rsidP="001159F5">
      <w:pPr>
        <w:pStyle w:val="SingleTxtG"/>
        <w:rPr>
          <w:b/>
          <w:u w:val="single"/>
          <w:lang w:val="de-DE"/>
        </w:rPr>
      </w:pPr>
      <w:r>
        <w:rPr>
          <w:b/>
          <w:u w:val="single"/>
          <w:lang w:val="de-DE"/>
        </w:rPr>
        <w:br w:type="page"/>
      </w:r>
    </w:p>
    <w:p w14:paraId="2D9CB059" w14:textId="4D508C52" w:rsidR="001159F5" w:rsidRPr="001159F5" w:rsidRDefault="003B5C7E" w:rsidP="001159F5">
      <w:pPr>
        <w:pStyle w:val="SingleTxtG"/>
        <w:rPr>
          <w:b/>
          <w:u w:val="single"/>
          <w:lang w:val="de-DE"/>
        </w:rPr>
      </w:pPr>
      <w:r>
        <w:rPr>
          <w:b/>
          <w:u w:val="single"/>
          <w:lang w:val="de-DE"/>
        </w:rPr>
        <w:lastRenderedPageBreak/>
        <w:t>ECE/TRANS</w:t>
      </w:r>
      <w:r w:rsidRPr="001159F5">
        <w:rPr>
          <w:b/>
          <w:u w:val="single"/>
          <w:lang w:val="de-DE"/>
        </w:rPr>
        <w:t>/</w:t>
      </w:r>
      <w:r w:rsidR="001159F5" w:rsidRPr="001159F5">
        <w:rPr>
          <w:b/>
          <w:u w:val="single"/>
          <w:lang w:val="de-DE"/>
        </w:rPr>
        <w:t>WP.15/AC.2/46</w:t>
      </w:r>
    </w:p>
    <w:p w14:paraId="6F261468" w14:textId="71655E3F" w:rsidR="001159F5" w:rsidRPr="001159F5" w:rsidRDefault="001159F5" w:rsidP="0040630B">
      <w:pPr>
        <w:pStyle w:val="SingleTxtG"/>
        <w:ind w:left="1701"/>
        <w:rPr>
          <w:lang w:val="de-DE"/>
        </w:rPr>
      </w:pPr>
      <w:r w:rsidRPr="001159F5">
        <w:rPr>
          <w:lang w:val="de-DE"/>
        </w:rPr>
        <w:t xml:space="preserve">Protokoll über die </w:t>
      </w:r>
      <w:r w:rsidR="008C3DED" w:rsidRPr="008C3DED">
        <w:rPr>
          <w:u w:val="single"/>
          <w:lang w:val="de-DE"/>
        </w:rPr>
        <w:t>22</w:t>
      </w:r>
      <w:r w:rsidRPr="001159F5">
        <w:rPr>
          <w:lang w:val="de-DE"/>
        </w:rPr>
        <w:t xml:space="preserve">. Sitzung des ADN-Sicherheitsausschusses im </w:t>
      </w:r>
      <w:r w:rsidR="008C3DED" w:rsidRPr="00155954">
        <w:rPr>
          <w:u w:val="double"/>
          <w:lang w:val="de-DE"/>
        </w:rPr>
        <w:t xml:space="preserve">Januar </w:t>
      </w:r>
      <w:r w:rsidR="00155954" w:rsidRPr="00155954">
        <w:rPr>
          <w:u w:val="double"/>
          <w:lang w:val="de-DE"/>
        </w:rPr>
        <w:t>2013</w:t>
      </w:r>
      <w:r w:rsidRPr="00155954">
        <w:rPr>
          <w:u w:val="double"/>
          <w:lang w:val="de-DE"/>
        </w:rPr>
        <w:t>:</w:t>
      </w:r>
    </w:p>
    <w:p w14:paraId="7C295AA8" w14:textId="77777777" w:rsidR="001159F5" w:rsidRPr="001159F5" w:rsidRDefault="001159F5" w:rsidP="0040630B">
      <w:pPr>
        <w:pStyle w:val="SingleTxtG"/>
        <w:ind w:left="1701"/>
        <w:rPr>
          <w:b/>
          <w:lang w:val="de-DE" w:eastAsia="de-DE"/>
        </w:rPr>
      </w:pPr>
      <w:r w:rsidRPr="001159F5">
        <w:rPr>
          <w:b/>
          <w:lang w:val="de-DE"/>
        </w:rPr>
        <w:t>B.</w:t>
      </w:r>
      <w:r w:rsidRPr="001159F5">
        <w:rPr>
          <w:b/>
          <w:lang w:val="de-DE"/>
        </w:rPr>
        <w:tab/>
        <w:t>Bericht der informellen Arbeitsgruppe zum Explosionsschutz auf Tankschiffen</w:t>
      </w:r>
    </w:p>
    <w:p w14:paraId="5987EC7F" w14:textId="56D6F4D9" w:rsidR="001159F5" w:rsidRPr="001159F5" w:rsidRDefault="001159F5" w:rsidP="0040630B">
      <w:pPr>
        <w:pStyle w:val="SingleTxtG"/>
        <w:ind w:left="1701"/>
        <w:jc w:val="left"/>
        <w:rPr>
          <w:lang w:val="de-DE"/>
        </w:rPr>
      </w:pPr>
      <w:r w:rsidRPr="001159F5">
        <w:rPr>
          <w:i/>
          <w:lang w:val="de-DE"/>
        </w:rPr>
        <w:t>Informelle Dokumente</w:t>
      </w:r>
      <w:r w:rsidRPr="001159F5">
        <w:rPr>
          <w:lang w:val="de-DE"/>
        </w:rPr>
        <w:t>:</w:t>
      </w:r>
      <w:r w:rsidRPr="001159F5">
        <w:rPr>
          <w:lang w:val="de-DE"/>
        </w:rPr>
        <w:tab/>
        <w:t>INF.23 (ZKR)</w:t>
      </w:r>
      <w:r w:rsidRPr="001159F5">
        <w:rPr>
          <w:lang w:val="de-DE"/>
        </w:rPr>
        <w:br/>
      </w:r>
      <w:r w:rsidRPr="001159F5">
        <w:rPr>
          <w:lang w:val="de-DE"/>
        </w:rPr>
        <w:tab/>
      </w:r>
      <w:r w:rsidRPr="001159F5">
        <w:rPr>
          <w:lang w:val="de-DE"/>
        </w:rPr>
        <w:tab/>
      </w:r>
      <w:r w:rsidRPr="001159F5">
        <w:rPr>
          <w:lang w:val="de-DE"/>
        </w:rPr>
        <w:tab/>
      </w:r>
      <w:r w:rsidRPr="001159F5">
        <w:rPr>
          <w:lang w:val="de-DE"/>
        </w:rPr>
        <w:tab/>
      </w:r>
      <w:r w:rsidR="0040630B">
        <w:rPr>
          <w:lang w:val="de-DE"/>
        </w:rPr>
        <w:tab/>
      </w:r>
      <w:r w:rsidRPr="001159F5">
        <w:rPr>
          <w:lang w:val="de-DE"/>
        </w:rPr>
        <w:t>INF. 32 (Empfohlene ADN-Klassifikationsgesellschaften)</w:t>
      </w:r>
    </w:p>
    <w:p w14:paraId="4E889B94" w14:textId="77777777" w:rsidR="001159F5" w:rsidRPr="001159F5" w:rsidRDefault="001159F5" w:rsidP="0040630B">
      <w:pPr>
        <w:pStyle w:val="SingleTxtG"/>
        <w:ind w:left="1701"/>
        <w:rPr>
          <w:lang w:val="de-DE"/>
        </w:rPr>
      </w:pPr>
      <w:r w:rsidRPr="001159F5">
        <w:rPr>
          <w:lang w:val="de-DE"/>
        </w:rPr>
        <w:t>64.</w:t>
      </w:r>
      <w:r w:rsidRPr="001159F5">
        <w:rPr>
          <w:lang w:val="de-DE"/>
        </w:rPr>
        <w:tab/>
        <w:t>Der Sicherheitsausschuss lud die Arbeitsgruppe dazu ein, ihre Arbeit auf der Grundlage der in Anhang 2 des informellen Dokumentes INF.23 fortzusetzen.</w:t>
      </w:r>
    </w:p>
    <w:p w14:paraId="1DC79AFF" w14:textId="77777777" w:rsidR="001159F5" w:rsidRPr="001159F5" w:rsidRDefault="001159F5" w:rsidP="0040630B">
      <w:pPr>
        <w:pStyle w:val="SingleTxtG"/>
        <w:ind w:left="1701"/>
        <w:rPr>
          <w:b/>
          <w:szCs w:val="24"/>
          <w:lang w:val="de-DE"/>
        </w:rPr>
      </w:pPr>
      <w:r w:rsidRPr="001159F5">
        <w:rPr>
          <w:b/>
          <w:szCs w:val="24"/>
          <w:lang w:val="de-DE"/>
        </w:rPr>
        <w:t>Anhang 2 - Liste der zu ändernden Abschnitte des ADN (nicht abschließend)</w:t>
      </w:r>
    </w:p>
    <w:p w14:paraId="32FD7072" w14:textId="77777777" w:rsidR="001159F5" w:rsidRPr="001159F5" w:rsidRDefault="001159F5" w:rsidP="0040630B">
      <w:pPr>
        <w:pStyle w:val="SingleTxtG"/>
        <w:ind w:left="1701"/>
        <w:rPr>
          <w:lang w:val="de-DE"/>
        </w:rPr>
      </w:pPr>
      <w:r w:rsidRPr="001159F5">
        <w:rPr>
          <w:lang w:val="de-DE"/>
        </w:rPr>
        <w:t>9.3.1</w:t>
      </w:r>
    </w:p>
    <w:p w14:paraId="3FCF90B8" w14:textId="77777777" w:rsidR="001159F5" w:rsidRPr="001159F5" w:rsidRDefault="001159F5" w:rsidP="0040630B">
      <w:pPr>
        <w:pStyle w:val="SingleTxtG"/>
        <w:ind w:left="1701"/>
        <w:rPr>
          <w:lang w:val="de-DE"/>
        </w:rPr>
      </w:pPr>
      <w:r w:rsidRPr="001159F5">
        <w:rPr>
          <w:lang w:val="de-DE"/>
        </w:rPr>
        <w:t>Zusätzliche Abschnitte die mechanischen Betriebsmittel betreffend wahrscheinlich erforderlich.</w:t>
      </w:r>
    </w:p>
    <w:p w14:paraId="3D8E551F" w14:textId="77777777" w:rsidR="001159F5" w:rsidRPr="001159F5" w:rsidRDefault="001159F5" w:rsidP="0040630B">
      <w:pPr>
        <w:pStyle w:val="SingleTxtG"/>
        <w:ind w:left="1701"/>
        <w:rPr>
          <w:lang w:val="de-DE"/>
        </w:rPr>
      </w:pPr>
      <w:r w:rsidRPr="001159F5">
        <w:rPr>
          <w:lang w:val="de-DE"/>
        </w:rPr>
        <w:t>9.3.2</w:t>
      </w:r>
    </w:p>
    <w:p w14:paraId="18645889" w14:textId="77777777" w:rsidR="001159F5" w:rsidRPr="001159F5" w:rsidRDefault="001159F5" w:rsidP="0040630B">
      <w:pPr>
        <w:pStyle w:val="SingleTxtG"/>
        <w:ind w:left="1701"/>
        <w:rPr>
          <w:lang w:val="de-DE"/>
        </w:rPr>
      </w:pPr>
      <w:r w:rsidRPr="001159F5">
        <w:rPr>
          <w:lang w:val="de-DE"/>
        </w:rPr>
        <w:t>....</w:t>
      </w:r>
    </w:p>
    <w:p w14:paraId="5CA5442D" w14:textId="77777777" w:rsidR="001159F5" w:rsidRPr="001159F5" w:rsidRDefault="001159F5" w:rsidP="0040630B">
      <w:pPr>
        <w:pStyle w:val="SingleTxtG"/>
        <w:ind w:left="1701"/>
        <w:rPr>
          <w:lang w:val="de-DE"/>
        </w:rPr>
      </w:pPr>
      <w:r w:rsidRPr="001159F5">
        <w:rPr>
          <w:lang w:val="de-DE"/>
        </w:rPr>
        <w:t>Zusätzliche Abschnitte die mechanischen Betriebsmittel betreffend wahrscheinlich erforderlich.</w:t>
      </w:r>
    </w:p>
    <w:p w14:paraId="5B89C7A1" w14:textId="77777777" w:rsidR="001159F5" w:rsidRPr="001159F5" w:rsidRDefault="001159F5" w:rsidP="0040630B">
      <w:pPr>
        <w:pStyle w:val="SingleTxtG"/>
        <w:ind w:left="1701"/>
        <w:rPr>
          <w:lang w:val="de-DE"/>
        </w:rPr>
      </w:pPr>
      <w:r w:rsidRPr="001159F5">
        <w:rPr>
          <w:lang w:val="de-DE"/>
        </w:rPr>
        <w:t>9.3.3</w:t>
      </w:r>
    </w:p>
    <w:p w14:paraId="4FBC41A8" w14:textId="77777777" w:rsidR="001159F5" w:rsidRPr="001159F5" w:rsidRDefault="001159F5" w:rsidP="0040630B">
      <w:pPr>
        <w:pStyle w:val="SingleTxtG"/>
        <w:ind w:left="1701"/>
        <w:rPr>
          <w:lang w:val="de-DE"/>
        </w:rPr>
      </w:pPr>
      <w:r w:rsidRPr="001159F5">
        <w:rPr>
          <w:lang w:val="de-DE"/>
        </w:rPr>
        <w:t>.....</w:t>
      </w:r>
    </w:p>
    <w:p w14:paraId="042F9F87" w14:textId="77777777" w:rsidR="001159F5" w:rsidRPr="001159F5" w:rsidRDefault="001159F5" w:rsidP="0040630B">
      <w:pPr>
        <w:pStyle w:val="SingleTxtG"/>
        <w:ind w:left="1701"/>
        <w:rPr>
          <w:lang w:val="de-DE"/>
        </w:rPr>
      </w:pPr>
      <w:r w:rsidRPr="001159F5">
        <w:rPr>
          <w:lang w:val="de-DE"/>
        </w:rPr>
        <w:t>Zusätzliche Abschnitte die mechanischen Betriebsmittel betreffend wahrscheinlich erforderlich.</w:t>
      </w:r>
    </w:p>
    <w:p w14:paraId="6DA4DC4E" w14:textId="0556E214" w:rsidR="001159F5" w:rsidRPr="001159F5" w:rsidRDefault="003B5C7E" w:rsidP="001159F5">
      <w:pPr>
        <w:pStyle w:val="SingleTxtG"/>
        <w:rPr>
          <w:b/>
          <w:u w:val="single"/>
          <w:lang w:val="de-DE"/>
        </w:rPr>
      </w:pPr>
      <w:r>
        <w:rPr>
          <w:b/>
          <w:u w:val="single"/>
          <w:lang w:val="de-DE"/>
        </w:rPr>
        <w:t>ECE/TRANS</w:t>
      </w:r>
      <w:r w:rsidRPr="001159F5">
        <w:rPr>
          <w:b/>
          <w:u w:val="single"/>
          <w:lang w:val="de-DE"/>
        </w:rPr>
        <w:t>/</w:t>
      </w:r>
      <w:r w:rsidR="001159F5" w:rsidRPr="001159F5">
        <w:rPr>
          <w:b/>
          <w:u w:val="single"/>
          <w:lang w:val="de-DE"/>
        </w:rPr>
        <w:t>WP.15/AC.2/54</w:t>
      </w:r>
    </w:p>
    <w:p w14:paraId="68A47B31" w14:textId="77777777" w:rsidR="001159F5" w:rsidRPr="001159F5" w:rsidRDefault="001159F5" w:rsidP="0040630B">
      <w:pPr>
        <w:pStyle w:val="SingleTxtG"/>
        <w:ind w:left="1701"/>
        <w:rPr>
          <w:lang w:val="de-DE"/>
        </w:rPr>
      </w:pPr>
      <w:r w:rsidRPr="001159F5">
        <w:rPr>
          <w:lang w:val="de-DE"/>
        </w:rPr>
        <w:t>Protokoll über die 26. Sitzung des ADN-Sicherheitsausschusses im Januar 2015:</w:t>
      </w:r>
    </w:p>
    <w:p w14:paraId="533B059F" w14:textId="77777777" w:rsidR="001159F5" w:rsidRPr="001159F5" w:rsidRDefault="001159F5" w:rsidP="0040630B">
      <w:pPr>
        <w:pStyle w:val="SingleTxtG"/>
        <w:ind w:left="1701"/>
        <w:rPr>
          <w:b/>
          <w:lang w:val="de-DE"/>
        </w:rPr>
      </w:pPr>
      <w:r w:rsidRPr="001159F5">
        <w:rPr>
          <w:b/>
          <w:lang w:val="de-DE"/>
        </w:rPr>
        <w:t>B. Informelle Arbeitsgruppe „Explosionsschutz auf Tankschiffen“</w:t>
      </w:r>
    </w:p>
    <w:p w14:paraId="1A5383D9" w14:textId="77777777" w:rsidR="001159F5" w:rsidRPr="001159F5" w:rsidRDefault="001159F5" w:rsidP="0040630B">
      <w:pPr>
        <w:pStyle w:val="SingleTxtG"/>
        <w:ind w:left="1701"/>
        <w:rPr>
          <w:i/>
          <w:lang w:val="de-DE"/>
        </w:rPr>
      </w:pPr>
      <w:r w:rsidRPr="001159F5">
        <w:rPr>
          <w:i/>
          <w:lang w:val="de-DE"/>
        </w:rPr>
        <w:t xml:space="preserve">Informelles Dokument: INF.31 (ZKR) </w:t>
      </w:r>
    </w:p>
    <w:p w14:paraId="44019A22" w14:textId="77777777" w:rsidR="001159F5" w:rsidRPr="001159F5" w:rsidRDefault="001159F5" w:rsidP="0040630B">
      <w:pPr>
        <w:pStyle w:val="SingleTxtG"/>
        <w:ind w:left="1701"/>
        <w:rPr>
          <w:lang w:val="de-DE"/>
        </w:rPr>
      </w:pPr>
      <w:r w:rsidRPr="001159F5">
        <w:rPr>
          <w:lang w:val="de-DE"/>
        </w:rPr>
        <w:t>63. Der Sicherheitsausschuss nahm die in den Abschnitten A, B und C des Protokolls vorgestellten Konzepte im Grundsatz an. Die informelle Arbeitsgruppe muss prüfen, ob die grundsätzlichen Sicherheitsanforderungen in Abschnitt A auch für Trockengüterschiffe und Schubschiffe gelten sollen. Wenn ein Tankschiff Stoffe befördert, die Explosionsschutz-maßnahmen erfordern, sollten zusätzliche Maßnahmen entsprechend dem informellen Dokument INF.23 (zweiundzwanzigste Sitzung) und den anderen in dem Protokoll vorgeschlagenen Maßnahmen anwendbar sein.</w:t>
      </w:r>
    </w:p>
    <w:p w14:paraId="16A98442" w14:textId="3976F9E5" w:rsidR="001159F5" w:rsidRPr="001159F5" w:rsidRDefault="003B5C7E" w:rsidP="001159F5">
      <w:pPr>
        <w:pStyle w:val="SingleTxtG"/>
        <w:rPr>
          <w:b/>
          <w:u w:val="single"/>
          <w:lang w:val="de-DE"/>
        </w:rPr>
      </w:pPr>
      <w:r>
        <w:rPr>
          <w:b/>
          <w:u w:val="single"/>
          <w:lang w:val="de-DE"/>
        </w:rPr>
        <w:t>ECE/TRANS</w:t>
      </w:r>
      <w:r w:rsidRPr="001159F5">
        <w:rPr>
          <w:b/>
          <w:u w:val="single"/>
          <w:lang w:val="de-DE"/>
        </w:rPr>
        <w:t>/</w:t>
      </w:r>
      <w:r w:rsidR="001159F5" w:rsidRPr="001159F5">
        <w:rPr>
          <w:b/>
          <w:u w:val="single"/>
          <w:lang w:val="de-DE"/>
        </w:rPr>
        <w:t>WP.15.AC.2/26/INF.31, Protokoll über 7. Sitzung der Informellen Arbeitsgruppe „Explosionsschutz auf Binnentankschiffen“ / Eingereicht von der Zentralkommission für die Rheinschifffahrt (ZKR)</w:t>
      </w:r>
    </w:p>
    <w:p w14:paraId="3A861019" w14:textId="77777777" w:rsidR="001159F5" w:rsidRPr="001159F5" w:rsidRDefault="001159F5" w:rsidP="00F37F50">
      <w:pPr>
        <w:pStyle w:val="SingleTxtG"/>
        <w:ind w:left="1701"/>
        <w:rPr>
          <w:rFonts w:eastAsia="Calibri"/>
          <w:b/>
          <w:lang w:val="de-DE"/>
        </w:rPr>
      </w:pPr>
      <w:r w:rsidRPr="001159F5">
        <w:rPr>
          <w:rFonts w:eastAsia="Calibri"/>
          <w:b/>
          <w:lang w:val="de-DE"/>
        </w:rPr>
        <w:t>B.</w:t>
      </w:r>
      <w:r w:rsidRPr="001159F5">
        <w:rPr>
          <w:rFonts w:eastAsia="Calibri"/>
          <w:b/>
          <w:lang w:val="de-DE"/>
        </w:rPr>
        <w:tab/>
        <w:t>Zusätzliche Maßnahmen, wenn die Schiffsstoffliste Produkte enthält für die Explosionsschutz gefordert ist</w:t>
      </w:r>
    </w:p>
    <w:p w14:paraId="42503783" w14:textId="77777777" w:rsidR="001159F5" w:rsidRPr="001159F5" w:rsidRDefault="001159F5" w:rsidP="00F37F50">
      <w:pPr>
        <w:pStyle w:val="SingleTxtG"/>
        <w:ind w:left="1701"/>
        <w:rPr>
          <w:rFonts w:eastAsia="Calibri"/>
          <w:lang w:val="de-DE"/>
        </w:rPr>
      </w:pPr>
      <w:r w:rsidRPr="001159F5">
        <w:rPr>
          <w:rFonts w:eastAsia="Calibri"/>
          <w:lang w:val="de-DE"/>
        </w:rPr>
        <w:t xml:space="preserve">Für Binnentankschiffe deren Schiffsstoffliste Produkte enthält, für die Explosionsschutz erforderlich ist, werden </w:t>
      </w:r>
      <w:r w:rsidRPr="001159F5">
        <w:rPr>
          <w:rFonts w:eastAsia="Calibri"/>
          <w:b/>
          <w:lang w:val="de-DE"/>
        </w:rPr>
        <w:t>zusätzlich zu A</w:t>
      </w:r>
      <w:r w:rsidRPr="001159F5">
        <w:rPr>
          <w:rFonts w:eastAsia="Calibri"/>
          <w:lang w:val="de-DE"/>
        </w:rPr>
        <w:t xml:space="preserve"> folgende Änderungen vorgeschlagen:</w:t>
      </w:r>
    </w:p>
    <w:p w14:paraId="1A6E6652" w14:textId="77777777" w:rsidR="001159F5" w:rsidRPr="001159F5" w:rsidRDefault="001159F5" w:rsidP="00F37F50">
      <w:pPr>
        <w:pStyle w:val="SingleTxtG"/>
        <w:ind w:left="1701"/>
        <w:rPr>
          <w:rFonts w:eastAsia="Calibri"/>
          <w:lang w:val="de-DE"/>
        </w:rPr>
      </w:pPr>
      <w:r w:rsidRPr="001159F5">
        <w:rPr>
          <w:rFonts w:eastAsia="Calibri"/>
          <w:lang w:val="de-DE"/>
        </w:rPr>
        <w:t xml:space="preserve">Das geltende Zonenkonzept soll modifiziert werden, wie dem Sicherheitsausschuss mit dem </w:t>
      </w:r>
      <w:proofErr w:type="spellStart"/>
      <w:r w:rsidRPr="001159F5">
        <w:rPr>
          <w:rFonts w:eastAsia="Calibri"/>
          <w:lang w:val="de-DE"/>
        </w:rPr>
        <w:t>Inf.papier</w:t>
      </w:r>
      <w:proofErr w:type="spellEnd"/>
      <w:r w:rsidRPr="001159F5">
        <w:rPr>
          <w:rFonts w:eastAsia="Calibri"/>
          <w:lang w:val="de-DE"/>
        </w:rPr>
        <w:t xml:space="preserve"> WP15-AC2-22-inf23g vorgeschlagen wurde:</w:t>
      </w:r>
    </w:p>
    <w:p w14:paraId="18582771" w14:textId="77777777" w:rsidR="001159F5" w:rsidRPr="001159F5" w:rsidRDefault="001159F5" w:rsidP="00F37F50">
      <w:pPr>
        <w:pStyle w:val="SingleTxtG"/>
        <w:ind w:left="1701"/>
        <w:rPr>
          <w:rFonts w:eastAsia="Calibri"/>
          <w:lang w:val="de-DE"/>
        </w:rPr>
      </w:pPr>
      <w:r w:rsidRPr="001159F5">
        <w:rPr>
          <w:rFonts w:eastAsia="Calibri"/>
          <w:lang w:val="de-DE"/>
        </w:rPr>
        <w:t>.......</w:t>
      </w:r>
    </w:p>
    <w:p w14:paraId="08EDD0C1" w14:textId="77777777" w:rsidR="001159F5" w:rsidRPr="001159F5" w:rsidRDefault="001159F5" w:rsidP="00F37F50">
      <w:pPr>
        <w:pStyle w:val="SingleTxtG"/>
        <w:ind w:left="1701"/>
        <w:rPr>
          <w:rFonts w:eastAsia="Calibri"/>
          <w:lang w:val="de-DE"/>
        </w:rPr>
      </w:pPr>
      <w:r w:rsidRPr="001159F5">
        <w:rPr>
          <w:rFonts w:eastAsia="Calibri"/>
          <w:lang w:val="de-DE"/>
        </w:rPr>
        <w:t>Ausweiten der Explosionsschutzanforderungen in den an Bord ausgewiesenen Zonen auf nicht-elektrische Betriebsmittel.</w:t>
      </w:r>
    </w:p>
    <w:p w14:paraId="266E2028" w14:textId="77777777" w:rsidR="001159F5" w:rsidRPr="001159F5" w:rsidRDefault="001159F5" w:rsidP="00F37F50">
      <w:pPr>
        <w:pStyle w:val="SingleTxtG"/>
        <w:ind w:left="1701"/>
        <w:rPr>
          <w:rFonts w:eastAsia="Calibri"/>
          <w:lang w:val="de-DE"/>
        </w:rPr>
      </w:pPr>
      <w:r w:rsidRPr="001159F5">
        <w:rPr>
          <w:rFonts w:eastAsia="Calibri"/>
          <w:lang w:val="de-DE"/>
        </w:rPr>
        <w:lastRenderedPageBreak/>
        <w:t>Die in der jeweiligen an Bord des Schiffes ausgewiesenen Zone betriebenen elektrischen und nicht-elektrischen Betriebsmittel müssen für den Einsatz in dieser Zone geeignet sein.</w:t>
      </w:r>
    </w:p>
    <w:p w14:paraId="69D4602B" w14:textId="77777777" w:rsidR="001159F5" w:rsidRPr="001159F5" w:rsidRDefault="001159F5" w:rsidP="00F37F50">
      <w:pPr>
        <w:pStyle w:val="SingleTxtG"/>
        <w:ind w:left="1701"/>
        <w:rPr>
          <w:rFonts w:eastAsia="Calibri"/>
          <w:lang w:val="de-DE"/>
        </w:rPr>
      </w:pPr>
      <w:r w:rsidRPr="001159F5">
        <w:rPr>
          <w:rFonts w:eastAsia="Calibri"/>
          <w:lang w:val="de-DE"/>
        </w:rPr>
        <w:t>........</w:t>
      </w:r>
    </w:p>
    <w:p w14:paraId="66619BF6" w14:textId="77777777" w:rsidR="001159F5" w:rsidRPr="001159F5" w:rsidRDefault="001159F5" w:rsidP="00F37F50">
      <w:pPr>
        <w:pStyle w:val="SingleTxtG"/>
        <w:keepNext/>
        <w:keepLines/>
        <w:rPr>
          <w:lang w:val="de-DE"/>
        </w:rPr>
      </w:pPr>
      <w:r w:rsidRPr="001159F5">
        <w:rPr>
          <w:lang w:val="de-DE"/>
        </w:rPr>
        <w:t>7.</w:t>
      </w:r>
      <w:r w:rsidRPr="001159F5">
        <w:rPr>
          <w:lang w:val="de-DE"/>
        </w:rPr>
        <w:tab/>
        <w:t>Nach Absatz 1.4.2.2.1 Buchstabe f) hat der BEFÖRDERER</w:t>
      </w:r>
    </w:p>
    <w:p w14:paraId="49A91112" w14:textId="77777777" w:rsidR="001159F5" w:rsidRPr="001159F5" w:rsidRDefault="001159F5" w:rsidP="00F37F50">
      <w:pPr>
        <w:pStyle w:val="SingleTxtG"/>
        <w:keepNext/>
        <w:keepLines/>
        <w:ind w:left="1701"/>
        <w:rPr>
          <w:lang w:val="de-DE"/>
        </w:rPr>
      </w:pPr>
      <w:r w:rsidRPr="001159F5">
        <w:rPr>
          <w:lang w:val="de-DE"/>
        </w:rPr>
        <w:t>“sicherzustellen, dass an Bord des Schiffes in den explosionsgefährdeten Bereichen nur elektrische und nicht-elektrische Anlagen und Geräte verwendet werden, die mindestens die Anforderungen für den Einsatz in der jeweiligen Zone erfüllen;”.</w:t>
      </w:r>
    </w:p>
    <w:p w14:paraId="158C87A3" w14:textId="77777777" w:rsidR="001159F5" w:rsidRPr="001159F5" w:rsidRDefault="001159F5" w:rsidP="00F37F50">
      <w:pPr>
        <w:pStyle w:val="SingleTxtG"/>
        <w:ind w:left="1701"/>
        <w:rPr>
          <w:lang w:val="de-DE"/>
        </w:rPr>
      </w:pPr>
      <w:r w:rsidRPr="001159F5">
        <w:rPr>
          <w:lang w:val="de-DE"/>
        </w:rPr>
        <w:t>Auch hier bezieht sich die Pflicht, für die Eignung der Anlagen und Geräte für die jeweilige Zone zu sorgen, auch auf die “nicht-elektrischen” Anlagen und Geräte.</w:t>
      </w:r>
    </w:p>
    <w:p w14:paraId="5F116F36" w14:textId="77777777" w:rsidR="001159F5" w:rsidRPr="001159F5" w:rsidRDefault="001159F5" w:rsidP="001159F5">
      <w:pPr>
        <w:pStyle w:val="SingleTxtG"/>
        <w:rPr>
          <w:lang w:val="de-DE"/>
        </w:rPr>
      </w:pPr>
      <w:r w:rsidRPr="001159F5">
        <w:rPr>
          <w:lang w:val="de-DE"/>
        </w:rPr>
        <w:t>8..</w:t>
      </w:r>
      <w:r w:rsidRPr="001159F5">
        <w:rPr>
          <w:lang w:val="de-DE"/>
        </w:rPr>
        <w:tab/>
        <w:t xml:space="preserve">Nach Unterabschnitt 1.16.3.1 ADN bescheinigt die Klassifikationsgesellschaft, die das Schiff untersucht, “die teilweise oder vollständige Konformität des Schiffes mit den anwendbaren Vorschriften dieser Verordnung </w:t>
      </w:r>
      <w:proofErr w:type="gramStart"/>
      <w:r w:rsidRPr="001159F5">
        <w:rPr>
          <w:lang w:val="de-DE"/>
        </w:rPr>
        <w:t>hinsichtlich Bau</w:t>
      </w:r>
      <w:proofErr w:type="gramEnd"/>
      <w:r w:rsidRPr="001159F5">
        <w:rPr>
          <w:lang w:val="de-DE"/>
        </w:rPr>
        <w:t xml:space="preserve"> und Ausrüstung des Schiffes”.</w:t>
      </w:r>
    </w:p>
    <w:p w14:paraId="65422A39" w14:textId="6698DBEE" w:rsidR="001159F5" w:rsidRPr="001159F5" w:rsidRDefault="00F37F50" w:rsidP="00F37F50">
      <w:pPr>
        <w:pStyle w:val="HChG"/>
        <w:rPr>
          <w:lang w:val="de-DE"/>
        </w:rPr>
      </w:pPr>
      <w:r>
        <w:rPr>
          <w:lang w:val="de-DE"/>
        </w:rPr>
        <w:tab/>
      </w:r>
      <w:r>
        <w:rPr>
          <w:lang w:val="de-DE"/>
        </w:rPr>
        <w:tab/>
      </w:r>
      <w:r w:rsidR="001159F5" w:rsidRPr="001159F5">
        <w:rPr>
          <w:lang w:val="de-DE"/>
        </w:rPr>
        <w:t>Schlussfolgerungen</w:t>
      </w:r>
    </w:p>
    <w:p w14:paraId="4F6C1241" w14:textId="3969157A" w:rsidR="001159F5" w:rsidRPr="001159F5" w:rsidRDefault="001159F5" w:rsidP="00451F4F">
      <w:pPr>
        <w:pStyle w:val="SingleTxtG"/>
        <w:rPr>
          <w:lang w:val="de-DE"/>
        </w:rPr>
      </w:pPr>
      <w:r w:rsidRPr="001159F5">
        <w:rPr>
          <w:lang w:val="de-DE"/>
        </w:rPr>
        <w:tab/>
        <w:t>9.</w:t>
      </w:r>
      <w:r w:rsidRPr="001159F5">
        <w:rPr>
          <w:lang w:val="de-DE"/>
        </w:rPr>
        <w:tab/>
        <w:t xml:space="preserve"> Die nicht-elektrischen Anlagen und Geräte zählen zu der hier genannten Ausrüstung des Schiffes. Die jeweilige Klassifikationsgesellschaft muss dies bei der Untersuchung des Schiffes für das Zulassungszeugnis beachten. Da die Einbeziehung der nicht-elektrischen Anlagen und Geräte in das Explosionsschutzkonzept von Anfang an, seit 2011, vom Sicherheitsausschuss mitgetragen wurde, ist die deutsche Delegation bisher davon ausgegangen, dass keine Übergangsvorschrift benötigt wird und die nicht-elektrischen Anlagen und Geräte die entsprechenden Anforderungen erfüllen können. Die Aussagen im Bericht der anerkannten Klassifikationsgesellschaften sind hierzu unklar. </w:t>
      </w:r>
    </w:p>
    <w:p w14:paraId="6087E94F" w14:textId="7D7611F5" w:rsidR="001159F5" w:rsidRPr="001159F5" w:rsidRDefault="001159F5" w:rsidP="00F37F50">
      <w:pPr>
        <w:pStyle w:val="HChG"/>
        <w:rPr>
          <w:lang w:val="de-DE"/>
        </w:rPr>
      </w:pPr>
      <w:r w:rsidRPr="001159F5">
        <w:rPr>
          <w:lang w:val="de-DE"/>
        </w:rPr>
        <w:tab/>
      </w:r>
      <w:r w:rsidR="00F37F50">
        <w:rPr>
          <w:lang w:val="de-DE"/>
        </w:rPr>
        <w:tab/>
      </w:r>
      <w:r w:rsidR="00F37F50">
        <w:rPr>
          <w:lang w:val="de-DE"/>
        </w:rPr>
        <w:tab/>
      </w:r>
      <w:r w:rsidRPr="001159F5">
        <w:rPr>
          <w:lang w:val="de-DE"/>
        </w:rPr>
        <w:t>Antrag</w:t>
      </w:r>
    </w:p>
    <w:p w14:paraId="4167DC6D" w14:textId="590E729C" w:rsidR="000922C0" w:rsidRPr="001159F5" w:rsidRDefault="001159F5" w:rsidP="001159F5">
      <w:pPr>
        <w:pStyle w:val="SingleTxtG"/>
        <w:rPr>
          <w:lang w:val="de-DE"/>
        </w:rPr>
      </w:pPr>
      <w:r w:rsidRPr="001159F5">
        <w:rPr>
          <w:lang w:val="de-DE"/>
        </w:rPr>
        <w:t xml:space="preserve">10. </w:t>
      </w:r>
      <w:r w:rsidRPr="001159F5">
        <w:rPr>
          <w:lang w:val="de-DE"/>
        </w:rPr>
        <w:tab/>
        <w:t>Deutschland bittet den Sicherheitsausschuss zu diskutieren, ob eine Übergangsvorschrift für nicht-elektrische Anlagen und Geräte zum Einsatz in explosionsgefährdeten Bereichen benötigt wird und, falls ja, für welchen Zeitraum eine solche erforderlich ist. Gegebenenfalls ist ein Austausch einfacher bzw. schneller umzusetzen als der Austausch der elektrischen Anlagen und Geräte.</w:t>
      </w:r>
    </w:p>
    <w:p w14:paraId="2EE46C68" w14:textId="1AD24888" w:rsidR="00133F18" w:rsidRPr="0006065E" w:rsidRDefault="0006065E" w:rsidP="0006065E">
      <w:pPr>
        <w:spacing w:before="240"/>
        <w:jc w:val="center"/>
        <w:rPr>
          <w:u w:val="single"/>
          <w:lang w:val="en-GB"/>
        </w:rPr>
      </w:pPr>
      <w:r>
        <w:rPr>
          <w:u w:val="single"/>
          <w:lang w:val="en-GB"/>
        </w:rPr>
        <w:tab/>
      </w:r>
      <w:r>
        <w:rPr>
          <w:u w:val="single"/>
          <w:lang w:val="en-GB"/>
        </w:rPr>
        <w:tab/>
      </w:r>
      <w:r>
        <w:rPr>
          <w:u w:val="single"/>
          <w:lang w:val="en-GB"/>
        </w:rPr>
        <w:tab/>
      </w:r>
    </w:p>
    <w:sectPr w:rsidR="00133F18" w:rsidRPr="0006065E" w:rsidSect="00847B77">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BF42" w14:textId="77777777" w:rsidR="005806D0" w:rsidRDefault="005806D0"/>
  </w:endnote>
  <w:endnote w:type="continuationSeparator" w:id="0">
    <w:p w14:paraId="1DB34613" w14:textId="77777777" w:rsidR="005806D0" w:rsidRDefault="005806D0"/>
  </w:endnote>
  <w:endnote w:type="continuationNotice" w:id="1">
    <w:p w14:paraId="26241F76" w14:textId="77777777" w:rsidR="005806D0" w:rsidRPr="00BF38EF" w:rsidRDefault="005806D0"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1375768710"/>
      <w:docPartObj>
        <w:docPartGallery w:val="Page Numbers (Bottom of Page)"/>
        <w:docPartUnique/>
      </w:docPartObj>
    </w:sdtPr>
    <w:sdtEndPr>
      <w:rPr>
        <w:noProof/>
      </w:rPr>
    </w:sdtEndPr>
    <w:sdtContent>
      <w:p w14:paraId="3EB3E597" w14:textId="5FF0A356" w:rsidR="00856CB1" w:rsidRPr="0006065E" w:rsidRDefault="0006065E" w:rsidP="0006065E">
        <w:pPr>
          <w:pStyle w:val="Footer"/>
          <w:rPr>
            <w:b/>
            <w:bCs/>
            <w:sz w:val="18"/>
            <w:szCs w:val="22"/>
          </w:rPr>
        </w:pPr>
        <w:r w:rsidRPr="0006065E">
          <w:rPr>
            <w:b/>
            <w:bCs/>
            <w:sz w:val="18"/>
            <w:szCs w:val="22"/>
          </w:rPr>
          <w:fldChar w:fldCharType="begin"/>
        </w:r>
        <w:r w:rsidRPr="0006065E">
          <w:rPr>
            <w:b/>
            <w:bCs/>
            <w:sz w:val="18"/>
            <w:szCs w:val="22"/>
          </w:rPr>
          <w:instrText xml:space="preserve"> PAGE   \* MERGEFORMAT </w:instrText>
        </w:r>
        <w:r w:rsidRPr="0006065E">
          <w:rPr>
            <w:b/>
            <w:bCs/>
            <w:sz w:val="18"/>
            <w:szCs w:val="22"/>
          </w:rPr>
          <w:fldChar w:fldCharType="separate"/>
        </w:r>
        <w:r w:rsidRPr="0006065E">
          <w:rPr>
            <w:b/>
            <w:bCs/>
            <w:noProof/>
            <w:sz w:val="18"/>
            <w:szCs w:val="22"/>
          </w:rPr>
          <w:t>2</w:t>
        </w:r>
        <w:r w:rsidRPr="0006065E">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2104761248"/>
      <w:docPartObj>
        <w:docPartGallery w:val="Page Numbers (Bottom of Page)"/>
        <w:docPartUnique/>
      </w:docPartObj>
    </w:sdtPr>
    <w:sdtEndPr>
      <w:rPr>
        <w:noProof/>
      </w:rPr>
    </w:sdtEndPr>
    <w:sdtContent>
      <w:p w14:paraId="203A6B90" w14:textId="7563F1D1" w:rsidR="00856CB1" w:rsidRPr="001159F5" w:rsidRDefault="001159F5" w:rsidP="001159F5">
        <w:pPr>
          <w:pStyle w:val="Footer"/>
          <w:jc w:val="right"/>
          <w:rPr>
            <w:b/>
            <w:bCs/>
            <w:sz w:val="18"/>
            <w:szCs w:val="22"/>
          </w:rPr>
        </w:pPr>
        <w:r w:rsidRPr="0006065E">
          <w:rPr>
            <w:b/>
            <w:bCs/>
            <w:sz w:val="18"/>
            <w:szCs w:val="22"/>
          </w:rPr>
          <w:fldChar w:fldCharType="begin"/>
        </w:r>
        <w:r w:rsidRPr="0006065E">
          <w:rPr>
            <w:b/>
            <w:bCs/>
            <w:sz w:val="18"/>
            <w:szCs w:val="22"/>
          </w:rPr>
          <w:instrText xml:space="preserve"> PAGE   \* MERGEFORMAT </w:instrText>
        </w:r>
        <w:r w:rsidRPr="0006065E">
          <w:rPr>
            <w:b/>
            <w:bCs/>
            <w:sz w:val="18"/>
            <w:szCs w:val="22"/>
          </w:rPr>
          <w:fldChar w:fldCharType="separate"/>
        </w:r>
        <w:r>
          <w:rPr>
            <w:b/>
            <w:bCs/>
            <w:sz w:val="18"/>
            <w:szCs w:val="22"/>
          </w:rPr>
          <w:t>2</w:t>
        </w:r>
        <w:r w:rsidRPr="0006065E">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0582" w14:textId="77777777" w:rsidR="005806D0" w:rsidRPr="00D27D5E" w:rsidRDefault="005806D0" w:rsidP="00D27D5E">
      <w:pPr>
        <w:tabs>
          <w:tab w:val="right" w:pos="2155"/>
        </w:tabs>
        <w:spacing w:after="80"/>
        <w:ind w:left="680"/>
        <w:rPr>
          <w:u w:val="single"/>
        </w:rPr>
      </w:pPr>
      <w:r>
        <w:rPr>
          <w:u w:val="single"/>
        </w:rPr>
        <w:tab/>
      </w:r>
    </w:p>
  </w:footnote>
  <w:footnote w:type="continuationSeparator" w:id="0">
    <w:p w14:paraId="01809D0A" w14:textId="77777777" w:rsidR="005806D0" w:rsidRPr="00836A24" w:rsidRDefault="005806D0" w:rsidP="00836A24">
      <w:pPr>
        <w:tabs>
          <w:tab w:val="right" w:pos="2155"/>
        </w:tabs>
        <w:spacing w:after="80"/>
        <w:ind w:left="680"/>
        <w:rPr>
          <w:u w:val="single"/>
        </w:rPr>
      </w:pPr>
      <w:r w:rsidRPr="00836A24">
        <w:rPr>
          <w:u w:val="single"/>
        </w:rPr>
        <w:tab/>
      </w:r>
    </w:p>
  </w:footnote>
  <w:footnote w:type="continuationNotice" w:id="1">
    <w:p w14:paraId="4DA1C783" w14:textId="77777777" w:rsidR="005806D0" w:rsidRPr="00BF38EF" w:rsidRDefault="005806D0" w:rsidP="00BF38E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4E71C" w14:textId="4CC76E5A" w:rsidR="00856CB1" w:rsidRPr="0006065E" w:rsidRDefault="0006065E" w:rsidP="0006065E">
    <w:pPr>
      <w:pBdr>
        <w:bottom w:val="single" w:sz="4" w:space="1" w:color="auto"/>
      </w:pBdr>
      <w:spacing w:line="240" w:lineRule="auto"/>
      <w:rPr>
        <w:b/>
        <w:bCs/>
        <w:sz w:val="22"/>
        <w:szCs w:val="22"/>
      </w:rPr>
    </w:pPr>
    <w:r w:rsidRPr="0006065E">
      <w:rPr>
        <w:b/>
        <w:bCs/>
        <w:snapToGrid w:val="0"/>
        <w:sz w:val="18"/>
        <w:szCs w:val="18"/>
        <w:lang w:val="nl-NL" w:eastAsia="fr-FR"/>
      </w:rPr>
      <w:t>INF.</w:t>
    </w:r>
    <w:r w:rsidR="009C5466">
      <w:rPr>
        <w:b/>
        <w:bCs/>
        <w:snapToGrid w:val="0"/>
        <w:sz w:val="18"/>
        <w:szCs w:val="18"/>
        <w:lang w:val="nl-NL" w:eastAsia="fr-FR"/>
      </w:rPr>
      <w:t>1</w:t>
    </w:r>
    <w:r w:rsidR="001159F5">
      <w:rPr>
        <w:b/>
        <w:bCs/>
        <w:snapToGrid w:val="0"/>
        <w:sz w:val="18"/>
        <w:szCs w:val="18"/>
        <w:lang w:val="nl-NL" w:eastAsia="fr-FR"/>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8048" w14:textId="6EC4937C" w:rsidR="00856CB1" w:rsidRPr="001159F5" w:rsidRDefault="001159F5" w:rsidP="001159F5">
    <w:pPr>
      <w:pBdr>
        <w:bottom w:val="single" w:sz="4" w:space="1" w:color="auto"/>
      </w:pBdr>
      <w:spacing w:line="240" w:lineRule="auto"/>
      <w:jc w:val="right"/>
      <w:rPr>
        <w:b/>
        <w:bCs/>
        <w:sz w:val="22"/>
        <w:szCs w:val="22"/>
      </w:rPr>
    </w:pPr>
    <w:r w:rsidRPr="0006065E">
      <w:rPr>
        <w:b/>
        <w:bCs/>
        <w:snapToGrid w:val="0"/>
        <w:sz w:val="18"/>
        <w:szCs w:val="18"/>
        <w:lang w:val="nl-NL" w:eastAsia="fr-FR"/>
      </w:rPr>
      <w:t>INF.</w:t>
    </w:r>
    <w:r>
      <w:rPr>
        <w:b/>
        <w:bCs/>
        <w:snapToGrid w:val="0"/>
        <w:sz w:val="18"/>
        <w:szCs w:val="18"/>
        <w:lang w:val="nl-NL" w:eastAsia="fr-FR"/>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E2B"/>
    <w:multiLevelType w:val="hybridMultilevel"/>
    <w:tmpl w:val="6E2C111C"/>
    <w:lvl w:ilvl="0" w:tplc="C6B6C36C">
      <w:start w:val="1"/>
      <w:numFmt w:val="upperRoman"/>
      <w:lvlText w:val="%1."/>
      <w:lvlJc w:val="left"/>
      <w:pPr>
        <w:ind w:left="5399" w:hanging="720"/>
      </w:pPr>
      <w:rPr>
        <w:rFonts w:hint="default"/>
        <w:b/>
        <w:bCs/>
      </w:rPr>
    </w:lvl>
    <w:lvl w:ilvl="1" w:tplc="04070019">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 w15:restartNumberingAfterBreak="0">
    <w:nsid w:val="07196795"/>
    <w:multiLevelType w:val="hybridMultilevel"/>
    <w:tmpl w:val="CD5CBFF2"/>
    <w:lvl w:ilvl="0" w:tplc="8CC0486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080D86"/>
    <w:multiLevelType w:val="hybridMultilevel"/>
    <w:tmpl w:val="6F184BB2"/>
    <w:lvl w:ilvl="0" w:tplc="F03CC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D57A4"/>
    <w:multiLevelType w:val="hybridMultilevel"/>
    <w:tmpl w:val="3FA615D0"/>
    <w:lvl w:ilvl="0" w:tplc="2A661976">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6C5878"/>
    <w:multiLevelType w:val="hybridMultilevel"/>
    <w:tmpl w:val="EAEACB78"/>
    <w:lvl w:ilvl="0" w:tplc="397480E8">
      <w:start w:val="1"/>
      <w:numFmt w:val="upperRoman"/>
      <w:lvlText w:val="%1."/>
      <w:lvlJc w:val="left"/>
      <w:pPr>
        <w:ind w:left="1850" w:hanging="72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4B276276"/>
    <w:multiLevelType w:val="hybridMultilevel"/>
    <w:tmpl w:val="F3E2B342"/>
    <w:lvl w:ilvl="0" w:tplc="57E698BC">
      <w:start w:val="1"/>
      <w:numFmt w:val="bullet"/>
      <w:lvlText w:val="-"/>
      <w:lvlJc w:val="left"/>
      <w:pPr>
        <w:ind w:left="927" w:hanging="360"/>
      </w:pPr>
      <w:rPr>
        <w:rFonts w:ascii="Arial" w:eastAsia="Calibri"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58265FC7"/>
    <w:multiLevelType w:val="hybridMultilevel"/>
    <w:tmpl w:val="2CA4E25E"/>
    <w:lvl w:ilvl="0" w:tplc="EEA6DC84">
      <w:start w:val="1"/>
      <w:numFmt w:val="decimal"/>
      <w:lvlText w:val="%1."/>
      <w:lvlJc w:val="left"/>
      <w:pPr>
        <w:ind w:left="1495"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15:restartNumberingAfterBreak="0">
    <w:nsid w:val="5A5A68D2"/>
    <w:multiLevelType w:val="hybridMultilevel"/>
    <w:tmpl w:val="27066446"/>
    <w:lvl w:ilvl="0" w:tplc="372052FC">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D745983"/>
    <w:multiLevelType w:val="hybridMultilevel"/>
    <w:tmpl w:val="497A65BE"/>
    <w:lvl w:ilvl="0" w:tplc="07FA697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6D814109"/>
    <w:multiLevelType w:val="hybridMultilevel"/>
    <w:tmpl w:val="A9049804"/>
    <w:lvl w:ilvl="0" w:tplc="234C940A">
      <w:start w:val="2"/>
      <w:numFmt w:val="bullet"/>
      <w:lvlText w:val="–"/>
      <w:lvlJc w:val="left"/>
      <w:pPr>
        <w:ind w:left="2049" w:hanging="360"/>
      </w:pPr>
      <w:rPr>
        <w:rFonts w:ascii="Times New Roman" w:eastAsia="MS Mincho" w:hAnsi="Times New Roman" w:cs="Times New Roman" w:hint="default"/>
      </w:rPr>
    </w:lvl>
    <w:lvl w:ilvl="1" w:tplc="08090003" w:tentative="1">
      <w:start w:val="1"/>
      <w:numFmt w:val="bullet"/>
      <w:lvlText w:val="o"/>
      <w:lvlJc w:val="left"/>
      <w:pPr>
        <w:ind w:left="2769" w:hanging="360"/>
      </w:pPr>
      <w:rPr>
        <w:rFonts w:ascii="Courier New" w:hAnsi="Courier New" w:cs="Courier New" w:hint="default"/>
      </w:rPr>
    </w:lvl>
    <w:lvl w:ilvl="2" w:tplc="08090005" w:tentative="1">
      <w:start w:val="1"/>
      <w:numFmt w:val="bullet"/>
      <w:lvlText w:val=""/>
      <w:lvlJc w:val="left"/>
      <w:pPr>
        <w:ind w:left="3489" w:hanging="360"/>
      </w:pPr>
      <w:rPr>
        <w:rFonts w:ascii="Wingdings" w:hAnsi="Wingdings" w:hint="default"/>
      </w:rPr>
    </w:lvl>
    <w:lvl w:ilvl="3" w:tplc="08090001" w:tentative="1">
      <w:start w:val="1"/>
      <w:numFmt w:val="bullet"/>
      <w:lvlText w:val=""/>
      <w:lvlJc w:val="left"/>
      <w:pPr>
        <w:ind w:left="4209" w:hanging="360"/>
      </w:pPr>
      <w:rPr>
        <w:rFonts w:ascii="Symbol" w:hAnsi="Symbol" w:hint="default"/>
      </w:rPr>
    </w:lvl>
    <w:lvl w:ilvl="4" w:tplc="08090003" w:tentative="1">
      <w:start w:val="1"/>
      <w:numFmt w:val="bullet"/>
      <w:lvlText w:val="o"/>
      <w:lvlJc w:val="left"/>
      <w:pPr>
        <w:ind w:left="4929" w:hanging="360"/>
      </w:pPr>
      <w:rPr>
        <w:rFonts w:ascii="Courier New" w:hAnsi="Courier New" w:cs="Courier New" w:hint="default"/>
      </w:rPr>
    </w:lvl>
    <w:lvl w:ilvl="5" w:tplc="08090005" w:tentative="1">
      <w:start w:val="1"/>
      <w:numFmt w:val="bullet"/>
      <w:lvlText w:val=""/>
      <w:lvlJc w:val="left"/>
      <w:pPr>
        <w:ind w:left="5649" w:hanging="360"/>
      </w:pPr>
      <w:rPr>
        <w:rFonts w:ascii="Wingdings" w:hAnsi="Wingdings" w:hint="default"/>
      </w:rPr>
    </w:lvl>
    <w:lvl w:ilvl="6" w:tplc="08090001" w:tentative="1">
      <w:start w:val="1"/>
      <w:numFmt w:val="bullet"/>
      <w:lvlText w:val=""/>
      <w:lvlJc w:val="left"/>
      <w:pPr>
        <w:ind w:left="6369" w:hanging="360"/>
      </w:pPr>
      <w:rPr>
        <w:rFonts w:ascii="Symbol" w:hAnsi="Symbol" w:hint="default"/>
      </w:rPr>
    </w:lvl>
    <w:lvl w:ilvl="7" w:tplc="08090003" w:tentative="1">
      <w:start w:val="1"/>
      <w:numFmt w:val="bullet"/>
      <w:lvlText w:val="o"/>
      <w:lvlJc w:val="left"/>
      <w:pPr>
        <w:ind w:left="7089" w:hanging="360"/>
      </w:pPr>
      <w:rPr>
        <w:rFonts w:ascii="Courier New" w:hAnsi="Courier New" w:cs="Courier New" w:hint="default"/>
      </w:rPr>
    </w:lvl>
    <w:lvl w:ilvl="8" w:tplc="08090005" w:tentative="1">
      <w:start w:val="1"/>
      <w:numFmt w:val="bullet"/>
      <w:lvlText w:val=""/>
      <w:lvlJc w:val="left"/>
      <w:pPr>
        <w:ind w:left="7809"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13"/>
  </w:num>
  <w:num w:numId="6">
    <w:abstractNumId w:val="0"/>
  </w:num>
  <w:num w:numId="7">
    <w:abstractNumId w:val="8"/>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4"/>
  </w:num>
  <w:num w:numId="13">
    <w:abstractNumId w:val="5"/>
  </w:num>
  <w:num w:numId="14">
    <w:abstractNumId w:val="7"/>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de-CH" w:vendorID="64" w:dllVersion="0" w:nlCheck="1" w:checkStyle="0"/>
  <w:activeWritingStyle w:appName="MSWord" w:lang="nl-NL" w:vendorID="64" w:dllVersion="0"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36"/>
    <w:rsid w:val="0000047A"/>
    <w:rsid w:val="00003C92"/>
    <w:rsid w:val="0001375B"/>
    <w:rsid w:val="00016AC5"/>
    <w:rsid w:val="000209E0"/>
    <w:rsid w:val="0003028E"/>
    <w:rsid w:val="00030ADE"/>
    <w:rsid w:val="0003117A"/>
    <w:rsid w:val="000312C0"/>
    <w:rsid w:val="000416EB"/>
    <w:rsid w:val="00042C32"/>
    <w:rsid w:val="0005169F"/>
    <w:rsid w:val="00053A02"/>
    <w:rsid w:val="0006065E"/>
    <w:rsid w:val="00070CA8"/>
    <w:rsid w:val="000712E5"/>
    <w:rsid w:val="00071F0C"/>
    <w:rsid w:val="00083567"/>
    <w:rsid w:val="00083A44"/>
    <w:rsid w:val="000845A8"/>
    <w:rsid w:val="000855A9"/>
    <w:rsid w:val="000922C0"/>
    <w:rsid w:val="00096A57"/>
    <w:rsid w:val="000A452E"/>
    <w:rsid w:val="000B0D4D"/>
    <w:rsid w:val="000C062E"/>
    <w:rsid w:val="000C25A3"/>
    <w:rsid w:val="000C62AB"/>
    <w:rsid w:val="000D65BC"/>
    <w:rsid w:val="000D7455"/>
    <w:rsid w:val="000E011D"/>
    <w:rsid w:val="000E6955"/>
    <w:rsid w:val="000F088E"/>
    <w:rsid w:val="000F1640"/>
    <w:rsid w:val="000F2C8C"/>
    <w:rsid w:val="000F41F2"/>
    <w:rsid w:val="000F7D57"/>
    <w:rsid w:val="0010075B"/>
    <w:rsid w:val="0010156A"/>
    <w:rsid w:val="001079CC"/>
    <w:rsid w:val="0011370D"/>
    <w:rsid w:val="001159F5"/>
    <w:rsid w:val="00122A8F"/>
    <w:rsid w:val="00133F18"/>
    <w:rsid w:val="00135C0D"/>
    <w:rsid w:val="00135F2D"/>
    <w:rsid w:val="00154972"/>
    <w:rsid w:val="00155954"/>
    <w:rsid w:val="00160540"/>
    <w:rsid w:val="00163C17"/>
    <w:rsid w:val="0017182C"/>
    <w:rsid w:val="00171939"/>
    <w:rsid w:val="00171DAC"/>
    <w:rsid w:val="00175156"/>
    <w:rsid w:val="001763A8"/>
    <w:rsid w:val="00177007"/>
    <w:rsid w:val="00186EE9"/>
    <w:rsid w:val="00192EEB"/>
    <w:rsid w:val="001947FF"/>
    <w:rsid w:val="001A20FB"/>
    <w:rsid w:val="001A2BD6"/>
    <w:rsid w:val="001A6D1C"/>
    <w:rsid w:val="001B0BE2"/>
    <w:rsid w:val="001B6F40"/>
    <w:rsid w:val="001C61AA"/>
    <w:rsid w:val="001D00B1"/>
    <w:rsid w:val="001D7348"/>
    <w:rsid w:val="001D7F5C"/>
    <w:rsid w:val="001D7F8A"/>
    <w:rsid w:val="001E2C5A"/>
    <w:rsid w:val="001E3FEB"/>
    <w:rsid w:val="001E4A02"/>
    <w:rsid w:val="001E7F36"/>
    <w:rsid w:val="001F7DFA"/>
    <w:rsid w:val="00200C9C"/>
    <w:rsid w:val="00215AA3"/>
    <w:rsid w:val="002167A2"/>
    <w:rsid w:val="00223B89"/>
    <w:rsid w:val="00225A8C"/>
    <w:rsid w:val="00225F10"/>
    <w:rsid w:val="00230A77"/>
    <w:rsid w:val="00234077"/>
    <w:rsid w:val="00234522"/>
    <w:rsid w:val="00234E40"/>
    <w:rsid w:val="00257DF4"/>
    <w:rsid w:val="00260EA1"/>
    <w:rsid w:val="002659F1"/>
    <w:rsid w:val="00271AAD"/>
    <w:rsid w:val="00271C7C"/>
    <w:rsid w:val="00281A91"/>
    <w:rsid w:val="00281D82"/>
    <w:rsid w:val="00283061"/>
    <w:rsid w:val="00287E79"/>
    <w:rsid w:val="002928F9"/>
    <w:rsid w:val="00295BC5"/>
    <w:rsid w:val="002A5D07"/>
    <w:rsid w:val="002B0C85"/>
    <w:rsid w:val="002B159A"/>
    <w:rsid w:val="002C4195"/>
    <w:rsid w:val="002D43A7"/>
    <w:rsid w:val="002D7669"/>
    <w:rsid w:val="002E112A"/>
    <w:rsid w:val="002E1BB8"/>
    <w:rsid w:val="002E457A"/>
    <w:rsid w:val="002E6F0D"/>
    <w:rsid w:val="002F6E51"/>
    <w:rsid w:val="002F7AEC"/>
    <w:rsid w:val="003016B7"/>
    <w:rsid w:val="003025A5"/>
    <w:rsid w:val="00312E97"/>
    <w:rsid w:val="0031768F"/>
    <w:rsid w:val="00320826"/>
    <w:rsid w:val="00330F9C"/>
    <w:rsid w:val="00332BC9"/>
    <w:rsid w:val="00335DC4"/>
    <w:rsid w:val="00336C1B"/>
    <w:rsid w:val="003402B7"/>
    <w:rsid w:val="00340C35"/>
    <w:rsid w:val="00343C15"/>
    <w:rsid w:val="003515AA"/>
    <w:rsid w:val="00353459"/>
    <w:rsid w:val="00361750"/>
    <w:rsid w:val="0036460E"/>
    <w:rsid w:val="00370E0F"/>
    <w:rsid w:val="00374106"/>
    <w:rsid w:val="00375417"/>
    <w:rsid w:val="003778FF"/>
    <w:rsid w:val="00377F63"/>
    <w:rsid w:val="003863CE"/>
    <w:rsid w:val="00386516"/>
    <w:rsid w:val="003976D5"/>
    <w:rsid w:val="003A2189"/>
    <w:rsid w:val="003A2976"/>
    <w:rsid w:val="003B23CA"/>
    <w:rsid w:val="003B5C7E"/>
    <w:rsid w:val="003C0CD5"/>
    <w:rsid w:val="003C302E"/>
    <w:rsid w:val="003C3BD4"/>
    <w:rsid w:val="003C46E5"/>
    <w:rsid w:val="003D1DF3"/>
    <w:rsid w:val="003D46A7"/>
    <w:rsid w:val="003D5FF8"/>
    <w:rsid w:val="003D6C68"/>
    <w:rsid w:val="003D7541"/>
    <w:rsid w:val="003E350F"/>
    <w:rsid w:val="003E5551"/>
    <w:rsid w:val="003E6B88"/>
    <w:rsid w:val="003F3DA4"/>
    <w:rsid w:val="0040179B"/>
    <w:rsid w:val="0040630B"/>
    <w:rsid w:val="00410D6C"/>
    <w:rsid w:val="00412D29"/>
    <w:rsid w:val="004159D0"/>
    <w:rsid w:val="0042057A"/>
    <w:rsid w:val="00422861"/>
    <w:rsid w:val="004249E7"/>
    <w:rsid w:val="00424F7B"/>
    <w:rsid w:val="00442D65"/>
    <w:rsid w:val="004474D6"/>
    <w:rsid w:val="00447B86"/>
    <w:rsid w:val="00451F4F"/>
    <w:rsid w:val="004532CE"/>
    <w:rsid w:val="004812F5"/>
    <w:rsid w:val="00487E4A"/>
    <w:rsid w:val="00493C5D"/>
    <w:rsid w:val="00493EF7"/>
    <w:rsid w:val="004964F5"/>
    <w:rsid w:val="004A5692"/>
    <w:rsid w:val="004A5935"/>
    <w:rsid w:val="004B6380"/>
    <w:rsid w:val="004B638D"/>
    <w:rsid w:val="004D0439"/>
    <w:rsid w:val="004D0F0D"/>
    <w:rsid w:val="004D175C"/>
    <w:rsid w:val="004D2EFE"/>
    <w:rsid w:val="004D7396"/>
    <w:rsid w:val="004E670C"/>
    <w:rsid w:val="004E7E72"/>
    <w:rsid w:val="004F706C"/>
    <w:rsid w:val="005275BD"/>
    <w:rsid w:val="00530F2E"/>
    <w:rsid w:val="0053335B"/>
    <w:rsid w:val="00540079"/>
    <w:rsid w:val="00542086"/>
    <w:rsid w:val="005427EC"/>
    <w:rsid w:val="00543D5E"/>
    <w:rsid w:val="00550035"/>
    <w:rsid w:val="00564105"/>
    <w:rsid w:val="00571F41"/>
    <w:rsid w:val="005751C6"/>
    <w:rsid w:val="005806D0"/>
    <w:rsid w:val="00580744"/>
    <w:rsid w:val="00581796"/>
    <w:rsid w:val="00583A52"/>
    <w:rsid w:val="0058413F"/>
    <w:rsid w:val="00595BE4"/>
    <w:rsid w:val="00597FD5"/>
    <w:rsid w:val="005A3C22"/>
    <w:rsid w:val="005B682C"/>
    <w:rsid w:val="005B76A3"/>
    <w:rsid w:val="005B7F3F"/>
    <w:rsid w:val="005C2DD1"/>
    <w:rsid w:val="005C6D4D"/>
    <w:rsid w:val="005D43F3"/>
    <w:rsid w:val="005E5D1F"/>
    <w:rsid w:val="00603391"/>
    <w:rsid w:val="00610268"/>
    <w:rsid w:val="00611D43"/>
    <w:rsid w:val="00611DE5"/>
    <w:rsid w:val="00612D48"/>
    <w:rsid w:val="0061502A"/>
    <w:rsid w:val="00616B45"/>
    <w:rsid w:val="00625A6D"/>
    <w:rsid w:val="00630D9B"/>
    <w:rsid w:val="00631953"/>
    <w:rsid w:val="0063383D"/>
    <w:rsid w:val="00642450"/>
    <w:rsid w:val="006439EC"/>
    <w:rsid w:val="00646CBB"/>
    <w:rsid w:val="00653D13"/>
    <w:rsid w:val="006552D7"/>
    <w:rsid w:val="00664322"/>
    <w:rsid w:val="006644B5"/>
    <w:rsid w:val="006707FC"/>
    <w:rsid w:val="00673687"/>
    <w:rsid w:val="0067639F"/>
    <w:rsid w:val="0068004D"/>
    <w:rsid w:val="006823B6"/>
    <w:rsid w:val="00686C3B"/>
    <w:rsid w:val="0069031B"/>
    <w:rsid w:val="00693CCE"/>
    <w:rsid w:val="006B10EB"/>
    <w:rsid w:val="006B4590"/>
    <w:rsid w:val="006B573D"/>
    <w:rsid w:val="006C1F26"/>
    <w:rsid w:val="006C2D04"/>
    <w:rsid w:val="006C340C"/>
    <w:rsid w:val="006D2B82"/>
    <w:rsid w:val="006D3C84"/>
    <w:rsid w:val="006E027A"/>
    <w:rsid w:val="006E16C8"/>
    <w:rsid w:val="006E5B67"/>
    <w:rsid w:val="006E5FC7"/>
    <w:rsid w:val="0070347C"/>
    <w:rsid w:val="00703489"/>
    <w:rsid w:val="0071135F"/>
    <w:rsid w:val="0071258F"/>
    <w:rsid w:val="007135ED"/>
    <w:rsid w:val="007176C1"/>
    <w:rsid w:val="00723FD7"/>
    <w:rsid w:val="00735A79"/>
    <w:rsid w:val="00757D0A"/>
    <w:rsid w:val="00761134"/>
    <w:rsid w:val="007631C0"/>
    <w:rsid w:val="00763EB9"/>
    <w:rsid w:val="00775AED"/>
    <w:rsid w:val="00790336"/>
    <w:rsid w:val="00790F2F"/>
    <w:rsid w:val="00792096"/>
    <w:rsid w:val="007B1BC8"/>
    <w:rsid w:val="007C3C4F"/>
    <w:rsid w:val="007C6111"/>
    <w:rsid w:val="007C7D1A"/>
    <w:rsid w:val="007D1648"/>
    <w:rsid w:val="007D7F93"/>
    <w:rsid w:val="007E579B"/>
    <w:rsid w:val="007F36DA"/>
    <w:rsid w:val="007F55CB"/>
    <w:rsid w:val="00802B5E"/>
    <w:rsid w:val="00803EA3"/>
    <w:rsid w:val="00805BAD"/>
    <w:rsid w:val="00805C71"/>
    <w:rsid w:val="008100E5"/>
    <w:rsid w:val="0081015B"/>
    <w:rsid w:val="00812C1A"/>
    <w:rsid w:val="00825170"/>
    <w:rsid w:val="008317F6"/>
    <w:rsid w:val="00832A66"/>
    <w:rsid w:val="008349D2"/>
    <w:rsid w:val="00836A24"/>
    <w:rsid w:val="0083728C"/>
    <w:rsid w:val="00837DB2"/>
    <w:rsid w:val="008440B8"/>
    <w:rsid w:val="00844750"/>
    <w:rsid w:val="00844C6E"/>
    <w:rsid w:val="00845D0C"/>
    <w:rsid w:val="00847B77"/>
    <w:rsid w:val="00856CB1"/>
    <w:rsid w:val="00871657"/>
    <w:rsid w:val="00874E43"/>
    <w:rsid w:val="0089634E"/>
    <w:rsid w:val="008A3A42"/>
    <w:rsid w:val="008A5122"/>
    <w:rsid w:val="008B44C4"/>
    <w:rsid w:val="008B7879"/>
    <w:rsid w:val="008C3DED"/>
    <w:rsid w:val="008C55A8"/>
    <w:rsid w:val="008C5FAD"/>
    <w:rsid w:val="008D0611"/>
    <w:rsid w:val="008D3919"/>
    <w:rsid w:val="008E5532"/>
    <w:rsid w:val="008E7FAE"/>
    <w:rsid w:val="008F005D"/>
    <w:rsid w:val="008F0407"/>
    <w:rsid w:val="008F269E"/>
    <w:rsid w:val="008F31F2"/>
    <w:rsid w:val="008F40D2"/>
    <w:rsid w:val="008F77B8"/>
    <w:rsid w:val="0090000B"/>
    <w:rsid w:val="009064BF"/>
    <w:rsid w:val="00911BF7"/>
    <w:rsid w:val="00916183"/>
    <w:rsid w:val="00925628"/>
    <w:rsid w:val="00926D8D"/>
    <w:rsid w:val="00930B12"/>
    <w:rsid w:val="00932122"/>
    <w:rsid w:val="00935E45"/>
    <w:rsid w:val="00936A78"/>
    <w:rsid w:val="00950A04"/>
    <w:rsid w:val="00952FDB"/>
    <w:rsid w:val="00974DF0"/>
    <w:rsid w:val="00975B8F"/>
    <w:rsid w:val="009761FC"/>
    <w:rsid w:val="00977EC8"/>
    <w:rsid w:val="00982D31"/>
    <w:rsid w:val="00983D68"/>
    <w:rsid w:val="00992CF8"/>
    <w:rsid w:val="00995D62"/>
    <w:rsid w:val="009A3C86"/>
    <w:rsid w:val="009A418F"/>
    <w:rsid w:val="009B18A3"/>
    <w:rsid w:val="009C190E"/>
    <w:rsid w:val="009C5466"/>
    <w:rsid w:val="009C5907"/>
    <w:rsid w:val="009C7D40"/>
    <w:rsid w:val="009D3A8C"/>
    <w:rsid w:val="009D5378"/>
    <w:rsid w:val="009D5939"/>
    <w:rsid w:val="009E01B8"/>
    <w:rsid w:val="009E2194"/>
    <w:rsid w:val="009E6408"/>
    <w:rsid w:val="009E7956"/>
    <w:rsid w:val="009F0A5D"/>
    <w:rsid w:val="009F5470"/>
    <w:rsid w:val="00A025E4"/>
    <w:rsid w:val="00A07781"/>
    <w:rsid w:val="00A2161E"/>
    <w:rsid w:val="00A2492E"/>
    <w:rsid w:val="00A337C4"/>
    <w:rsid w:val="00A44895"/>
    <w:rsid w:val="00A44C79"/>
    <w:rsid w:val="00A46CE0"/>
    <w:rsid w:val="00A54031"/>
    <w:rsid w:val="00A66688"/>
    <w:rsid w:val="00A666CE"/>
    <w:rsid w:val="00A669C6"/>
    <w:rsid w:val="00A66F80"/>
    <w:rsid w:val="00A70163"/>
    <w:rsid w:val="00A70FEA"/>
    <w:rsid w:val="00A76880"/>
    <w:rsid w:val="00A8183E"/>
    <w:rsid w:val="00AA237C"/>
    <w:rsid w:val="00AA7451"/>
    <w:rsid w:val="00AB0CE3"/>
    <w:rsid w:val="00AB0D20"/>
    <w:rsid w:val="00AB36B9"/>
    <w:rsid w:val="00AB3EF4"/>
    <w:rsid w:val="00AB4BBC"/>
    <w:rsid w:val="00AC67A1"/>
    <w:rsid w:val="00AC7977"/>
    <w:rsid w:val="00AC79BD"/>
    <w:rsid w:val="00AD15AE"/>
    <w:rsid w:val="00AD27FA"/>
    <w:rsid w:val="00AE352C"/>
    <w:rsid w:val="00AE5075"/>
    <w:rsid w:val="00AE5310"/>
    <w:rsid w:val="00AF02DF"/>
    <w:rsid w:val="00B149B3"/>
    <w:rsid w:val="00B30B23"/>
    <w:rsid w:val="00B30B72"/>
    <w:rsid w:val="00B32E2D"/>
    <w:rsid w:val="00B3516B"/>
    <w:rsid w:val="00B40B13"/>
    <w:rsid w:val="00B4466B"/>
    <w:rsid w:val="00B51A7F"/>
    <w:rsid w:val="00B603DE"/>
    <w:rsid w:val="00B61990"/>
    <w:rsid w:val="00B63492"/>
    <w:rsid w:val="00B64764"/>
    <w:rsid w:val="00B72D29"/>
    <w:rsid w:val="00B75EC5"/>
    <w:rsid w:val="00B842E5"/>
    <w:rsid w:val="00B85D99"/>
    <w:rsid w:val="00B93E72"/>
    <w:rsid w:val="00BA05E7"/>
    <w:rsid w:val="00BA2978"/>
    <w:rsid w:val="00BB7192"/>
    <w:rsid w:val="00BB78DB"/>
    <w:rsid w:val="00BD415A"/>
    <w:rsid w:val="00BD79D5"/>
    <w:rsid w:val="00BE0103"/>
    <w:rsid w:val="00BE3298"/>
    <w:rsid w:val="00BF0556"/>
    <w:rsid w:val="00BF197C"/>
    <w:rsid w:val="00BF38EF"/>
    <w:rsid w:val="00BF6F0C"/>
    <w:rsid w:val="00C0250B"/>
    <w:rsid w:val="00C17E19"/>
    <w:rsid w:val="00C22D02"/>
    <w:rsid w:val="00C23A2F"/>
    <w:rsid w:val="00C24B53"/>
    <w:rsid w:val="00C25D6D"/>
    <w:rsid w:val="00C261F8"/>
    <w:rsid w:val="00C26D07"/>
    <w:rsid w:val="00C27150"/>
    <w:rsid w:val="00C33100"/>
    <w:rsid w:val="00C37187"/>
    <w:rsid w:val="00C37F03"/>
    <w:rsid w:val="00C43BB0"/>
    <w:rsid w:val="00C44213"/>
    <w:rsid w:val="00C50020"/>
    <w:rsid w:val="00C52031"/>
    <w:rsid w:val="00C57892"/>
    <w:rsid w:val="00C757A0"/>
    <w:rsid w:val="00C81B71"/>
    <w:rsid w:val="00C93C52"/>
    <w:rsid w:val="00C940E9"/>
    <w:rsid w:val="00CA0555"/>
    <w:rsid w:val="00CA1414"/>
    <w:rsid w:val="00CA50C1"/>
    <w:rsid w:val="00CB17A1"/>
    <w:rsid w:val="00CB4108"/>
    <w:rsid w:val="00CB5269"/>
    <w:rsid w:val="00CB6267"/>
    <w:rsid w:val="00CB694A"/>
    <w:rsid w:val="00CD165E"/>
    <w:rsid w:val="00CD1A71"/>
    <w:rsid w:val="00CD1FBB"/>
    <w:rsid w:val="00CD3A84"/>
    <w:rsid w:val="00CD4281"/>
    <w:rsid w:val="00CE4A9C"/>
    <w:rsid w:val="00CE5BF6"/>
    <w:rsid w:val="00CE6B1C"/>
    <w:rsid w:val="00CF4DC5"/>
    <w:rsid w:val="00D016B5"/>
    <w:rsid w:val="00D01C3E"/>
    <w:rsid w:val="00D02E54"/>
    <w:rsid w:val="00D034F1"/>
    <w:rsid w:val="00D04D8B"/>
    <w:rsid w:val="00D05E95"/>
    <w:rsid w:val="00D11824"/>
    <w:rsid w:val="00D11B17"/>
    <w:rsid w:val="00D172D7"/>
    <w:rsid w:val="00D205A3"/>
    <w:rsid w:val="00D21181"/>
    <w:rsid w:val="00D24779"/>
    <w:rsid w:val="00D27D5E"/>
    <w:rsid w:val="00D5503C"/>
    <w:rsid w:val="00D60301"/>
    <w:rsid w:val="00D61978"/>
    <w:rsid w:val="00D73FC1"/>
    <w:rsid w:val="00D751D5"/>
    <w:rsid w:val="00D761E2"/>
    <w:rsid w:val="00D76B84"/>
    <w:rsid w:val="00D841C5"/>
    <w:rsid w:val="00DA4409"/>
    <w:rsid w:val="00DA4BA6"/>
    <w:rsid w:val="00DA57D4"/>
    <w:rsid w:val="00DA708D"/>
    <w:rsid w:val="00DB4793"/>
    <w:rsid w:val="00DC2718"/>
    <w:rsid w:val="00DD2092"/>
    <w:rsid w:val="00DE01E3"/>
    <w:rsid w:val="00DE45DF"/>
    <w:rsid w:val="00DE6D90"/>
    <w:rsid w:val="00DE7B6E"/>
    <w:rsid w:val="00DF002F"/>
    <w:rsid w:val="00DF60C6"/>
    <w:rsid w:val="00DF7925"/>
    <w:rsid w:val="00E0244D"/>
    <w:rsid w:val="00E0331A"/>
    <w:rsid w:val="00E0333C"/>
    <w:rsid w:val="00E067BA"/>
    <w:rsid w:val="00E11978"/>
    <w:rsid w:val="00E31196"/>
    <w:rsid w:val="00E37AE2"/>
    <w:rsid w:val="00E401F2"/>
    <w:rsid w:val="00E413D8"/>
    <w:rsid w:val="00E46699"/>
    <w:rsid w:val="00E47862"/>
    <w:rsid w:val="00E50079"/>
    <w:rsid w:val="00E55D71"/>
    <w:rsid w:val="00E60D66"/>
    <w:rsid w:val="00E81E94"/>
    <w:rsid w:val="00E82607"/>
    <w:rsid w:val="00EA31C2"/>
    <w:rsid w:val="00EA4DC5"/>
    <w:rsid w:val="00EA7872"/>
    <w:rsid w:val="00EB495B"/>
    <w:rsid w:val="00EB572B"/>
    <w:rsid w:val="00EC0A1C"/>
    <w:rsid w:val="00EC18C4"/>
    <w:rsid w:val="00EC1A82"/>
    <w:rsid w:val="00EC4BC5"/>
    <w:rsid w:val="00EC4E8C"/>
    <w:rsid w:val="00EC66F9"/>
    <w:rsid w:val="00ED4FCC"/>
    <w:rsid w:val="00ED734B"/>
    <w:rsid w:val="00ED7E18"/>
    <w:rsid w:val="00EE2EA3"/>
    <w:rsid w:val="00EF1183"/>
    <w:rsid w:val="00EF2F95"/>
    <w:rsid w:val="00EF486C"/>
    <w:rsid w:val="00EF6775"/>
    <w:rsid w:val="00EF6EE5"/>
    <w:rsid w:val="00F00CC3"/>
    <w:rsid w:val="00F01516"/>
    <w:rsid w:val="00F022B6"/>
    <w:rsid w:val="00F0492A"/>
    <w:rsid w:val="00F04BA7"/>
    <w:rsid w:val="00F1318E"/>
    <w:rsid w:val="00F13AA5"/>
    <w:rsid w:val="00F1417C"/>
    <w:rsid w:val="00F15CD4"/>
    <w:rsid w:val="00F339DA"/>
    <w:rsid w:val="00F34776"/>
    <w:rsid w:val="00F37AE8"/>
    <w:rsid w:val="00F37F50"/>
    <w:rsid w:val="00F42BA5"/>
    <w:rsid w:val="00F437FD"/>
    <w:rsid w:val="00F460D3"/>
    <w:rsid w:val="00F46251"/>
    <w:rsid w:val="00F52488"/>
    <w:rsid w:val="00F524BE"/>
    <w:rsid w:val="00F57129"/>
    <w:rsid w:val="00F73F3A"/>
    <w:rsid w:val="00F75335"/>
    <w:rsid w:val="00FA425B"/>
    <w:rsid w:val="00FA4553"/>
    <w:rsid w:val="00FA53AC"/>
    <w:rsid w:val="00FA5A79"/>
    <w:rsid w:val="00FB00CB"/>
    <w:rsid w:val="00FB0BFE"/>
    <w:rsid w:val="00FB129B"/>
    <w:rsid w:val="00FB2808"/>
    <w:rsid w:val="00FB4C51"/>
    <w:rsid w:val="00FB62F2"/>
    <w:rsid w:val="00FD4679"/>
    <w:rsid w:val="00FD73AD"/>
    <w:rsid w:val="00FE07FD"/>
    <w:rsid w:val="00FE6934"/>
    <w:rsid w:val="00FF05DA"/>
    <w:rsid w:val="00FF10CF"/>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E0A5244"/>
  <w15:docId w15:val="{BA7DDFB1-75FA-46D4-AB8A-AEEAEB65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link w:val="Heading7Char"/>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uiPriority w:val="99"/>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Footnote Reference/"/>
    <w:qFormat/>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link w:val="FooterChar"/>
    <w:uiPriority w:val="99"/>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locked/>
    <w:rsid w:val="002E6F0D"/>
    <w:rPr>
      <w:lang w:val="fr-CH" w:eastAsia="en-US"/>
    </w:rPr>
  </w:style>
  <w:style w:type="character" w:customStyle="1" w:styleId="H23GChar">
    <w:name w:val="_ H_2/3_G Char"/>
    <w:link w:val="H23G"/>
    <w:rsid w:val="002E6F0D"/>
    <w:rPr>
      <w:b/>
      <w:lang w:val="fr-CH" w:eastAsia="en-US"/>
    </w:rPr>
  </w:style>
  <w:style w:type="character" w:customStyle="1" w:styleId="HChGChar">
    <w:name w:val="_ H _Ch_G Char"/>
    <w:link w:val="HChG"/>
    <w:rsid w:val="00EF6EE5"/>
    <w:rPr>
      <w:b/>
      <w:sz w:val="28"/>
      <w:lang w:val="fr-CH" w:eastAsia="en-US"/>
    </w:rPr>
  </w:style>
  <w:style w:type="character" w:customStyle="1" w:styleId="SingleTxtGCar">
    <w:name w:val="_ Single Txt_G Car"/>
    <w:rsid w:val="00EF6EE5"/>
    <w:rPr>
      <w:lang w:val="fr-CH" w:eastAsia="en-US"/>
    </w:rPr>
  </w:style>
  <w:style w:type="paragraph" w:styleId="BalloonText">
    <w:name w:val="Balloon Text"/>
    <w:basedOn w:val="Normal"/>
    <w:link w:val="BalloonTextChar"/>
    <w:rsid w:val="00003C92"/>
    <w:pPr>
      <w:spacing w:line="240" w:lineRule="auto"/>
    </w:pPr>
    <w:rPr>
      <w:rFonts w:ascii="Tahoma" w:hAnsi="Tahoma" w:cs="Tahoma"/>
      <w:sz w:val="16"/>
      <w:szCs w:val="16"/>
    </w:rPr>
  </w:style>
  <w:style w:type="character" w:customStyle="1" w:styleId="BalloonTextChar">
    <w:name w:val="Balloon Text Char"/>
    <w:link w:val="BalloonText"/>
    <w:rsid w:val="00003C92"/>
    <w:rPr>
      <w:rFonts w:ascii="Tahoma" w:hAnsi="Tahoma" w:cs="Tahoma"/>
      <w:sz w:val="16"/>
      <w:szCs w:val="16"/>
      <w:lang w:val="fr-CH" w:eastAsia="en-US"/>
    </w:rPr>
  </w:style>
  <w:style w:type="character" w:customStyle="1" w:styleId="FootnoteTextChar">
    <w:name w:val="Footnote Text Char"/>
    <w:aliases w:val="5_G Char"/>
    <w:link w:val="FootnoteText"/>
    <w:rsid w:val="00673687"/>
    <w:rPr>
      <w:sz w:val="18"/>
      <w:lang w:val="fr-CH" w:eastAsia="en-US"/>
    </w:rPr>
  </w:style>
  <w:style w:type="character" w:customStyle="1" w:styleId="Heading7Char">
    <w:name w:val="Heading 7 Char"/>
    <w:basedOn w:val="DefaultParagraphFont"/>
    <w:link w:val="Heading7"/>
    <w:rsid w:val="003C302E"/>
    <w:rPr>
      <w:lang w:val="fr-CH" w:eastAsia="en-US"/>
    </w:rPr>
  </w:style>
  <w:style w:type="table" w:customStyle="1" w:styleId="Tabellenraster2">
    <w:name w:val="Tabellenraster2"/>
    <w:basedOn w:val="TableNormal"/>
    <w:next w:val="TableGrid"/>
    <w:rsid w:val="003C302E"/>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832A66"/>
  </w:style>
  <w:style w:type="paragraph" w:customStyle="1" w:styleId="TableParagraph">
    <w:name w:val="Table Paragraph"/>
    <w:basedOn w:val="Normal"/>
    <w:uiPriority w:val="1"/>
    <w:qFormat/>
    <w:rsid w:val="00832A66"/>
    <w:pPr>
      <w:widowControl w:val="0"/>
      <w:suppressAutoHyphens w:val="0"/>
      <w:autoSpaceDE w:val="0"/>
      <w:autoSpaceDN w:val="0"/>
      <w:spacing w:line="240" w:lineRule="auto"/>
      <w:jc w:val="center"/>
    </w:pPr>
    <w:rPr>
      <w:sz w:val="22"/>
      <w:szCs w:val="22"/>
      <w:lang w:val="en-US"/>
    </w:rPr>
  </w:style>
  <w:style w:type="character" w:styleId="CommentReference">
    <w:name w:val="annotation reference"/>
    <w:basedOn w:val="DefaultParagraphFont"/>
    <w:uiPriority w:val="99"/>
    <w:semiHidden/>
    <w:unhideWhenUsed/>
    <w:rsid w:val="00832A66"/>
    <w:rPr>
      <w:sz w:val="16"/>
      <w:szCs w:val="16"/>
    </w:rPr>
  </w:style>
  <w:style w:type="paragraph" w:styleId="CommentText">
    <w:name w:val="annotation text"/>
    <w:basedOn w:val="Normal"/>
    <w:link w:val="CommentTextChar"/>
    <w:uiPriority w:val="99"/>
    <w:unhideWhenUsed/>
    <w:rsid w:val="00832A66"/>
    <w:pPr>
      <w:kinsoku w:val="0"/>
      <w:overflowPunct w:val="0"/>
      <w:autoSpaceDE w:val="0"/>
      <w:autoSpaceDN w:val="0"/>
      <w:adjustRightInd w:val="0"/>
      <w:snapToGrid w:val="0"/>
      <w:spacing w:line="240" w:lineRule="auto"/>
    </w:pPr>
    <w:rPr>
      <w:rFonts w:eastAsiaTheme="minorEastAsia"/>
      <w:lang w:eastAsia="zh-CN"/>
    </w:rPr>
  </w:style>
  <w:style w:type="character" w:customStyle="1" w:styleId="CommentTextChar">
    <w:name w:val="Comment Text Char"/>
    <w:basedOn w:val="DefaultParagraphFont"/>
    <w:link w:val="CommentText"/>
    <w:uiPriority w:val="99"/>
    <w:rsid w:val="00832A66"/>
    <w:rPr>
      <w:rFonts w:eastAsiaTheme="minorEastAsia"/>
      <w:lang w:val="fr-CH" w:eastAsia="zh-CN"/>
    </w:rPr>
  </w:style>
  <w:style w:type="table" w:customStyle="1" w:styleId="Tabellenraster1">
    <w:name w:val="Tabellenraster1"/>
    <w:basedOn w:val="TableNormal"/>
    <w:next w:val="TableGrid"/>
    <w:uiPriority w:val="59"/>
    <w:rsid w:val="00FF05DA"/>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76B84"/>
    <w:pPr>
      <w:kinsoku/>
      <w:overflowPunct/>
      <w:autoSpaceDE/>
      <w:autoSpaceDN/>
      <w:adjustRightInd/>
      <w:snapToGrid/>
    </w:pPr>
    <w:rPr>
      <w:rFonts w:eastAsia="Times New Roman"/>
      <w:b/>
      <w:bCs/>
      <w:lang w:eastAsia="en-US"/>
    </w:rPr>
  </w:style>
  <w:style w:type="character" w:customStyle="1" w:styleId="CommentSubjectChar">
    <w:name w:val="Comment Subject Char"/>
    <w:basedOn w:val="CommentTextChar"/>
    <w:link w:val="CommentSubject"/>
    <w:semiHidden/>
    <w:rsid w:val="00D76B84"/>
    <w:rPr>
      <w:rFonts w:eastAsiaTheme="minorEastAsia"/>
      <w:b/>
      <w:bCs/>
      <w:lang w:val="fr-CH" w:eastAsia="en-US"/>
    </w:rPr>
  </w:style>
  <w:style w:type="character" w:customStyle="1" w:styleId="FooterChar">
    <w:name w:val="Footer Char"/>
    <w:aliases w:val="3_G Char"/>
    <w:basedOn w:val="DefaultParagraphFont"/>
    <w:link w:val="Footer"/>
    <w:uiPriority w:val="99"/>
    <w:rsid w:val="0006065E"/>
    <w:rPr>
      <w:sz w:val="16"/>
      <w:lang w:val="fr-CH" w:eastAsia="en-US"/>
    </w:rPr>
  </w:style>
  <w:style w:type="paragraph" w:styleId="ListParagraph">
    <w:name w:val="List Paragraph"/>
    <w:basedOn w:val="Normal"/>
    <w:uiPriority w:val="34"/>
    <w:qFormat/>
    <w:rsid w:val="000C062E"/>
    <w:pPr>
      <w:ind w:left="720"/>
      <w:contextualSpacing/>
    </w:pPr>
  </w:style>
  <w:style w:type="table" w:customStyle="1" w:styleId="Tabellenraster11">
    <w:name w:val="Tabellenraster11"/>
    <w:basedOn w:val="TableNormal"/>
    <w:uiPriority w:val="59"/>
    <w:rsid w:val="004474D6"/>
    <w:rPr>
      <w:rFonts w:ascii="Calibri" w:eastAsia="Calibri" w:hAnsi="Calibri"/>
      <w:sz w:val="22"/>
      <w:szCs w:val="22"/>
      <w:lang w:val="de-DE"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rsid w:val="001159F5"/>
    <w:pPr>
      <w:widowControl w:val="0"/>
      <w:tabs>
        <w:tab w:val="left" w:pos="170"/>
      </w:tabs>
      <w:suppressAutoHyphens w:val="0"/>
      <w:overflowPunct w:val="0"/>
      <w:autoSpaceDE w:val="0"/>
      <w:autoSpaceDN w:val="0"/>
      <w:adjustRightInd w:val="0"/>
      <w:spacing w:line="240" w:lineRule="exact"/>
      <w:textAlignment w:val="baseline"/>
    </w:pPr>
    <w:rPr>
      <w:rFonts w:ascii="Tms Rmn" w:hAnsi="Tms Rmn"/>
      <w:sz w:val="22"/>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05991">
      <w:bodyDiv w:val="1"/>
      <w:marLeft w:val="0"/>
      <w:marRight w:val="0"/>
      <w:marTop w:val="0"/>
      <w:marBottom w:val="0"/>
      <w:divBdr>
        <w:top w:val="none" w:sz="0" w:space="0" w:color="auto"/>
        <w:left w:val="none" w:sz="0" w:space="0" w:color="auto"/>
        <w:bottom w:val="none" w:sz="0" w:space="0" w:color="auto"/>
        <w:right w:val="none" w:sz="0" w:space="0" w:color="auto"/>
      </w:divBdr>
    </w:div>
    <w:div w:id="185417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F853C-F920-4F9E-B784-70BC444DEB42}">
  <ds:schemaRefs>
    <ds:schemaRef ds:uri="http://schemas.microsoft.com/sharepoint/v3/contenttype/forms"/>
  </ds:schemaRefs>
</ds:datastoreItem>
</file>

<file path=customXml/itemProps2.xml><?xml version="1.0" encoding="utf-8"?>
<ds:datastoreItem xmlns:ds="http://schemas.openxmlformats.org/officeDocument/2006/customXml" ds:itemID="{C153B3B5-A031-465A-AEBA-59356BD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197C1-76BF-4320-AA1A-ABDF7F4A94FB}">
  <ds:schemaRefs>
    <ds:schemaRef ds:uri="http://schemas.openxmlformats.org/officeDocument/2006/bibliography"/>
  </ds:schemaRefs>
</ds:datastoreItem>
</file>

<file path=customXml/itemProps4.xml><?xml version="1.0" encoding="utf-8"?>
<ds:datastoreItem xmlns:ds="http://schemas.openxmlformats.org/officeDocument/2006/customXml" ds:itemID="{4B21A247-D31B-4B5A-BDEB-716B7699BAA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cccb6d4-dbe5-46d2-b4d3-5733603d8cc6"/>
    <ds:schemaRef ds:uri="4b4a1c0d-4a69-4996-a84a-fc699b9f49d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1410</Words>
  <Characters>8043</Characters>
  <Application>Microsoft Office Word</Application>
  <DocSecurity>4</DocSecurity>
  <Lines>67</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ECE/TRANS/WP.15/AC.2/2012/7</vt:lpstr>
      <vt:lpstr>ECE/TRANS/WP.15/AC.2/2012/7</vt:lpstr>
      <vt:lpstr>ECE/TRANS/WP.15/AC.2/2012/7</vt:lpstr>
    </vt:vector>
  </TitlesOfParts>
  <Company>CSD</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keywords/>
  <dc:description/>
  <cp:lastModifiedBy>Lucille</cp:lastModifiedBy>
  <cp:revision>2</cp:revision>
  <cp:lastPrinted>2016-06-09T22:02:00Z</cp:lastPrinted>
  <dcterms:created xsi:type="dcterms:W3CDTF">2021-08-24T13:38:00Z</dcterms:created>
  <dcterms:modified xsi:type="dcterms:W3CDTF">2021-08-24T13:38:00Z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18242000</vt:r8>
  </property>
  <property fmtid="{D5CDD505-2E9C-101B-9397-08002B2CF9AE}" pid="4" name="_ReviewCycleID">
    <vt:i4>-537328062</vt:i4>
  </property>
  <property fmtid="{D5CDD505-2E9C-101B-9397-08002B2CF9AE}" pid="5" name="_NewReviewCycle">
    <vt:lpwstr/>
  </property>
  <property fmtid="{D5CDD505-2E9C-101B-9397-08002B2CF9AE}" pid="6" name="_ReviewingToolsShownOnce">
    <vt:lpwstr/>
  </property>
</Properties>
</file>