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D08CA" w14:textId="77777777" w:rsidR="004E6E10" w:rsidRDefault="004E6E10" w:rsidP="004E6E10">
      <w:pPr>
        <w:rPr>
          <w:b/>
          <w:sz w:val="28"/>
          <w:szCs w:val="28"/>
          <w:lang w:val="en-GB" w:eastAsia="fr-FR"/>
        </w:rPr>
      </w:pPr>
      <w:proofErr w:type="spellStart"/>
      <w:r>
        <w:rPr>
          <w:b/>
          <w:sz w:val="28"/>
          <w:szCs w:val="28"/>
        </w:rPr>
        <w:t>Economic</w:t>
      </w:r>
      <w:proofErr w:type="spellEnd"/>
      <w:r>
        <w:rPr>
          <w:b/>
          <w:sz w:val="28"/>
          <w:szCs w:val="28"/>
        </w:rPr>
        <w:t xml:space="preserve"> Commission for Europe</w:t>
      </w:r>
    </w:p>
    <w:p w14:paraId="60F70CEA" w14:textId="77777777" w:rsidR="004E6E10" w:rsidRDefault="004E6E10" w:rsidP="004E6E10">
      <w:pPr>
        <w:spacing w:before="120"/>
        <w:rPr>
          <w:sz w:val="28"/>
          <w:szCs w:val="28"/>
        </w:rPr>
      </w:pPr>
      <w:proofErr w:type="spellStart"/>
      <w:r>
        <w:rPr>
          <w:sz w:val="28"/>
          <w:szCs w:val="28"/>
        </w:rPr>
        <w:t>Inland</w:t>
      </w:r>
      <w:proofErr w:type="spellEnd"/>
      <w:r>
        <w:rPr>
          <w:sz w:val="28"/>
          <w:szCs w:val="28"/>
        </w:rPr>
        <w:t xml:space="preserve"> Transport </w:t>
      </w:r>
      <w:proofErr w:type="spellStart"/>
      <w:r>
        <w:rPr>
          <w:sz w:val="28"/>
          <w:szCs w:val="28"/>
        </w:rPr>
        <w:t>Committee</w:t>
      </w:r>
      <w:proofErr w:type="spellEnd"/>
    </w:p>
    <w:p w14:paraId="00B75D8E" w14:textId="77777777" w:rsidR="004E6E10" w:rsidRDefault="004E6E10" w:rsidP="004E6E10">
      <w:pPr>
        <w:spacing w:before="120"/>
        <w:rPr>
          <w:b/>
          <w:sz w:val="24"/>
          <w:szCs w:val="24"/>
        </w:rPr>
      </w:pPr>
      <w:proofErr w:type="spellStart"/>
      <w:r>
        <w:rPr>
          <w:b/>
          <w:sz w:val="24"/>
          <w:szCs w:val="24"/>
        </w:rPr>
        <w:t>Working</w:t>
      </w:r>
      <w:proofErr w:type="spellEnd"/>
      <w:r>
        <w:rPr>
          <w:b/>
          <w:sz w:val="24"/>
          <w:szCs w:val="24"/>
        </w:rPr>
        <w:t xml:space="preserve"> Party on the Transport of Dangerous </w:t>
      </w:r>
      <w:proofErr w:type="spellStart"/>
      <w:r>
        <w:rPr>
          <w:b/>
          <w:sz w:val="24"/>
          <w:szCs w:val="24"/>
        </w:rPr>
        <w:t>Goods</w:t>
      </w:r>
      <w:proofErr w:type="spellEnd"/>
    </w:p>
    <w:p w14:paraId="158CBD52" w14:textId="12115822" w:rsidR="004E6E10" w:rsidRDefault="004E6E10" w:rsidP="004E6E10">
      <w:pPr>
        <w:spacing w:before="120"/>
        <w:rPr>
          <w:b/>
        </w:rPr>
      </w:pPr>
      <w:r>
        <w:rPr>
          <w:b/>
        </w:rPr>
        <w:t xml:space="preserve">Joint Meeting of the RID </w:t>
      </w:r>
      <w:proofErr w:type="spellStart"/>
      <w:r>
        <w:rPr>
          <w:b/>
        </w:rPr>
        <w:t>Committee</w:t>
      </w:r>
      <w:proofErr w:type="spellEnd"/>
      <w:r>
        <w:rPr>
          <w:b/>
        </w:rPr>
        <w:t xml:space="preserve"> of Experts and the</w:t>
      </w:r>
      <w:r>
        <w:rPr>
          <w:b/>
        </w:rPr>
        <w:br/>
      </w:r>
      <w:proofErr w:type="spellStart"/>
      <w:r>
        <w:rPr>
          <w:b/>
        </w:rPr>
        <w:t>Working</w:t>
      </w:r>
      <w:proofErr w:type="spellEnd"/>
      <w:r>
        <w:rPr>
          <w:b/>
        </w:rPr>
        <w:t xml:space="preserve"> Party on the Transport of Dangerous </w:t>
      </w:r>
      <w:proofErr w:type="spellStart"/>
      <w:r>
        <w:rPr>
          <w:b/>
        </w:rPr>
        <w:t>Goods</w:t>
      </w:r>
      <w:proofErr w:type="spellEnd"/>
      <w:r w:rsidR="00447C96">
        <w:rPr>
          <w:b/>
        </w:rPr>
        <w:tab/>
      </w:r>
      <w:r w:rsidR="00447C96">
        <w:rPr>
          <w:b/>
        </w:rPr>
        <w:tab/>
      </w:r>
      <w:r w:rsidR="00447C96">
        <w:rPr>
          <w:b/>
        </w:rPr>
        <w:tab/>
      </w:r>
      <w:r w:rsidR="00447C96">
        <w:rPr>
          <w:b/>
        </w:rPr>
        <w:tab/>
      </w:r>
      <w:r w:rsidR="00F8342A">
        <w:rPr>
          <w:b/>
        </w:rPr>
        <w:t>23</w:t>
      </w:r>
      <w:r w:rsidR="00447C96">
        <w:rPr>
          <w:b/>
        </w:rPr>
        <w:t xml:space="preserve"> August 2021</w:t>
      </w:r>
    </w:p>
    <w:p w14:paraId="472FD9BC" w14:textId="625B8645" w:rsidR="004E6E10" w:rsidRPr="00D31633" w:rsidRDefault="004E6E10" w:rsidP="004E6E10">
      <w:pPr>
        <w:rPr>
          <w:lang w:val="en-GB"/>
        </w:rPr>
      </w:pPr>
      <w:r>
        <w:rPr>
          <w:lang w:val="en-US"/>
        </w:rPr>
        <w:t>Geneva, 21 September – 1 October 2021</w:t>
      </w:r>
      <w:r>
        <w:br/>
      </w:r>
      <w:r w:rsidRPr="00D31633">
        <w:rPr>
          <w:lang w:val="en-GB"/>
        </w:rPr>
        <w:t xml:space="preserve">Item </w:t>
      </w:r>
      <w:r w:rsidR="00F8342A">
        <w:rPr>
          <w:lang w:val="en-GB"/>
        </w:rPr>
        <w:t>2</w:t>
      </w:r>
      <w:r w:rsidRPr="00D31633">
        <w:rPr>
          <w:lang w:val="en-GB"/>
        </w:rPr>
        <w:t xml:space="preserve"> of the provisional agenda</w:t>
      </w:r>
    </w:p>
    <w:p w14:paraId="01491EC8" w14:textId="2FCAE0BC" w:rsidR="004E6E10" w:rsidRPr="00D31633" w:rsidRDefault="00F8342A" w:rsidP="004E6E10">
      <w:pPr>
        <w:rPr>
          <w:b/>
        </w:rPr>
      </w:pPr>
      <w:r>
        <w:rPr>
          <w:b/>
          <w:lang w:val="en-GB"/>
        </w:rPr>
        <w:t>Tanks</w:t>
      </w:r>
    </w:p>
    <w:p w14:paraId="60A687EB" w14:textId="2D9B9542" w:rsidR="00CC47E1" w:rsidRPr="00303F81" w:rsidRDefault="00835C30" w:rsidP="00CC47E1">
      <w:pPr>
        <w:pStyle w:val="H1G"/>
        <w:ind w:right="566"/>
        <w:rPr>
          <w:sz w:val="28"/>
          <w:szCs w:val="28"/>
        </w:rPr>
      </w:pPr>
      <w:r w:rsidRPr="00835C30">
        <w:rPr>
          <w:lang w:val="en-GB"/>
        </w:rPr>
        <w:tab/>
      </w:r>
      <w:r w:rsidRPr="00835C30">
        <w:rPr>
          <w:lang w:val="en-GB"/>
        </w:rPr>
        <w:tab/>
      </w:r>
      <w:proofErr w:type="spellStart"/>
      <w:r w:rsidR="00CC47E1" w:rsidRPr="00303F81">
        <w:rPr>
          <w:sz w:val="28"/>
          <w:szCs w:val="28"/>
        </w:rPr>
        <w:t>Comments</w:t>
      </w:r>
      <w:proofErr w:type="spellEnd"/>
      <w:r w:rsidR="00CC47E1" w:rsidRPr="00303F81">
        <w:rPr>
          <w:sz w:val="28"/>
          <w:szCs w:val="28"/>
        </w:rPr>
        <w:t xml:space="preserve"> on document </w:t>
      </w:r>
      <w:r w:rsidR="009F4DC6" w:rsidRPr="009F4DC6">
        <w:rPr>
          <w:sz w:val="28"/>
          <w:szCs w:val="28"/>
        </w:rPr>
        <w:t>ECE/TRANS/WP.15/AC.1/</w:t>
      </w:r>
      <w:r w:rsidR="00CC47E1" w:rsidRPr="00303F81">
        <w:rPr>
          <w:sz w:val="28"/>
          <w:szCs w:val="28"/>
        </w:rPr>
        <w:t xml:space="preserve">2021/36 - </w:t>
      </w:r>
      <w:proofErr w:type="spellStart"/>
      <w:r w:rsidR="00CC47E1" w:rsidRPr="00303F81">
        <w:rPr>
          <w:sz w:val="28"/>
          <w:szCs w:val="28"/>
        </w:rPr>
        <w:t>Mandatory</w:t>
      </w:r>
      <w:proofErr w:type="spellEnd"/>
      <w:r w:rsidR="00CC47E1" w:rsidRPr="00303F81">
        <w:rPr>
          <w:sz w:val="28"/>
          <w:szCs w:val="28"/>
        </w:rPr>
        <w:t xml:space="preserve"> </w:t>
      </w:r>
      <w:proofErr w:type="spellStart"/>
      <w:r w:rsidR="00CC47E1" w:rsidRPr="00303F81">
        <w:rPr>
          <w:sz w:val="28"/>
          <w:szCs w:val="28"/>
        </w:rPr>
        <w:t>fi</w:t>
      </w:r>
      <w:r w:rsidR="00A133ED">
        <w:rPr>
          <w:sz w:val="28"/>
          <w:szCs w:val="28"/>
        </w:rPr>
        <w:t>tting</w:t>
      </w:r>
      <w:proofErr w:type="spellEnd"/>
      <w:r w:rsidR="00CC47E1" w:rsidRPr="00303F81">
        <w:rPr>
          <w:sz w:val="28"/>
          <w:szCs w:val="28"/>
        </w:rPr>
        <w:t xml:space="preserve"> of </w:t>
      </w:r>
      <w:proofErr w:type="spellStart"/>
      <w:r w:rsidR="00CC47E1" w:rsidRPr="00303F81">
        <w:rPr>
          <w:sz w:val="28"/>
          <w:szCs w:val="28"/>
        </w:rPr>
        <w:t>safety</w:t>
      </w:r>
      <w:proofErr w:type="spellEnd"/>
      <w:r w:rsidR="00CC47E1" w:rsidRPr="00303F81">
        <w:rPr>
          <w:sz w:val="28"/>
          <w:szCs w:val="28"/>
        </w:rPr>
        <w:t xml:space="preserve"> valves to tanks </w:t>
      </w:r>
      <w:proofErr w:type="spellStart"/>
      <w:r w:rsidR="00CC47E1" w:rsidRPr="00303F81">
        <w:rPr>
          <w:sz w:val="28"/>
          <w:szCs w:val="28"/>
        </w:rPr>
        <w:t>carrying</w:t>
      </w:r>
      <w:proofErr w:type="spellEnd"/>
      <w:r w:rsidR="00CC47E1" w:rsidRPr="00303F81">
        <w:rPr>
          <w:sz w:val="28"/>
          <w:szCs w:val="28"/>
        </w:rPr>
        <w:t xml:space="preserve"> </w:t>
      </w:r>
      <w:proofErr w:type="spellStart"/>
      <w:r w:rsidR="00CC47E1" w:rsidRPr="00303F81">
        <w:rPr>
          <w:sz w:val="28"/>
          <w:szCs w:val="28"/>
        </w:rPr>
        <w:t>flammable</w:t>
      </w:r>
      <w:proofErr w:type="spellEnd"/>
      <w:r w:rsidR="00CC47E1" w:rsidRPr="00303F81">
        <w:rPr>
          <w:sz w:val="28"/>
          <w:szCs w:val="28"/>
        </w:rPr>
        <w:t xml:space="preserve"> </w:t>
      </w:r>
      <w:proofErr w:type="spellStart"/>
      <w:r w:rsidR="00CC47E1" w:rsidRPr="00303F81">
        <w:rPr>
          <w:sz w:val="28"/>
          <w:szCs w:val="28"/>
        </w:rPr>
        <w:t>liquefied</w:t>
      </w:r>
      <w:proofErr w:type="spellEnd"/>
      <w:r w:rsidR="00CC47E1" w:rsidRPr="00303F81">
        <w:rPr>
          <w:sz w:val="28"/>
          <w:szCs w:val="28"/>
        </w:rPr>
        <w:t xml:space="preserve"> </w:t>
      </w:r>
      <w:proofErr w:type="spellStart"/>
      <w:r w:rsidR="00CC47E1" w:rsidRPr="00303F81">
        <w:rPr>
          <w:sz w:val="28"/>
          <w:szCs w:val="28"/>
        </w:rPr>
        <w:t>gases</w:t>
      </w:r>
      <w:proofErr w:type="spellEnd"/>
    </w:p>
    <w:p w14:paraId="6FB93263" w14:textId="77777777" w:rsidR="00CC47E1" w:rsidRPr="00303F81" w:rsidRDefault="00CC47E1" w:rsidP="00CC47E1">
      <w:pPr>
        <w:pStyle w:val="H1G"/>
        <w:ind w:right="566"/>
      </w:pPr>
      <w:r w:rsidRPr="00303F81">
        <w:tab/>
      </w:r>
      <w:r w:rsidRPr="00303F81">
        <w:tab/>
      </w:r>
      <w:proofErr w:type="spellStart"/>
      <w:r w:rsidRPr="00303F81">
        <w:t>Transmitted</w:t>
      </w:r>
      <w:proofErr w:type="spellEnd"/>
      <w:r w:rsidRPr="00303F81">
        <w:t xml:space="preserve"> by the </w:t>
      </w:r>
      <w:r w:rsidRPr="00303F81">
        <w:rPr>
          <w:rFonts w:asciiTheme="majorBidi" w:hAnsiTheme="majorBidi" w:cstheme="majorBidi"/>
        </w:rPr>
        <w:t xml:space="preserve">International Association of </w:t>
      </w:r>
      <w:proofErr w:type="spellStart"/>
      <w:r w:rsidRPr="00303F81">
        <w:rPr>
          <w:rFonts w:asciiTheme="majorBidi" w:hAnsiTheme="majorBidi" w:cstheme="majorBidi"/>
        </w:rPr>
        <w:t>Fire</w:t>
      </w:r>
      <w:proofErr w:type="spellEnd"/>
      <w:r w:rsidRPr="00303F81">
        <w:rPr>
          <w:rFonts w:asciiTheme="majorBidi" w:hAnsiTheme="majorBidi" w:cstheme="majorBidi"/>
        </w:rPr>
        <w:t xml:space="preserve"> and Rescue Services (CTIF)</w:t>
      </w:r>
    </w:p>
    <w:p w14:paraId="2ECEEF03" w14:textId="77777777" w:rsidR="00CC47E1" w:rsidRPr="00303F81" w:rsidRDefault="00CC47E1" w:rsidP="00CC47E1">
      <w:pPr>
        <w:pStyle w:val="HChG"/>
        <w:ind w:right="566"/>
        <w:rPr>
          <w:lang w:val="en-GB"/>
        </w:rPr>
      </w:pPr>
      <w:r w:rsidRPr="00303F81">
        <w:rPr>
          <w:lang w:val="en-GB"/>
        </w:rPr>
        <w:tab/>
      </w:r>
      <w:r w:rsidRPr="00303F81">
        <w:rPr>
          <w:lang w:val="en-GB"/>
        </w:rPr>
        <w:tab/>
      </w:r>
      <w:r w:rsidRPr="00303F81">
        <w:rPr>
          <w:szCs w:val="28"/>
          <w:lang w:val="en-GB"/>
        </w:rPr>
        <w:tab/>
        <w:t>Introduction</w:t>
      </w:r>
    </w:p>
    <w:p w14:paraId="53B4010F" w14:textId="2311C8CF" w:rsidR="00CC47E1" w:rsidRPr="00303F81" w:rsidRDefault="00605E52" w:rsidP="00605E52">
      <w:pPr>
        <w:pStyle w:val="SingleTxtG"/>
        <w:rPr>
          <w:lang w:val="en-GB"/>
        </w:rPr>
      </w:pPr>
      <w:r>
        <w:rPr>
          <w:lang w:val="en-GB"/>
        </w:rPr>
        <w:t>1.</w:t>
      </w:r>
      <w:r>
        <w:rPr>
          <w:lang w:val="en-GB"/>
        </w:rPr>
        <w:tab/>
      </w:r>
      <w:r w:rsidR="00CC47E1" w:rsidRPr="00303F81">
        <w:rPr>
          <w:lang w:val="en-GB"/>
        </w:rPr>
        <w:t xml:space="preserve">The CTIF appreciates the initiative to reduce the likelihood of </w:t>
      </w:r>
      <w:r w:rsidR="00CC47E1">
        <w:rPr>
          <w:lang w:val="en-GB"/>
        </w:rPr>
        <w:t>BLEVE</w:t>
      </w:r>
      <w:r w:rsidR="00CC47E1" w:rsidRPr="00303F81">
        <w:rPr>
          <w:lang w:val="en-GB"/>
        </w:rPr>
        <w:t xml:space="preserve"> occur</w:t>
      </w:r>
      <w:r w:rsidR="00CC47E1">
        <w:rPr>
          <w:lang w:val="en-GB"/>
        </w:rPr>
        <w:t>r</w:t>
      </w:r>
      <w:r w:rsidR="00CC47E1" w:rsidRPr="00303F81">
        <w:rPr>
          <w:lang w:val="en-GB"/>
        </w:rPr>
        <w:t xml:space="preserve">ing by full fire engulfment and supports the proposals proposed by the BLEVE working group, namely (a) installation of metallic mudguards, (b) installation of engine fire suppression systems and (c) installation of safety valve(s). </w:t>
      </w:r>
    </w:p>
    <w:p w14:paraId="3B99746A" w14:textId="0ED1BB19" w:rsidR="00CC47E1" w:rsidRPr="002D14B1" w:rsidRDefault="00605E52" w:rsidP="00605E52">
      <w:pPr>
        <w:pStyle w:val="SingleTxtG"/>
        <w:rPr>
          <w:lang w:val="en-GB"/>
        </w:rPr>
      </w:pPr>
      <w:r>
        <w:rPr>
          <w:lang w:val="en-GB"/>
        </w:rPr>
        <w:t>2.</w:t>
      </w:r>
      <w:r>
        <w:rPr>
          <w:lang w:val="en-GB"/>
        </w:rPr>
        <w:tab/>
      </w:r>
      <w:r w:rsidR="00CC47E1">
        <w:rPr>
          <w:lang w:val="en-GB"/>
        </w:rPr>
        <w:t>Furthermore</w:t>
      </w:r>
      <w:r w:rsidR="00CA03AF">
        <w:rPr>
          <w:lang w:val="en-GB"/>
        </w:rPr>
        <w:t>,</w:t>
      </w:r>
      <w:r w:rsidR="00CC47E1" w:rsidRPr="00303F81">
        <w:rPr>
          <w:lang w:val="en-GB"/>
        </w:rPr>
        <w:t xml:space="preserve"> CTIF supports the proposal </w:t>
      </w:r>
      <w:r w:rsidR="00CC47E1">
        <w:rPr>
          <w:lang w:val="en-GB"/>
        </w:rPr>
        <w:t xml:space="preserve">to aid the emergency responders by </w:t>
      </w:r>
      <w:r w:rsidR="00CC47E1" w:rsidRPr="002D14B1">
        <w:rPr>
          <w:lang w:val="en-GB"/>
        </w:rPr>
        <w:t>communicating the installation of safety valves by visual means identifiable from a distance. For emergency response the following consequences arise:</w:t>
      </w:r>
    </w:p>
    <w:p w14:paraId="0913E9CB" w14:textId="7EEDD8E9" w:rsidR="00CC47E1" w:rsidRDefault="00605E52" w:rsidP="00455FD4">
      <w:pPr>
        <w:pStyle w:val="SingleTxtG"/>
        <w:ind w:left="2268" w:hanging="567"/>
        <w:rPr>
          <w:lang w:val="en-GB"/>
        </w:rPr>
      </w:pPr>
      <w:r>
        <w:rPr>
          <w:lang w:val="en-GB"/>
        </w:rPr>
        <w:t>(a)</w:t>
      </w:r>
      <w:r>
        <w:rPr>
          <w:lang w:val="en-GB"/>
        </w:rPr>
        <w:tab/>
      </w:r>
      <w:r w:rsidR="00CC47E1" w:rsidRPr="002D14B1">
        <w:rPr>
          <w:lang w:val="en-GB"/>
        </w:rPr>
        <w:t xml:space="preserve">Upon arrival on the scene measures especially with reference to the size of the cordoning-off areas will be the same when responding to </w:t>
      </w:r>
      <w:r w:rsidR="00CC47E1">
        <w:rPr>
          <w:lang w:val="en-GB"/>
        </w:rPr>
        <w:t xml:space="preserve">full fire engulfment </w:t>
      </w:r>
      <w:r w:rsidR="00CC47E1" w:rsidRPr="002D14B1">
        <w:rPr>
          <w:lang w:val="en-GB"/>
        </w:rPr>
        <w:t xml:space="preserve">of tanks with or without safety valves because </w:t>
      </w:r>
      <w:r w:rsidR="00CC47E1">
        <w:rPr>
          <w:lang w:val="en-GB"/>
        </w:rPr>
        <w:t>all type responders are trained to stay on the safe site, e.g. assume that tanks are not equipped with additional safety means. This holds true for many years until all tanks will be replaced by tanks with safety valves.</w:t>
      </w:r>
    </w:p>
    <w:p w14:paraId="5BFCB7B5" w14:textId="1D2C22C5" w:rsidR="00CC47E1" w:rsidRPr="002D14B1" w:rsidRDefault="00455FD4" w:rsidP="00455FD4">
      <w:pPr>
        <w:pStyle w:val="SingleTxtG"/>
        <w:ind w:left="2268" w:hanging="567"/>
        <w:rPr>
          <w:lang w:val="en-GB"/>
        </w:rPr>
      </w:pPr>
      <w:r>
        <w:rPr>
          <w:lang w:val="en-GB"/>
        </w:rPr>
        <w:t>(b)</w:t>
      </w:r>
      <w:r>
        <w:rPr>
          <w:lang w:val="en-GB"/>
        </w:rPr>
        <w:tab/>
      </w:r>
      <w:r w:rsidR="00CC47E1" w:rsidRPr="00186EA6">
        <w:rPr>
          <w:lang w:val="en-GB"/>
        </w:rPr>
        <w:t xml:space="preserve">Once more information on the </w:t>
      </w:r>
      <w:r w:rsidR="00CC47E1">
        <w:rPr>
          <w:lang w:val="en-GB"/>
        </w:rPr>
        <w:t>scene of such an incident</w:t>
      </w:r>
      <w:r w:rsidR="00CC47E1" w:rsidRPr="00186EA6">
        <w:rPr>
          <w:lang w:val="en-GB"/>
        </w:rPr>
        <w:t xml:space="preserve"> becomes available the existence of safety valves will lead to a better adjustment of precautionary measures and prevent overreacting, e.g. creating too large evacuation zones </w:t>
      </w:r>
      <w:r w:rsidR="00CC47E1">
        <w:rPr>
          <w:lang w:val="en-GB"/>
        </w:rPr>
        <w:t>which are difficult to establish and require an enormous amount of response forces and logistics</w:t>
      </w:r>
      <w:r w:rsidR="00CC47E1" w:rsidRPr="00186EA6">
        <w:rPr>
          <w:lang w:val="en-GB"/>
        </w:rPr>
        <w:t xml:space="preserve"> </w:t>
      </w:r>
    </w:p>
    <w:p w14:paraId="092085FB" w14:textId="4CD88DA0" w:rsidR="00CC47E1" w:rsidRDefault="00CC47E1" w:rsidP="00455FD4">
      <w:pPr>
        <w:pStyle w:val="SingleTxtG"/>
        <w:ind w:left="1701"/>
      </w:pPr>
      <w:proofErr w:type="spellStart"/>
      <w:r w:rsidRPr="00B829A0">
        <w:t>Therefore</w:t>
      </w:r>
      <w:proofErr w:type="spellEnd"/>
      <w:r w:rsidR="00DB259A">
        <w:t>,</w:t>
      </w:r>
      <w:r w:rsidRPr="00B829A0">
        <w:t xml:space="preserve"> a </w:t>
      </w:r>
      <w:proofErr w:type="spellStart"/>
      <w:r w:rsidRPr="00B829A0">
        <w:t>clear</w:t>
      </w:r>
      <w:proofErr w:type="spellEnd"/>
      <w:r w:rsidRPr="00B829A0">
        <w:t xml:space="preserve"> indication about </w:t>
      </w:r>
      <w:proofErr w:type="spellStart"/>
      <w:r w:rsidRPr="00B829A0">
        <w:t>safety</w:t>
      </w:r>
      <w:proofErr w:type="spellEnd"/>
      <w:r w:rsidRPr="00B829A0">
        <w:t xml:space="preserve"> valves </w:t>
      </w:r>
      <w:proofErr w:type="spellStart"/>
      <w:r w:rsidRPr="00B829A0">
        <w:t>readable</w:t>
      </w:r>
      <w:proofErr w:type="spellEnd"/>
      <w:r w:rsidRPr="00B829A0">
        <w:t xml:space="preserve"> </w:t>
      </w:r>
      <w:proofErr w:type="spellStart"/>
      <w:r w:rsidRPr="00B829A0">
        <w:t>from</w:t>
      </w:r>
      <w:proofErr w:type="spellEnd"/>
      <w:r w:rsidRPr="00B829A0">
        <w:t xml:space="preserve"> </w:t>
      </w:r>
      <w:proofErr w:type="spellStart"/>
      <w:r w:rsidRPr="00B829A0">
        <w:t>a</w:t>
      </w:r>
      <w:proofErr w:type="spellEnd"/>
      <w:r w:rsidRPr="00B829A0">
        <w:t xml:space="preserve"> distance </w:t>
      </w:r>
      <w:proofErr w:type="spellStart"/>
      <w:r w:rsidRPr="00B829A0">
        <w:t>is</w:t>
      </w:r>
      <w:proofErr w:type="spellEnd"/>
      <w:r w:rsidRPr="00B829A0">
        <w:t xml:space="preserve"> </w:t>
      </w:r>
      <w:proofErr w:type="spellStart"/>
      <w:r>
        <w:t>useful</w:t>
      </w:r>
      <w:proofErr w:type="spellEnd"/>
      <w:r>
        <w:t xml:space="preserve"> and </w:t>
      </w:r>
      <w:proofErr w:type="spellStart"/>
      <w:r w:rsidRPr="00B829A0">
        <w:t>needed</w:t>
      </w:r>
      <w:proofErr w:type="spellEnd"/>
      <w:r w:rsidRPr="00B829A0">
        <w:t>.</w:t>
      </w:r>
    </w:p>
    <w:p w14:paraId="5B9C46DA" w14:textId="27FF3FAC" w:rsidR="00CC47E1" w:rsidRDefault="00455FD4" w:rsidP="00455FD4">
      <w:pPr>
        <w:pStyle w:val="SingleTxtG"/>
        <w:rPr>
          <w:lang w:val="en-GB"/>
        </w:rPr>
      </w:pPr>
      <w:r>
        <w:rPr>
          <w:lang w:val="en-GB"/>
        </w:rPr>
        <w:t>3.</w:t>
      </w:r>
      <w:r>
        <w:rPr>
          <w:lang w:val="en-GB"/>
        </w:rPr>
        <w:tab/>
      </w:r>
      <w:r w:rsidR="00CC47E1">
        <w:rPr>
          <w:lang w:val="en-GB"/>
        </w:rPr>
        <w:t>With this paper CTIF wants to invite experts to discuss pros and cons of different options of visual means.</w:t>
      </w:r>
    </w:p>
    <w:p w14:paraId="1556F19D" w14:textId="77777777" w:rsidR="00CC47E1" w:rsidRPr="00B829A0" w:rsidRDefault="00CC47E1" w:rsidP="00CC47E1">
      <w:pPr>
        <w:suppressAutoHyphens w:val="0"/>
        <w:spacing w:line="240" w:lineRule="auto"/>
        <w:ind w:right="566"/>
      </w:pPr>
      <w:r>
        <w:br w:type="page"/>
      </w:r>
    </w:p>
    <w:p w14:paraId="437FD466" w14:textId="77777777" w:rsidR="00CC47E1" w:rsidRPr="0095742E" w:rsidRDefault="00CC47E1" w:rsidP="00CC47E1">
      <w:pPr>
        <w:pStyle w:val="SingleTxtG"/>
        <w:ind w:right="566"/>
        <w:rPr>
          <w:b/>
          <w:sz w:val="28"/>
          <w:szCs w:val="28"/>
          <w:lang w:val="en-GB"/>
        </w:rPr>
      </w:pPr>
      <w:r w:rsidRPr="0095742E">
        <w:rPr>
          <w:b/>
          <w:sz w:val="28"/>
          <w:szCs w:val="28"/>
          <w:lang w:val="en-GB"/>
        </w:rPr>
        <w:lastRenderedPageBreak/>
        <w:t xml:space="preserve">Optical </w:t>
      </w:r>
      <w:r>
        <w:rPr>
          <w:b/>
          <w:sz w:val="28"/>
          <w:szCs w:val="28"/>
          <w:lang w:val="en-GB"/>
        </w:rPr>
        <w:t>identification of gas tanks fitted with safety valves</w:t>
      </w:r>
    </w:p>
    <w:p w14:paraId="1A042805" w14:textId="472E21E3" w:rsidR="00CC47E1" w:rsidRPr="0095742E" w:rsidRDefault="00CC47E1" w:rsidP="00CC47E1">
      <w:pPr>
        <w:pStyle w:val="SingleTxtG"/>
        <w:numPr>
          <w:ilvl w:val="0"/>
          <w:numId w:val="37"/>
        </w:numPr>
        <w:ind w:right="566"/>
        <w:rPr>
          <w:b/>
          <w:bCs/>
          <w:lang w:val="en-GB"/>
        </w:rPr>
      </w:pPr>
      <w:r w:rsidRPr="0095742E">
        <w:rPr>
          <w:b/>
          <w:bCs/>
          <w:lang w:val="en-GB"/>
        </w:rPr>
        <w:t>Display on orange plate</w:t>
      </w:r>
      <w:r>
        <w:rPr>
          <w:b/>
          <w:bCs/>
          <w:lang w:val="en-GB"/>
        </w:rPr>
        <w:t xml:space="preserve"> (proposal 2 </w:t>
      </w:r>
      <w:r w:rsidR="0030187B">
        <w:rPr>
          <w:b/>
          <w:bCs/>
          <w:lang w:val="en-GB"/>
        </w:rPr>
        <w:t xml:space="preserve">for </w:t>
      </w:r>
      <w:r>
        <w:rPr>
          <w:b/>
          <w:bCs/>
          <w:lang w:val="en-GB"/>
        </w:rPr>
        <w:t>new 5.3.</w:t>
      </w:r>
      <w:r w:rsidR="0030187B">
        <w:rPr>
          <w:b/>
          <w:bCs/>
          <w:lang w:val="en-GB"/>
        </w:rPr>
        <w:t>2</w:t>
      </w:r>
      <w:r>
        <w:rPr>
          <w:b/>
          <w:bCs/>
          <w:lang w:val="en-GB"/>
        </w:rPr>
        <w:t>.3.3)</w:t>
      </w:r>
    </w:p>
    <w:p w14:paraId="2C800EED" w14:textId="77777777" w:rsidR="00CC47E1" w:rsidRDefault="00CC47E1" w:rsidP="00CC47E1">
      <w:pPr>
        <w:pStyle w:val="SingleTxtG"/>
        <w:ind w:right="566"/>
        <w:rPr>
          <w:lang w:val="en-GB"/>
        </w:rPr>
      </w:pPr>
      <w:r>
        <w:rPr>
          <w:rFonts w:eastAsiaTheme="minorHAnsi" w:cs="Arial"/>
          <w:noProof/>
          <w:sz w:val="24"/>
          <w:szCs w:val="24"/>
          <w:lang w:val="de-AT" w:eastAsia="de-AT"/>
        </w:rPr>
        <w:drawing>
          <wp:inline distT="0" distB="0" distL="0" distR="0" wp14:anchorId="0D176E60" wp14:editId="56F21710">
            <wp:extent cx="1666967" cy="1138819"/>
            <wp:effectExtent l="0" t="0" r="0" b="4445"/>
            <wp:docPr id="5" name="Grafik 5" descr="Ein Bild, das Text, Geschirr,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Geschirr, Teller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1707814" cy="1166724"/>
                    </a:xfrm>
                    <a:prstGeom prst="rect">
                      <a:avLst/>
                    </a:prstGeom>
                  </pic:spPr>
                </pic:pic>
              </a:graphicData>
            </a:graphic>
          </wp:inline>
        </w:drawing>
      </w:r>
    </w:p>
    <w:p w14:paraId="47C95C09" w14:textId="77777777" w:rsidR="00CC47E1" w:rsidRPr="00B829A0" w:rsidRDefault="00CC47E1" w:rsidP="00CC47E1">
      <w:pPr>
        <w:suppressAutoHyphens w:val="0"/>
        <w:spacing w:line="240" w:lineRule="auto"/>
        <w:ind w:left="567" w:right="566" w:firstLine="567"/>
        <w:rPr>
          <w:i/>
          <w:iCs/>
          <w:sz w:val="24"/>
          <w:szCs w:val="24"/>
          <w:lang w:val="en-US" w:eastAsia="de-DE"/>
        </w:rPr>
      </w:pPr>
      <w:r w:rsidRPr="00B829A0">
        <w:rPr>
          <w:i/>
          <w:iCs/>
        </w:rPr>
        <w:t xml:space="preserve">Example: </w:t>
      </w:r>
      <w:proofErr w:type="spellStart"/>
      <w:r w:rsidRPr="00B829A0">
        <w:rPr>
          <w:i/>
          <w:iCs/>
        </w:rPr>
        <w:t>Ethylene</w:t>
      </w:r>
      <w:proofErr w:type="spellEnd"/>
      <w:r w:rsidRPr="00B829A0">
        <w:rPr>
          <w:i/>
          <w:iCs/>
        </w:rPr>
        <w:t xml:space="preserve">, </w:t>
      </w:r>
      <w:proofErr w:type="spellStart"/>
      <w:r w:rsidRPr="00B829A0">
        <w:rPr>
          <w:i/>
          <w:iCs/>
        </w:rPr>
        <w:t>refrigerated</w:t>
      </w:r>
      <w:proofErr w:type="spellEnd"/>
      <w:r w:rsidRPr="00B829A0">
        <w:rPr>
          <w:i/>
          <w:iCs/>
        </w:rPr>
        <w:t xml:space="preserve"> </w:t>
      </w:r>
      <w:proofErr w:type="spellStart"/>
      <w:r w:rsidRPr="00B829A0">
        <w:rPr>
          <w:i/>
          <w:iCs/>
        </w:rPr>
        <w:t>liquid</w:t>
      </w:r>
      <w:proofErr w:type="spellEnd"/>
      <w:r w:rsidRPr="00B829A0">
        <w:rPr>
          <w:i/>
          <w:iCs/>
        </w:rPr>
        <w:t xml:space="preserve"> (</w:t>
      </w:r>
      <w:proofErr w:type="spellStart"/>
      <w:r w:rsidRPr="00B829A0">
        <w:rPr>
          <w:i/>
          <w:iCs/>
        </w:rPr>
        <w:t>cryogenic</w:t>
      </w:r>
      <w:proofErr w:type="spellEnd"/>
      <w:r w:rsidRPr="00B829A0">
        <w:rPr>
          <w:i/>
          <w:iCs/>
        </w:rPr>
        <w:t xml:space="preserve"> </w:t>
      </w:r>
      <w:proofErr w:type="spellStart"/>
      <w:r w:rsidRPr="00B829A0">
        <w:rPr>
          <w:i/>
          <w:iCs/>
        </w:rPr>
        <w:t>liquid</w:t>
      </w:r>
      <w:proofErr w:type="spellEnd"/>
      <w:r w:rsidRPr="00B829A0">
        <w:rPr>
          <w:i/>
          <w:iCs/>
        </w:rPr>
        <w:t>)</w:t>
      </w:r>
    </w:p>
    <w:p w14:paraId="33EAD131" w14:textId="38326B09" w:rsidR="00CC47E1" w:rsidRDefault="0088728B" w:rsidP="00455FD4">
      <w:pPr>
        <w:pStyle w:val="SingleTxtG"/>
        <w:spacing w:before="120"/>
        <w:ind w:right="567"/>
        <w:rPr>
          <w:lang w:val="en-GB"/>
        </w:rPr>
      </w:pPr>
      <w:r>
        <w:rPr>
          <w:lang w:val="en-GB"/>
        </w:rPr>
        <w:t>Obviously,</w:t>
      </w:r>
      <w:r w:rsidR="00CC47E1">
        <w:rPr>
          <w:lang w:val="en-GB"/>
        </w:rPr>
        <w:t xml:space="preserve"> this approach has the advantage that the information is readable from a distance. It has the disadvantage that it will go together with an in</w:t>
      </w:r>
      <w:r w:rsidR="00CC47E1" w:rsidRPr="00D66FF2">
        <w:rPr>
          <w:lang w:val="en-GB"/>
        </w:rPr>
        <w:t xml:space="preserve">crease of the list of </w:t>
      </w:r>
      <w:r w:rsidR="00CC47E1">
        <w:rPr>
          <w:lang w:val="en-GB"/>
        </w:rPr>
        <w:t>Hazard Identification Numbers (</w:t>
      </w:r>
      <w:r w:rsidR="00CC47E1" w:rsidRPr="00D66FF2">
        <w:rPr>
          <w:lang w:val="en-GB"/>
        </w:rPr>
        <w:t>HIN</w:t>
      </w:r>
      <w:r w:rsidR="00CC47E1">
        <w:rPr>
          <w:lang w:val="en-GB"/>
        </w:rPr>
        <w:t>)</w:t>
      </w:r>
      <w:r w:rsidR="00CC47E1" w:rsidRPr="00D66FF2">
        <w:rPr>
          <w:lang w:val="en-GB"/>
        </w:rPr>
        <w:t xml:space="preserve"> with the special meanings</w:t>
      </w:r>
      <w:r w:rsidR="00CC47E1">
        <w:rPr>
          <w:lang w:val="en-GB"/>
        </w:rPr>
        <w:t xml:space="preserve">. Leaflets, instruction sheets, guides, etc. would have to be updated accordingly. </w:t>
      </w:r>
      <w:r w:rsidR="00CC47E1" w:rsidRPr="00D66FF2">
        <w:rPr>
          <w:lang w:val="en-GB"/>
        </w:rPr>
        <w:t>This would also create immediate training needs of all first responders independent</w:t>
      </w:r>
      <w:r w:rsidR="00836EB1">
        <w:rPr>
          <w:lang w:val="en-GB"/>
        </w:rPr>
        <w:t>ly</w:t>
      </w:r>
      <w:r w:rsidR="00CC47E1" w:rsidRPr="00D66FF2">
        <w:rPr>
          <w:lang w:val="en-GB"/>
        </w:rPr>
        <w:t xml:space="preserve"> of their competence level </w:t>
      </w:r>
      <w:r w:rsidR="00CC47E1">
        <w:rPr>
          <w:lang w:val="en-GB"/>
        </w:rPr>
        <w:t xml:space="preserve">(see 2a) </w:t>
      </w:r>
      <w:r w:rsidR="00CC47E1" w:rsidRPr="00D66FF2">
        <w:rPr>
          <w:lang w:val="en-GB"/>
        </w:rPr>
        <w:t>and the number of tanks fitted with safety valves.</w:t>
      </w:r>
      <w:r w:rsidR="00CC47E1">
        <w:rPr>
          <w:lang w:val="en-GB"/>
        </w:rPr>
        <w:t xml:space="preserve"> </w:t>
      </w:r>
      <w:r w:rsidR="004720DC">
        <w:rPr>
          <w:lang w:val="en-GB"/>
        </w:rPr>
        <w:t>Furthermore</w:t>
      </w:r>
      <w:r w:rsidR="00543880">
        <w:rPr>
          <w:lang w:val="en-GB"/>
        </w:rPr>
        <w:t>,</w:t>
      </w:r>
      <w:r w:rsidR="00CC47E1">
        <w:rPr>
          <w:lang w:val="en-GB"/>
        </w:rPr>
        <w:t xml:space="preserve"> this option </w:t>
      </w:r>
      <w:r w:rsidR="00CC47E1" w:rsidRPr="00D66FF2">
        <w:rPr>
          <w:lang w:val="en-GB"/>
        </w:rPr>
        <w:t xml:space="preserve">will not go well with countries using the Emergency </w:t>
      </w:r>
      <w:r w:rsidR="00CC47E1">
        <w:rPr>
          <w:lang w:val="en-GB"/>
        </w:rPr>
        <w:t>A</w:t>
      </w:r>
      <w:r w:rsidR="00CC47E1" w:rsidRPr="00D66FF2">
        <w:rPr>
          <w:lang w:val="en-GB"/>
        </w:rPr>
        <w:t xml:space="preserve">ction </w:t>
      </w:r>
      <w:r w:rsidR="00CC47E1">
        <w:rPr>
          <w:lang w:val="en-GB"/>
        </w:rPr>
        <w:t>C</w:t>
      </w:r>
      <w:r w:rsidR="00CC47E1" w:rsidRPr="00D66FF2">
        <w:rPr>
          <w:lang w:val="en-GB"/>
        </w:rPr>
        <w:t xml:space="preserve">ode </w:t>
      </w:r>
      <w:r w:rsidR="00CC47E1">
        <w:rPr>
          <w:lang w:val="en-GB"/>
        </w:rPr>
        <w:t>(</w:t>
      </w:r>
      <w:r w:rsidR="00CC47E1" w:rsidRPr="00D66FF2">
        <w:rPr>
          <w:lang w:val="en-GB"/>
        </w:rPr>
        <w:t>EAC</w:t>
      </w:r>
      <w:r w:rsidR="00CC47E1">
        <w:rPr>
          <w:lang w:val="en-GB"/>
        </w:rPr>
        <w:t xml:space="preserve">) </w:t>
      </w:r>
      <w:r w:rsidR="00CC47E1" w:rsidRPr="00D66FF2">
        <w:rPr>
          <w:lang w:val="en-GB"/>
        </w:rPr>
        <w:t>instead of the HIN</w:t>
      </w:r>
      <w:r w:rsidR="00CC47E1">
        <w:rPr>
          <w:lang w:val="en-GB"/>
        </w:rPr>
        <w:t>.</w:t>
      </w:r>
    </w:p>
    <w:p w14:paraId="7D0526EC" w14:textId="77777777" w:rsidR="00CC47E1" w:rsidRDefault="00CC47E1" w:rsidP="00455FD4">
      <w:pPr>
        <w:pStyle w:val="SingleTxtG"/>
        <w:numPr>
          <w:ilvl w:val="0"/>
          <w:numId w:val="37"/>
        </w:numPr>
        <w:spacing w:before="120"/>
        <w:ind w:right="567"/>
        <w:rPr>
          <w:b/>
          <w:bCs/>
          <w:lang w:val="en-GB"/>
        </w:rPr>
      </w:pPr>
      <w:r w:rsidRPr="0095742E">
        <w:rPr>
          <w:b/>
          <w:bCs/>
          <w:lang w:val="en-GB"/>
        </w:rPr>
        <w:t xml:space="preserve">Display </w:t>
      </w:r>
      <w:r>
        <w:rPr>
          <w:b/>
          <w:bCs/>
          <w:lang w:val="en-GB"/>
        </w:rPr>
        <w:t>on a placard</w:t>
      </w:r>
    </w:p>
    <w:tbl>
      <w:tblPr>
        <w:tblStyle w:val="Grilledutableau"/>
        <w:tblW w:w="0" w:type="auto"/>
        <w:tblInd w:w="1129" w:type="dxa"/>
        <w:tblLayout w:type="fixed"/>
        <w:tblLook w:val="04A0" w:firstRow="1" w:lastRow="0" w:firstColumn="1" w:lastColumn="0" w:noHBand="0" w:noVBand="1"/>
      </w:tblPr>
      <w:tblGrid>
        <w:gridCol w:w="2552"/>
        <w:gridCol w:w="2835"/>
        <w:gridCol w:w="2551"/>
      </w:tblGrid>
      <w:tr w:rsidR="00CC47E1" w:rsidRPr="00C86AC4" w14:paraId="7E833EE4" w14:textId="77777777" w:rsidTr="006425FB">
        <w:tc>
          <w:tcPr>
            <w:tcW w:w="2552" w:type="dxa"/>
          </w:tcPr>
          <w:p w14:paraId="49B32B0A" w14:textId="77777777" w:rsidR="00CC47E1" w:rsidRPr="00062E0F" w:rsidRDefault="00CC47E1" w:rsidP="00062E0F">
            <w:pPr>
              <w:pStyle w:val="Commentaire"/>
              <w:ind w:right="566"/>
              <w:jc w:val="left"/>
              <w:rPr>
                <w:rFonts w:asciiTheme="majorBidi" w:eastAsiaTheme="minorHAnsi" w:hAnsiTheme="majorBidi" w:cstheme="majorBidi"/>
                <w:sz w:val="20"/>
              </w:rPr>
            </w:pPr>
            <w:r w:rsidRPr="00062E0F">
              <w:rPr>
                <w:rFonts w:asciiTheme="majorBidi" w:eastAsiaTheme="minorHAnsi" w:hAnsiTheme="majorBidi" w:cstheme="majorBidi"/>
                <w:sz w:val="20"/>
              </w:rPr>
              <w:t>Version 1 (neutral)</w:t>
            </w:r>
          </w:p>
        </w:tc>
        <w:tc>
          <w:tcPr>
            <w:tcW w:w="2835" w:type="dxa"/>
          </w:tcPr>
          <w:p w14:paraId="7986E97C" w14:textId="77777777" w:rsidR="00CC47E1" w:rsidRPr="00062E0F" w:rsidRDefault="00CC47E1" w:rsidP="00063B0D">
            <w:pPr>
              <w:pStyle w:val="Commentaire"/>
              <w:ind w:right="283"/>
              <w:jc w:val="left"/>
              <w:rPr>
                <w:rFonts w:asciiTheme="majorBidi" w:eastAsiaTheme="minorHAnsi" w:hAnsiTheme="majorBidi" w:cstheme="majorBidi"/>
                <w:sz w:val="20"/>
                <w:lang w:val="en-US"/>
              </w:rPr>
            </w:pPr>
            <w:r w:rsidRPr="00062E0F">
              <w:rPr>
                <w:rFonts w:asciiTheme="majorBidi" w:eastAsiaTheme="minorHAnsi" w:hAnsiTheme="majorBidi" w:cstheme="majorBidi"/>
                <w:sz w:val="20"/>
                <w:lang w:val="en-US"/>
              </w:rPr>
              <w:t>Version 2 (red pattern in analogy to the standard labelling of flammable gases)</w:t>
            </w:r>
          </w:p>
        </w:tc>
        <w:tc>
          <w:tcPr>
            <w:tcW w:w="2551" w:type="dxa"/>
          </w:tcPr>
          <w:p w14:paraId="47B8257E" w14:textId="77777777" w:rsidR="00CC47E1" w:rsidRPr="00062E0F" w:rsidRDefault="00CC47E1" w:rsidP="00063B0D">
            <w:pPr>
              <w:suppressAutoHyphens w:val="0"/>
              <w:spacing w:line="240" w:lineRule="auto"/>
              <w:ind w:left="143" w:right="281"/>
              <w:rPr>
                <w:rFonts w:asciiTheme="majorBidi" w:hAnsiTheme="majorBidi" w:cstheme="majorBidi"/>
                <w:lang w:val="en-US" w:eastAsia="de-DE"/>
              </w:rPr>
            </w:pPr>
            <w:r w:rsidRPr="00062E0F">
              <w:rPr>
                <w:rFonts w:asciiTheme="majorBidi" w:eastAsiaTheme="minorHAnsi" w:hAnsiTheme="majorBidi" w:cstheme="majorBidi"/>
                <w:lang w:val="en-US"/>
              </w:rPr>
              <w:t>Version 3 (green pattern as an illustration of increased safety)</w:t>
            </w:r>
          </w:p>
        </w:tc>
      </w:tr>
      <w:tr w:rsidR="00CC47E1" w14:paraId="7858FFD6" w14:textId="77777777" w:rsidTr="00062E0F">
        <w:trPr>
          <w:trHeight w:val="2421"/>
        </w:trPr>
        <w:tc>
          <w:tcPr>
            <w:tcW w:w="2552" w:type="dxa"/>
          </w:tcPr>
          <w:p w14:paraId="0C10B528" w14:textId="77777777" w:rsidR="00CC47E1" w:rsidRDefault="00CC47E1" w:rsidP="00063B0D">
            <w:pPr>
              <w:pStyle w:val="Commentaire"/>
              <w:spacing w:before="240"/>
              <w:ind w:right="278"/>
              <w:jc w:val="center"/>
              <w:rPr>
                <w:rFonts w:eastAsiaTheme="minorHAnsi" w:cs="Arial"/>
                <w:sz w:val="24"/>
                <w:szCs w:val="24"/>
              </w:rPr>
            </w:pPr>
            <w:r>
              <w:rPr>
                <w:rFonts w:eastAsiaTheme="minorHAnsi" w:cs="Arial"/>
                <w:noProof/>
                <w:sz w:val="24"/>
                <w:szCs w:val="24"/>
                <w:lang w:val="de-AT" w:eastAsia="de-AT"/>
              </w:rPr>
              <w:drawing>
                <wp:inline distT="0" distB="0" distL="0" distR="0" wp14:anchorId="206BB7E0" wp14:editId="5F79D7E7">
                  <wp:extent cx="1444812" cy="1419951"/>
                  <wp:effectExtent l="0" t="0" r="3175"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6026" cy="1480112"/>
                          </a:xfrm>
                          <a:prstGeom prst="rect">
                            <a:avLst/>
                          </a:prstGeom>
                        </pic:spPr>
                      </pic:pic>
                    </a:graphicData>
                  </a:graphic>
                </wp:inline>
              </w:drawing>
            </w:r>
          </w:p>
        </w:tc>
        <w:tc>
          <w:tcPr>
            <w:tcW w:w="2835" w:type="dxa"/>
          </w:tcPr>
          <w:p w14:paraId="78026A9D" w14:textId="77777777" w:rsidR="00CC47E1" w:rsidRDefault="00CC47E1" w:rsidP="00063B0D">
            <w:pPr>
              <w:pStyle w:val="Commentaire"/>
              <w:spacing w:before="240"/>
              <w:ind w:right="283"/>
              <w:jc w:val="center"/>
              <w:rPr>
                <w:rFonts w:eastAsiaTheme="minorHAnsi" w:cs="Arial"/>
                <w:sz w:val="24"/>
                <w:szCs w:val="24"/>
              </w:rPr>
            </w:pPr>
            <w:r>
              <w:rPr>
                <w:rFonts w:eastAsiaTheme="minorHAnsi" w:cs="Arial"/>
                <w:noProof/>
                <w:sz w:val="24"/>
                <w:szCs w:val="24"/>
                <w:lang w:val="de-AT" w:eastAsia="de-AT"/>
              </w:rPr>
              <w:drawing>
                <wp:inline distT="0" distB="0" distL="0" distR="0" wp14:anchorId="605C965A" wp14:editId="5B00E7F0">
                  <wp:extent cx="1404127" cy="1379966"/>
                  <wp:effectExtent l="0" t="0" r="5715"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8307" cy="1423386"/>
                          </a:xfrm>
                          <a:prstGeom prst="rect">
                            <a:avLst/>
                          </a:prstGeom>
                        </pic:spPr>
                      </pic:pic>
                    </a:graphicData>
                  </a:graphic>
                </wp:inline>
              </w:drawing>
            </w:r>
          </w:p>
        </w:tc>
        <w:tc>
          <w:tcPr>
            <w:tcW w:w="2551" w:type="dxa"/>
          </w:tcPr>
          <w:p w14:paraId="0FC0F3E3" w14:textId="77777777" w:rsidR="00CC47E1" w:rsidRDefault="00CC47E1" w:rsidP="00063B0D">
            <w:pPr>
              <w:pStyle w:val="Commentaire"/>
              <w:spacing w:before="240"/>
              <w:ind w:right="281"/>
              <w:jc w:val="center"/>
              <w:rPr>
                <w:rFonts w:eastAsiaTheme="minorHAnsi" w:cs="Arial"/>
                <w:sz w:val="24"/>
                <w:szCs w:val="24"/>
              </w:rPr>
            </w:pPr>
            <w:r>
              <w:rPr>
                <w:rFonts w:eastAsiaTheme="minorHAnsi" w:cs="Arial"/>
                <w:noProof/>
                <w:sz w:val="24"/>
                <w:szCs w:val="24"/>
                <w:lang w:val="de-AT" w:eastAsia="de-AT"/>
              </w:rPr>
              <w:drawing>
                <wp:inline distT="0" distB="0" distL="0" distR="0" wp14:anchorId="4CCEDBF2" wp14:editId="36D8B31F">
                  <wp:extent cx="1388102" cy="1364217"/>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73724" cy="1448365"/>
                          </a:xfrm>
                          <a:prstGeom prst="rect">
                            <a:avLst/>
                          </a:prstGeom>
                        </pic:spPr>
                      </pic:pic>
                    </a:graphicData>
                  </a:graphic>
                </wp:inline>
              </w:drawing>
            </w:r>
          </w:p>
        </w:tc>
      </w:tr>
    </w:tbl>
    <w:p w14:paraId="1E089BF0" w14:textId="65EE7D5B" w:rsidR="00CC47E1" w:rsidRDefault="00A0745A" w:rsidP="00455FD4">
      <w:pPr>
        <w:pStyle w:val="SingleTxtG"/>
        <w:spacing w:before="120"/>
        <w:ind w:right="567"/>
        <w:rPr>
          <w:lang w:val="en-GB"/>
        </w:rPr>
      </w:pPr>
      <w:r>
        <w:rPr>
          <w:lang w:val="en-GB"/>
        </w:rPr>
        <w:t>Similar</w:t>
      </w:r>
      <w:r w:rsidR="00CC47E1">
        <w:rPr>
          <w:lang w:val="en-GB"/>
        </w:rPr>
        <w:t xml:space="preserve"> to </w:t>
      </w:r>
      <w:r w:rsidR="005428E0">
        <w:rPr>
          <w:lang w:val="en-GB"/>
        </w:rPr>
        <w:t>o</w:t>
      </w:r>
      <w:r w:rsidR="00CC47E1">
        <w:rPr>
          <w:lang w:val="en-GB"/>
        </w:rPr>
        <w:t>range plate</w:t>
      </w:r>
      <w:r w:rsidR="00A72D9B">
        <w:rPr>
          <w:lang w:val="en-GB"/>
        </w:rPr>
        <w:t>s</w:t>
      </w:r>
      <w:r w:rsidR="00CC47E1">
        <w:rPr>
          <w:lang w:val="en-GB"/>
        </w:rPr>
        <w:t xml:space="preserve"> placards are well established as useful communication means in ADR</w:t>
      </w:r>
      <w:r w:rsidR="00AD2CBD">
        <w:rPr>
          <w:lang w:val="en-GB"/>
        </w:rPr>
        <w:t>/</w:t>
      </w:r>
      <w:r w:rsidR="00CC47E1">
        <w:rPr>
          <w:lang w:val="en-GB"/>
        </w:rPr>
        <w:t xml:space="preserve">RID. </w:t>
      </w:r>
    </w:p>
    <w:p w14:paraId="4B53007B" w14:textId="2656F4A3" w:rsidR="00CC47E1" w:rsidRDefault="00CC47E1" w:rsidP="00455FD4">
      <w:pPr>
        <w:pStyle w:val="SingleTxtG"/>
        <w:spacing w:before="120"/>
        <w:ind w:right="567"/>
        <w:rPr>
          <w:lang w:val="en-GB"/>
        </w:rPr>
      </w:pPr>
      <w:r>
        <w:rPr>
          <w:lang w:val="en-GB"/>
        </w:rPr>
        <w:t xml:space="preserve">The letters ‘SV’ would clearly indicate that the tank is equipped with safety valves. This information will be important for Incident Commanders who </w:t>
      </w:r>
      <w:r w:rsidR="006B4C39">
        <w:rPr>
          <w:lang w:val="en-GB"/>
        </w:rPr>
        <w:t>must</w:t>
      </w:r>
      <w:r>
        <w:rPr>
          <w:lang w:val="en-GB"/>
        </w:rPr>
        <w:t xml:space="preserve"> decide on evacuation and isolation measures on the scene. They receive special training for hazardous materials response which is not the case for all type of responders, e.g. police, emergency medical personnel and basic fire fighters. Because of the limited number of Incident Commanders</w:t>
      </w:r>
      <w:r w:rsidR="007C6D30">
        <w:rPr>
          <w:lang w:val="en-GB"/>
        </w:rPr>
        <w:t>,</w:t>
      </w:r>
      <w:r>
        <w:rPr>
          <w:lang w:val="en-GB"/>
        </w:rPr>
        <w:t xml:space="preserve"> the training requirements are less needed </w:t>
      </w:r>
      <w:r w:rsidR="002F2525">
        <w:rPr>
          <w:lang w:val="en-GB"/>
        </w:rPr>
        <w:t xml:space="preserve">than </w:t>
      </w:r>
      <w:r>
        <w:rPr>
          <w:lang w:val="en-GB"/>
        </w:rPr>
        <w:t xml:space="preserve">for the </w:t>
      </w:r>
      <w:r w:rsidR="005428E0">
        <w:rPr>
          <w:lang w:val="en-GB"/>
        </w:rPr>
        <w:t>o</w:t>
      </w:r>
      <w:r>
        <w:rPr>
          <w:lang w:val="en-GB"/>
        </w:rPr>
        <w:t>range plate option.</w:t>
      </w:r>
    </w:p>
    <w:p w14:paraId="4A4654A9" w14:textId="77777777" w:rsidR="00CC47E1" w:rsidRPr="00303F81" w:rsidRDefault="00CC47E1" w:rsidP="00CC47E1">
      <w:pPr>
        <w:spacing w:before="240"/>
        <w:ind w:left="1134" w:right="1134"/>
        <w:jc w:val="center"/>
        <w:rPr>
          <w:u w:val="single"/>
        </w:rPr>
      </w:pPr>
      <w:r w:rsidRPr="00303F81">
        <w:rPr>
          <w:u w:val="single"/>
        </w:rPr>
        <w:tab/>
      </w:r>
      <w:r w:rsidRPr="00303F81">
        <w:rPr>
          <w:u w:val="single"/>
        </w:rPr>
        <w:tab/>
      </w:r>
      <w:r w:rsidRPr="00303F81">
        <w:rPr>
          <w:u w:val="single"/>
        </w:rPr>
        <w:tab/>
      </w:r>
    </w:p>
    <w:sectPr w:rsidR="00CC47E1" w:rsidRPr="00303F81" w:rsidSect="0057224A">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EF44C" w14:textId="77777777" w:rsidR="00093233" w:rsidRDefault="00093233"/>
  </w:endnote>
  <w:endnote w:type="continuationSeparator" w:id="0">
    <w:p w14:paraId="1CE07CA1" w14:textId="77777777" w:rsidR="00093233" w:rsidRDefault="00093233"/>
  </w:endnote>
  <w:endnote w:type="continuationNotice" w:id="1">
    <w:p w14:paraId="5E88EC2C" w14:textId="77777777" w:rsidR="00093233" w:rsidRDefault="00093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A" w14:textId="77777777" w:rsidR="000C5A28" w:rsidRDefault="000C5A28">
    <w:pPr>
      <w:pStyle w:val="Pieddepage"/>
    </w:pPr>
    <w:r>
      <w:rPr>
        <w:rStyle w:val="Numrodepage"/>
      </w:rPr>
      <w:fldChar w:fldCharType="begin"/>
    </w:r>
    <w:r>
      <w:rPr>
        <w:rStyle w:val="Numrodepage"/>
      </w:rPr>
      <w:instrText xml:space="preserve"> PAGE </w:instrText>
    </w:r>
    <w:r>
      <w:rPr>
        <w:rStyle w:val="Numrodepage"/>
      </w:rPr>
      <w:fldChar w:fldCharType="separate"/>
    </w:r>
    <w:r w:rsidR="005A593B">
      <w:rPr>
        <w:rStyle w:val="Numrodepage"/>
        <w:noProof/>
      </w:rPr>
      <w:t>12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B" w14:textId="77777777" w:rsidR="000C5A28" w:rsidRPr="008D464D" w:rsidRDefault="000C5A28" w:rsidP="008D464D">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BF4E6D">
      <w:rPr>
        <w:rStyle w:val="Numrodepage"/>
        <w:noProof/>
      </w:rPr>
      <w:t>13</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E" w14:textId="77777777" w:rsidR="000C5A28" w:rsidRPr="003203DD" w:rsidRDefault="000C5A28">
    <w:pPr>
      <w:pStyle w:val="Pieddepage"/>
      <w:jc w:val="right"/>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F7361" w14:textId="77777777" w:rsidR="00093233" w:rsidRPr="000B175B" w:rsidRDefault="00093233" w:rsidP="000B175B">
      <w:pPr>
        <w:tabs>
          <w:tab w:val="right" w:pos="2155"/>
        </w:tabs>
        <w:spacing w:after="80"/>
        <w:ind w:left="680"/>
        <w:rPr>
          <w:u w:val="single"/>
        </w:rPr>
      </w:pPr>
      <w:r>
        <w:rPr>
          <w:u w:val="single"/>
        </w:rPr>
        <w:tab/>
      </w:r>
    </w:p>
  </w:footnote>
  <w:footnote w:type="continuationSeparator" w:id="0">
    <w:p w14:paraId="571658B0" w14:textId="77777777" w:rsidR="00093233" w:rsidRPr="00FC68B7" w:rsidRDefault="00093233" w:rsidP="00FC68B7">
      <w:pPr>
        <w:tabs>
          <w:tab w:val="left" w:pos="2155"/>
        </w:tabs>
        <w:spacing w:after="80"/>
        <w:ind w:left="680"/>
        <w:rPr>
          <w:u w:val="single"/>
        </w:rPr>
      </w:pPr>
      <w:r>
        <w:rPr>
          <w:u w:val="single"/>
        </w:rPr>
        <w:tab/>
      </w:r>
    </w:p>
  </w:footnote>
  <w:footnote w:type="continuationNotice" w:id="1">
    <w:p w14:paraId="53E79682" w14:textId="77777777" w:rsidR="00093233" w:rsidRDefault="000932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7" w14:textId="09EEC6A9" w:rsidR="000C5A28" w:rsidRPr="00D60FE0" w:rsidRDefault="000C5A28">
    <w:pPr>
      <w:pStyle w:val="En-tte"/>
      <w:rPr>
        <w:sz w:val="24"/>
        <w:szCs w:val="24"/>
      </w:rPr>
    </w:pPr>
    <w:r w:rsidRPr="00D60FE0">
      <w:rPr>
        <w:sz w:val="24"/>
        <w:szCs w:val="24"/>
      </w:rPr>
      <w:t>INF.</w:t>
    </w:r>
    <w:r w:rsidR="00AE69BE">
      <w:rPr>
        <w:sz w:val="24"/>
        <w:szCs w:val="24"/>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8" w14:textId="77777777" w:rsidR="000C5A28" w:rsidRPr="00517E8D" w:rsidRDefault="000C5A28" w:rsidP="0067520F">
    <w:pPr>
      <w:pStyle w:val="En-tte"/>
      <w:jc w:val="right"/>
    </w:pPr>
    <w:r w:rsidRPr="00D60FE0">
      <w:rPr>
        <w:rStyle w:val="Numrodepage"/>
        <w:b/>
        <w:sz w:val="24"/>
        <w:szCs w:val="24"/>
      </w:rPr>
      <w:t>I</w:t>
    </w:r>
    <w:r w:rsidRPr="00D60FE0">
      <w:rPr>
        <w:sz w:val="24"/>
        <w:szCs w:val="24"/>
      </w:rPr>
      <w:t>NF.</w:t>
    </w:r>
    <w:r w:rsidR="00D30491">
      <w:rPr>
        <w:sz w:val="24"/>
        <w:szCs w:val="24"/>
      </w:rPr>
      <w:t>X</w:t>
    </w:r>
  </w:p>
  <w:p w14:paraId="44FB6899" w14:textId="77777777" w:rsidR="000C5A28" w:rsidRDefault="000C5A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C" w14:textId="376609F7" w:rsidR="000C5A28" w:rsidRPr="00146493" w:rsidRDefault="0032115C" w:rsidP="00146493">
    <w:pPr>
      <w:pStyle w:val="En-tte"/>
      <w:jc w:val="right"/>
      <w:rPr>
        <w:sz w:val="24"/>
        <w:szCs w:val="24"/>
      </w:rPr>
    </w:pPr>
    <w:r>
      <w:rPr>
        <w:sz w:val="24"/>
        <w:szCs w:val="24"/>
      </w:rPr>
      <w:t>INF.</w:t>
    </w:r>
    <w:r w:rsidR="00F8342A">
      <w:rPr>
        <w:sz w:val="24"/>
        <w:szCs w:val="24"/>
      </w:rPr>
      <w:t>5</w:t>
    </w:r>
  </w:p>
  <w:p w14:paraId="44FB689D" w14:textId="77777777" w:rsidR="000C5A28" w:rsidRDefault="000C5A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B3DFB"/>
    <w:multiLevelType w:val="hybridMultilevel"/>
    <w:tmpl w:val="0600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2CF7327"/>
    <w:multiLevelType w:val="hybridMultilevel"/>
    <w:tmpl w:val="8CDC3C54"/>
    <w:lvl w:ilvl="0" w:tplc="013CBE6C">
      <w:start w:val="20"/>
      <w:numFmt w:val="bullet"/>
      <w:lvlText w:val="-"/>
      <w:lvlJc w:val="left"/>
      <w:pPr>
        <w:tabs>
          <w:tab w:val="num" w:pos="434"/>
        </w:tabs>
        <w:ind w:left="434" w:hanging="360"/>
      </w:pPr>
      <w:rPr>
        <w:rFonts w:ascii="Times New Roman" w:eastAsia="Times New Roman" w:hAnsi="Times New Roman" w:hint="default"/>
      </w:rPr>
    </w:lvl>
    <w:lvl w:ilvl="1" w:tplc="04130003">
      <w:start w:val="1"/>
      <w:numFmt w:val="bullet"/>
      <w:lvlText w:val="o"/>
      <w:lvlJc w:val="left"/>
      <w:pPr>
        <w:tabs>
          <w:tab w:val="num" w:pos="1154"/>
        </w:tabs>
        <w:ind w:left="1154" w:hanging="360"/>
      </w:pPr>
      <w:rPr>
        <w:rFonts w:ascii="Courier New" w:hAnsi="Courier New" w:hint="default"/>
      </w:rPr>
    </w:lvl>
    <w:lvl w:ilvl="2" w:tplc="04130005">
      <w:start w:val="1"/>
      <w:numFmt w:val="bullet"/>
      <w:lvlText w:val=""/>
      <w:lvlJc w:val="left"/>
      <w:pPr>
        <w:tabs>
          <w:tab w:val="num" w:pos="1874"/>
        </w:tabs>
        <w:ind w:left="1874" w:hanging="360"/>
      </w:pPr>
      <w:rPr>
        <w:rFonts w:ascii="Wingdings" w:hAnsi="Wingdings" w:hint="default"/>
      </w:rPr>
    </w:lvl>
    <w:lvl w:ilvl="3" w:tplc="04130001">
      <w:start w:val="1"/>
      <w:numFmt w:val="bullet"/>
      <w:lvlText w:val=""/>
      <w:lvlJc w:val="left"/>
      <w:pPr>
        <w:tabs>
          <w:tab w:val="num" w:pos="2594"/>
        </w:tabs>
        <w:ind w:left="2594" w:hanging="360"/>
      </w:pPr>
      <w:rPr>
        <w:rFonts w:ascii="Symbol" w:hAnsi="Symbol" w:hint="default"/>
      </w:rPr>
    </w:lvl>
    <w:lvl w:ilvl="4" w:tplc="04130003">
      <w:start w:val="1"/>
      <w:numFmt w:val="bullet"/>
      <w:lvlText w:val="o"/>
      <w:lvlJc w:val="left"/>
      <w:pPr>
        <w:tabs>
          <w:tab w:val="num" w:pos="3314"/>
        </w:tabs>
        <w:ind w:left="3314" w:hanging="360"/>
      </w:pPr>
      <w:rPr>
        <w:rFonts w:ascii="Courier New" w:hAnsi="Courier New" w:hint="default"/>
      </w:rPr>
    </w:lvl>
    <w:lvl w:ilvl="5" w:tplc="04130005">
      <w:start w:val="1"/>
      <w:numFmt w:val="bullet"/>
      <w:lvlText w:val=""/>
      <w:lvlJc w:val="left"/>
      <w:pPr>
        <w:tabs>
          <w:tab w:val="num" w:pos="4034"/>
        </w:tabs>
        <w:ind w:left="4034" w:hanging="360"/>
      </w:pPr>
      <w:rPr>
        <w:rFonts w:ascii="Wingdings" w:hAnsi="Wingdings" w:hint="default"/>
      </w:rPr>
    </w:lvl>
    <w:lvl w:ilvl="6" w:tplc="04130001">
      <w:start w:val="1"/>
      <w:numFmt w:val="bullet"/>
      <w:lvlText w:val=""/>
      <w:lvlJc w:val="left"/>
      <w:pPr>
        <w:tabs>
          <w:tab w:val="num" w:pos="4754"/>
        </w:tabs>
        <w:ind w:left="4754" w:hanging="360"/>
      </w:pPr>
      <w:rPr>
        <w:rFonts w:ascii="Symbol" w:hAnsi="Symbol" w:hint="default"/>
      </w:rPr>
    </w:lvl>
    <w:lvl w:ilvl="7" w:tplc="04130003">
      <w:start w:val="1"/>
      <w:numFmt w:val="bullet"/>
      <w:lvlText w:val="o"/>
      <w:lvlJc w:val="left"/>
      <w:pPr>
        <w:tabs>
          <w:tab w:val="num" w:pos="5474"/>
        </w:tabs>
        <w:ind w:left="5474" w:hanging="360"/>
      </w:pPr>
      <w:rPr>
        <w:rFonts w:ascii="Courier New" w:hAnsi="Courier New" w:hint="default"/>
      </w:rPr>
    </w:lvl>
    <w:lvl w:ilvl="8" w:tplc="04130005">
      <w:start w:val="1"/>
      <w:numFmt w:val="bullet"/>
      <w:lvlText w:val=""/>
      <w:lvlJc w:val="left"/>
      <w:pPr>
        <w:tabs>
          <w:tab w:val="num" w:pos="6194"/>
        </w:tabs>
        <w:ind w:left="6194" w:hanging="360"/>
      </w:pPr>
      <w:rPr>
        <w:rFonts w:ascii="Wingdings" w:hAnsi="Wingdings" w:hint="default"/>
      </w:rPr>
    </w:lvl>
  </w:abstractNum>
  <w:abstractNum w:abstractNumId="15" w15:restartNumberingAfterBreak="0">
    <w:nsid w:val="039F083E"/>
    <w:multiLevelType w:val="hybridMultilevel"/>
    <w:tmpl w:val="E9C8554A"/>
    <w:lvl w:ilvl="0" w:tplc="A7B419E0">
      <w:start w:val="1"/>
      <w:numFmt w:val="lowerLetter"/>
      <w:lvlText w:val="(%1)"/>
      <w:lvlJc w:val="left"/>
      <w:pPr>
        <w:tabs>
          <w:tab w:val="num" w:pos="1069"/>
        </w:tabs>
        <w:ind w:left="1069" w:hanging="360"/>
      </w:pPr>
      <w:rPr>
        <w:rFonts w:ascii="Times New Roman" w:hAnsi="Times New Roman" w:cs="Times New Roman" w:hint="default"/>
      </w:rPr>
    </w:lvl>
    <w:lvl w:ilvl="1" w:tplc="04090019">
      <w:start w:val="1"/>
      <w:numFmt w:val="lowerLetter"/>
      <w:lvlText w:val="%2."/>
      <w:lvlJc w:val="left"/>
      <w:pPr>
        <w:tabs>
          <w:tab w:val="num" w:pos="1789"/>
        </w:tabs>
        <w:ind w:left="1789" w:hanging="360"/>
      </w:pPr>
      <w:rPr>
        <w:rFonts w:ascii="Times New Roman" w:hAnsi="Times New Roman" w:cs="Times New Roman"/>
      </w:rPr>
    </w:lvl>
    <w:lvl w:ilvl="2" w:tplc="0409001B">
      <w:start w:val="1"/>
      <w:numFmt w:val="lowerRoman"/>
      <w:lvlText w:val="%3."/>
      <w:lvlJc w:val="right"/>
      <w:pPr>
        <w:tabs>
          <w:tab w:val="num" w:pos="2509"/>
        </w:tabs>
        <w:ind w:left="2509" w:hanging="180"/>
      </w:pPr>
      <w:rPr>
        <w:rFonts w:ascii="Times New Roman" w:hAnsi="Times New Roman" w:cs="Times New Roman"/>
      </w:rPr>
    </w:lvl>
    <w:lvl w:ilvl="3" w:tplc="0409000F">
      <w:start w:val="1"/>
      <w:numFmt w:val="decimal"/>
      <w:lvlText w:val="%4."/>
      <w:lvlJc w:val="left"/>
      <w:pPr>
        <w:tabs>
          <w:tab w:val="num" w:pos="3229"/>
        </w:tabs>
        <w:ind w:left="3229" w:hanging="360"/>
      </w:pPr>
      <w:rPr>
        <w:rFonts w:ascii="Times New Roman" w:hAnsi="Times New Roman" w:cs="Times New Roman"/>
      </w:rPr>
    </w:lvl>
    <w:lvl w:ilvl="4" w:tplc="04090019">
      <w:start w:val="1"/>
      <w:numFmt w:val="lowerLetter"/>
      <w:lvlText w:val="%5."/>
      <w:lvlJc w:val="left"/>
      <w:pPr>
        <w:tabs>
          <w:tab w:val="num" w:pos="3949"/>
        </w:tabs>
        <w:ind w:left="3949" w:hanging="360"/>
      </w:pPr>
      <w:rPr>
        <w:rFonts w:ascii="Times New Roman" w:hAnsi="Times New Roman" w:cs="Times New Roman"/>
      </w:rPr>
    </w:lvl>
    <w:lvl w:ilvl="5" w:tplc="0409001B">
      <w:start w:val="1"/>
      <w:numFmt w:val="lowerRoman"/>
      <w:lvlText w:val="%6."/>
      <w:lvlJc w:val="right"/>
      <w:pPr>
        <w:tabs>
          <w:tab w:val="num" w:pos="4669"/>
        </w:tabs>
        <w:ind w:left="4669" w:hanging="180"/>
      </w:pPr>
      <w:rPr>
        <w:rFonts w:ascii="Times New Roman" w:hAnsi="Times New Roman" w:cs="Times New Roman"/>
      </w:rPr>
    </w:lvl>
    <w:lvl w:ilvl="6" w:tplc="0409000F">
      <w:start w:val="1"/>
      <w:numFmt w:val="decimal"/>
      <w:lvlText w:val="%7."/>
      <w:lvlJc w:val="left"/>
      <w:pPr>
        <w:tabs>
          <w:tab w:val="num" w:pos="5389"/>
        </w:tabs>
        <w:ind w:left="5389" w:hanging="360"/>
      </w:pPr>
      <w:rPr>
        <w:rFonts w:ascii="Times New Roman" w:hAnsi="Times New Roman" w:cs="Times New Roman"/>
      </w:rPr>
    </w:lvl>
    <w:lvl w:ilvl="7" w:tplc="04090019">
      <w:start w:val="1"/>
      <w:numFmt w:val="lowerLetter"/>
      <w:lvlText w:val="%8."/>
      <w:lvlJc w:val="left"/>
      <w:pPr>
        <w:tabs>
          <w:tab w:val="num" w:pos="6109"/>
        </w:tabs>
        <w:ind w:left="6109" w:hanging="360"/>
      </w:pPr>
      <w:rPr>
        <w:rFonts w:ascii="Times New Roman" w:hAnsi="Times New Roman" w:cs="Times New Roman"/>
      </w:rPr>
    </w:lvl>
    <w:lvl w:ilvl="8" w:tplc="0409001B">
      <w:start w:val="1"/>
      <w:numFmt w:val="lowerRoman"/>
      <w:lvlText w:val="%9."/>
      <w:lvlJc w:val="right"/>
      <w:pPr>
        <w:tabs>
          <w:tab w:val="num" w:pos="6829"/>
        </w:tabs>
        <w:ind w:left="6829" w:hanging="180"/>
      </w:pPr>
      <w:rPr>
        <w:rFonts w:ascii="Times New Roman" w:hAnsi="Times New Roman" w:cs="Times New Roman"/>
      </w:rPr>
    </w:lvl>
  </w:abstractNum>
  <w:abstractNum w:abstractNumId="16" w15:restartNumberingAfterBreak="0">
    <w:nsid w:val="09A36860"/>
    <w:multiLevelType w:val="hybridMultilevel"/>
    <w:tmpl w:val="AAAE51C2"/>
    <w:lvl w:ilvl="0" w:tplc="6C5C73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B625875"/>
    <w:multiLevelType w:val="hybridMultilevel"/>
    <w:tmpl w:val="F2622D88"/>
    <w:lvl w:ilvl="0" w:tplc="5A084768">
      <w:start w:val="1"/>
      <w:numFmt w:val="decimal"/>
      <w:lvlText w:val="%1."/>
      <w:lvlJc w:val="left"/>
      <w:pPr>
        <w:ind w:left="1694" w:hanging="5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15:restartNumberingAfterBreak="0">
    <w:nsid w:val="0CF71BF4"/>
    <w:multiLevelType w:val="multilevel"/>
    <w:tmpl w:val="30DAA7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B33EF4"/>
    <w:multiLevelType w:val="hybridMultilevel"/>
    <w:tmpl w:val="96CCBDAA"/>
    <w:lvl w:ilvl="0" w:tplc="D06676B6">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0B07C93"/>
    <w:multiLevelType w:val="hybridMultilevel"/>
    <w:tmpl w:val="F56E0A3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6C72200"/>
    <w:multiLevelType w:val="hybridMultilevel"/>
    <w:tmpl w:val="0A0CC0F2"/>
    <w:lvl w:ilvl="0" w:tplc="040C000F">
      <w:start w:val="1"/>
      <w:numFmt w:val="bullet"/>
      <w:lvlText w:val=""/>
      <w:lvlJc w:val="left"/>
      <w:pPr>
        <w:ind w:left="1020" w:hanging="360"/>
      </w:pPr>
      <w:rPr>
        <w:rFonts w:ascii="Symbol" w:hAnsi="Symbol" w:hint="default"/>
      </w:rPr>
    </w:lvl>
    <w:lvl w:ilvl="1" w:tplc="040C0019" w:tentative="1">
      <w:start w:val="1"/>
      <w:numFmt w:val="bullet"/>
      <w:lvlText w:val="o"/>
      <w:lvlJc w:val="left"/>
      <w:pPr>
        <w:ind w:left="1740" w:hanging="360"/>
      </w:pPr>
      <w:rPr>
        <w:rFonts w:ascii="Courier New" w:hAnsi="Courier New" w:cs="Courier New" w:hint="default"/>
      </w:rPr>
    </w:lvl>
    <w:lvl w:ilvl="2" w:tplc="040C001B" w:tentative="1">
      <w:start w:val="1"/>
      <w:numFmt w:val="bullet"/>
      <w:lvlText w:val=""/>
      <w:lvlJc w:val="left"/>
      <w:pPr>
        <w:ind w:left="2460" w:hanging="360"/>
      </w:pPr>
      <w:rPr>
        <w:rFonts w:ascii="Wingdings" w:hAnsi="Wingdings" w:hint="default"/>
      </w:rPr>
    </w:lvl>
    <w:lvl w:ilvl="3" w:tplc="040C000F" w:tentative="1">
      <w:start w:val="1"/>
      <w:numFmt w:val="bullet"/>
      <w:lvlText w:val=""/>
      <w:lvlJc w:val="left"/>
      <w:pPr>
        <w:ind w:left="3180" w:hanging="360"/>
      </w:pPr>
      <w:rPr>
        <w:rFonts w:ascii="Symbol" w:hAnsi="Symbol" w:hint="default"/>
      </w:rPr>
    </w:lvl>
    <w:lvl w:ilvl="4" w:tplc="040C0019" w:tentative="1">
      <w:start w:val="1"/>
      <w:numFmt w:val="bullet"/>
      <w:lvlText w:val="o"/>
      <w:lvlJc w:val="left"/>
      <w:pPr>
        <w:ind w:left="3900" w:hanging="360"/>
      </w:pPr>
      <w:rPr>
        <w:rFonts w:ascii="Courier New" w:hAnsi="Courier New" w:cs="Courier New" w:hint="default"/>
      </w:rPr>
    </w:lvl>
    <w:lvl w:ilvl="5" w:tplc="040C001B" w:tentative="1">
      <w:start w:val="1"/>
      <w:numFmt w:val="bullet"/>
      <w:lvlText w:val=""/>
      <w:lvlJc w:val="left"/>
      <w:pPr>
        <w:ind w:left="4620" w:hanging="360"/>
      </w:pPr>
      <w:rPr>
        <w:rFonts w:ascii="Wingdings" w:hAnsi="Wingdings" w:hint="default"/>
      </w:rPr>
    </w:lvl>
    <w:lvl w:ilvl="6" w:tplc="040C000F" w:tentative="1">
      <w:start w:val="1"/>
      <w:numFmt w:val="bullet"/>
      <w:lvlText w:val=""/>
      <w:lvlJc w:val="left"/>
      <w:pPr>
        <w:ind w:left="5340" w:hanging="360"/>
      </w:pPr>
      <w:rPr>
        <w:rFonts w:ascii="Symbol" w:hAnsi="Symbol" w:hint="default"/>
      </w:rPr>
    </w:lvl>
    <w:lvl w:ilvl="7" w:tplc="040C0019" w:tentative="1">
      <w:start w:val="1"/>
      <w:numFmt w:val="bullet"/>
      <w:lvlText w:val="o"/>
      <w:lvlJc w:val="left"/>
      <w:pPr>
        <w:ind w:left="6060" w:hanging="360"/>
      </w:pPr>
      <w:rPr>
        <w:rFonts w:ascii="Courier New" w:hAnsi="Courier New" w:cs="Courier New" w:hint="default"/>
      </w:rPr>
    </w:lvl>
    <w:lvl w:ilvl="8" w:tplc="040C001B" w:tentative="1">
      <w:start w:val="1"/>
      <w:numFmt w:val="bullet"/>
      <w:lvlText w:val=""/>
      <w:lvlJc w:val="left"/>
      <w:pPr>
        <w:ind w:left="6780" w:hanging="360"/>
      </w:pPr>
      <w:rPr>
        <w:rFonts w:ascii="Wingdings" w:hAnsi="Wingdings" w:hint="default"/>
      </w:rPr>
    </w:lvl>
  </w:abstractNum>
  <w:abstractNum w:abstractNumId="27" w15:restartNumberingAfterBreak="0">
    <w:nsid w:val="42C84412"/>
    <w:multiLevelType w:val="hybridMultilevel"/>
    <w:tmpl w:val="714271FC"/>
    <w:lvl w:ilvl="0" w:tplc="04BCF7E4">
      <w:start w:val="4"/>
      <w:numFmt w:val="decimal"/>
      <w:lvlText w:val="%1."/>
      <w:lvlJc w:val="left"/>
      <w:pPr>
        <w:tabs>
          <w:tab w:val="num" w:pos="719"/>
        </w:tabs>
        <w:ind w:left="719" w:hanging="645"/>
      </w:pPr>
      <w:rPr>
        <w:rFonts w:cs="Times New Roman" w:hint="default"/>
      </w:rPr>
    </w:lvl>
    <w:lvl w:ilvl="1" w:tplc="04130019" w:tentative="1">
      <w:start w:val="1"/>
      <w:numFmt w:val="lowerLetter"/>
      <w:lvlText w:val="%2."/>
      <w:lvlJc w:val="left"/>
      <w:pPr>
        <w:tabs>
          <w:tab w:val="num" w:pos="1154"/>
        </w:tabs>
        <w:ind w:left="1154" w:hanging="360"/>
      </w:pPr>
      <w:rPr>
        <w:rFonts w:cs="Times New Roman"/>
      </w:rPr>
    </w:lvl>
    <w:lvl w:ilvl="2" w:tplc="0413001B" w:tentative="1">
      <w:start w:val="1"/>
      <w:numFmt w:val="lowerRoman"/>
      <w:lvlText w:val="%3."/>
      <w:lvlJc w:val="right"/>
      <w:pPr>
        <w:tabs>
          <w:tab w:val="num" w:pos="1874"/>
        </w:tabs>
        <w:ind w:left="1874" w:hanging="180"/>
      </w:pPr>
      <w:rPr>
        <w:rFonts w:cs="Times New Roman"/>
      </w:rPr>
    </w:lvl>
    <w:lvl w:ilvl="3" w:tplc="0413000F" w:tentative="1">
      <w:start w:val="1"/>
      <w:numFmt w:val="decimal"/>
      <w:lvlText w:val="%4."/>
      <w:lvlJc w:val="left"/>
      <w:pPr>
        <w:tabs>
          <w:tab w:val="num" w:pos="2594"/>
        </w:tabs>
        <w:ind w:left="2594" w:hanging="360"/>
      </w:pPr>
      <w:rPr>
        <w:rFonts w:cs="Times New Roman"/>
      </w:rPr>
    </w:lvl>
    <w:lvl w:ilvl="4" w:tplc="04130019" w:tentative="1">
      <w:start w:val="1"/>
      <w:numFmt w:val="lowerLetter"/>
      <w:lvlText w:val="%5."/>
      <w:lvlJc w:val="left"/>
      <w:pPr>
        <w:tabs>
          <w:tab w:val="num" w:pos="3314"/>
        </w:tabs>
        <w:ind w:left="3314" w:hanging="360"/>
      </w:pPr>
      <w:rPr>
        <w:rFonts w:cs="Times New Roman"/>
      </w:rPr>
    </w:lvl>
    <w:lvl w:ilvl="5" w:tplc="0413001B" w:tentative="1">
      <w:start w:val="1"/>
      <w:numFmt w:val="lowerRoman"/>
      <w:lvlText w:val="%6."/>
      <w:lvlJc w:val="right"/>
      <w:pPr>
        <w:tabs>
          <w:tab w:val="num" w:pos="4034"/>
        </w:tabs>
        <w:ind w:left="4034" w:hanging="180"/>
      </w:pPr>
      <w:rPr>
        <w:rFonts w:cs="Times New Roman"/>
      </w:rPr>
    </w:lvl>
    <w:lvl w:ilvl="6" w:tplc="0413000F" w:tentative="1">
      <w:start w:val="1"/>
      <w:numFmt w:val="decimal"/>
      <w:lvlText w:val="%7."/>
      <w:lvlJc w:val="left"/>
      <w:pPr>
        <w:tabs>
          <w:tab w:val="num" w:pos="4754"/>
        </w:tabs>
        <w:ind w:left="4754" w:hanging="360"/>
      </w:pPr>
      <w:rPr>
        <w:rFonts w:cs="Times New Roman"/>
      </w:rPr>
    </w:lvl>
    <w:lvl w:ilvl="7" w:tplc="04130019" w:tentative="1">
      <w:start w:val="1"/>
      <w:numFmt w:val="lowerLetter"/>
      <w:lvlText w:val="%8."/>
      <w:lvlJc w:val="left"/>
      <w:pPr>
        <w:tabs>
          <w:tab w:val="num" w:pos="5474"/>
        </w:tabs>
        <w:ind w:left="5474" w:hanging="360"/>
      </w:pPr>
      <w:rPr>
        <w:rFonts w:cs="Times New Roman"/>
      </w:rPr>
    </w:lvl>
    <w:lvl w:ilvl="8" w:tplc="0413001B" w:tentative="1">
      <w:start w:val="1"/>
      <w:numFmt w:val="lowerRoman"/>
      <w:lvlText w:val="%9."/>
      <w:lvlJc w:val="right"/>
      <w:pPr>
        <w:tabs>
          <w:tab w:val="num" w:pos="6194"/>
        </w:tabs>
        <w:ind w:left="6194" w:hanging="180"/>
      </w:pPr>
      <w:rPr>
        <w:rFonts w:cs="Times New Roman"/>
      </w:rPr>
    </w:lvl>
  </w:abstractNum>
  <w:abstractNum w:abstractNumId="28" w15:restartNumberingAfterBreak="0">
    <w:nsid w:val="459A69C6"/>
    <w:multiLevelType w:val="hybridMultilevel"/>
    <w:tmpl w:val="E2F2D80C"/>
    <w:lvl w:ilvl="0" w:tplc="2394601E">
      <w:start w:val="1"/>
      <w:numFmt w:val="decimal"/>
      <w:lvlText w:val="%1."/>
      <w:lvlJc w:val="left"/>
      <w:pPr>
        <w:ind w:left="1734" w:hanging="60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4A6B41BF"/>
    <w:multiLevelType w:val="hybridMultilevel"/>
    <w:tmpl w:val="5E6E3C22"/>
    <w:lvl w:ilvl="0" w:tplc="46EE8EDE">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E177E68"/>
    <w:multiLevelType w:val="hybridMultilevel"/>
    <w:tmpl w:val="4304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F14F4F"/>
    <w:multiLevelType w:val="hybridMultilevel"/>
    <w:tmpl w:val="7CFC70E2"/>
    <w:lvl w:ilvl="0" w:tplc="04090015">
      <w:start w:val="1"/>
      <w:numFmt w:val="upperLetter"/>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D07B2"/>
    <w:multiLevelType w:val="hybridMultilevel"/>
    <w:tmpl w:val="D7D47906"/>
    <w:lvl w:ilvl="0" w:tplc="040C0001">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74BC1CEF"/>
    <w:multiLevelType w:val="hybridMultilevel"/>
    <w:tmpl w:val="5FBA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6938AA"/>
    <w:multiLevelType w:val="multilevel"/>
    <w:tmpl w:val="2E0A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21"/>
  </w:num>
  <w:num w:numId="13">
    <w:abstractNumId w:val="12"/>
  </w:num>
  <w:num w:numId="14">
    <w:abstractNumId w:val="19"/>
  </w:num>
  <w:num w:numId="15">
    <w:abstractNumId w:val="25"/>
  </w:num>
  <w:num w:numId="16">
    <w:abstractNumId w:val="20"/>
  </w:num>
  <w:num w:numId="17">
    <w:abstractNumId w:val="32"/>
  </w:num>
  <w:num w:numId="18">
    <w:abstractNumId w:val="35"/>
  </w:num>
  <w:num w:numId="19">
    <w:abstractNumId w:val="15"/>
  </w:num>
  <w:num w:numId="20">
    <w:abstractNumId w:val="14"/>
  </w:num>
  <w:num w:numId="21">
    <w:abstractNumId w:val="27"/>
  </w:num>
  <w:num w:numId="22">
    <w:abstractNumId w:val="22"/>
  </w:num>
  <w:num w:numId="23">
    <w:abstractNumId w:val="16"/>
  </w:num>
  <w:num w:numId="24">
    <w:abstractNumId w:val="28"/>
  </w:num>
  <w:num w:numId="25">
    <w:abstractNumId w:val="10"/>
  </w:num>
  <w:num w:numId="26">
    <w:abstractNumId w:val="11"/>
  </w:num>
  <w:num w:numId="27">
    <w:abstractNumId w:val="33"/>
  </w:num>
  <w:num w:numId="28">
    <w:abstractNumId w:val="26"/>
  </w:num>
  <w:num w:numId="29">
    <w:abstractNumId w:val="23"/>
  </w:num>
  <w:num w:numId="30">
    <w:abstractNumId w:val="30"/>
  </w:num>
  <w:num w:numId="31">
    <w:abstractNumId w:val="34"/>
  </w:num>
  <w:num w:numId="32">
    <w:abstractNumId w:val="13"/>
  </w:num>
  <w:num w:numId="33">
    <w:abstractNumId w:val="36"/>
  </w:num>
  <w:num w:numId="34">
    <w:abstractNumId w:val="18"/>
  </w:num>
  <w:num w:numId="35">
    <w:abstractNumId w:val="31"/>
  </w:num>
  <w:num w:numId="36">
    <w:abstractNumId w:val="29"/>
  </w:num>
  <w:num w:numId="3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8D"/>
    <w:rsid w:val="00002A7D"/>
    <w:rsid w:val="000038A8"/>
    <w:rsid w:val="00004CB4"/>
    <w:rsid w:val="00006790"/>
    <w:rsid w:val="00022EA1"/>
    <w:rsid w:val="00027624"/>
    <w:rsid w:val="00050F6B"/>
    <w:rsid w:val="00060675"/>
    <w:rsid w:val="00062E0F"/>
    <w:rsid w:val="00062EC8"/>
    <w:rsid w:val="00063B0D"/>
    <w:rsid w:val="000678CD"/>
    <w:rsid w:val="00071447"/>
    <w:rsid w:val="00072C8C"/>
    <w:rsid w:val="00075498"/>
    <w:rsid w:val="00081CE0"/>
    <w:rsid w:val="00081E5B"/>
    <w:rsid w:val="00084425"/>
    <w:rsid w:val="00084D30"/>
    <w:rsid w:val="00086F86"/>
    <w:rsid w:val="00090320"/>
    <w:rsid w:val="00091148"/>
    <w:rsid w:val="000931C0"/>
    <w:rsid w:val="00093233"/>
    <w:rsid w:val="000A2E09"/>
    <w:rsid w:val="000B175B"/>
    <w:rsid w:val="000B3A0F"/>
    <w:rsid w:val="000B41FA"/>
    <w:rsid w:val="000C494E"/>
    <w:rsid w:val="000C5A28"/>
    <w:rsid w:val="000D50AD"/>
    <w:rsid w:val="000E0415"/>
    <w:rsid w:val="000E7EB0"/>
    <w:rsid w:val="000F0910"/>
    <w:rsid w:val="000F2167"/>
    <w:rsid w:val="000F7715"/>
    <w:rsid w:val="00103410"/>
    <w:rsid w:val="00103E99"/>
    <w:rsid w:val="00112A5B"/>
    <w:rsid w:val="00113720"/>
    <w:rsid w:val="001213C0"/>
    <w:rsid w:val="001335C5"/>
    <w:rsid w:val="0014164A"/>
    <w:rsid w:val="00146493"/>
    <w:rsid w:val="00156B99"/>
    <w:rsid w:val="00166124"/>
    <w:rsid w:val="0016740C"/>
    <w:rsid w:val="00167F20"/>
    <w:rsid w:val="00170986"/>
    <w:rsid w:val="00175C62"/>
    <w:rsid w:val="00180CF6"/>
    <w:rsid w:val="00184DDA"/>
    <w:rsid w:val="00186A5B"/>
    <w:rsid w:val="001900CD"/>
    <w:rsid w:val="0019444B"/>
    <w:rsid w:val="001A0452"/>
    <w:rsid w:val="001A2442"/>
    <w:rsid w:val="001A3481"/>
    <w:rsid w:val="001A7E63"/>
    <w:rsid w:val="001B4B04"/>
    <w:rsid w:val="001B5875"/>
    <w:rsid w:val="001C4B9C"/>
    <w:rsid w:val="001C6663"/>
    <w:rsid w:val="001C7895"/>
    <w:rsid w:val="001D15C4"/>
    <w:rsid w:val="001D26DF"/>
    <w:rsid w:val="001D312D"/>
    <w:rsid w:val="001F1599"/>
    <w:rsid w:val="001F1961"/>
    <w:rsid w:val="001F19C4"/>
    <w:rsid w:val="001F735E"/>
    <w:rsid w:val="002043F0"/>
    <w:rsid w:val="002060B9"/>
    <w:rsid w:val="0021108A"/>
    <w:rsid w:val="00211E0B"/>
    <w:rsid w:val="00213ECF"/>
    <w:rsid w:val="0021431B"/>
    <w:rsid w:val="002261F2"/>
    <w:rsid w:val="00232575"/>
    <w:rsid w:val="00235C78"/>
    <w:rsid w:val="00247258"/>
    <w:rsid w:val="002523B5"/>
    <w:rsid w:val="002557F1"/>
    <w:rsid w:val="00257CAC"/>
    <w:rsid w:val="00264D07"/>
    <w:rsid w:val="0027146D"/>
    <w:rsid w:val="00276602"/>
    <w:rsid w:val="0028647A"/>
    <w:rsid w:val="0029686E"/>
    <w:rsid w:val="002974E9"/>
    <w:rsid w:val="002A214F"/>
    <w:rsid w:val="002A2B8E"/>
    <w:rsid w:val="002A7F94"/>
    <w:rsid w:val="002B109A"/>
    <w:rsid w:val="002B7F28"/>
    <w:rsid w:val="002C1973"/>
    <w:rsid w:val="002C57D6"/>
    <w:rsid w:val="002C6D45"/>
    <w:rsid w:val="002D4CF0"/>
    <w:rsid w:val="002D6E53"/>
    <w:rsid w:val="002E36F0"/>
    <w:rsid w:val="002F046D"/>
    <w:rsid w:val="002F20C3"/>
    <w:rsid w:val="002F2525"/>
    <w:rsid w:val="002F3FCF"/>
    <w:rsid w:val="003007E7"/>
    <w:rsid w:val="00301764"/>
    <w:rsid w:val="0030187B"/>
    <w:rsid w:val="00302B3E"/>
    <w:rsid w:val="003203DD"/>
    <w:rsid w:val="0032115C"/>
    <w:rsid w:val="003229D8"/>
    <w:rsid w:val="00323AD2"/>
    <w:rsid w:val="003243D8"/>
    <w:rsid w:val="00334442"/>
    <w:rsid w:val="00336C97"/>
    <w:rsid w:val="00337D65"/>
    <w:rsid w:val="00337F88"/>
    <w:rsid w:val="00342432"/>
    <w:rsid w:val="00346E07"/>
    <w:rsid w:val="00352D4B"/>
    <w:rsid w:val="00354724"/>
    <w:rsid w:val="00354CED"/>
    <w:rsid w:val="0035638C"/>
    <w:rsid w:val="003563A6"/>
    <w:rsid w:val="00366F33"/>
    <w:rsid w:val="00367400"/>
    <w:rsid w:val="00370928"/>
    <w:rsid w:val="00373E48"/>
    <w:rsid w:val="003A46BB"/>
    <w:rsid w:val="003A4EC7"/>
    <w:rsid w:val="003A5FBA"/>
    <w:rsid w:val="003A7295"/>
    <w:rsid w:val="003B1AA6"/>
    <w:rsid w:val="003B1F60"/>
    <w:rsid w:val="003B5767"/>
    <w:rsid w:val="003B57DC"/>
    <w:rsid w:val="003C2CC4"/>
    <w:rsid w:val="003C2E7B"/>
    <w:rsid w:val="003C4FD9"/>
    <w:rsid w:val="003C7026"/>
    <w:rsid w:val="003D03F5"/>
    <w:rsid w:val="003D4B23"/>
    <w:rsid w:val="003D58A1"/>
    <w:rsid w:val="003E2459"/>
    <w:rsid w:val="003E278A"/>
    <w:rsid w:val="003E360F"/>
    <w:rsid w:val="003F6C18"/>
    <w:rsid w:val="004032CF"/>
    <w:rsid w:val="00413520"/>
    <w:rsid w:val="00414F7A"/>
    <w:rsid w:val="00416E53"/>
    <w:rsid w:val="00427B1B"/>
    <w:rsid w:val="00431D4D"/>
    <w:rsid w:val="004325CB"/>
    <w:rsid w:val="00436982"/>
    <w:rsid w:val="00440A07"/>
    <w:rsid w:val="0044240B"/>
    <w:rsid w:val="00447C96"/>
    <w:rsid w:val="00452166"/>
    <w:rsid w:val="00455FD4"/>
    <w:rsid w:val="00456A02"/>
    <w:rsid w:val="0046243B"/>
    <w:rsid w:val="00462880"/>
    <w:rsid w:val="004720DC"/>
    <w:rsid w:val="0047298C"/>
    <w:rsid w:val="0047303D"/>
    <w:rsid w:val="00475F86"/>
    <w:rsid w:val="00476F24"/>
    <w:rsid w:val="00482651"/>
    <w:rsid w:val="004909E7"/>
    <w:rsid w:val="004913D5"/>
    <w:rsid w:val="00493073"/>
    <w:rsid w:val="00493C61"/>
    <w:rsid w:val="004949C2"/>
    <w:rsid w:val="004953E5"/>
    <w:rsid w:val="004A3646"/>
    <w:rsid w:val="004B3354"/>
    <w:rsid w:val="004B45B0"/>
    <w:rsid w:val="004C19FC"/>
    <w:rsid w:val="004C55B0"/>
    <w:rsid w:val="004E4179"/>
    <w:rsid w:val="004E6E10"/>
    <w:rsid w:val="004F2D9F"/>
    <w:rsid w:val="004F6BA0"/>
    <w:rsid w:val="00503BEA"/>
    <w:rsid w:val="0051382F"/>
    <w:rsid w:val="00515EFC"/>
    <w:rsid w:val="00517E8D"/>
    <w:rsid w:val="00525F64"/>
    <w:rsid w:val="00532928"/>
    <w:rsid w:val="00533616"/>
    <w:rsid w:val="00535ABA"/>
    <w:rsid w:val="005371A0"/>
    <w:rsid w:val="0053768B"/>
    <w:rsid w:val="005420F2"/>
    <w:rsid w:val="0054285C"/>
    <w:rsid w:val="005428E0"/>
    <w:rsid w:val="00543880"/>
    <w:rsid w:val="00547A88"/>
    <w:rsid w:val="005561AA"/>
    <w:rsid w:val="005609C3"/>
    <w:rsid w:val="00561410"/>
    <w:rsid w:val="0056483A"/>
    <w:rsid w:val="00564BF4"/>
    <w:rsid w:val="005711D3"/>
    <w:rsid w:val="0057224A"/>
    <w:rsid w:val="00577096"/>
    <w:rsid w:val="00584173"/>
    <w:rsid w:val="00586B0A"/>
    <w:rsid w:val="00595520"/>
    <w:rsid w:val="00597DE1"/>
    <w:rsid w:val="005A44B9"/>
    <w:rsid w:val="005A589F"/>
    <w:rsid w:val="005A593B"/>
    <w:rsid w:val="005B0441"/>
    <w:rsid w:val="005B1BA0"/>
    <w:rsid w:val="005B3DB3"/>
    <w:rsid w:val="005D15CA"/>
    <w:rsid w:val="005D390C"/>
    <w:rsid w:val="005F3066"/>
    <w:rsid w:val="005F3E61"/>
    <w:rsid w:val="005F51F6"/>
    <w:rsid w:val="00602013"/>
    <w:rsid w:val="00604DDD"/>
    <w:rsid w:val="00605E52"/>
    <w:rsid w:val="006115CC"/>
    <w:rsid w:val="00611FC4"/>
    <w:rsid w:val="006176FB"/>
    <w:rsid w:val="00630FCB"/>
    <w:rsid w:val="00632F10"/>
    <w:rsid w:val="006369F3"/>
    <w:rsid w:val="0064017F"/>
    <w:rsid w:val="00640B26"/>
    <w:rsid w:val="00642502"/>
    <w:rsid w:val="00655FA0"/>
    <w:rsid w:val="006666F3"/>
    <w:rsid w:val="00667D6B"/>
    <w:rsid w:val="0067520F"/>
    <w:rsid w:val="006770B2"/>
    <w:rsid w:val="00686E4F"/>
    <w:rsid w:val="006940E1"/>
    <w:rsid w:val="006A3C72"/>
    <w:rsid w:val="006A59C4"/>
    <w:rsid w:val="006A7392"/>
    <w:rsid w:val="006B03A1"/>
    <w:rsid w:val="006B4C39"/>
    <w:rsid w:val="006B67D9"/>
    <w:rsid w:val="006B6CC5"/>
    <w:rsid w:val="006C328C"/>
    <w:rsid w:val="006C5535"/>
    <w:rsid w:val="006D0589"/>
    <w:rsid w:val="006D1D09"/>
    <w:rsid w:val="006D25E9"/>
    <w:rsid w:val="006D2658"/>
    <w:rsid w:val="006D5317"/>
    <w:rsid w:val="006E564B"/>
    <w:rsid w:val="006E6EE2"/>
    <w:rsid w:val="006E7154"/>
    <w:rsid w:val="006F46C5"/>
    <w:rsid w:val="007003CD"/>
    <w:rsid w:val="0070701E"/>
    <w:rsid w:val="0070702F"/>
    <w:rsid w:val="007160DB"/>
    <w:rsid w:val="00720447"/>
    <w:rsid w:val="007239CE"/>
    <w:rsid w:val="007260A6"/>
    <w:rsid w:val="007260C9"/>
    <w:rsid w:val="0072632A"/>
    <w:rsid w:val="00730331"/>
    <w:rsid w:val="007358E8"/>
    <w:rsid w:val="00736ECE"/>
    <w:rsid w:val="0074533B"/>
    <w:rsid w:val="0076307D"/>
    <w:rsid w:val="0076432E"/>
    <w:rsid w:val="007643BC"/>
    <w:rsid w:val="00767693"/>
    <w:rsid w:val="007732B8"/>
    <w:rsid w:val="00773D0E"/>
    <w:rsid w:val="00781015"/>
    <w:rsid w:val="0079406B"/>
    <w:rsid w:val="007959FE"/>
    <w:rsid w:val="007A0CF1"/>
    <w:rsid w:val="007A7CC0"/>
    <w:rsid w:val="007B6A61"/>
    <w:rsid w:val="007B6BA5"/>
    <w:rsid w:val="007C3390"/>
    <w:rsid w:val="007C42D8"/>
    <w:rsid w:val="007C4F4B"/>
    <w:rsid w:val="007C68C8"/>
    <w:rsid w:val="007C6D30"/>
    <w:rsid w:val="007D6605"/>
    <w:rsid w:val="007D7362"/>
    <w:rsid w:val="007E4914"/>
    <w:rsid w:val="007E76B1"/>
    <w:rsid w:val="007F5CE2"/>
    <w:rsid w:val="007F6611"/>
    <w:rsid w:val="00810BAC"/>
    <w:rsid w:val="008175E9"/>
    <w:rsid w:val="008242BE"/>
    <w:rsid w:val="008242D7"/>
    <w:rsid w:val="00825578"/>
    <w:rsid w:val="0082577B"/>
    <w:rsid w:val="00827E7E"/>
    <w:rsid w:val="00835C30"/>
    <w:rsid w:val="00836EB1"/>
    <w:rsid w:val="0084056F"/>
    <w:rsid w:val="008479D3"/>
    <w:rsid w:val="008558E7"/>
    <w:rsid w:val="008561A8"/>
    <w:rsid w:val="00866893"/>
    <w:rsid w:val="00866F02"/>
    <w:rsid w:val="00867D18"/>
    <w:rsid w:val="00871F9A"/>
    <w:rsid w:val="00871FD5"/>
    <w:rsid w:val="00876B8E"/>
    <w:rsid w:val="0088172E"/>
    <w:rsid w:val="00881EFA"/>
    <w:rsid w:val="00883E28"/>
    <w:rsid w:val="0088728B"/>
    <w:rsid w:val="008979B1"/>
    <w:rsid w:val="008A6B25"/>
    <w:rsid w:val="008A6C4F"/>
    <w:rsid w:val="008B389E"/>
    <w:rsid w:val="008B4035"/>
    <w:rsid w:val="008C5BCB"/>
    <w:rsid w:val="008D045E"/>
    <w:rsid w:val="008D3F25"/>
    <w:rsid w:val="008D464D"/>
    <w:rsid w:val="008D4D82"/>
    <w:rsid w:val="008E0E09"/>
    <w:rsid w:val="008E0E46"/>
    <w:rsid w:val="008E6FB6"/>
    <w:rsid w:val="008E7116"/>
    <w:rsid w:val="008F143B"/>
    <w:rsid w:val="008F3882"/>
    <w:rsid w:val="008F3C40"/>
    <w:rsid w:val="008F3D9C"/>
    <w:rsid w:val="008F4B7C"/>
    <w:rsid w:val="00906174"/>
    <w:rsid w:val="00911AF3"/>
    <w:rsid w:val="00914DC3"/>
    <w:rsid w:val="00915463"/>
    <w:rsid w:val="00926E47"/>
    <w:rsid w:val="009329BB"/>
    <w:rsid w:val="00945B59"/>
    <w:rsid w:val="00947162"/>
    <w:rsid w:val="00951F8C"/>
    <w:rsid w:val="00953163"/>
    <w:rsid w:val="00954EE3"/>
    <w:rsid w:val="00955010"/>
    <w:rsid w:val="009601FF"/>
    <w:rsid w:val="00960D5D"/>
    <w:rsid w:val="009610D0"/>
    <w:rsid w:val="0096375C"/>
    <w:rsid w:val="009662E6"/>
    <w:rsid w:val="0097095E"/>
    <w:rsid w:val="0097751F"/>
    <w:rsid w:val="00980D03"/>
    <w:rsid w:val="00980F57"/>
    <w:rsid w:val="0098592B"/>
    <w:rsid w:val="00985FC4"/>
    <w:rsid w:val="00990766"/>
    <w:rsid w:val="00991261"/>
    <w:rsid w:val="00992C68"/>
    <w:rsid w:val="009964C4"/>
    <w:rsid w:val="009A402A"/>
    <w:rsid w:val="009A7B81"/>
    <w:rsid w:val="009C14A2"/>
    <w:rsid w:val="009D01C0"/>
    <w:rsid w:val="009D6A08"/>
    <w:rsid w:val="009E0A16"/>
    <w:rsid w:val="009E7207"/>
    <w:rsid w:val="009E7970"/>
    <w:rsid w:val="009F2EAC"/>
    <w:rsid w:val="009F4DC6"/>
    <w:rsid w:val="009F57E3"/>
    <w:rsid w:val="00A0512A"/>
    <w:rsid w:val="00A0745A"/>
    <w:rsid w:val="00A10F4F"/>
    <w:rsid w:val="00A11067"/>
    <w:rsid w:val="00A133ED"/>
    <w:rsid w:val="00A1704A"/>
    <w:rsid w:val="00A202E6"/>
    <w:rsid w:val="00A21003"/>
    <w:rsid w:val="00A23E9E"/>
    <w:rsid w:val="00A24838"/>
    <w:rsid w:val="00A31BBB"/>
    <w:rsid w:val="00A413A3"/>
    <w:rsid w:val="00A425EB"/>
    <w:rsid w:val="00A45CB7"/>
    <w:rsid w:val="00A45DFD"/>
    <w:rsid w:val="00A47439"/>
    <w:rsid w:val="00A54B9B"/>
    <w:rsid w:val="00A60CFD"/>
    <w:rsid w:val="00A6592A"/>
    <w:rsid w:val="00A72D9B"/>
    <w:rsid w:val="00A72F22"/>
    <w:rsid w:val="00A733BC"/>
    <w:rsid w:val="00A748A6"/>
    <w:rsid w:val="00A749C1"/>
    <w:rsid w:val="00A76A69"/>
    <w:rsid w:val="00A77D0C"/>
    <w:rsid w:val="00A824E7"/>
    <w:rsid w:val="00A879A4"/>
    <w:rsid w:val="00A96696"/>
    <w:rsid w:val="00AA0FF8"/>
    <w:rsid w:val="00AC0F2C"/>
    <w:rsid w:val="00AC14F5"/>
    <w:rsid w:val="00AC502A"/>
    <w:rsid w:val="00AC5B31"/>
    <w:rsid w:val="00AC648E"/>
    <w:rsid w:val="00AD21EB"/>
    <w:rsid w:val="00AD2623"/>
    <w:rsid w:val="00AD2CBD"/>
    <w:rsid w:val="00AE69BE"/>
    <w:rsid w:val="00AF3A98"/>
    <w:rsid w:val="00AF58C1"/>
    <w:rsid w:val="00AF6882"/>
    <w:rsid w:val="00B0158F"/>
    <w:rsid w:val="00B033C5"/>
    <w:rsid w:val="00B03E68"/>
    <w:rsid w:val="00B05DA8"/>
    <w:rsid w:val="00B06643"/>
    <w:rsid w:val="00B1060B"/>
    <w:rsid w:val="00B15055"/>
    <w:rsid w:val="00B17FC5"/>
    <w:rsid w:val="00B30179"/>
    <w:rsid w:val="00B37B15"/>
    <w:rsid w:val="00B42094"/>
    <w:rsid w:val="00B4482F"/>
    <w:rsid w:val="00B45C02"/>
    <w:rsid w:val="00B5617C"/>
    <w:rsid w:val="00B720E7"/>
    <w:rsid w:val="00B72A1E"/>
    <w:rsid w:val="00B81E12"/>
    <w:rsid w:val="00B840CD"/>
    <w:rsid w:val="00B91466"/>
    <w:rsid w:val="00B9282B"/>
    <w:rsid w:val="00BA2494"/>
    <w:rsid w:val="00BA339B"/>
    <w:rsid w:val="00BB3ED2"/>
    <w:rsid w:val="00BC1E7E"/>
    <w:rsid w:val="00BC2E45"/>
    <w:rsid w:val="00BC74E9"/>
    <w:rsid w:val="00BD195F"/>
    <w:rsid w:val="00BE36A9"/>
    <w:rsid w:val="00BE618E"/>
    <w:rsid w:val="00BE7BEC"/>
    <w:rsid w:val="00BF0A5A"/>
    <w:rsid w:val="00BF0E63"/>
    <w:rsid w:val="00BF12A3"/>
    <w:rsid w:val="00BF16D7"/>
    <w:rsid w:val="00BF2373"/>
    <w:rsid w:val="00BF30B6"/>
    <w:rsid w:val="00BF3D12"/>
    <w:rsid w:val="00BF4E6D"/>
    <w:rsid w:val="00C044E2"/>
    <w:rsid w:val="00C048CB"/>
    <w:rsid w:val="00C066F3"/>
    <w:rsid w:val="00C06865"/>
    <w:rsid w:val="00C07CA9"/>
    <w:rsid w:val="00C10783"/>
    <w:rsid w:val="00C175B6"/>
    <w:rsid w:val="00C3273F"/>
    <w:rsid w:val="00C3782A"/>
    <w:rsid w:val="00C446BE"/>
    <w:rsid w:val="00C44BB0"/>
    <w:rsid w:val="00C45BBB"/>
    <w:rsid w:val="00C463DD"/>
    <w:rsid w:val="00C479FA"/>
    <w:rsid w:val="00C70775"/>
    <w:rsid w:val="00C70809"/>
    <w:rsid w:val="00C745C3"/>
    <w:rsid w:val="00C805A7"/>
    <w:rsid w:val="00C85F2D"/>
    <w:rsid w:val="00C90FC9"/>
    <w:rsid w:val="00C9170F"/>
    <w:rsid w:val="00C9747B"/>
    <w:rsid w:val="00CA03AF"/>
    <w:rsid w:val="00CA2221"/>
    <w:rsid w:val="00CA24A4"/>
    <w:rsid w:val="00CA3137"/>
    <w:rsid w:val="00CA388C"/>
    <w:rsid w:val="00CB2A92"/>
    <w:rsid w:val="00CB348D"/>
    <w:rsid w:val="00CB34BE"/>
    <w:rsid w:val="00CB6EBD"/>
    <w:rsid w:val="00CB763D"/>
    <w:rsid w:val="00CC199A"/>
    <w:rsid w:val="00CC47E1"/>
    <w:rsid w:val="00CC60D5"/>
    <w:rsid w:val="00CD46F5"/>
    <w:rsid w:val="00CD6C29"/>
    <w:rsid w:val="00CE4A8F"/>
    <w:rsid w:val="00CE52ED"/>
    <w:rsid w:val="00CF071D"/>
    <w:rsid w:val="00CF116C"/>
    <w:rsid w:val="00D029DD"/>
    <w:rsid w:val="00D03E28"/>
    <w:rsid w:val="00D15B04"/>
    <w:rsid w:val="00D16B42"/>
    <w:rsid w:val="00D17B2C"/>
    <w:rsid w:val="00D2031B"/>
    <w:rsid w:val="00D23EAC"/>
    <w:rsid w:val="00D24692"/>
    <w:rsid w:val="00D25EC1"/>
    <w:rsid w:val="00D25FE2"/>
    <w:rsid w:val="00D30491"/>
    <w:rsid w:val="00D31633"/>
    <w:rsid w:val="00D37DA9"/>
    <w:rsid w:val="00D406A7"/>
    <w:rsid w:val="00D41E86"/>
    <w:rsid w:val="00D43252"/>
    <w:rsid w:val="00D44D86"/>
    <w:rsid w:val="00D50B7D"/>
    <w:rsid w:val="00D52012"/>
    <w:rsid w:val="00D53AB3"/>
    <w:rsid w:val="00D60FE0"/>
    <w:rsid w:val="00D679BB"/>
    <w:rsid w:val="00D70257"/>
    <w:rsid w:val="00D704E5"/>
    <w:rsid w:val="00D72727"/>
    <w:rsid w:val="00D731DD"/>
    <w:rsid w:val="00D754D5"/>
    <w:rsid w:val="00D853B1"/>
    <w:rsid w:val="00D978C6"/>
    <w:rsid w:val="00DA0956"/>
    <w:rsid w:val="00DA357F"/>
    <w:rsid w:val="00DA3E12"/>
    <w:rsid w:val="00DA4039"/>
    <w:rsid w:val="00DB259A"/>
    <w:rsid w:val="00DB2B9B"/>
    <w:rsid w:val="00DB66FA"/>
    <w:rsid w:val="00DC18AD"/>
    <w:rsid w:val="00DE0CB9"/>
    <w:rsid w:val="00DE5105"/>
    <w:rsid w:val="00DF1A1E"/>
    <w:rsid w:val="00DF6A82"/>
    <w:rsid w:val="00DF7CAE"/>
    <w:rsid w:val="00E02011"/>
    <w:rsid w:val="00E03BF6"/>
    <w:rsid w:val="00E06879"/>
    <w:rsid w:val="00E1773B"/>
    <w:rsid w:val="00E238B5"/>
    <w:rsid w:val="00E2482F"/>
    <w:rsid w:val="00E423C0"/>
    <w:rsid w:val="00E44DD8"/>
    <w:rsid w:val="00E46DC9"/>
    <w:rsid w:val="00E46F54"/>
    <w:rsid w:val="00E55DC3"/>
    <w:rsid w:val="00E62486"/>
    <w:rsid w:val="00E6414C"/>
    <w:rsid w:val="00E64CA7"/>
    <w:rsid w:val="00E66DA2"/>
    <w:rsid w:val="00E7260F"/>
    <w:rsid w:val="00E82C50"/>
    <w:rsid w:val="00E86772"/>
    <w:rsid w:val="00E8702D"/>
    <w:rsid w:val="00E916A9"/>
    <w:rsid w:val="00E916DE"/>
    <w:rsid w:val="00E92BCF"/>
    <w:rsid w:val="00E96630"/>
    <w:rsid w:val="00EC22B0"/>
    <w:rsid w:val="00EC50C2"/>
    <w:rsid w:val="00EC7076"/>
    <w:rsid w:val="00ED18DC"/>
    <w:rsid w:val="00ED6201"/>
    <w:rsid w:val="00ED7A2A"/>
    <w:rsid w:val="00EE37E1"/>
    <w:rsid w:val="00EE4832"/>
    <w:rsid w:val="00EF0BF7"/>
    <w:rsid w:val="00EF1840"/>
    <w:rsid w:val="00EF1D7F"/>
    <w:rsid w:val="00EF4426"/>
    <w:rsid w:val="00F0137E"/>
    <w:rsid w:val="00F16629"/>
    <w:rsid w:val="00F213D6"/>
    <w:rsid w:val="00F21786"/>
    <w:rsid w:val="00F3742B"/>
    <w:rsid w:val="00F41FDB"/>
    <w:rsid w:val="00F42721"/>
    <w:rsid w:val="00F5337D"/>
    <w:rsid w:val="00F56D63"/>
    <w:rsid w:val="00F609A9"/>
    <w:rsid w:val="00F65614"/>
    <w:rsid w:val="00F66595"/>
    <w:rsid w:val="00F80C99"/>
    <w:rsid w:val="00F8342A"/>
    <w:rsid w:val="00F867EC"/>
    <w:rsid w:val="00F91B2B"/>
    <w:rsid w:val="00FC03CD"/>
    <w:rsid w:val="00FC0646"/>
    <w:rsid w:val="00FC0826"/>
    <w:rsid w:val="00FC68B7"/>
    <w:rsid w:val="00FE5799"/>
    <w:rsid w:val="00FE5DA5"/>
    <w:rsid w:val="00FE6985"/>
    <w:rsid w:val="00FF4C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FB6886"/>
  <w15:chartTrackingRefBased/>
  <w15:docId w15:val="{E52CECD3-BB8F-4CCA-A6A7-2D26412E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7E8D"/>
    <w:pPr>
      <w:suppressAutoHyphens/>
      <w:spacing w:line="240" w:lineRule="atLeast"/>
    </w:pPr>
    <w:rPr>
      <w:rFonts w:eastAsia="Times New Roman"/>
      <w:lang w:val="fr-CH" w:eastAsia="en-US"/>
    </w:rPr>
  </w:style>
  <w:style w:type="paragraph" w:styleId="Titre1">
    <w:name w:val="heading 1"/>
    <w:aliases w:val="Table_G"/>
    <w:basedOn w:val="SingleTxtG"/>
    <w:next w:val="SingleTxtG"/>
    <w:link w:val="Titre1Car"/>
    <w:qFormat/>
    <w:rsid w:val="00ED7A2A"/>
    <w:pPr>
      <w:spacing w:after="0" w:line="240" w:lineRule="auto"/>
      <w:ind w:right="0"/>
      <w:jc w:val="left"/>
      <w:outlineLvl w:val="0"/>
    </w:pPr>
  </w:style>
  <w:style w:type="paragraph" w:styleId="Titre2">
    <w:name w:val="heading 2"/>
    <w:basedOn w:val="Normal"/>
    <w:next w:val="Normal"/>
    <w:link w:val="Titre2Car"/>
    <w:uiPriority w:val="99"/>
    <w:qFormat/>
    <w:pPr>
      <w:spacing w:line="240" w:lineRule="auto"/>
      <w:outlineLvl w:val="1"/>
    </w:pPr>
  </w:style>
  <w:style w:type="paragraph" w:styleId="Titre3">
    <w:name w:val="heading 3"/>
    <w:basedOn w:val="Normal"/>
    <w:next w:val="Normal"/>
    <w:link w:val="Titre3Car"/>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Numrodepage">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Notedefin">
    <w:name w:val="endnote text"/>
    <w:aliases w:val="2_G"/>
    <w:basedOn w:val="Notedebasdepage"/>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uiPriority w:val="99"/>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Lienhypertexte">
    <w:name w:val="Hyperlink"/>
    <w:rsid w:val="00A23E9E"/>
    <w:rPr>
      <w:color w:val="auto"/>
      <w:u w:val="none"/>
    </w:rPr>
  </w:style>
  <w:style w:type="paragraph" w:styleId="Pieddepage">
    <w:name w:val="footer"/>
    <w:aliases w:val="3_G"/>
    <w:basedOn w:val="Normal"/>
    <w:link w:val="PieddepageCar"/>
    <w:uiPriority w:val="99"/>
    <w:rsid w:val="009F2EAC"/>
    <w:pPr>
      <w:spacing w:line="240" w:lineRule="auto"/>
    </w:pPr>
    <w:rPr>
      <w:sz w:val="16"/>
    </w:rPr>
  </w:style>
  <w:style w:type="paragraph" w:styleId="En-tte">
    <w:name w:val="header"/>
    <w:aliases w:val="6_G"/>
    <w:basedOn w:val="Normal"/>
    <w:link w:val="En-tteCar"/>
    <w:uiPriority w:val="99"/>
    <w:rsid w:val="00050F6B"/>
    <w:pPr>
      <w:pBdr>
        <w:bottom w:val="single" w:sz="4" w:space="4" w:color="auto"/>
      </w:pBdr>
      <w:spacing w:line="240" w:lineRule="auto"/>
    </w:pPr>
    <w:rPr>
      <w:b/>
      <w:sz w:val="18"/>
    </w:rPr>
  </w:style>
  <w:style w:type="character" w:customStyle="1" w:styleId="Titre1Car">
    <w:name w:val="Titre 1 Car"/>
    <w:aliases w:val="Table_G Car"/>
    <w:link w:val="Titre1"/>
    <w:locked/>
    <w:rsid w:val="00517E8D"/>
    <w:rPr>
      <w:rFonts w:eastAsia="MS Mincho"/>
      <w:lang w:val="en-GB" w:eastAsia="ja-JP" w:bidi="ar-SA"/>
    </w:rPr>
  </w:style>
  <w:style w:type="table" w:styleId="Grilledutableau">
    <w:name w:val="Table Grid"/>
    <w:basedOn w:val="TableauNormal"/>
    <w:uiPriority w:val="39"/>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semiHidden/>
    <w:rsid w:val="00A23E9E"/>
    <w:rPr>
      <w:color w:val="auto"/>
      <w:u w:val="none"/>
    </w:rPr>
  </w:style>
  <w:style w:type="character" w:customStyle="1" w:styleId="Titre2Car">
    <w:name w:val="Titre 2 Car"/>
    <w:link w:val="Titre2"/>
    <w:uiPriority w:val="99"/>
    <w:locked/>
    <w:rsid w:val="00517E8D"/>
    <w:rPr>
      <w:rFonts w:eastAsia="MS Mincho"/>
      <w:lang w:val="en-GB" w:eastAsia="ja-JP" w:bidi="ar-SA"/>
    </w:rPr>
  </w:style>
  <w:style w:type="character" w:customStyle="1" w:styleId="Titre3Car">
    <w:name w:val="Titre 3 Car"/>
    <w:link w:val="Titre3"/>
    <w:semiHidden/>
    <w:locked/>
    <w:rsid w:val="00517E8D"/>
    <w:rPr>
      <w:rFonts w:eastAsia="MS Mincho"/>
      <w:lang w:val="en-GB" w:eastAsia="ja-JP" w:bidi="ar-SA"/>
    </w:rPr>
  </w:style>
  <w:style w:type="paragraph" w:customStyle="1" w:styleId="Tabell">
    <w:name w:val="Tabell"/>
    <w:basedOn w:val="Normal"/>
    <w:next w:val="Normal"/>
    <w:rsid w:val="00517E8D"/>
    <w:pPr>
      <w:tabs>
        <w:tab w:val="left" w:pos="74"/>
        <w:tab w:val="left" w:pos="1366"/>
        <w:tab w:val="left" w:pos="2665"/>
        <w:tab w:val="left" w:pos="3963"/>
      </w:tabs>
      <w:suppressAutoHyphens w:val="0"/>
      <w:spacing w:line="240" w:lineRule="auto"/>
      <w:ind w:left="74"/>
    </w:pPr>
    <w:rPr>
      <w:sz w:val="22"/>
      <w:szCs w:val="22"/>
      <w:lang w:val="nb-NO" w:eastAsia="nb-NO"/>
    </w:rPr>
  </w:style>
  <w:style w:type="character" w:customStyle="1" w:styleId="PieddepageCar">
    <w:name w:val="Pied de page Car"/>
    <w:aliases w:val="3_G Car"/>
    <w:link w:val="Pieddepage"/>
    <w:uiPriority w:val="99"/>
    <w:locked/>
    <w:rsid w:val="00517E8D"/>
    <w:rPr>
      <w:rFonts w:eastAsia="MS Mincho"/>
      <w:sz w:val="16"/>
      <w:lang w:val="en-GB" w:eastAsia="ja-JP" w:bidi="ar-SA"/>
    </w:rPr>
  </w:style>
  <w:style w:type="character" w:customStyle="1" w:styleId="En-tteCar">
    <w:name w:val="En-tête Car"/>
    <w:aliases w:val="6_G Car"/>
    <w:link w:val="En-tte"/>
    <w:uiPriority w:val="99"/>
    <w:locked/>
    <w:rsid w:val="00517E8D"/>
    <w:rPr>
      <w:rFonts w:eastAsia="MS Mincho"/>
      <w:b/>
      <w:sz w:val="18"/>
      <w:lang w:val="en-GB" w:eastAsia="ja-JP" w:bidi="ar-SA"/>
    </w:rPr>
  </w:style>
  <w:style w:type="paragraph" w:styleId="Corpsdetexte">
    <w:name w:val="Body Text"/>
    <w:basedOn w:val="Normal"/>
    <w:link w:val="CorpsdetexteCar"/>
    <w:semiHidden/>
    <w:rsid w:val="00517E8D"/>
    <w:pPr>
      <w:suppressAutoHyphens w:val="0"/>
      <w:spacing w:line="240" w:lineRule="auto"/>
      <w:jc w:val="both"/>
    </w:pPr>
    <w:rPr>
      <w:sz w:val="24"/>
      <w:szCs w:val="24"/>
      <w:lang w:val="en-GB"/>
    </w:rPr>
  </w:style>
  <w:style w:type="character" w:customStyle="1" w:styleId="CorpsdetexteCar">
    <w:name w:val="Corps de texte Car"/>
    <w:link w:val="Corpsdetexte"/>
    <w:semiHidden/>
    <w:locked/>
    <w:rsid w:val="00517E8D"/>
    <w:rPr>
      <w:sz w:val="24"/>
      <w:szCs w:val="24"/>
      <w:lang w:val="en-GB" w:eastAsia="en-US" w:bidi="ar-SA"/>
    </w:rPr>
  </w:style>
  <w:style w:type="paragraph" w:styleId="Retraitcorpsdetexte">
    <w:name w:val="Body Text Indent"/>
    <w:basedOn w:val="Normal"/>
    <w:link w:val="RetraitcorpsdetexteCar"/>
    <w:semiHidden/>
    <w:rsid w:val="00517E8D"/>
    <w:pPr>
      <w:tabs>
        <w:tab w:val="left" w:pos="74"/>
        <w:tab w:val="num" w:pos="1080"/>
        <w:tab w:val="left" w:pos="1366"/>
        <w:tab w:val="left" w:pos="2665"/>
        <w:tab w:val="left" w:pos="3963"/>
        <w:tab w:val="left" w:pos="5256"/>
        <w:tab w:val="left" w:pos="6555"/>
        <w:tab w:val="left" w:pos="7847"/>
        <w:tab w:val="left" w:pos="9146"/>
      </w:tabs>
      <w:suppressAutoHyphens w:val="0"/>
      <w:spacing w:line="240" w:lineRule="auto"/>
      <w:ind w:left="1080" w:hanging="360"/>
    </w:pPr>
    <w:rPr>
      <w:sz w:val="22"/>
      <w:szCs w:val="22"/>
      <w:lang w:val="en-GB" w:eastAsia="nb-NO"/>
    </w:rPr>
  </w:style>
  <w:style w:type="character" w:customStyle="1" w:styleId="RetraitcorpsdetexteCar">
    <w:name w:val="Retrait corps de texte Car"/>
    <w:link w:val="Retraitcorpsdetexte"/>
    <w:semiHidden/>
    <w:locked/>
    <w:rsid w:val="00517E8D"/>
    <w:rPr>
      <w:sz w:val="22"/>
      <w:szCs w:val="22"/>
      <w:lang w:val="en-GB" w:eastAsia="nb-NO" w:bidi="ar-SA"/>
    </w:rPr>
  </w:style>
  <w:style w:type="paragraph" w:styleId="Retraitcorpsdetexte2">
    <w:name w:val="Body Text Indent 2"/>
    <w:basedOn w:val="Normal"/>
    <w:link w:val="Retraitcorpsdetexte2Car"/>
    <w:semiHidden/>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4"/>
    </w:pPr>
    <w:rPr>
      <w:sz w:val="24"/>
      <w:szCs w:val="24"/>
      <w:lang w:val="en-GB" w:eastAsia="nb-NO"/>
    </w:rPr>
  </w:style>
  <w:style w:type="character" w:customStyle="1" w:styleId="Retraitcorpsdetexte2Car">
    <w:name w:val="Retrait corps de texte 2 Car"/>
    <w:link w:val="Retraitcorpsdetexte2"/>
    <w:semiHidden/>
    <w:locked/>
    <w:rsid w:val="00517E8D"/>
    <w:rPr>
      <w:sz w:val="24"/>
      <w:szCs w:val="24"/>
      <w:lang w:val="en-GB" w:eastAsia="nb-NO" w:bidi="ar-SA"/>
    </w:rPr>
  </w:style>
  <w:style w:type="paragraph" w:styleId="Paragraphedeliste">
    <w:name w:val="List Paragraph"/>
    <w:basedOn w:val="Normal"/>
    <w:uiPriority w:val="34"/>
    <w:qFormat/>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20"/>
    </w:pPr>
    <w:rPr>
      <w:sz w:val="22"/>
      <w:szCs w:val="22"/>
      <w:lang w:val="nb-NO" w:eastAsia="nb-NO"/>
    </w:rPr>
  </w:style>
  <w:style w:type="character" w:customStyle="1" w:styleId="SingleTxtGChar">
    <w:name w:val="_ Single Txt_G Char"/>
    <w:link w:val="SingleTxtG"/>
    <w:rsid w:val="0067520F"/>
    <w:rPr>
      <w:lang w:val="fr-CH" w:eastAsia="en-US" w:bidi="ar-SA"/>
    </w:rPr>
  </w:style>
  <w:style w:type="character" w:customStyle="1" w:styleId="H23GChar">
    <w:name w:val="_ H_2/3_G Char"/>
    <w:link w:val="H23G"/>
    <w:rsid w:val="00F213D6"/>
    <w:rPr>
      <w:b/>
      <w:lang w:val="fr-CH" w:eastAsia="en-US" w:bidi="ar-SA"/>
    </w:rPr>
  </w:style>
  <w:style w:type="character" w:customStyle="1" w:styleId="NotedebasdepageCar">
    <w:name w:val="Note de bas de page Car"/>
    <w:aliases w:val="5_G Car"/>
    <w:link w:val="Notedebasdepage"/>
    <w:uiPriority w:val="99"/>
    <w:rsid w:val="007239CE"/>
    <w:rPr>
      <w:rFonts w:eastAsia="Times New Roman"/>
      <w:sz w:val="18"/>
      <w:lang w:val="fr-CH" w:eastAsia="en-US"/>
    </w:rPr>
  </w:style>
  <w:style w:type="paragraph" w:customStyle="1" w:styleId="CM33">
    <w:name w:val="CM33"/>
    <w:basedOn w:val="Normal"/>
    <w:next w:val="Normal"/>
    <w:uiPriority w:val="99"/>
    <w:rsid w:val="007239CE"/>
    <w:pPr>
      <w:widowControl w:val="0"/>
      <w:suppressAutoHyphens w:val="0"/>
      <w:autoSpaceDE w:val="0"/>
      <w:autoSpaceDN w:val="0"/>
      <w:adjustRightInd w:val="0"/>
      <w:spacing w:after="125" w:line="240" w:lineRule="auto"/>
    </w:pPr>
    <w:rPr>
      <w:sz w:val="24"/>
      <w:szCs w:val="24"/>
      <w:lang w:val="ro-RO" w:eastAsia="ro-RO"/>
    </w:rPr>
  </w:style>
  <w:style w:type="paragraph" w:styleId="Textedebulles">
    <w:name w:val="Balloon Text"/>
    <w:basedOn w:val="Normal"/>
    <w:link w:val="TextedebullesCar"/>
    <w:rsid w:val="004A3646"/>
    <w:pPr>
      <w:spacing w:line="240" w:lineRule="auto"/>
    </w:pPr>
    <w:rPr>
      <w:rFonts w:ascii="Tahoma" w:hAnsi="Tahoma" w:cs="Tahoma"/>
      <w:sz w:val="16"/>
      <w:szCs w:val="16"/>
    </w:rPr>
  </w:style>
  <w:style w:type="character" w:customStyle="1" w:styleId="TextedebullesCar">
    <w:name w:val="Texte de bulles Car"/>
    <w:link w:val="Textedebulles"/>
    <w:rsid w:val="004A3646"/>
    <w:rPr>
      <w:rFonts w:ascii="Tahoma" w:eastAsia="Times New Roman" w:hAnsi="Tahoma" w:cs="Tahoma"/>
      <w:sz w:val="16"/>
      <w:szCs w:val="16"/>
      <w:lang w:val="fr-CH" w:eastAsia="en-US"/>
    </w:rPr>
  </w:style>
  <w:style w:type="character" w:customStyle="1" w:styleId="HChGChar">
    <w:name w:val="_ H _Ch_G Char"/>
    <w:link w:val="HChG"/>
    <w:qFormat/>
    <w:rsid w:val="00AC14F5"/>
    <w:rPr>
      <w:rFonts w:eastAsia="Times New Roman"/>
      <w:b/>
      <w:sz w:val="28"/>
      <w:lang w:val="fr-CH" w:eastAsia="en-US"/>
    </w:rPr>
  </w:style>
  <w:style w:type="character" w:customStyle="1" w:styleId="WW8Num8z0">
    <w:name w:val="WW8Num8z0"/>
    <w:rsid w:val="006E6EE2"/>
    <w:rPr>
      <w:rFonts w:ascii="Symbol" w:hAnsi="Symbol" w:cs="Symbol"/>
    </w:rPr>
  </w:style>
  <w:style w:type="character" w:customStyle="1" w:styleId="H1GChar">
    <w:name w:val="_ H_1_G Char"/>
    <w:link w:val="H1G"/>
    <w:uiPriority w:val="99"/>
    <w:qFormat/>
    <w:rsid w:val="00951F8C"/>
    <w:rPr>
      <w:rFonts w:eastAsia="Times New Roman"/>
      <w:b/>
      <w:sz w:val="24"/>
      <w:lang w:val="fr-CH" w:eastAsia="en-US"/>
    </w:rPr>
  </w:style>
  <w:style w:type="paragraph" w:styleId="NormalWeb">
    <w:name w:val="Normal (Web)"/>
    <w:basedOn w:val="Normal"/>
    <w:uiPriority w:val="99"/>
    <w:rsid w:val="00951F8C"/>
    <w:rPr>
      <w:sz w:val="24"/>
      <w:szCs w:val="24"/>
      <w:lang w:val="en-GB"/>
    </w:rPr>
  </w:style>
  <w:style w:type="paragraph" w:customStyle="1" w:styleId="Figuretitle">
    <w:name w:val="Figure title"/>
    <w:basedOn w:val="Normal"/>
    <w:next w:val="Normal"/>
    <w:uiPriority w:val="99"/>
    <w:rsid w:val="00951F8C"/>
    <w:pPr>
      <w:spacing w:before="220" w:after="220" w:line="230" w:lineRule="atLeast"/>
      <w:jc w:val="center"/>
    </w:pPr>
    <w:rPr>
      <w:rFonts w:ascii="Arial" w:eastAsia="MS Mincho" w:hAnsi="Arial"/>
      <w:b/>
      <w:lang w:val="en-GB" w:eastAsia="fr-FR"/>
    </w:rPr>
  </w:style>
  <w:style w:type="paragraph" w:customStyle="1" w:styleId="Tabletext10">
    <w:name w:val="Table text (10)"/>
    <w:basedOn w:val="Normal"/>
    <w:uiPriority w:val="99"/>
    <w:rsid w:val="00951F8C"/>
    <w:pPr>
      <w:suppressAutoHyphens w:val="0"/>
      <w:spacing w:before="60" w:after="60" w:line="230" w:lineRule="atLeast"/>
      <w:jc w:val="both"/>
    </w:pPr>
    <w:rPr>
      <w:rFonts w:ascii="Arial" w:hAnsi="Arial"/>
      <w:lang w:val="en-GB" w:eastAsia="en-GB"/>
    </w:rPr>
  </w:style>
  <w:style w:type="paragraph" w:styleId="Commentaire">
    <w:name w:val="annotation text"/>
    <w:basedOn w:val="Normal"/>
    <w:link w:val="CommentaireCar"/>
    <w:rsid w:val="00655FA0"/>
    <w:pPr>
      <w:tabs>
        <w:tab w:val="left" w:pos="425"/>
        <w:tab w:val="left" w:pos="851"/>
        <w:tab w:val="left" w:pos="1276"/>
      </w:tabs>
      <w:suppressAutoHyphens w:val="0"/>
      <w:spacing w:line="240" w:lineRule="auto"/>
      <w:jc w:val="both"/>
    </w:pPr>
    <w:rPr>
      <w:rFonts w:ascii="Arial" w:hAnsi="Arial"/>
      <w:color w:val="000000"/>
      <w:sz w:val="18"/>
      <w:lang w:val="de-DE" w:eastAsia="de-DE"/>
    </w:rPr>
  </w:style>
  <w:style w:type="character" w:customStyle="1" w:styleId="CommentaireCar">
    <w:name w:val="Commentaire Car"/>
    <w:link w:val="Commentaire"/>
    <w:rsid w:val="00655FA0"/>
    <w:rPr>
      <w:rFonts w:ascii="Arial" w:eastAsia="Times New Roman" w:hAnsi="Arial"/>
      <w:color w:val="000000"/>
      <w:sz w:val="18"/>
      <w:lang w:val="de-DE" w:eastAsia="de-DE"/>
    </w:rPr>
  </w:style>
  <w:style w:type="paragraph" w:customStyle="1" w:styleId="Default">
    <w:name w:val="Default"/>
    <w:rsid w:val="002557F1"/>
    <w:pPr>
      <w:widowControl w:val="0"/>
      <w:autoSpaceDE w:val="0"/>
      <w:autoSpaceDN w:val="0"/>
      <w:adjustRightInd w:val="0"/>
    </w:pPr>
    <w:rPr>
      <w:rFonts w:ascii="Times-New-Roman,Bold" w:eastAsia="Times New Roman" w:hAnsi="Times-New-Roman,Bold" w:cs="Times-New-Roman,Bold"/>
      <w:color w:val="000000"/>
      <w:sz w:val="24"/>
      <w:szCs w:val="24"/>
      <w:lang w:val="en-US" w:eastAsia="en-US"/>
    </w:rPr>
  </w:style>
  <w:style w:type="paragraph" w:customStyle="1" w:styleId="CM3">
    <w:name w:val="CM3"/>
    <w:basedOn w:val="Default"/>
    <w:next w:val="Default"/>
    <w:uiPriority w:val="99"/>
    <w:rsid w:val="002557F1"/>
    <w:rPr>
      <w:rFonts w:cs="Times New Roman"/>
      <w:color w:val="auto"/>
    </w:rPr>
  </w:style>
  <w:style w:type="paragraph" w:customStyle="1" w:styleId="CM2">
    <w:name w:val="CM2"/>
    <w:basedOn w:val="Default"/>
    <w:next w:val="Default"/>
    <w:uiPriority w:val="99"/>
    <w:rsid w:val="002557F1"/>
    <w:pPr>
      <w:spacing w:line="278" w:lineRule="atLeast"/>
    </w:pPr>
    <w:rPr>
      <w:rFonts w:cs="Times New Roman"/>
      <w:color w:val="auto"/>
    </w:rPr>
  </w:style>
  <w:style w:type="paragraph" w:customStyle="1" w:styleId="CM4">
    <w:name w:val="CM4"/>
    <w:basedOn w:val="Default"/>
    <w:next w:val="Default"/>
    <w:uiPriority w:val="99"/>
    <w:rsid w:val="002557F1"/>
    <w:rPr>
      <w:rFonts w:cs="Times New Roman"/>
      <w:color w:val="auto"/>
    </w:rPr>
  </w:style>
  <w:style w:type="paragraph" w:customStyle="1" w:styleId="Normaltext">
    <w:name w:val="Normaltext"/>
    <w:basedOn w:val="Normal"/>
    <w:qFormat/>
    <w:rsid w:val="006D2658"/>
    <w:pPr>
      <w:suppressAutoHyphens w:val="0"/>
      <w:spacing w:before="180" w:line="240" w:lineRule="auto"/>
      <w:ind w:left="1080"/>
      <w:jc w:val="both"/>
    </w:pPr>
    <w:rPr>
      <w:rFonts w:ascii="Arial" w:hAnsi="Arial" w:cs="Arial"/>
      <w:color w:val="000000"/>
      <w:sz w:val="18"/>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97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949924-EC37-4497-A468-AC93826FF396}">
  <ds:schemaRefs>
    <ds:schemaRef ds:uri="http://schemas.openxmlformats.org/officeDocument/2006/bibliography"/>
  </ds:schemaRefs>
</ds:datastoreItem>
</file>

<file path=customXml/itemProps2.xml><?xml version="1.0" encoding="utf-8"?>
<ds:datastoreItem xmlns:ds="http://schemas.openxmlformats.org/officeDocument/2006/customXml" ds:itemID="{71341E4C-5C88-40FA-A61F-9E6C6BA1D429}">
  <ds:schemaRefs>
    <ds:schemaRef ds:uri="http://schemas.microsoft.com/sharepoint/v3/contenttype/forms"/>
  </ds:schemaRefs>
</ds:datastoreItem>
</file>

<file path=customXml/itemProps3.xml><?xml version="1.0" encoding="utf-8"?>
<ds:datastoreItem xmlns:ds="http://schemas.openxmlformats.org/officeDocument/2006/customXml" ds:itemID="{5603FCCE-75EB-4A72-90C2-4E69983BDBF5}">
  <ds:schemaRefs>
    <ds:schemaRef ds:uri="4b4a1c0d-4a69-4996-a84a-fc699b9f49de"/>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acccb6d4-dbe5-46d2-b4d3-5733603d8cc6"/>
    <ds:schemaRef ds:uri="http://www.w3.org/XML/1998/namespace"/>
  </ds:schemaRefs>
</ds:datastoreItem>
</file>

<file path=customXml/itemProps4.xml><?xml version="1.0" encoding="utf-8"?>
<ds:datastoreItem xmlns:ds="http://schemas.openxmlformats.org/officeDocument/2006/customXml" ds:itemID="{D521885D-11B6-46C9-B92D-BF8D00997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544</Words>
  <Characters>3105</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Economic Commission for Europe</vt:lpstr>
      <vt:lpstr>Economic Commission for Europe</vt:lpstr>
    </vt:vector>
  </TitlesOfParts>
  <Company>UNECE</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Commission for Europe</dc:title>
  <dc:subject/>
  <dc:creator>Berthet</dc:creator>
  <cp:keywords/>
  <cp:lastModifiedBy>Romain Hubert</cp:lastModifiedBy>
  <cp:revision>26</cp:revision>
  <cp:lastPrinted>2014-06-18T09:27:00Z</cp:lastPrinted>
  <dcterms:created xsi:type="dcterms:W3CDTF">2021-08-23T07:50:00Z</dcterms:created>
  <dcterms:modified xsi:type="dcterms:W3CDTF">2021-08-30T12:15:00Z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11779400</vt:r8>
  </property>
</Properties>
</file>