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4D293B" w14:paraId="5139B055" w14:textId="77777777" w:rsidTr="00387CD4">
        <w:trPr>
          <w:trHeight w:hRule="exact" w:val="851"/>
        </w:trPr>
        <w:tc>
          <w:tcPr>
            <w:tcW w:w="142" w:type="dxa"/>
            <w:tcBorders>
              <w:bottom w:val="single" w:sz="4" w:space="0" w:color="auto"/>
            </w:tcBorders>
          </w:tcPr>
          <w:p w14:paraId="71929801" w14:textId="77777777" w:rsidR="002D5AAC" w:rsidRPr="004D293B" w:rsidRDefault="002D5AAC" w:rsidP="004D293B">
            <w:pPr>
              <w:kinsoku w:val="0"/>
              <w:overflowPunct w:val="0"/>
              <w:autoSpaceDE w:val="0"/>
              <w:autoSpaceDN w:val="0"/>
              <w:adjustRightInd w:val="0"/>
              <w:snapToGrid w:val="0"/>
              <w:rPr>
                <w:rFonts w:cs="Times New Roman"/>
              </w:rPr>
            </w:pPr>
          </w:p>
        </w:tc>
        <w:tc>
          <w:tcPr>
            <w:tcW w:w="4536" w:type="dxa"/>
            <w:gridSpan w:val="2"/>
            <w:tcBorders>
              <w:bottom w:val="single" w:sz="4" w:space="0" w:color="auto"/>
            </w:tcBorders>
            <w:vAlign w:val="bottom"/>
          </w:tcPr>
          <w:p w14:paraId="1FDE4EFC" w14:textId="77777777" w:rsidR="002D5AAC" w:rsidRPr="004D293B" w:rsidRDefault="00DF71B9" w:rsidP="00387CD4">
            <w:pPr>
              <w:spacing w:after="80" w:line="300" w:lineRule="exact"/>
              <w:rPr>
                <w:rFonts w:cs="Times New Roman"/>
                <w:sz w:val="28"/>
              </w:rPr>
            </w:pPr>
            <w:r w:rsidRPr="004D293B">
              <w:rPr>
                <w:rFonts w:cs="Times New Roman"/>
                <w:sz w:val="28"/>
              </w:rPr>
              <w:t>Организация Объединенных Наций</w:t>
            </w:r>
          </w:p>
        </w:tc>
        <w:tc>
          <w:tcPr>
            <w:tcW w:w="4961" w:type="dxa"/>
            <w:gridSpan w:val="2"/>
            <w:tcBorders>
              <w:bottom w:val="single" w:sz="4" w:space="0" w:color="auto"/>
            </w:tcBorders>
            <w:vAlign w:val="bottom"/>
          </w:tcPr>
          <w:p w14:paraId="2E88CD53" w14:textId="4BEE04EC" w:rsidR="002D5AAC" w:rsidRPr="004D293B" w:rsidRDefault="004D293B" w:rsidP="004D293B">
            <w:pPr>
              <w:jc w:val="right"/>
              <w:rPr>
                <w:rFonts w:cs="Times New Roman"/>
              </w:rPr>
            </w:pPr>
            <w:r w:rsidRPr="004D293B">
              <w:rPr>
                <w:rFonts w:cs="Times New Roman"/>
                <w:sz w:val="40"/>
              </w:rPr>
              <w:t>ECE</w:t>
            </w:r>
            <w:r w:rsidRPr="004D293B">
              <w:rPr>
                <w:rFonts w:cs="Times New Roman"/>
              </w:rPr>
              <w:t>/TRANS/WP.15/AC.1/2021/42</w:t>
            </w:r>
          </w:p>
        </w:tc>
      </w:tr>
      <w:tr w:rsidR="002D5AAC" w:rsidRPr="004D293B" w14:paraId="6A3F3742" w14:textId="77777777" w:rsidTr="00387CD4">
        <w:trPr>
          <w:trHeight w:hRule="exact" w:val="2835"/>
        </w:trPr>
        <w:tc>
          <w:tcPr>
            <w:tcW w:w="1280" w:type="dxa"/>
            <w:gridSpan w:val="2"/>
            <w:tcBorders>
              <w:top w:val="single" w:sz="4" w:space="0" w:color="auto"/>
              <w:bottom w:val="single" w:sz="12" w:space="0" w:color="auto"/>
            </w:tcBorders>
          </w:tcPr>
          <w:p w14:paraId="2D2E9C26" w14:textId="77777777" w:rsidR="002D5AAC" w:rsidRPr="004D293B" w:rsidRDefault="002E5067" w:rsidP="00387CD4">
            <w:pPr>
              <w:spacing w:before="120"/>
              <w:jc w:val="center"/>
              <w:rPr>
                <w:rFonts w:cs="Times New Roman"/>
              </w:rPr>
            </w:pPr>
            <w:r w:rsidRPr="004D293B">
              <w:rPr>
                <w:rFonts w:cs="Times New Roman"/>
                <w:noProof/>
                <w:lang w:val="fr-CH" w:eastAsia="fr-CH"/>
              </w:rPr>
              <w:drawing>
                <wp:inline distT="0" distB="0" distL="0" distR="0" wp14:anchorId="732D167B" wp14:editId="23C45A2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0292D87" w14:textId="77777777" w:rsidR="002D5AAC" w:rsidRPr="004D293B" w:rsidRDefault="008A37C8" w:rsidP="00387CD4">
            <w:pPr>
              <w:spacing w:before="120" w:line="460" w:lineRule="exact"/>
              <w:rPr>
                <w:rFonts w:cs="Times New Roman"/>
                <w:b/>
                <w:sz w:val="34"/>
                <w:szCs w:val="34"/>
              </w:rPr>
            </w:pPr>
            <w:r w:rsidRPr="004D293B">
              <w:rPr>
                <w:rFonts w:eastAsia="Times New Roman" w:cs="Times New Roman"/>
                <w:b/>
                <w:spacing w:val="-4"/>
                <w:sz w:val="40"/>
                <w:szCs w:val="40"/>
              </w:rPr>
              <w:t xml:space="preserve">Экономический </w:t>
            </w:r>
            <w:r w:rsidRPr="004D293B">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12C2D7E" w14:textId="77777777" w:rsidR="002D5AAC" w:rsidRPr="004D293B" w:rsidRDefault="004D293B" w:rsidP="00387CD4">
            <w:pPr>
              <w:spacing w:before="240"/>
              <w:rPr>
                <w:rFonts w:cs="Times New Roman"/>
                <w:lang w:val="en-US"/>
              </w:rPr>
            </w:pPr>
            <w:r w:rsidRPr="004D293B">
              <w:rPr>
                <w:rFonts w:cs="Times New Roman"/>
                <w:lang w:val="en-US"/>
              </w:rPr>
              <w:t>Distr.: General</w:t>
            </w:r>
          </w:p>
          <w:p w14:paraId="2D38914E" w14:textId="77777777" w:rsidR="004D293B" w:rsidRPr="004D293B" w:rsidRDefault="004D293B" w:rsidP="004D293B">
            <w:pPr>
              <w:spacing w:line="240" w:lineRule="exact"/>
              <w:rPr>
                <w:rFonts w:cs="Times New Roman"/>
                <w:lang w:val="en-US"/>
              </w:rPr>
            </w:pPr>
            <w:r w:rsidRPr="004D293B">
              <w:rPr>
                <w:rFonts w:cs="Times New Roman"/>
                <w:lang w:val="en-US"/>
              </w:rPr>
              <w:t>6 July 2021</w:t>
            </w:r>
          </w:p>
          <w:p w14:paraId="68985F43" w14:textId="77777777" w:rsidR="004D293B" w:rsidRPr="004D293B" w:rsidRDefault="004D293B" w:rsidP="004D293B">
            <w:pPr>
              <w:spacing w:line="240" w:lineRule="exact"/>
              <w:rPr>
                <w:rFonts w:cs="Times New Roman"/>
                <w:lang w:val="en-US"/>
              </w:rPr>
            </w:pPr>
            <w:r w:rsidRPr="004D293B">
              <w:rPr>
                <w:rFonts w:cs="Times New Roman"/>
                <w:lang w:val="en-US"/>
              </w:rPr>
              <w:t>Russian</w:t>
            </w:r>
          </w:p>
          <w:p w14:paraId="76C47812" w14:textId="5B8E4D01" w:rsidR="004D293B" w:rsidRPr="004D293B" w:rsidRDefault="004D293B" w:rsidP="004D293B">
            <w:pPr>
              <w:spacing w:line="240" w:lineRule="exact"/>
              <w:rPr>
                <w:rFonts w:cs="Times New Roman"/>
                <w:lang w:val="en-US"/>
              </w:rPr>
            </w:pPr>
            <w:r w:rsidRPr="004D293B">
              <w:rPr>
                <w:rFonts w:cs="Times New Roman"/>
                <w:lang w:val="en-US"/>
              </w:rPr>
              <w:t>Original: English</w:t>
            </w:r>
          </w:p>
        </w:tc>
      </w:tr>
    </w:tbl>
    <w:p w14:paraId="1637CE66" w14:textId="77777777" w:rsidR="008A37C8" w:rsidRPr="004D293B" w:rsidRDefault="008A37C8" w:rsidP="00255343">
      <w:pPr>
        <w:spacing w:before="120"/>
        <w:rPr>
          <w:rFonts w:cs="Times New Roman"/>
          <w:b/>
          <w:sz w:val="28"/>
          <w:szCs w:val="28"/>
        </w:rPr>
      </w:pPr>
      <w:r w:rsidRPr="004D293B">
        <w:rPr>
          <w:rFonts w:cs="Times New Roman"/>
          <w:b/>
          <w:sz w:val="28"/>
          <w:szCs w:val="28"/>
        </w:rPr>
        <w:t>Европейская экономическая комиссия</w:t>
      </w:r>
    </w:p>
    <w:p w14:paraId="2E578963" w14:textId="77777777" w:rsidR="004D293B" w:rsidRPr="004D293B" w:rsidRDefault="004D293B" w:rsidP="004D293B">
      <w:pPr>
        <w:spacing w:before="120"/>
        <w:rPr>
          <w:rFonts w:cs="Times New Roman"/>
          <w:sz w:val="28"/>
          <w:szCs w:val="28"/>
        </w:rPr>
      </w:pPr>
      <w:r w:rsidRPr="004D293B">
        <w:rPr>
          <w:rFonts w:cs="Times New Roman"/>
          <w:sz w:val="28"/>
          <w:szCs w:val="28"/>
        </w:rPr>
        <w:t>Комитет по внутреннему транспорту</w:t>
      </w:r>
    </w:p>
    <w:p w14:paraId="6F3E64B1" w14:textId="77777777" w:rsidR="004D293B" w:rsidRPr="004D293B" w:rsidRDefault="004D293B" w:rsidP="004D293B">
      <w:pPr>
        <w:spacing w:before="120" w:after="120"/>
        <w:rPr>
          <w:rFonts w:cs="Times New Roman"/>
          <w:b/>
          <w:sz w:val="24"/>
          <w:szCs w:val="24"/>
        </w:rPr>
      </w:pPr>
      <w:r w:rsidRPr="004D293B">
        <w:rPr>
          <w:rFonts w:cs="Times New Roman"/>
          <w:b/>
          <w:bCs/>
          <w:sz w:val="24"/>
          <w:szCs w:val="24"/>
        </w:rPr>
        <w:t>Рабочая группа по перевозкам опасных грузов</w:t>
      </w:r>
    </w:p>
    <w:p w14:paraId="47A9D050" w14:textId="2EEB76BD" w:rsidR="004D293B" w:rsidRPr="004D293B" w:rsidRDefault="004D293B" w:rsidP="004D293B">
      <w:pPr>
        <w:rPr>
          <w:rFonts w:cs="Times New Roman"/>
          <w:b/>
          <w:bCs/>
        </w:rPr>
      </w:pPr>
      <w:r w:rsidRPr="004D293B">
        <w:rPr>
          <w:rFonts w:cs="Times New Roman"/>
          <w:b/>
          <w:bCs/>
        </w:rPr>
        <w:t xml:space="preserve">Совместное совещание Комиссии экспертов МПОГ </w:t>
      </w:r>
    </w:p>
    <w:p w14:paraId="58A96A32" w14:textId="7D093941" w:rsidR="004D293B" w:rsidRPr="004D293B" w:rsidRDefault="004D293B" w:rsidP="004D293B">
      <w:pPr>
        <w:rPr>
          <w:rFonts w:cs="Times New Roman"/>
          <w:b/>
          <w:bCs/>
        </w:rPr>
      </w:pPr>
      <w:r w:rsidRPr="004D293B">
        <w:rPr>
          <w:rFonts w:cs="Times New Roman"/>
          <w:b/>
          <w:bCs/>
        </w:rPr>
        <w:t>и Рабочей группы по перевозкам опасных грузов</w:t>
      </w:r>
    </w:p>
    <w:p w14:paraId="765BF7E5" w14:textId="77777777" w:rsidR="004D293B" w:rsidRPr="004D293B" w:rsidRDefault="004D293B" w:rsidP="004D293B">
      <w:pPr>
        <w:rPr>
          <w:rFonts w:cs="Times New Roman"/>
        </w:rPr>
      </w:pPr>
      <w:r w:rsidRPr="004D293B">
        <w:rPr>
          <w:rFonts w:cs="Times New Roman"/>
        </w:rPr>
        <w:t>Женева, 21 сентября — 1 октября 2021 года</w:t>
      </w:r>
    </w:p>
    <w:p w14:paraId="4142166F" w14:textId="77777777" w:rsidR="004D293B" w:rsidRPr="004D293B" w:rsidRDefault="004D293B" w:rsidP="004D293B">
      <w:pPr>
        <w:rPr>
          <w:rFonts w:cs="Times New Roman"/>
        </w:rPr>
      </w:pPr>
      <w:r w:rsidRPr="004D293B">
        <w:rPr>
          <w:rFonts w:cs="Times New Roman"/>
        </w:rPr>
        <w:t>Пункт 2 предварительной повестки дня</w:t>
      </w:r>
    </w:p>
    <w:p w14:paraId="1F637F1C" w14:textId="77777777" w:rsidR="004D293B" w:rsidRPr="004D293B" w:rsidRDefault="004D293B" w:rsidP="004D293B">
      <w:pPr>
        <w:rPr>
          <w:rFonts w:cs="Times New Roman"/>
          <w:b/>
          <w:bCs/>
        </w:rPr>
      </w:pPr>
      <w:r w:rsidRPr="004D293B">
        <w:rPr>
          <w:rFonts w:cs="Times New Roman"/>
          <w:b/>
          <w:bCs/>
        </w:rPr>
        <w:t>Цистерны</w:t>
      </w:r>
    </w:p>
    <w:p w14:paraId="47102665" w14:textId="212E00DD" w:rsidR="004D293B" w:rsidRPr="004D293B" w:rsidRDefault="004D293B" w:rsidP="004D293B">
      <w:pPr>
        <w:pStyle w:val="HChG"/>
      </w:pPr>
      <w:r w:rsidRPr="004D293B">
        <w:tab/>
      </w:r>
      <w:r w:rsidRPr="004D293B">
        <w:tab/>
        <w:t xml:space="preserve">Степень наполнения веществами, перевозимыми </w:t>
      </w:r>
      <w:r w:rsidRPr="004D293B">
        <w:br/>
        <w:t>при температуре 50 °C и выше</w:t>
      </w:r>
    </w:p>
    <w:p w14:paraId="519DC6A2" w14:textId="3B94CD89" w:rsidR="004D293B" w:rsidRPr="004D293B" w:rsidRDefault="004D293B" w:rsidP="004D293B">
      <w:pPr>
        <w:pStyle w:val="H1G"/>
      </w:pPr>
      <w:r w:rsidRPr="004D293B">
        <w:tab/>
      </w:r>
      <w:r w:rsidRPr="004D293B">
        <w:tab/>
        <w:t>Передано правительством Нидерландов</w:t>
      </w:r>
      <w:r w:rsidRPr="004D293B">
        <w:rPr>
          <w:rStyle w:val="FootnoteReference"/>
          <w:b w:val="0"/>
          <w:szCs w:val="24"/>
          <w:shd w:val="clear" w:color="auto" w:fill="FFFFFF"/>
          <w:vertAlign w:val="baseline"/>
        </w:rPr>
        <w:footnoteReference w:customMarkFollows="1" w:id="1"/>
        <w:sym w:font="Symbol" w:char="F02A"/>
      </w:r>
      <w:r w:rsidRPr="004D293B">
        <w:rPr>
          <w:shd w:val="clear" w:color="auto" w:fill="FFFFFF"/>
          <w:vertAlign w:val="superscript"/>
        </w:rPr>
        <w:t xml:space="preserve"> </w:t>
      </w:r>
      <w:r w:rsidRPr="004D293B">
        <w:rPr>
          <w:rStyle w:val="FootnoteReference"/>
          <w:b w:val="0"/>
          <w:szCs w:val="24"/>
          <w:vertAlign w:val="baseline"/>
        </w:rPr>
        <w:footnoteReference w:customMarkFollows="1" w:id="2"/>
        <w:sym w:font="Symbol" w:char="F02A"/>
      </w:r>
      <w:r w:rsidRPr="004D293B">
        <w:rPr>
          <w:rStyle w:val="FootnoteReference"/>
          <w:b w:val="0"/>
          <w:szCs w:val="24"/>
          <w:shd w:val="clear" w:color="auto" w:fill="FFFFFF"/>
          <w:vertAlign w:val="baseline"/>
        </w:rPr>
        <w:footnoteReference w:customMarkFollows="1" w:id="3"/>
        <w:sym w:font="Symbol" w:char="F02A"/>
      </w:r>
      <w:r w:rsidRPr="004D293B">
        <w:rPr>
          <w:b w:val="0"/>
          <w:bCs/>
          <w:vertAlign w:val="superscript"/>
        </w:rPr>
        <w:t xml:space="preserve"> </w:t>
      </w:r>
      <w:r w:rsidRPr="004D293B">
        <w:rPr>
          <w:rStyle w:val="FootnoteReference"/>
          <w:b w:val="0"/>
          <w:szCs w:val="24"/>
          <w:vertAlign w:val="baseline"/>
        </w:rPr>
        <w:sym w:font="Symbol" w:char="F02A"/>
      </w:r>
      <w:r w:rsidRPr="004D293B">
        <w:rPr>
          <w:rStyle w:val="FootnoteReference"/>
          <w:b w:val="0"/>
          <w:szCs w:val="24"/>
          <w:vertAlign w:val="baseline"/>
        </w:rPr>
        <w:sym w:font="Symbol" w:char="F02A"/>
      </w:r>
      <w:r w:rsidRPr="004D293B">
        <w:rPr>
          <w:rStyle w:val="FootnoteReference"/>
          <w:b w:val="0"/>
          <w:szCs w:val="24"/>
          <w:vertAlign w:val="baseline"/>
        </w:rPr>
        <w:sym w:font="Symbol" w:char="F02A"/>
      </w:r>
    </w:p>
    <w:tbl>
      <w:tblPr>
        <w:tblStyle w:val="TableGrid"/>
        <w:tblW w:w="0" w:type="auto"/>
        <w:jc w:val="center"/>
        <w:tblLook w:val="05E0" w:firstRow="1" w:lastRow="1" w:firstColumn="1" w:lastColumn="1" w:noHBand="0" w:noVBand="1"/>
      </w:tblPr>
      <w:tblGrid>
        <w:gridCol w:w="9628"/>
      </w:tblGrid>
      <w:tr w:rsidR="004D293B" w:rsidRPr="004D293B" w14:paraId="5D3E58AA" w14:textId="77777777" w:rsidTr="00850215">
        <w:trPr>
          <w:jc w:val="center"/>
        </w:trPr>
        <w:tc>
          <w:tcPr>
            <w:tcW w:w="9637" w:type="dxa"/>
            <w:tcBorders>
              <w:bottom w:val="nil"/>
            </w:tcBorders>
          </w:tcPr>
          <w:p w14:paraId="3E6C567A" w14:textId="77777777" w:rsidR="004D293B" w:rsidRPr="004D293B" w:rsidRDefault="004D293B" w:rsidP="00850215">
            <w:pPr>
              <w:tabs>
                <w:tab w:val="left" w:pos="255"/>
              </w:tabs>
              <w:spacing w:before="240" w:after="120"/>
              <w:rPr>
                <w:rFonts w:cs="Times New Roman"/>
                <w:sz w:val="24"/>
              </w:rPr>
            </w:pPr>
            <w:r w:rsidRPr="004D293B">
              <w:rPr>
                <w:rFonts w:cs="Times New Roman"/>
              </w:rPr>
              <w:tab/>
            </w:r>
            <w:r w:rsidRPr="004D293B">
              <w:rPr>
                <w:rFonts w:cs="Times New Roman"/>
                <w:i/>
                <w:sz w:val="24"/>
              </w:rPr>
              <w:t>Резюме</w:t>
            </w:r>
          </w:p>
        </w:tc>
      </w:tr>
      <w:tr w:rsidR="004D293B" w:rsidRPr="004D293B" w14:paraId="10E1F501" w14:textId="77777777" w:rsidTr="00850215">
        <w:trPr>
          <w:jc w:val="center"/>
        </w:trPr>
        <w:tc>
          <w:tcPr>
            <w:tcW w:w="9637" w:type="dxa"/>
            <w:tcBorders>
              <w:top w:val="nil"/>
              <w:bottom w:val="nil"/>
            </w:tcBorders>
            <w:shd w:val="clear" w:color="auto" w:fill="auto"/>
          </w:tcPr>
          <w:p w14:paraId="3BDC6380" w14:textId="2980892B" w:rsidR="004D293B" w:rsidRPr="004D293B" w:rsidRDefault="004D293B" w:rsidP="004D293B">
            <w:pPr>
              <w:pStyle w:val="SingleTxtG"/>
              <w:tabs>
                <w:tab w:val="left" w:pos="3686"/>
              </w:tabs>
              <w:ind w:left="3686" w:hanging="2552"/>
            </w:pPr>
            <w:r w:rsidRPr="004D293B">
              <w:rPr>
                <w:b/>
                <w:bCs/>
              </w:rPr>
              <w:t>Существо предложения:</w:t>
            </w:r>
            <w:r w:rsidRPr="004D293B">
              <w:tab/>
              <w:t>Требования, касающиеся степени наполнения веществами при температуре выше 50</w:t>
            </w:r>
            <w:r w:rsidR="00023AD2">
              <w:rPr>
                <w:lang w:val="en-US"/>
              </w:rPr>
              <w:t> </w:t>
            </w:r>
            <w:r w:rsidRPr="004D293B">
              <w:t>°C, не соответствуют практике.</w:t>
            </w:r>
          </w:p>
        </w:tc>
      </w:tr>
      <w:tr w:rsidR="004D293B" w:rsidRPr="004D293B" w14:paraId="33BD2E46" w14:textId="77777777" w:rsidTr="004D293B">
        <w:trPr>
          <w:jc w:val="center"/>
        </w:trPr>
        <w:tc>
          <w:tcPr>
            <w:tcW w:w="9637" w:type="dxa"/>
            <w:tcBorders>
              <w:top w:val="nil"/>
              <w:bottom w:val="nil"/>
            </w:tcBorders>
          </w:tcPr>
          <w:p w14:paraId="6EF4F76A" w14:textId="1B78A8A4" w:rsidR="004D293B" w:rsidRPr="004D293B" w:rsidRDefault="004D293B" w:rsidP="004D293B">
            <w:pPr>
              <w:pStyle w:val="SingleTxtG"/>
              <w:tabs>
                <w:tab w:val="left" w:pos="3686"/>
              </w:tabs>
              <w:ind w:left="3686" w:hanging="2552"/>
              <w:rPr>
                <w:bCs/>
              </w:rPr>
            </w:pPr>
            <w:r w:rsidRPr="004D293B">
              <w:rPr>
                <w:b/>
                <w:bCs/>
              </w:rPr>
              <w:t>Предлагаемое решение:</w:t>
            </w:r>
            <w:r w:rsidRPr="004D293B">
              <w:tab/>
              <w:t>Изменить пункт 4.3.2.2.3 в соответствии с пунктом</w:t>
            </w:r>
            <w:r w:rsidRPr="004D293B">
              <w:rPr>
                <w:lang w:val="en-US"/>
              </w:rPr>
              <w:t> </w:t>
            </w:r>
            <w:r w:rsidRPr="004D293B">
              <w:t>4.2.1.9.5.</w:t>
            </w:r>
          </w:p>
          <w:p w14:paraId="4780D020" w14:textId="2F4B7454" w:rsidR="004D293B" w:rsidRPr="004D293B" w:rsidRDefault="004D293B" w:rsidP="004D293B">
            <w:pPr>
              <w:pStyle w:val="SingleTxtG"/>
              <w:tabs>
                <w:tab w:val="left" w:pos="3686"/>
              </w:tabs>
              <w:ind w:left="3686" w:hanging="2552"/>
            </w:pPr>
            <w:r w:rsidRPr="004D293B">
              <w:rPr>
                <w:b/>
                <w:bCs/>
              </w:rPr>
              <w:t>Справочные документы:</w:t>
            </w:r>
            <w:r w:rsidRPr="004D293B">
              <w:rPr>
                <w:b/>
                <w:bCs/>
              </w:rPr>
              <w:tab/>
            </w:r>
            <w:r w:rsidRPr="004D293B">
              <w:t>Неофициальный документ INF.12 сессии Совместного совещания МПОГ/ДОПОГ/ВОПОГ, состоявшейся в марте 2021 года, и пункты 19–21 документа ECE/TRANS/WP.15/AC.1/160/Add.1.</w:t>
            </w:r>
          </w:p>
        </w:tc>
      </w:tr>
      <w:tr w:rsidR="004D293B" w:rsidRPr="004D293B" w14:paraId="6DD1E1C4" w14:textId="77777777" w:rsidTr="00850215">
        <w:trPr>
          <w:jc w:val="center"/>
        </w:trPr>
        <w:tc>
          <w:tcPr>
            <w:tcW w:w="9637" w:type="dxa"/>
            <w:tcBorders>
              <w:top w:val="nil"/>
            </w:tcBorders>
          </w:tcPr>
          <w:p w14:paraId="3AFBED78" w14:textId="77777777" w:rsidR="004D293B" w:rsidRPr="004D293B" w:rsidRDefault="004D293B" w:rsidP="00850215">
            <w:pPr>
              <w:rPr>
                <w:rFonts w:cs="Times New Roman"/>
              </w:rPr>
            </w:pPr>
          </w:p>
        </w:tc>
      </w:tr>
    </w:tbl>
    <w:p w14:paraId="110163D5" w14:textId="77777777" w:rsidR="004D293B" w:rsidRPr="004D293B" w:rsidRDefault="004D293B" w:rsidP="00D9145B">
      <w:pPr>
        <w:rPr>
          <w:rFonts w:cs="Times New Roman"/>
        </w:rPr>
      </w:pPr>
    </w:p>
    <w:p w14:paraId="69B77765" w14:textId="431AF676" w:rsidR="004D293B" w:rsidRPr="004D293B" w:rsidRDefault="004D293B">
      <w:pPr>
        <w:suppressAutoHyphens w:val="0"/>
        <w:spacing w:line="240" w:lineRule="auto"/>
        <w:rPr>
          <w:rFonts w:cs="Times New Roman"/>
        </w:rPr>
      </w:pPr>
    </w:p>
    <w:p w14:paraId="1DD40F77" w14:textId="77777777" w:rsidR="00023AD2" w:rsidRDefault="00023AD2">
      <w:pPr>
        <w:suppressAutoHyphens w:val="0"/>
        <w:spacing w:line="240" w:lineRule="auto"/>
        <w:rPr>
          <w:rFonts w:eastAsia="Times New Roman" w:cs="Times New Roman"/>
          <w:b/>
          <w:sz w:val="28"/>
          <w:szCs w:val="20"/>
          <w:lang w:eastAsia="ru-RU"/>
        </w:rPr>
      </w:pPr>
      <w:r>
        <w:br w:type="page"/>
      </w:r>
    </w:p>
    <w:p w14:paraId="584BB0A2" w14:textId="7C6DDD69" w:rsidR="004D293B" w:rsidRPr="004D293B" w:rsidRDefault="004D293B" w:rsidP="004D293B">
      <w:pPr>
        <w:pStyle w:val="HChG"/>
        <w:rPr>
          <w:w w:val="110"/>
        </w:rPr>
      </w:pPr>
      <w:r w:rsidRPr="004D293B">
        <w:lastRenderedPageBreak/>
        <w:tab/>
      </w:r>
      <w:r w:rsidRPr="004D293B">
        <w:tab/>
      </w:r>
      <w:r w:rsidRPr="004D293B">
        <w:rPr>
          <w:bCs/>
        </w:rPr>
        <w:t>Введение</w:t>
      </w:r>
    </w:p>
    <w:p w14:paraId="6AC4266B" w14:textId="29C7EB2A" w:rsidR="004D293B" w:rsidRPr="004D293B" w:rsidRDefault="004D293B" w:rsidP="004D293B">
      <w:pPr>
        <w:pStyle w:val="SingleTxtG"/>
      </w:pPr>
      <w:r w:rsidRPr="004D293B">
        <w:t>1.</w:t>
      </w:r>
      <w:r w:rsidRPr="004D293B">
        <w:tab/>
        <w:t>Недавно в Нидерландах произошел инцидент, в ходе которого в результате переполнения из цистерны разлилось вещество. Цистерна была наполнена расплавленным веществом при температуре выше 50 °C, которое затвердело во время перевозки и было разжижено путем нагревания до температуры, превышавшей первоначальную температуру при наполнении, недалеко от намеченного пункта разгрузки. Разлив произошел на участке пути между пунктом, где производилось нагревание, и пунктом разгрузки.</w:t>
      </w:r>
    </w:p>
    <w:p w14:paraId="0202C279" w14:textId="51110020" w:rsidR="004D293B" w:rsidRPr="004D293B" w:rsidRDefault="004D293B" w:rsidP="004D293B">
      <w:pPr>
        <w:pStyle w:val="SingleTxtG"/>
      </w:pPr>
      <w:r w:rsidRPr="004D293B">
        <w:t>2.</w:t>
      </w:r>
      <w:r w:rsidRPr="004D293B">
        <w:tab/>
        <w:t>Было отмечено, что формулировка пункта 4.3.2.2.3 предписывает степень наполнения 95</w:t>
      </w:r>
      <w:r>
        <w:rPr>
          <w:lang w:val="en-US"/>
        </w:rPr>
        <w:t> </w:t>
      </w:r>
      <w:r w:rsidRPr="004D293B">
        <w:t>% только в том случае, если цистерна оборудована нагревательным устройством. Кроме того, было отмечено, что не допускается нагревание выше температуры при наполнении, что не соответствует практике. По итогам обсуждения неофициального документа INF.12 на сессии Совместного совещания в марте 2021</w:t>
      </w:r>
      <w:r w:rsidRPr="004D293B">
        <w:rPr>
          <w:lang w:val="en-US"/>
        </w:rPr>
        <w:t> </w:t>
      </w:r>
      <w:r w:rsidRPr="004D293B">
        <w:t>года было предложено изменить формулировку пункта 4.3.2.2.3 в соответствии с пунктом 4.2.1.9.5, который является менее ограничительным и более подходящим.</w:t>
      </w:r>
    </w:p>
    <w:p w14:paraId="3EEB4924" w14:textId="77777777" w:rsidR="004D293B" w:rsidRPr="004D293B" w:rsidRDefault="004D293B" w:rsidP="004D293B">
      <w:pPr>
        <w:pStyle w:val="HChG"/>
        <w:rPr>
          <w:w w:val="110"/>
        </w:rPr>
      </w:pPr>
      <w:r w:rsidRPr="004D293B">
        <w:tab/>
      </w:r>
      <w:r w:rsidRPr="004D293B">
        <w:tab/>
      </w:r>
      <w:r w:rsidRPr="004D293B">
        <w:rPr>
          <w:bCs/>
        </w:rPr>
        <w:t>Предложение</w:t>
      </w:r>
    </w:p>
    <w:p w14:paraId="6361B1DC" w14:textId="77777777" w:rsidR="004D293B" w:rsidRPr="004D293B" w:rsidRDefault="004D293B" w:rsidP="004D293B">
      <w:pPr>
        <w:pStyle w:val="SingleTxtG"/>
      </w:pPr>
      <w:r w:rsidRPr="004D293B">
        <w:t>Изменить пункт 4.3.2.2.3 следующим образом:</w:t>
      </w:r>
    </w:p>
    <w:p w14:paraId="35F13637" w14:textId="77777777" w:rsidR="004D293B" w:rsidRPr="004D293B" w:rsidRDefault="004D293B" w:rsidP="004D293B">
      <w:pPr>
        <w:ind w:left="2268" w:right="1134" w:hanging="1134"/>
        <w:rPr>
          <w:rFonts w:cs="Times New Roman"/>
          <w:iCs/>
        </w:rPr>
      </w:pPr>
      <w:r w:rsidRPr="004D293B">
        <w:rPr>
          <w:rFonts w:cs="Times New Roman"/>
        </w:rPr>
        <w:t>«4.3.2.2.3</w:t>
      </w:r>
      <w:r w:rsidRPr="004D293B">
        <w:rPr>
          <w:rFonts w:cs="Times New Roman"/>
        </w:rPr>
        <w:tab/>
        <w:t>Положения пунктов 4.3.2.2.1 а)–d) выше не применяются к цистернам, в которых перевозятся жидкости при температуре выше 50 °C.</w:t>
      </w:r>
    </w:p>
    <w:p w14:paraId="01B9A809" w14:textId="6A787E57" w:rsidR="004D293B" w:rsidRPr="004D293B" w:rsidRDefault="004D293B" w:rsidP="004D293B">
      <w:pPr>
        <w:pStyle w:val="SingleTxtG"/>
        <w:spacing w:before="120"/>
        <w:ind w:left="2268"/>
        <w:rPr>
          <w:iCs/>
        </w:rPr>
      </w:pPr>
      <w:r w:rsidRPr="004D293B">
        <w:t>Степень наполнения</w:t>
      </w:r>
    </w:p>
    <w:p w14:paraId="4A7022C2" w14:textId="77777777" w:rsidR="004D293B" w:rsidRPr="004D293B" w:rsidRDefault="004D293B" w:rsidP="004D293B">
      <w:pPr>
        <w:pStyle w:val="SingleTxtG"/>
        <w:ind w:left="2552" w:hanging="284"/>
        <w:rPr>
          <w:iCs/>
        </w:rPr>
      </w:pPr>
      <w:r w:rsidRPr="004D293B">
        <w:t>–</w:t>
      </w:r>
      <w:r w:rsidRPr="004D293B">
        <w:tab/>
        <w:t>жидкими веществами, перевозимыми при температуре выше 50 °C;</w:t>
      </w:r>
    </w:p>
    <w:p w14:paraId="4AF23CE0" w14:textId="77777777" w:rsidR="004D293B" w:rsidRPr="004D293B" w:rsidRDefault="004D293B" w:rsidP="004D293B">
      <w:pPr>
        <w:pStyle w:val="SingleTxtG"/>
        <w:ind w:left="2552" w:hanging="284"/>
        <w:rPr>
          <w:iCs/>
        </w:rPr>
      </w:pPr>
      <w:r w:rsidRPr="004D293B">
        <w:t>–</w:t>
      </w:r>
      <w:r w:rsidRPr="004D293B">
        <w:tab/>
        <w:t>жидкими веществами, загружаемыми при температуре ниже 50 °C, но предназначенными для нагревания до температуры выше 50 °C во время перевозки; и</w:t>
      </w:r>
    </w:p>
    <w:p w14:paraId="4A164A65" w14:textId="77777777" w:rsidR="004D293B" w:rsidRPr="004D293B" w:rsidRDefault="004D293B" w:rsidP="004D293B">
      <w:pPr>
        <w:pStyle w:val="SingleTxtG"/>
        <w:ind w:left="2552" w:hanging="284"/>
      </w:pPr>
      <w:r w:rsidRPr="004D293B">
        <w:t>–</w:t>
      </w:r>
      <w:r w:rsidRPr="004D293B">
        <w:tab/>
        <w:t xml:space="preserve">твердыми веществами, перевозимыми при температурах, превышающих их температуру плавления, </w:t>
      </w:r>
    </w:p>
    <w:p w14:paraId="5430E98B" w14:textId="2B93B609" w:rsidR="004D293B" w:rsidRPr="004D293B" w:rsidRDefault="004D293B" w:rsidP="004D293B">
      <w:pPr>
        <w:pStyle w:val="SingleTxtG"/>
        <w:ind w:left="2268"/>
        <w:rPr>
          <w:iCs/>
        </w:rPr>
      </w:pPr>
      <w:r w:rsidRPr="004D293B">
        <w:t>должна быть с самого начала такой, чтобы в любой момент во время перевозки цистерна была наполнена не более чем на 95</w:t>
      </w:r>
      <w:r w:rsidR="00023AD2">
        <w:rPr>
          <w:lang w:val="en-US"/>
        </w:rPr>
        <w:t> </w:t>
      </w:r>
      <w:r w:rsidRPr="004D293B">
        <w:t>% вместимости.</w:t>
      </w:r>
    </w:p>
    <w:p w14:paraId="737C6610" w14:textId="5CBB365C" w:rsidR="004D293B" w:rsidRPr="004D293B" w:rsidRDefault="004D293B" w:rsidP="004D293B">
      <w:pPr>
        <w:pStyle w:val="SingleTxtG"/>
        <w:ind w:left="2268"/>
      </w:pPr>
      <w:r w:rsidRPr="004D293B">
        <w:t>Степень наполнения при загрузке должна определяться по следующей формуле:</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921"/>
        <w:gridCol w:w="283"/>
      </w:tblGrid>
      <w:tr w:rsidR="004D293B" w:rsidRPr="004D293B" w14:paraId="0D2E4429" w14:textId="77777777" w:rsidTr="00A2714C">
        <w:trPr>
          <w:jc w:val="center"/>
        </w:trPr>
        <w:tc>
          <w:tcPr>
            <w:tcW w:w="2296" w:type="dxa"/>
            <w:tcMar>
              <w:left w:w="0" w:type="dxa"/>
              <w:right w:w="0" w:type="dxa"/>
            </w:tcMar>
            <w:vAlign w:val="center"/>
          </w:tcPr>
          <w:p w14:paraId="06647B96" w14:textId="77777777" w:rsidR="004D293B" w:rsidRPr="004D293B" w:rsidRDefault="004D293B" w:rsidP="00023AD2">
            <w:pPr>
              <w:tabs>
                <w:tab w:val="left" w:pos="1134"/>
                <w:tab w:val="left" w:pos="1701"/>
                <w:tab w:val="left" w:pos="2268"/>
                <w:tab w:val="left" w:pos="2835"/>
              </w:tabs>
              <w:spacing w:before="20"/>
              <w:rPr>
                <w:rFonts w:ascii="Times New Roman" w:hAnsi="Times New Roman" w:cs="Times New Roman"/>
                <w:sz w:val="21"/>
                <w:szCs w:val="21"/>
              </w:rPr>
            </w:pPr>
            <w:r w:rsidRPr="004D293B">
              <w:rPr>
                <w:rFonts w:ascii="Times New Roman" w:hAnsi="Times New Roman" w:cs="Times New Roman"/>
                <w:iCs/>
                <w:sz w:val="21"/>
                <w:szCs w:val="21"/>
              </w:rPr>
              <w:t>Степень наполнения = 95</w:t>
            </w:r>
          </w:p>
        </w:tc>
        <w:tc>
          <w:tcPr>
            <w:tcW w:w="921" w:type="dxa"/>
            <w:tcMar>
              <w:left w:w="0" w:type="dxa"/>
              <w:right w:w="0" w:type="dxa"/>
            </w:tcMar>
            <w:vAlign w:val="center"/>
          </w:tcPr>
          <w:p w14:paraId="57E5E210" w14:textId="77777777" w:rsidR="004D293B" w:rsidRPr="004D293B" w:rsidRDefault="004D293B" w:rsidP="00A2714C">
            <w:pPr>
              <w:tabs>
                <w:tab w:val="left" w:pos="1134"/>
                <w:tab w:val="left" w:pos="1701"/>
                <w:tab w:val="left" w:pos="2268"/>
                <w:tab w:val="left" w:pos="2835"/>
              </w:tabs>
              <w:spacing w:before="120"/>
              <w:rPr>
                <w:rFonts w:ascii="Times New Roman" w:hAnsi="Times New Roman" w:cs="Times New Roman"/>
                <w:sz w:val="21"/>
                <w:szCs w:val="21"/>
              </w:rPr>
            </w:pPr>
            <w:r w:rsidRPr="004D293B">
              <w:rPr>
                <w:rFonts w:cs="Times New Roman"/>
                <w:noProof/>
                <w:sz w:val="21"/>
                <w:szCs w:val="21"/>
                <w:lang w:val="en-US"/>
              </w:rPr>
              <mc:AlternateContent>
                <mc:Choice Requires="wpc">
                  <w:drawing>
                    <wp:inline distT="0" distB="0" distL="0" distR="0" wp14:anchorId="5DACB316" wp14:editId="455F3483">
                      <wp:extent cx="251460" cy="419735"/>
                      <wp:effectExtent l="0" t="0" r="0" b="18415"/>
                      <wp:docPr id="2474" name="Полотно 24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68" name="Line 8"/>
                              <wps:cNvCnPr>
                                <a:cxnSpLocks noChangeShapeType="1"/>
                              </wps:cNvCnPr>
                              <wps:spPr bwMode="auto">
                                <a:xfrm>
                                  <a:off x="25400" y="183515"/>
                                  <a:ext cx="1536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9" name="Rectangle 9"/>
                              <wps:cNvSpPr>
                                <a:spLocks noChangeArrowheads="1"/>
                              </wps:cNvSpPr>
                              <wps:spPr bwMode="auto">
                                <a:xfrm>
                                  <a:off x="194310" y="9779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F9DE" w14:textId="77777777" w:rsidR="004D293B" w:rsidRDefault="004D293B" w:rsidP="004D293B">
                                    <w:r>
                                      <w:rPr>
                                        <w:color w:val="000000"/>
                                        <w:lang w:val="en-US"/>
                                      </w:rPr>
                                      <w:t>,</w:t>
                                    </w:r>
                                  </w:p>
                                </w:txbxContent>
                              </wps:txbx>
                              <wps:bodyPr rot="0" vert="horz" wrap="none" lIns="0" tIns="0" rIns="0" bIns="0" anchor="t" anchorCtr="0">
                                <a:spAutoFit/>
                              </wps:bodyPr>
                            </wps:wsp>
                            <wps:wsp>
                              <wps:cNvPr id="2470" name="Rectangle 10"/>
                              <wps:cNvSpPr>
                                <a:spLocks noChangeArrowheads="1"/>
                              </wps:cNvSpPr>
                              <wps:spPr bwMode="auto">
                                <a:xfrm>
                                  <a:off x="33655" y="20193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153F" w14:textId="77777777" w:rsidR="004D293B" w:rsidRDefault="004D293B" w:rsidP="004D293B">
                                    <w:r>
                                      <w:rPr>
                                        <w:color w:val="000000"/>
                                        <w:lang w:val="en-US"/>
                                      </w:rPr>
                                      <w:t>d</w:t>
                                    </w:r>
                                  </w:p>
                                </w:txbxContent>
                              </wps:txbx>
                              <wps:bodyPr rot="0" vert="horz" wrap="none" lIns="0" tIns="0" rIns="0" bIns="0" anchor="t" anchorCtr="0">
                                <a:spAutoFit/>
                              </wps:bodyPr>
                            </wps:wsp>
                            <wps:wsp>
                              <wps:cNvPr id="2471" name="Rectangle 11"/>
                              <wps:cNvSpPr>
                                <a:spLocks noChangeArrowheads="1"/>
                              </wps:cNvSpPr>
                              <wps:spPr bwMode="auto">
                                <a:xfrm>
                                  <a:off x="38100" y="1270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F337" w14:textId="77777777" w:rsidR="004D293B" w:rsidRDefault="004D293B" w:rsidP="004D293B">
                                    <w:r>
                                      <w:rPr>
                                        <w:color w:val="000000"/>
                                        <w:lang w:val="en-US"/>
                                      </w:rPr>
                                      <w:t>d</w:t>
                                    </w:r>
                                  </w:p>
                                </w:txbxContent>
                              </wps:txbx>
                              <wps:bodyPr rot="0" vert="horz" wrap="none" lIns="0" tIns="0" rIns="0" bIns="0" anchor="t" anchorCtr="0">
                                <a:spAutoFit/>
                              </wps:bodyPr>
                            </wps:wsp>
                            <wps:wsp>
                              <wps:cNvPr id="2472" name="Rectangle 12"/>
                              <wps:cNvSpPr>
                                <a:spLocks noChangeArrowheads="1"/>
                              </wps:cNvSpPr>
                              <wps:spPr bwMode="auto">
                                <a:xfrm>
                                  <a:off x="108585" y="267335"/>
                                  <a:ext cx="34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3F191" w14:textId="77777777" w:rsidR="004D293B" w:rsidRDefault="004D293B" w:rsidP="004D293B">
                                    <w:r>
                                      <w:rPr>
                                        <w:color w:val="000000"/>
                                        <w:sz w:val="16"/>
                                        <w:szCs w:val="16"/>
                                        <w:lang w:val="en-US"/>
                                      </w:rPr>
                                      <w:t>f</w:t>
                                    </w:r>
                                  </w:p>
                                </w:txbxContent>
                              </wps:txbx>
                              <wps:bodyPr rot="0" vert="horz" wrap="none" lIns="0" tIns="0" rIns="0" bIns="0" anchor="t" anchorCtr="0">
                                <a:spAutoFit/>
                              </wps:bodyPr>
                            </wps:wsp>
                            <wps:wsp>
                              <wps:cNvPr id="2473" name="Rectangle 13"/>
                              <wps:cNvSpPr>
                                <a:spLocks noChangeArrowheads="1"/>
                              </wps:cNvSpPr>
                              <wps:spPr bwMode="auto">
                                <a:xfrm>
                                  <a:off x="114300" y="31115"/>
                                  <a:ext cx="34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7A539" w14:textId="77777777" w:rsidR="004D293B" w:rsidRDefault="004D293B" w:rsidP="004D293B">
                                    <w:r>
                                      <w:rPr>
                                        <w:color w:val="000000"/>
                                        <w:sz w:val="16"/>
                                        <w:szCs w:val="16"/>
                                        <w:lang w:val="en-US"/>
                                      </w:rPr>
                                      <w:t>r</w:t>
                                    </w:r>
                                  </w:p>
                                </w:txbxContent>
                              </wps:txbx>
                              <wps:bodyPr rot="0" vert="horz" wrap="none" lIns="0" tIns="0" rIns="0" bIns="0" anchor="t" anchorCtr="0">
                                <a:spAutoFit/>
                              </wps:bodyPr>
                            </wps:wsp>
                          </wpc:wpc>
                        </a:graphicData>
                      </a:graphic>
                    </wp:inline>
                  </w:drawing>
                </mc:Choice>
                <mc:Fallback>
                  <w:pict>
                    <v:group w14:anchorId="5DACB316" id="Полотно 2474" o:spid="_x0000_s1026" editas="canvas" style="width:19.8pt;height:33.05pt;mso-position-horizontal-relative:char;mso-position-vertical-relative:line" coordsize="251460,41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0;height:419735;visibility:visible;mso-wrap-style:square">
                        <v:fill o:detectmouseclick="t"/>
                        <v:path o:connecttype="none"/>
                      </v:shape>
                      <v:line id="Line 8" o:spid="_x0000_s1028" style="position:absolute;visibility:visible;mso-wrap-style:square" from="25400,183515" to="179070,18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" strokeweight=".5pt"/>
                      <v:rect id="Rectangle 9" o:spid="_x0000_s1029" style="position:absolute;left:194310;top:97790;width:32385;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" filled="f" stroked="f">
                        <v:textbox style="mso-fit-shape-to-text:t" inset="0,0,0,0">
                          <w:txbxContent>
                            <w:p w14:paraId="2ABCF9DE" w14:textId="77777777" w:rsidR="004D293B" w:rsidRDefault="004D293B" w:rsidP="004D293B">
                              <w:r>
                                <w:rPr>
                                  <w:color w:val="000000"/>
                                  <w:lang w:val="en-US"/>
                                </w:rPr>
                                <w:t>,</w:t>
                              </w:r>
                            </w:p>
                          </w:txbxContent>
                        </v:textbox>
                      </v:rect>
                      <v:rect id="Rectangle 10" o:spid="_x0000_s1030" style="position:absolute;left:33655;top:201930;width:64135;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2C6F153F" w14:textId="77777777" w:rsidR="004D293B" w:rsidRDefault="004D293B" w:rsidP="004D293B">
                              <w:r>
                                <w:rPr>
                                  <w:color w:val="000000"/>
                                  <w:lang w:val="en-US"/>
                                </w:rPr>
                                <w:t>d</w:t>
                              </w:r>
                            </w:p>
                          </w:txbxContent>
                        </v:textbox>
                      </v:rect>
                      <v:rect id="Rectangle 11" o:spid="_x0000_s1031" style="position:absolute;left:38100;top:12700;width:64135;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" filled="f" stroked="f">
                        <v:textbox style="mso-fit-shape-to-text:t" inset="0,0,0,0">
                          <w:txbxContent>
                            <w:p w14:paraId="51B3F337" w14:textId="77777777" w:rsidR="004D293B" w:rsidRDefault="004D293B" w:rsidP="004D293B">
                              <w:r>
                                <w:rPr>
                                  <w:color w:val="000000"/>
                                  <w:lang w:val="en-US"/>
                                </w:rPr>
                                <w:t>d</w:t>
                              </w:r>
                            </w:p>
                          </w:txbxContent>
                        </v:textbox>
                      </v:rect>
                      <v:rect id="Rectangle 12" o:spid="_x0000_s1032" style="position:absolute;left:108585;top:267335;width:34290;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" filled="f" stroked="f">
                        <v:textbox style="mso-fit-shape-to-text:t" inset="0,0,0,0">
                          <w:txbxContent>
                            <w:p w14:paraId="6393F191" w14:textId="77777777" w:rsidR="004D293B" w:rsidRDefault="004D293B" w:rsidP="004D293B">
                              <w:r>
                                <w:rPr>
                                  <w:color w:val="000000"/>
                                  <w:sz w:val="16"/>
                                  <w:szCs w:val="16"/>
                                  <w:lang w:val="en-US"/>
                                </w:rPr>
                                <w:t>f</w:t>
                              </w:r>
                            </w:p>
                          </w:txbxContent>
                        </v:textbox>
                      </v:rect>
                      <v:rect id="Rectangle 13" o:spid="_x0000_s1033" style="position:absolute;left:114300;top:31115;width:34290;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" filled="f" stroked="f">
                        <v:textbox style="mso-fit-shape-to-text:t" inset="0,0,0,0">
                          <w:txbxContent>
                            <w:p w14:paraId="5407A539" w14:textId="77777777" w:rsidR="004D293B" w:rsidRDefault="004D293B" w:rsidP="004D293B">
                              <w:r>
                                <w:rPr>
                                  <w:color w:val="000000"/>
                                  <w:sz w:val="16"/>
                                  <w:szCs w:val="16"/>
                                  <w:lang w:val="en-US"/>
                                </w:rPr>
                                <w:t>r</w:t>
                              </w:r>
                            </w:p>
                          </w:txbxContent>
                        </v:textbox>
                      </v:rect>
                      <w10:anchorlock/>
                    </v:group>
                  </w:pict>
                </mc:Fallback>
              </mc:AlternateContent>
            </w:r>
          </w:p>
        </w:tc>
        <w:tc>
          <w:tcPr>
            <w:tcW w:w="283" w:type="dxa"/>
            <w:tcMar>
              <w:left w:w="0" w:type="dxa"/>
              <w:right w:w="0" w:type="dxa"/>
            </w:tcMar>
            <w:vAlign w:val="center"/>
          </w:tcPr>
          <w:p w14:paraId="291E5EF9" w14:textId="77777777" w:rsidR="004D293B" w:rsidRPr="004D293B" w:rsidRDefault="004D293B" w:rsidP="00A2714C">
            <w:pPr>
              <w:tabs>
                <w:tab w:val="left" w:pos="1134"/>
                <w:tab w:val="left" w:pos="1701"/>
                <w:tab w:val="left" w:pos="2268"/>
                <w:tab w:val="left" w:pos="2835"/>
              </w:tabs>
              <w:spacing w:before="120"/>
              <w:rPr>
                <w:rFonts w:ascii="Times New Roman" w:hAnsi="Times New Roman" w:cs="Times New Roman"/>
                <w:sz w:val="21"/>
                <w:szCs w:val="21"/>
              </w:rPr>
            </w:pPr>
          </w:p>
        </w:tc>
      </w:tr>
    </w:tbl>
    <w:p w14:paraId="42F99A3B" w14:textId="77777777" w:rsidR="004D293B" w:rsidRPr="004D293B" w:rsidRDefault="004D293B" w:rsidP="004D293B">
      <w:pPr>
        <w:pStyle w:val="SingleTxtG"/>
        <w:ind w:left="2268"/>
        <w:rPr>
          <w:b/>
          <w:bCs/>
          <w:iCs/>
        </w:rPr>
      </w:pPr>
      <w:r w:rsidRPr="004D293B">
        <w:t>где d</w:t>
      </w:r>
      <w:r w:rsidRPr="004D293B">
        <w:rPr>
          <w:vertAlign w:val="subscript"/>
        </w:rPr>
        <w:t>f</w:t>
      </w:r>
      <w:r w:rsidRPr="004D293B">
        <w:t xml:space="preserve"> и d</w:t>
      </w:r>
      <w:r w:rsidRPr="004D293B">
        <w:rPr>
          <w:vertAlign w:val="subscript"/>
        </w:rPr>
        <w:t>r</w:t>
      </w:r>
      <w:r w:rsidRPr="004D293B">
        <w:t xml:space="preserve"> — плотность вещества при средней температуре во время наполнения и при максимальной средней объемной температуре во время перевозки соответственно.</w:t>
      </w:r>
    </w:p>
    <w:p w14:paraId="7C9EB241" w14:textId="0396E053" w:rsidR="004D293B" w:rsidRPr="004D293B" w:rsidRDefault="004D293B" w:rsidP="004D293B">
      <w:pPr>
        <w:pStyle w:val="SingleTxtG"/>
        <w:ind w:left="2268"/>
        <w:rPr>
          <w:iCs/>
        </w:rPr>
      </w:pPr>
      <w:bookmarkStart w:id="0" w:name="_Hlk76544115"/>
      <w:r w:rsidRPr="004D293B">
        <w:t>В цистернах, оборудованных нагревательным устройством, температура должна регулироваться таким образом, чтобы в любой момент во время перевозки не превышалась максимальная степень наполнения 95</w:t>
      </w:r>
      <w:r w:rsidR="00023AD2">
        <w:rPr>
          <w:lang w:val="en-US"/>
        </w:rPr>
        <w:t> </w:t>
      </w:r>
      <w:r w:rsidRPr="004D293B">
        <w:t>%.».</w:t>
      </w:r>
    </w:p>
    <w:bookmarkEnd w:id="0"/>
    <w:p w14:paraId="6F296C3C" w14:textId="77777777" w:rsidR="004D293B" w:rsidRPr="004D293B" w:rsidRDefault="004D293B" w:rsidP="004D293B">
      <w:pPr>
        <w:pStyle w:val="HChG"/>
        <w:rPr>
          <w:w w:val="110"/>
        </w:rPr>
      </w:pPr>
      <w:r w:rsidRPr="004D293B">
        <w:tab/>
      </w:r>
      <w:r w:rsidRPr="004D293B">
        <w:tab/>
      </w:r>
      <w:r w:rsidRPr="004D293B">
        <w:rPr>
          <w:bCs/>
        </w:rPr>
        <w:t>Обоснование</w:t>
      </w:r>
    </w:p>
    <w:p w14:paraId="232A271F" w14:textId="77777777" w:rsidR="004D293B" w:rsidRPr="004D293B" w:rsidRDefault="004D293B" w:rsidP="004D293B">
      <w:pPr>
        <w:pStyle w:val="SingleTxtG"/>
      </w:pPr>
      <w:r w:rsidRPr="004D293B">
        <w:t>3.</w:t>
      </w:r>
      <w:r w:rsidRPr="004D293B">
        <w:tab/>
        <w:t>Практика такова, что вещества нагреваются в конце рейса перед разгрузкой. Это делается не всегда в пункте разгрузки, а иногда вблизи пункта разгрузки во время остановки при помощи соответствующего оборудования. В таких ситуациях температура и степень наполнения могут быть превышены.</w:t>
      </w:r>
    </w:p>
    <w:p w14:paraId="232B8457" w14:textId="77777777" w:rsidR="004D293B" w:rsidRPr="004D293B" w:rsidRDefault="004D293B" w:rsidP="00023AD2">
      <w:pPr>
        <w:pStyle w:val="SingleTxtG"/>
        <w:keepNext/>
        <w:keepLines/>
      </w:pPr>
      <w:r w:rsidRPr="004D293B">
        <w:lastRenderedPageBreak/>
        <w:t>4.</w:t>
      </w:r>
      <w:r w:rsidRPr="004D293B">
        <w:tab/>
        <w:t>Итоги обсуждения в Рабочей группе по цистернам в ходе сессии Совместного совещания МПОГ/ДОПОГ/ВОПОГ, проходившей в марте 2021 года, подтвердили, что в пункт 4.3.2.2.3 полезно было бы внести изменения в соответствии с пунктом 4.2.1.9.5, в котором менее конкретно указывается на наличие или использование нагревательной системы и не устанавливается ограничение на более высокие температуры, чем при наполнении, при условии, что степень наполнения не превышается.</w:t>
      </w:r>
    </w:p>
    <w:p w14:paraId="5780BA4C" w14:textId="77777777" w:rsidR="004D293B" w:rsidRPr="004D293B" w:rsidRDefault="004D293B" w:rsidP="004D293B">
      <w:pPr>
        <w:pStyle w:val="SingleTxtG"/>
      </w:pPr>
      <w:r w:rsidRPr="004D293B">
        <w:t>5.</w:t>
      </w:r>
      <w:r w:rsidRPr="004D293B">
        <w:tab/>
        <w:t>Согласно первому абзацу данного предложения, пункт 4.3.2.2.3 применяется к жидкостям, перевозимым при температуре выше 50 °C, и на такие жидкости не распространяются положения пунктов 4.3.2.2.1 а)–d). Поскольку пункт 4.3.2.2.1 не применяется к твердым веществам в расплавленном состоянии, называть их здесь нет необходимости.</w:t>
      </w:r>
    </w:p>
    <w:p w14:paraId="0077D466" w14:textId="51F8B226" w:rsidR="004D293B" w:rsidRPr="004D293B" w:rsidRDefault="004D293B" w:rsidP="004D293B">
      <w:pPr>
        <w:pStyle w:val="SingleTxtG"/>
      </w:pPr>
      <w:r w:rsidRPr="004D293B">
        <w:t>6.</w:t>
      </w:r>
      <w:r w:rsidRPr="004D293B">
        <w:tab/>
        <w:t>Во втором абзаце поясняется, к каким ситуациям применяются положения пункта 4.3.2.2.3. Была выявлена новая ситуация, когда жидкости могут загружаться при температуре ниже 50 °C, но перевозятся или выгружаются при температуре выше 50 °C.</w:t>
      </w:r>
    </w:p>
    <w:p w14:paraId="101BF7EB" w14:textId="77777777" w:rsidR="004D293B" w:rsidRPr="004D293B" w:rsidRDefault="004D293B" w:rsidP="004D293B">
      <w:pPr>
        <w:pStyle w:val="SingleTxtG"/>
      </w:pPr>
      <w:r w:rsidRPr="004D293B">
        <w:t>7.</w:t>
      </w:r>
      <w:r w:rsidRPr="004D293B">
        <w:tab/>
        <w:t>Третий абзац в основном повторяет пункт 4.2.1.9.5.1, адаптированный к остальной части пункта 4.3.2.2.3.</w:t>
      </w:r>
    </w:p>
    <w:p w14:paraId="1C02A1F4" w14:textId="77777777" w:rsidR="004D293B" w:rsidRPr="004D293B" w:rsidRDefault="004D293B" w:rsidP="004D293B">
      <w:pPr>
        <w:pStyle w:val="SingleTxtG"/>
      </w:pPr>
      <w:r w:rsidRPr="004D293B">
        <w:t>8.</w:t>
      </w:r>
      <w:r w:rsidRPr="004D293B">
        <w:tab/>
        <w:t>Четвертый и последний абзац посвящен регулированию температуры в цистернах, оборудованных нагревательным устройством, и скопирован из первоначального пункта 4.3.2.2.3 (издание МПОГ/ДОПОГ 2021 года).</w:t>
      </w:r>
    </w:p>
    <w:p w14:paraId="2C0BD9BB" w14:textId="77777777" w:rsidR="004D293B" w:rsidRPr="004D293B" w:rsidRDefault="004D293B" w:rsidP="004D293B">
      <w:pPr>
        <w:spacing w:before="240"/>
        <w:jc w:val="center"/>
        <w:rPr>
          <w:rFonts w:cs="Times New Roman"/>
          <w:u w:val="single"/>
        </w:rPr>
      </w:pPr>
      <w:r w:rsidRPr="004D293B">
        <w:rPr>
          <w:rFonts w:cs="Times New Roman"/>
          <w:u w:val="single"/>
        </w:rPr>
        <w:tab/>
      </w:r>
      <w:r w:rsidRPr="004D293B">
        <w:rPr>
          <w:rFonts w:cs="Times New Roman"/>
          <w:u w:val="single"/>
        </w:rPr>
        <w:tab/>
      </w:r>
      <w:r w:rsidRPr="004D293B">
        <w:rPr>
          <w:rFonts w:cs="Times New Roman"/>
          <w:u w:val="single"/>
        </w:rPr>
        <w:tab/>
      </w:r>
    </w:p>
    <w:p w14:paraId="71F2DC0B" w14:textId="77777777" w:rsidR="004D293B" w:rsidRPr="004D293B" w:rsidRDefault="004D293B" w:rsidP="00D9145B">
      <w:pPr>
        <w:rPr>
          <w:rFonts w:cs="Times New Roman"/>
        </w:rPr>
      </w:pPr>
    </w:p>
    <w:sectPr w:rsidR="004D293B" w:rsidRPr="004D293B" w:rsidSect="004D293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BD7CA" w14:textId="77777777" w:rsidR="00874A34" w:rsidRPr="00A312BC" w:rsidRDefault="00874A34" w:rsidP="00A312BC"/>
  </w:endnote>
  <w:endnote w:type="continuationSeparator" w:id="0">
    <w:p w14:paraId="64395A9B" w14:textId="77777777" w:rsidR="00874A34" w:rsidRPr="00A312BC" w:rsidRDefault="00874A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35A8" w14:textId="45906CC4" w:rsidR="004D293B" w:rsidRPr="004D293B" w:rsidRDefault="004D293B">
    <w:pPr>
      <w:pStyle w:val="Footer"/>
    </w:pPr>
    <w:r w:rsidRPr="004D293B">
      <w:rPr>
        <w:b/>
        <w:sz w:val="18"/>
      </w:rPr>
      <w:fldChar w:fldCharType="begin"/>
    </w:r>
    <w:r w:rsidRPr="004D293B">
      <w:rPr>
        <w:b/>
        <w:sz w:val="18"/>
      </w:rPr>
      <w:instrText xml:space="preserve"> PAGE  \* MERGEFORMAT </w:instrText>
    </w:r>
    <w:r w:rsidRPr="004D293B">
      <w:rPr>
        <w:b/>
        <w:sz w:val="18"/>
      </w:rPr>
      <w:fldChar w:fldCharType="separate"/>
    </w:r>
    <w:r w:rsidRPr="004D293B">
      <w:rPr>
        <w:b/>
        <w:noProof/>
        <w:sz w:val="18"/>
      </w:rPr>
      <w:t>2</w:t>
    </w:r>
    <w:r w:rsidRPr="004D293B">
      <w:rPr>
        <w:b/>
        <w:sz w:val="18"/>
      </w:rPr>
      <w:fldChar w:fldCharType="end"/>
    </w:r>
    <w:r>
      <w:rPr>
        <w:b/>
        <w:sz w:val="18"/>
      </w:rPr>
      <w:tab/>
    </w:r>
    <w:r>
      <w:t>GE.21-09264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DE56" w14:textId="030FAAEF" w:rsidR="004D293B" w:rsidRPr="004D293B" w:rsidRDefault="004D293B" w:rsidP="004D293B">
    <w:pPr>
      <w:pStyle w:val="Footer"/>
      <w:tabs>
        <w:tab w:val="clear" w:pos="9639"/>
        <w:tab w:val="right" w:pos="9638"/>
      </w:tabs>
      <w:rPr>
        <w:b/>
        <w:sz w:val="18"/>
      </w:rPr>
    </w:pPr>
    <w:r>
      <w:t>GE.21-09264</w:t>
    </w:r>
    <w:r>
      <w:tab/>
    </w:r>
    <w:r w:rsidRPr="004D293B">
      <w:rPr>
        <w:b/>
        <w:sz w:val="18"/>
      </w:rPr>
      <w:fldChar w:fldCharType="begin"/>
    </w:r>
    <w:r w:rsidRPr="004D293B">
      <w:rPr>
        <w:b/>
        <w:sz w:val="18"/>
      </w:rPr>
      <w:instrText xml:space="preserve"> PAGE  \* MERGEFORMAT </w:instrText>
    </w:r>
    <w:r w:rsidRPr="004D293B">
      <w:rPr>
        <w:b/>
        <w:sz w:val="18"/>
      </w:rPr>
      <w:fldChar w:fldCharType="separate"/>
    </w:r>
    <w:r w:rsidRPr="004D293B">
      <w:rPr>
        <w:b/>
        <w:noProof/>
        <w:sz w:val="18"/>
      </w:rPr>
      <w:t>3</w:t>
    </w:r>
    <w:r w:rsidRPr="004D29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C15F" w14:textId="7FDA4FF8" w:rsidR="00042B72" w:rsidRPr="00023AD2" w:rsidRDefault="004D293B" w:rsidP="004D293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98D52FD" wp14:editId="64BBB86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21-09264  (R)</w:t>
    </w:r>
    <w:r>
      <w:rPr>
        <w:noProof/>
      </w:rPr>
      <w:drawing>
        <wp:anchor distT="0" distB="0" distL="114300" distR="114300" simplePos="0" relativeHeight="251659264" behindDoc="0" locked="0" layoutInCell="1" allowOverlap="1" wp14:anchorId="117E02EF" wp14:editId="5321E56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AD2">
      <w:rPr>
        <w:lang w:val="en-US"/>
      </w:rPr>
      <w:t xml:space="preserve">   070721  090721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3728B" w14:textId="77777777" w:rsidR="00874A34" w:rsidRPr="001075E9" w:rsidRDefault="00874A34" w:rsidP="001075E9">
      <w:pPr>
        <w:tabs>
          <w:tab w:val="right" w:pos="2155"/>
        </w:tabs>
        <w:spacing w:after="80" w:line="240" w:lineRule="auto"/>
        <w:ind w:left="680"/>
        <w:rPr>
          <w:u w:val="single"/>
        </w:rPr>
      </w:pPr>
      <w:r>
        <w:rPr>
          <w:u w:val="single"/>
        </w:rPr>
        <w:tab/>
      </w:r>
    </w:p>
  </w:footnote>
  <w:footnote w:type="continuationSeparator" w:id="0">
    <w:p w14:paraId="16EDCB3C" w14:textId="77777777" w:rsidR="00874A34" w:rsidRDefault="00874A34" w:rsidP="00407B78">
      <w:pPr>
        <w:tabs>
          <w:tab w:val="right" w:pos="2155"/>
        </w:tabs>
        <w:spacing w:after="80"/>
        <w:ind w:left="680"/>
        <w:rPr>
          <w:u w:val="single"/>
        </w:rPr>
      </w:pPr>
      <w:r>
        <w:rPr>
          <w:u w:val="single"/>
        </w:rPr>
        <w:tab/>
      </w:r>
    </w:p>
  </w:footnote>
  <w:footnote w:id="1">
    <w:p w14:paraId="2CDA1BCE" w14:textId="77777777" w:rsidR="004D293B" w:rsidRPr="009B3378" w:rsidRDefault="004D293B" w:rsidP="004D293B">
      <w:pPr>
        <w:pStyle w:val="FootnoteText"/>
      </w:pPr>
      <w:r>
        <w:tab/>
      </w:r>
      <w:r w:rsidRPr="004D293B">
        <w:rPr>
          <w:rStyle w:val="FootnoteReference"/>
          <w:sz w:val="20"/>
          <w:vertAlign w:val="baseline"/>
        </w:rPr>
        <w:sym w:font="Symbol" w:char="F02A"/>
      </w:r>
      <w:r>
        <w:tab/>
        <w:t>A/75/6 (разд. 20), п. 20.51.</w:t>
      </w:r>
    </w:p>
  </w:footnote>
  <w:footnote w:id="2">
    <w:p w14:paraId="46697757" w14:textId="77777777" w:rsidR="004D293B" w:rsidRPr="00B34F09" w:rsidRDefault="004D293B" w:rsidP="004D293B">
      <w:pPr>
        <w:pStyle w:val="FootnoteText"/>
      </w:pPr>
      <w:r>
        <w:tab/>
      </w:r>
      <w:r w:rsidRPr="004D293B">
        <w:rPr>
          <w:rStyle w:val="FootnoteReference"/>
          <w:sz w:val="20"/>
          <w:vertAlign w:val="baseline"/>
        </w:rPr>
        <w:sym w:font="Symbol" w:char="F02A"/>
      </w:r>
      <w:r w:rsidRPr="004D293B">
        <w:rPr>
          <w:rStyle w:val="FootnoteReference"/>
          <w:sz w:val="20"/>
          <w:vertAlign w:val="baseline"/>
        </w:rPr>
        <w:sym w:font="Symbol" w:char="F02A"/>
      </w:r>
      <w:r>
        <w:tab/>
        <w:t>Распространено Межправительственной организацией по международным железнодорожным перевозкам (ОТИФ) под условным обозначением OTIF/RID/RC/2021/42.</w:t>
      </w:r>
    </w:p>
  </w:footnote>
  <w:footnote w:id="3">
    <w:p w14:paraId="571425B6" w14:textId="77777777" w:rsidR="004D293B" w:rsidRPr="00B34F09" w:rsidRDefault="004D293B" w:rsidP="004D293B">
      <w:pPr>
        <w:pStyle w:val="FootnoteText"/>
      </w:pPr>
      <w:r>
        <w:tab/>
      </w:r>
      <w:r w:rsidRPr="004D293B">
        <w:rPr>
          <w:rStyle w:val="FootnoteReference"/>
          <w:sz w:val="20"/>
          <w:vertAlign w:val="baseline"/>
        </w:rPr>
        <w:sym w:font="Symbol" w:char="F02A"/>
      </w:r>
      <w:r w:rsidRPr="004D293B">
        <w:rPr>
          <w:rStyle w:val="FootnoteReference"/>
          <w:sz w:val="20"/>
          <w:vertAlign w:val="baseline"/>
        </w:rPr>
        <w:sym w:font="Symbol" w:char="F02A"/>
      </w:r>
      <w:r w:rsidRPr="004D293B">
        <w:rPr>
          <w:rStyle w:val="FootnoteReference"/>
          <w:sz w:val="20"/>
          <w:vertAlign w:val="baseline"/>
        </w:rPr>
        <w:sym w:font="Symbol" w:char="F02A"/>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4927" w14:textId="52909533" w:rsidR="004D293B" w:rsidRPr="004D293B" w:rsidRDefault="00942C28">
    <w:pPr>
      <w:pStyle w:val="Header"/>
    </w:pPr>
    <w:r>
      <w:fldChar w:fldCharType="begin"/>
    </w:r>
    <w:r>
      <w:instrText xml:space="preserve"> TITLE  \* MERGEFORMAT </w:instrText>
    </w:r>
    <w:r>
      <w:fldChar w:fldCharType="separate"/>
    </w:r>
    <w:r w:rsidR="001773A4">
      <w:t>ECE/TRANS/WP.15/AC.1/2021/42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DE7D" w14:textId="37C6D655" w:rsidR="004D293B" w:rsidRPr="004D293B" w:rsidRDefault="00942C28" w:rsidP="004D293B">
    <w:pPr>
      <w:pStyle w:val="Header"/>
      <w:jc w:val="right"/>
    </w:pPr>
    <w:r>
      <w:fldChar w:fldCharType="begin"/>
    </w:r>
    <w:r>
      <w:instrText xml:space="preserve"> TITLE  \* MERGEFORMAT </w:instrText>
    </w:r>
    <w:r>
      <w:fldChar w:fldCharType="separate"/>
    </w:r>
    <w:r w:rsidR="001773A4">
      <w:t>ECE/TRANS/WP.15/AC.1/2021/42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34"/>
    <w:rsid w:val="00023AD2"/>
    <w:rsid w:val="00033EE1"/>
    <w:rsid w:val="00042B72"/>
    <w:rsid w:val="00046296"/>
    <w:rsid w:val="000558BD"/>
    <w:rsid w:val="000B57E7"/>
    <w:rsid w:val="000B6373"/>
    <w:rsid w:val="000E4E5B"/>
    <w:rsid w:val="000F09DF"/>
    <w:rsid w:val="000F61B2"/>
    <w:rsid w:val="001075E9"/>
    <w:rsid w:val="0014152F"/>
    <w:rsid w:val="001773A4"/>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2E40"/>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D293B"/>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C621A"/>
    <w:rsid w:val="006D461A"/>
    <w:rsid w:val="006F35EE"/>
    <w:rsid w:val="007021FF"/>
    <w:rsid w:val="00712895"/>
    <w:rsid w:val="00734ACB"/>
    <w:rsid w:val="00757357"/>
    <w:rsid w:val="00792497"/>
    <w:rsid w:val="00806737"/>
    <w:rsid w:val="00825F8D"/>
    <w:rsid w:val="00834B71"/>
    <w:rsid w:val="0086445C"/>
    <w:rsid w:val="00874A34"/>
    <w:rsid w:val="00894693"/>
    <w:rsid w:val="008A08D7"/>
    <w:rsid w:val="008A37C8"/>
    <w:rsid w:val="008B6909"/>
    <w:rsid w:val="008D53B6"/>
    <w:rsid w:val="008F7609"/>
    <w:rsid w:val="00906890"/>
    <w:rsid w:val="00911BE4"/>
    <w:rsid w:val="00942C28"/>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66FEB"/>
  <w15:docId w15:val="{BAB92FA2-3FAA-4205-A548-9683703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4D293B"/>
    <w:rPr>
      <w:b/>
      <w:sz w:val="28"/>
      <w:lang w:val="ru-RU" w:eastAsia="ru-RU"/>
    </w:rPr>
  </w:style>
  <w:style w:type="character" w:customStyle="1" w:styleId="SingleTxtGChar">
    <w:name w:val="_ Single Txt_G Char"/>
    <w:link w:val="SingleTxtG"/>
    <w:rsid w:val="004D293B"/>
    <w:rPr>
      <w:lang w:val="ru-RU" w:eastAsia="en-US"/>
    </w:rPr>
  </w:style>
  <w:style w:type="table" w:customStyle="1" w:styleId="1">
    <w:name w:val="Сетка таблицы1"/>
    <w:basedOn w:val="TableNormal"/>
    <w:next w:val="TableGrid"/>
    <w:rsid w:val="004D293B"/>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ECE/TRANS/WP.15/AC.1/2021/42</vt:lpstr>
      <vt:lpstr>A/</vt:lpstr>
      <vt:lpstr>A/</vt:lpstr>
    </vt:vector>
  </TitlesOfParts>
  <Company>DCM</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ECE/TRANS/WP.15/AC.1/2021/42</dc:title>
  <dc:subject/>
  <dc:creator>Anna BLAGODATSKIKH</dc:creator>
  <cp:keywords/>
  <cp:lastModifiedBy>Christine Barrio-Champeau</cp:lastModifiedBy>
  <cp:revision>2</cp:revision>
  <cp:lastPrinted>2021-07-09T12:16:00Z</cp:lastPrinted>
  <dcterms:created xsi:type="dcterms:W3CDTF">2021-08-12T06:50:00Z</dcterms:created>
  <dcterms:modified xsi:type="dcterms:W3CDTF">2021-08-12T06:50:00Z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