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36CF3F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261FFFB" w14:textId="77777777" w:rsidR="00F35BAF" w:rsidRPr="00DB58B5" w:rsidRDefault="00F35BAF" w:rsidP="00151BB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A62FA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67FE47A" w14:textId="77777777" w:rsidR="00F35BAF" w:rsidRPr="00DB58B5" w:rsidRDefault="00151BB6" w:rsidP="00151BB6">
            <w:pPr>
              <w:jc w:val="right"/>
            </w:pPr>
            <w:r w:rsidRPr="00151BB6">
              <w:rPr>
                <w:sz w:val="40"/>
              </w:rPr>
              <w:t>ECE</w:t>
            </w:r>
            <w:r>
              <w:t>/TRANS/WP.15/AC.1/2021/42</w:t>
            </w:r>
          </w:p>
        </w:tc>
      </w:tr>
      <w:tr w:rsidR="00F35BAF" w:rsidRPr="00DB58B5" w14:paraId="56906F0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5D8F85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9621088" wp14:editId="4221289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BB193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7C3FC85" w14:textId="77777777" w:rsidR="00F35BAF" w:rsidRDefault="00151BB6" w:rsidP="00C97039">
            <w:pPr>
              <w:spacing w:before="240"/>
            </w:pPr>
            <w:r>
              <w:t>Distr. générale</w:t>
            </w:r>
          </w:p>
          <w:p w14:paraId="64BB5F78" w14:textId="77777777" w:rsidR="00151BB6" w:rsidRDefault="00151BB6" w:rsidP="00151BB6">
            <w:pPr>
              <w:spacing w:line="240" w:lineRule="exact"/>
            </w:pPr>
            <w:r>
              <w:t>6 juillet 2021</w:t>
            </w:r>
          </w:p>
          <w:p w14:paraId="034A60AE" w14:textId="77777777" w:rsidR="00151BB6" w:rsidRDefault="00151BB6" w:rsidP="00151BB6">
            <w:pPr>
              <w:spacing w:line="240" w:lineRule="exact"/>
            </w:pPr>
            <w:r>
              <w:t>Français</w:t>
            </w:r>
          </w:p>
          <w:p w14:paraId="576B9DC5" w14:textId="77777777" w:rsidR="00151BB6" w:rsidRPr="00DB58B5" w:rsidRDefault="00151BB6" w:rsidP="00151BB6">
            <w:pPr>
              <w:spacing w:line="240" w:lineRule="exact"/>
            </w:pPr>
            <w:r>
              <w:t>Original : anglais</w:t>
            </w:r>
          </w:p>
        </w:tc>
      </w:tr>
    </w:tbl>
    <w:p w14:paraId="7DFF3B1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38A2D3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6F513E9" w14:textId="77777777" w:rsidR="00151BB6" w:rsidRPr="00151BB6" w:rsidRDefault="00151BB6" w:rsidP="00151BB6">
      <w:pPr>
        <w:spacing w:before="120"/>
        <w:rPr>
          <w:b/>
          <w:sz w:val="24"/>
          <w:szCs w:val="24"/>
          <w:lang w:val="fr-FR"/>
        </w:rPr>
      </w:pPr>
      <w:r w:rsidRPr="00151BB6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23099A54" w14:textId="77777777" w:rsidR="00151BB6" w:rsidRPr="00151BB6" w:rsidRDefault="00151BB6" w:rsidP="00151BB6">
      <w:pPr>
        <w:spacing w:before="120"/>
        <w:rPr>
          <w:b/>
          <w:bCs/>
          <w:lang w:val="fr-FR"/>
        </w:rPr>
      </w:pPr>
      <w:r w:rsidRPr="00151BB6">
        <w:rPr>
          <w:b/>
          <w:bCs/>
          <w:lang w:val="fr-FR"/>
        </w:rPr>
        <w:t xml:space="preserve">Réunion commune de la Commission d’experts du RID </w:t>
      </w:r>
      <w:r>
        <w:rPr>
          <w:b/>
          <w:bCs/>
          <w:lang w:val="fr-FR"/>
        </w:rPr>
        <w:br/>
      </w:r>
      <w:r w:rsidRPr="00151BB6">
        <w:rPr>
          <w:b/>
          <w:bCs/>
          <w:lang w:val="fr-FR"/>
        </w:rPr>
        <w:t>et du Groupe de travail des transports de marchandises dangereuses</w:t>
      </w:r>
    </w:p>
    <w:p w14:paraId="42724356" w14:textId="77777777" w:rsidR="00151BB6" w:rsidRPr="00151BB6" w:rsidRDefault="00151BB6" w:rsidP="00151BB6">
      <w:pPr>
        <w:rPr>
          <w:lang w:val="fr-FR"/>
        </w:rPr>
      </w:pPr>
      <w:r w:rsidRPr="00151BB6">
        <w:rPr>
          <w:lang w:val="fr-FR"/>
        </w:rPr>
        <w:t>Genève, 21 septembre-1</w:t>
      </w:r>
      <w:r w:rsidRPr="00151BB6">
        <w:rPr>
          <w:vertAlign w:val="superscript"/>
          <w:lang w:val="fr-FR"/>
        </w:rPr>
        <w:t>er</w:t>
      </w:r>
      <w:r w:rsidRPr="00151BB6">
        <w:rPr>
          <w:lang w:val="fr-FR"/>
        </w:rPr>
        <w:t xml:space="preserve"> octobre 2021</w:t>
      </w:r>
    </w:p>
    <w:p w14:paraId="348E0446" w14:textId="77777777" w:rsidR="00151BB6" w:rsidRPr="00151BB6" w:rsidRDefault="00151BB6" w:rsidP="00151BB6">
      <w:pPr>
        <w:rPr>
          <w:lang w:val="fr-FR"/>
        </w:rPr>
      </w:pPr>
      <w:r w:rsidRPr="00151BB6">
        <w:rPr>
          <w:lang w:val="fr-FR"/>
        </w:rPr>
        <w:t>Point 2 de l’ordre du jour provisoire</w:t>
      </w:r>
    </w:p>
    <w:p w14:paraId="4746B697" w14:textId="77777777" w:rsidR="00151BB6" w:rsidRPr="00151BB6" w:rsidRDefault="00151BB6" w:rsidP="00151BB6">
      <w:pPr>
        <w:rPr>
          <w:b/>
          <w:bCs/>
          <w:lang w:val="fr-FR"/>
        </w:rPr>
      </w:pPr>
      <w:r w:rsidRPr="00151BB6">
        <w:rPr>
          <w:b/>
          <w:bCs/>
          <w:lang w:val="fr-FR"/>
        </w:rPr>
        <w:t>Citernes</w:t>
      </w:r>
    </w:p>
    <w:p w14:paraId="7ED78B6E" w14:textId="77777777" w:rsidR="00151BB6" w:rsidRPr="00151BB6" w:rsidRDefault="00151BB6" w:rsidP="00151BB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51BB6">
        <w:rPr>
          <w:lang w:val="fr-FR"/>
        </w:rPr>
        <w:t>Taux de remplissage pour les matières transportées à 50</w:t>
      </w:r>
      <w:r>
        <w:rPr>
          <w:lang w:val="fr-FR"/>
        </w:rPr>
        <w:t> </w:t>
      </w:r>
      <w:r w:rsidRPr="00151BB6">
        <w:rPr>
          <w:lang w:val="fr-FR"/>
        </w:rPr>
        <w:t>°C et plus</w:t>
      </w:r>
    </w:p>
    <w:p w14:paraId="2E0CED3A" w14:textId="77777777" w:rsidR="00151BB6" w:rsidRPr="00151BB6" w:rsidRDefault="00151BB6" w:rsidP="00151BB6">
      <w:pPr>
        <w:pStyle w:val="H1G"/>
        <w:rPr>
          <w:szCs w:val="24"/>
        </w:rPr>
      </w:pPr>
      <w:r w:rsidRPr="00151BB6">
        <w:rPr>
          <w:lang w:val="fr-FR"/>
        </w:rPr>
        <w:tab/>
      </w:r>
      <w:r w:rsidRPr="00151BB6">
        <w:rPr>
          <w:lang w:val="fr-FR"/>
        </w:rPr>
        <w:tab/>
        <w:t>Communication du Gouvernement néerlandais</w:t>
      </w:r>
      <w:r w:rsidRPr="00151BB6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151BB6">
        <w:rPr>
          <w:b w:val="0"/>
          <w:bCs/>
          <w:shd w:val="clear" w:color="auto" w:fill="FFFFFF"/>
          <w:vertAlign w:val="superscript"/>
        </w:rPr>
        <w:t>,</w:t>
      </w:r>
      <w:r w:rsidRPr="00151BB6">
        <w:t xml:space="preserve"> </w:t>
      </w:r>
      <w:r w:rsidRPr="00151BB6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Pr="00151BB6">
        <w:rPr>
          <w:b w:val="0"/>
          <w:bCs/>
          <w:shd w:val="clear" w:color="auto" w:fill="FFFFFF"/>
          <w:vertAlign w:val="superscript"/>
        </w:rPr>
        <w:t xml:space="preserve">, </w:t>
      </w:r>
      <w:r w:rsidRPr="00151BB6">
        <w:rPr>
          <w:rStyle w:val="FootnoteReference"/>
          <w:b w:val="0"/>
          <w:bCs/>
          <w:sz w:val="20"/>
          <w:shd w:val="clear" w:color="auto" w:fill="FFFFFF"/>
          <w:vertAlign w:val="baseline"/>
        </w:rPr>
        <w:footnoteReference w:customMarkFollows="1" w:id="4"/>
        <w:t>***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151BB6" w14:paraId="2AA3B30F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0F5A40F" w14:textId="77777777" w:rsidR="00151BB6" w:rsidRDefault="00151BB6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151BB6" w14:paraId="0EAB178F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65191798" w14:textId="77777777" w:rsidR="00151BB6" w:rsidRDefault="00151BB6" w:rsidP="00151BB6">
            <w:pPr>
              <w:pStyle w:val="SingleTxtG"/>
              <w:ind w:left="3402" w:hanging="2268"/>
            </w:pPr>
            <w:r w:rsidRPr="00151BB6">
              <w:rPr>
                <w:b/>
                <w:bCs/>
                <w:lang w:val="fr-FR"/>
              </w:rPr>
              <w:t>Résumé analytique</w:t>
            </w:r>
            <w:r w:rsidRPr="00151BB6">
              <w:rPr>
                <w:lang w:val="fr-FR"/>
              </w:rPr>
              <w:t xml:space="preserve"> :</w:t>
            </w:r>
            <w:r w:rsidRPr="00151BB6">
              <w:rPr>
                <w:lang w:val="fr-FR"/>
              </w:rPr>
              <w:tab/>
              <w:t>Les prescriptions relatives au taux de remplissage pour les matières transportées à 50 °C et plus ne reflètent pas la pratique.</w:t>
            </w:r>
          </w:p>
        </w:tc>
      </w:tr>
      <w:tr w:rsidR="00151BB6" w14:paraId="6333DA4E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4B38DA8" w14:textId="77777777" w:rsidR="00151BB6" w:rsidRPr="00151BB6" w:rsidRDefault="00151BB6" w:rsidP="00151BB6">
            <w:pPr>
              <w:pStyle w:val="SingleTxtG"/>
              <w:ind w:left="3402" w:hanging="2268"/>
              <w:rPr>
                <w:bCs/>
                <w:szCs w:val="22"/>
                <w:lang w:val="fr-FR"/>
              </w:rPr>
            </w:pPr>
            <w:r w:rsidRPr="00151BB6">
              <w:rPr>
                <w:b/>
                <w:bCs/>
                <w:lang w:val="fr-FR"/>
              </w:rPr>
              <w:t>Mesure à prendre</w:t>
            </w:r>
            <w:r w:rsidRPr="00151BB6">
              <w:rPr>
                <w:lang w:val="fr-FR"/>
              </w:rPr>
              <w:t xml:space="preserve"> :</w:t>
            </w:r>
            <w:r w:rsidRPr="00151BB6">
              <w:rPr>
                <w:lang w:val="fr-FR"/>
              </w:rPr>
              <w:tab/>
              <w:t>Modifier le paragraphe 4.3.2.2.3 pour l’aligner sur le paragraphe 4.2.1.9.5.</w:t>
            </w:r>
          </w:p>
          <w:p w14:paraId="074E5587" w14:textId="77777777" w:rsidR="00151BB6" w:rsidRPr="00151BB6" w:rsidRDefault="00151BB6" w:rsidP="00151BB6">
            <w:pPr>
              <w:pStyle w:val="SingleTxtG"/>
              <w:ind w:left="3402" w:hanging="2268"/>
              <w:rPr>
                <w:b/>
                <w:bCs/>
                <w:lang w:val="fr-FR"/>
              </w:rPr>
            </w:pPr>
            <w:r w:rsidRPr="00151BB6">
              <w:rPr>
                <w:b/>
                <w:bCs/>
                <w:lang w:val="fr-FR"/>
              </w:rPr>
              <w:t xml:space="preserve">Documents de référence </w:t>
            </w:r>
            <w:r w:rsidRPr="00151BB6">
              <w:rPr>
                <w:lang w:val="fr-FR"/>
              </w:rPr>
              <w:t>:</w:t>
            </w:r>
            <w:r w:rsidRPr="00151BB6">
              <w:rPr>
                <w:lang w:val="fr-FR"/>
              </w:rPr>
              <w:tab/>
              <w:t>Document informel INF.12 de la session de mars 2021 de la Réunion commune RID/ADR/ADN et paragraphes 19 à 21 du document</w:t>
            </w:r>
            <w:r>
              <w:rPr>
                <w:lang w:val="fr-FR"/>
              </w:rPr>
              <w:t xml:space="preserve"> </w:t>
            </w:r>
            <w:r w:rsidRPr="00151BB6">
              <w:rPr>
                <w:lang w:val="fr-FR"/>
              </w:rPr>
              <w:t>ECE/TRANS/WP.15/AC.1/160/Add.1.</w:t>
            </w:r>
          </w:p>
        </w:tc>
      </w:tr>
      <w:tr w:rsidR="00151BB6" w14:paraId="6E8E3D8D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74AE05D" w14:textId="77777777" w:rsidR="00151BB6" w:rsidRDefault="00151BB6"/>
        </w:tc>
      </w:tr>
    </w:tbl>
    <w:p w14:paraId="61DC4E65" w14:textId="77777777" w:rsidR="00151BB6" w:rsidRPr="00151BB6" w:rsidRDefault="00151BB6" w:rsidP="00151BB6">
      <w:pPr>
        <w:pStyle w:val="HChG"/>
        <w:rPr>
          <w:w w:val="110"/>
          <w:lang w:val="fr-FR"/>
        </w:rPr>
      </w:pPr>
      <w:r w:rsidRPr="00151BB6">
        <w:rPr>
          <w:lang w:val="fr-FR"/>
        </w:rPr>
        <w:tab/>
      </w:r>
      <w:r w:rsidRPr="00151BB6">
        <w:rPr>
          <w:lang w:val="fr-FR"/>
        </w:rPr>
        <w:tab/>
        <w:t>Introduction</w:t>
      </w:r>
    </w:p>
    <w:p w14:paraId="5BB8626A" w14:textId="77777777" w:rsidR="00151BB6" w:rsidRPr="00151BB6" w:rsidRDefault="00151BB6" w:rsidP="00151BB6">
      <w:pPr>
        <w:pStyle w:val="SingleTxtG"/>
        <w:rPr>
          <w:lang w:val="fr-FR"/>
        </w:rPr>
      </w:pPr>
      <w:r w:rsidRPr="00151BB6">
        <w:rPr>
          <w:lang w:val="fr-FR"/>
        </w:rPr>
        <w:t>1.</w:t>
      </w:r>
      <w:r w:rsidRPr="00151BB6">
        <w:rPr>
          <w:lang w:val="fr-FR"/>
        </w:rPr>
        <w:tab/>
        <w:t>Récemment, aux Pays-Bas, une partie du contenu d’une citerne s’est déversée en raison d’un surremplissage. La citerne contenait une matière fondue dont la température était supérieure à 50 °C. Cette matière s’était solidifiée pendant le transport et avait été ramenée à l’état liquide non loin du point de déchargement prévu par chauffage à une température supérieure à la température initiale de remplissage. Le déversement s’est produit entre l’endroit où la matière a été chauffée et le point de déchargement.</w:t>
      </w:r>
    </w:p>
    <w:p w14:paraId="4BA461A9" w14:textId="77777777" w:rsidR="00151BB6" w:rsidRPr="00151BB6" w:rsidRDefault="00151BB6" w:rsidP="00151BB6">
      <w:pPr>
        <w:pStyle w:val="SingleTxtG"/>
        <w:rPr>
          <w:lang w:val="fr-FR"/>
        </w:rPr>
      </w:pPr>
      <w:r w:rsidRPr="00151BB6">
        <w:rPr>
          <w:lang w:val="fr-FR"/>
        </w:rPr>
        <w:lastRenderedPageBreak/>
        <w:t>2.</w:t>
      </w:r>
      <w:r w:rsidRPr="00151BB6">
        <w:rPr>
          <w:lang w:val="fr-FR"/>
        </w:rPr>
        <w:tab/>
        <w:t>Il a été relevé que le paragraphe 4.3.2.2.3 ne prévoyait un taux de remplissage de 95 % que si la citerne était équipée d’un dispositif de réchauffage. Il a également été relevé que, selon cette disposition, le contenu de la citerne ne pouvait pas être chauffé à une température supérieure à la température de remplissage, ce qui ne correspondait pas à la pratique. À la suite d’un débat tenu à la session de mars 2021 de la Réunion commune sur la base du document informel</w:t>
      </w:r>
      <w:r w:rsidR="007E39EF">
        <w:rPr>
          <w:lang w:val="fr-FR"/>
        </w:rPr>
        <w:t xml:space="preserve"> </w:t>
      </w:r>
      <w:r w:rsidRPr="00151BB6">
        <w:rPr>
          <w:lang w:val="fr-FR"/>
        </w:rPr>
        <w:t>INF.12, il a été proposé que le paragraphe 4.3.2.2.3 soit modifié pour être aligné sur le paragraphe 4.2.1.9.5, moins restrictif et plus approprié.</w:t>
      </w:r>
    </w:p>
    <w:p w14:paraId="7C437279" w14:textId="77777777" w:rsidR="00151BB6" w:rsidRPr="00151BB6" w:rsidRDefault="00151BB6" w:rsidP="00151BB6">
      <w:pPr>
        <w:pStyle w:val="HChG"/>
        <w:rPr>
          <w:w w:val="110"/>
          <w:lang w:val="fr-FR"/>
        </w:rPr>
      </w:pPr>
      <w:r w:rsidRPr="00151BB6">
        <w:rPr>
          <w:lang w:val="fr-FR"/>
        </w:rPr>
        <w:tab/>
      </w:r>
      <w:r w:rsidRPr="00151BB6">
        <w:rPr>
          <w:lang w:val="fr-FR"/>
        </w:rPr>
        <w:tab/>
        <w:t>Proposition</w:t>
      </w:r>
    </w:p>
    <w:p w14:paraId="428B833E" w14:textId="77777777" w:rsidR="00151BB6" w:rsidRPr="00151BB6" w:rsidRDefault="00151BB6" w:rsidP="00151BB6">
      <w:pPr>
        <w:pStyle w:val="SingleTxtG"/>
        <w:rPr>
          <w:lang w:val="fr-FR"/>
        </w:rPr>
      </w:pPr>
      <w:r w:rsidRPr="00151BB6">
        <w:rPr>
          <w:lang w:val="fr-FR"/>
        </w:rPr>
        <w:t>Paragraphe 4.3.2.2.3, lire</w:t>
      </w:r>
      <w:r w:rsidR="007E39EF">
        <w:rPr>
          <w:lang w:val="fr-FR"/>
        </w:rPr>
        <w:t> </w:t>
      </w:r>
      <w:r w:rsidRPr="00151BB6">
        <w:rPr>
          <w:lang w:val="fr-FR"/>
        </w:rPr>
        <w:t>:</w:t>
      </w:r>
    </w:p>
    <w:p w14:paraId="7D36C1F4" w14:textId="77777777" w:rsidR="00151BB6" w:rsidRPr="00151BB6" w:rsidRDefault="00151BB6" w:rsidP="00151BB6">
      <w:pPr>
        <w:pStyle w:val="SingleTxtG"/>
        <w:ind w:left="2268" w:hanging="1134"/>
        <w:rPr>
          <w:iCs/>
          <w:lang w:val="fr-FR"/>
        </w:rPr>
      </w:pPr>
      <w:r w:rsidRPr="00151BB6">
        <w:rPr>
          <w:lang w:val="fr-FR"/>
        </w:rPr>
        <w:t>« 4.3.2.2.3</w:t>
      </w:r>
      <w:r w:rsidRPr="00151BB6">
        <w:rPr>
          <w:lang w:val="fr-FR"/>
        </w:rPr>
        <w:tab/>
        <w:t>Les dispositions des 4.3.2.2.1 a) à d) ci-dessus ne s’appliquent pas aux citernes contenant des liquides dont la température est supérieure à 50 °C.</w:t>
      </w:r>
    </w:p>
    <w:p w14:paraId="38BBA514" w14:textId="77777777" w:rsidR="00151BB6" w:rsidRPr="00151BB6" w:rsidRDefault="00151BB6" w:rsidP="00151BB6">
      <w:pPr>
        <w:pStyle w:val="SingleTxtG"/>
        <w:ind w:left="2268"/>
        <w:rPr>
          <w:iCs/>
          <w:lang w:val="fr-FR"/>
        </w:rPr>
      </w:pPr>
      <w:r w:rsidRPr="00151BB6">
        <w:rPr>
          <w:lang w:val="fr-FR"/>
        </w:rPr>
        <w:tab/>
        <w:t>Le taux de remplissage pour</w:t>
      </w:r>
      <w:r w:rsidR="007E39EF">
        <w:rPr>
          <w:lang w:val="fr-FR"/>
        </w:rPr>
        <w:t> </w:t>
      </w:r>
      <w:r w:rsidRPr="00151BB6">
        <w:rPr>
          <w:lang w:val="fr-FR"/>
        </w:rPr>
        <w:t>:</w:t>
      </w:r>
    </w:p>
    <w:p w14:paraId="11B8B86D" w14:textId="77777777" w:rsidR="00151BB6" w:rsidRPr="00151BB6" w:rsidRDefault="00151BB6" w:rsidP="00151BB6">
      <w:pPr>
        <w:pStyle w:val="Bullet2G"/>
        <w:rPr>
          <w:iCs/>
          <w:lang w:val="fr-FR"/>
        </w:rPr>
      </w:pPr>
      <w:r w:rsidRPr="00151BB6">
        <w:rPr>
          <w:lang w:val="fr-FR"/>
        </w:rPr>
        <w:t>les matières liquides transportées à une température supérieure à 50°C ;</w:t>
      </w:r>
    </w:p>
    <w:p w14:paraId="7687DE00" w14:textId="77777777" w:rsidR="00151BB6" w:rsidRPr="00151BB6" w:rsidRDefault="00151BB6" w:rsidP="00151BB6">
      <w:pPr>
        <w:pStyle w:val="Bullet2G"/>
        <w:rPr>
          <w:iCs/>
          <w:lang w:val="fr-FR"/>
        </w:rPr>
      </w:pPr>
      <w:r w:rsidRPr="00151BB6">
        <w:rPr>
          <w:lang w:val="fr-FR"/>
        </w:rPr>
        <w:t>les matières liquides dont la température est inférieure à 50</w:t>
      </w:r>
      <w:r w:rsidR="007E39EF">
        <w:rPr>
          <w:lang w:val="fr-FR"/>
        </w:rPr>
        <w:t> </w:t>
      </w:r>
      <w:r w:rsidRPr="00151BB6">
        <w:rPr>
          <w:lang w:val="fr-FR"/>
        </w:rPr>
        <w:t>°C au moment du remplissage, mais qu’il est prévu de chauffer à une température supérieure à 50</w:t>
      </w:r>
      <w:r w:rsidR="007E39EF">
        <w:rPr>
          <w:lang w:val="fr-FR"/>
        </w:rPr>
        <w:t> </w:t>
      </w:r>
      <w:r w:rsidRPr="00151BB6">
        <w:rPr>
          <w:lang w:val="fr-FR"/>
        </w:rPr>
        <w:t>°C pendant le transport ; et</w:t>
      </w:r>
    </w:p>
    <w:p w14:paraId="555C8CE0" w14:textId="77777777" w:rsidR="00151BB6" w:rsidRPr="00151BB6" w:rsidRDefault="00151BB6" w:rsidP="00151BB6">
      <w:pPr>
        <w:pStyle w:val="Bullet2G"/>
        <w:rPr>
          <w:iCs/>
          <w:lang w:val="fr-FR"/>
        </w:rPr>
      </w:pPr>
      <w:r w:rsidRPr="00151BB6">
        <w:rPr>
          <w:lang w:val="fr-FR"/>
        </w:rPr>
        <w:t xml:space="preserve">les matières solides transportées à une température supérieure à leur point de fusion, doit, au départ, être tel que la citerne n’est remplie à plus de 95 % à aucun moment pendant le transport. </w:t>
      </w:r>
    </w:p>
    <w:p w14:paraId="5A955659" w14:textId="77777777" w:rsidR="00151BB6" w:rsidRPr="00151BB6" w:rsidRDefault="00151BB6" w:rsidP="00151BB6">
      <w:pPr>
        <w:pStyle w:val="SingleTxtG"/>
        <w:ind w:left="2268"/>
        <w:rPr>
          <w:iCs/>
          <w:lang w:val="fr-FR"/>
        </w:rPr>
      </w:pPr>
      <w:r w:rsidRPr="00151BB6">
        <w:rPr>
          <w:lang w:val="fr-FR"/>
        </w:rPr>
        <w:tab/>
        <w:t>Le taux de remplissage au moment du remplissage doit être déterminé au moyen de la formule suivante</w:t>
      </w:r>
      <w:r w:rsidR="007E39EF">
        <w:rPr>
          <w:lang w:val="fr-FR"/>
        </w:rPr>
        <w:t> </w:t>
      </w:r>
      <w:r w:rsidRPr="00151BB6">
        <w:rPr>
          <w:lang w:val="fr-FR"/>
        </w:rPr>
        <w:t>:</w:t>
      </w:r>
    </w:p>
    <w:p w14:paraId="2E1E8088" w14:textId="77777777" w:rsidR="00151BB6" w:rsidRPr="00151BB6" w:rsidRDefault="00151BB6" w:rsidP="00151BB6">
      <w:pPr>
        <w:rPr>
          <w:iCs/>
          <w:lang w:val="fr-FR"/>
        </w:rPr>
      </w:pPr>
      <m:oMathPara>
        <m:oMath>
          <m:r>
            <m:rPr>
              <m:nor/>
            </m:rPr>
            <w:rPr>
              <w:iCs/>
              <w:lang w:val="fr-FR"/>
            </w:rPr>
            <m:t xml:space="preserve">Taux de remplissage 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>=</m:t>
          </m:r>
          <m:r>
            <m:rPr>
              <m:nor/>
            </m:rPr>
            <w:rPr>
              <w:iCs/>
              <w:lang w:val="fr-FR"/>
            </w:rPr>
            <m:t xml:space="preserve"> 95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f</m:t>
                  </m:r>
                </m:sub>
              </m:sSub>
            </m:den>
          </m:f>
        </m:oMath>
      </m:oMathPara>
    </w:p>
    <w:p w14:paraId="63359FF8" w14:textId="77777777" w:rsidR="00151BB6" w:rsidRPr="00151BB6" w:rsidRDefault="00151BB6" w:rsidP="00151BB6">
      <w:pPr>
        <w:pStyle w:val="SingleTxtG"/>
        <w:ind w:left="2268"/>
        <w:rPr>
          <w:b/>
          <w:bCs/>
          <w:iCs/>
          <w:lang w:val="fr-FR"/>
        </w:rPr>
      </w:pPr>
      <w:r w:rsidRPr="00151BB6">
        <w:rPr>
          <w:lang w:val="fr-FR"/>
        </w:rPr>
        <w:t>où d</w:t>
      </w:r>
      <w:r w:rsidRPr="00151BB6">
        <w:rPr>
          <w:vertAlign w:val="subscript"/>
          <w:lang w:val="fr-FR"/>
        </w:rPr>
        <w:t>f</w:t>
      </w:r>
      <w:r w:rsidRPr="00151BB6">
        <w:rPr>
          <w:lang w:val="fr-FR"/>
        </w:rPr>
        <w:t xml:space="preserve"> et d</w:t>
      </w:r>
      <w:r w:rsidRPr="00151BB6">
        <w:rPr>
          <w:vertAlign w:val="subscript"/>
          <w:lang w:val="fr-FR"/>
        </w:rPr>
        <w:t>r</w:t>
      </w:r>
      <w:r w:rsidRPr="00151BB6">
        <w:rPr>
          <w:lang w:val="fr-FR"/>
        </w:rPr>
        <w:t xml:space="preserve"> représentent la masse volumique de la matière à sa température moyenne au moment du remplissage et la température moyenne maximale de la charge pendant le transport, respectivement.</w:t>
      </w:r>
    </w:p>
    <w:p w14:paraId="1B46E0A3" w14:textId="77777777" w:rsidR="00151BB6" w:rsidRPr="00151BB6" w:rsidRDefault="00151BB6" w:rsidP="00151BB6">
      <w:pPr>
        <w:pStyle w:val="SingleTxtG"/>
        <w:ind w:left="2268"/>
        <w:rPr>
          <w:iCs/>
          <w:lang w:val="fr-FR"/>
        </w:rPr>
      </w:pPr>
      <w:r w:rsidRPr="00151BB6">
        <w:rPr>
          <w:lang w:val="fr-FR"/>
        </w:rPr>
        <w:t>Dans les citernes équipées d’un dispositif de réchauffage, la température doit être réglée de telle sorte que le taux de remplissage maximal de 95 % ne soit dépassé à aucun moment pendant le transport. ».</w:t>
      </w:r>
    </w:p>
    <w:p w14:paraId="09248424" w14:textId="77777777" w:rsidR="00151BB6" w:rsidRPr="00151BB6" w:rsidRDefault="00151BB6" w:rsidP="00151BB6">
      <w:pPr>
        <w:pStyle w:val="HChG"/>
        <w:rPr>
          <w:w w:val="110"/>
          <w:lang w:val="fr-FR"/>
        </w:rPr>
      </w:pPr>
      <w:r w:rsidRPr="00151BB6">
        <w:rPr>
          <w:lang w:val="fr-FR"/>
        </w:rPr>
        <w:tab/>
      </w:r>
      <w:r w:rsidRPr="00151BB6">
        <w:rPr>
          <w:lang w:val="fr-FR"/>
        </w:rPr>
        <w:tab/>
        <w:t>Justification</w:t>
      </w:r>
    </w:p>
    <w:p w14:paraId="58EE1206" w14:textId="77777777" w:rsidR="00151BB6" w:rsidRPr="00151BB6" w:rsidRDefault="00151BB6" w:rsidP="00151BB6">
      <w:pPr>
        <w:pStyle w:val="SingleTxtG"/>
        <w:rPr>
          <w:lang w:val="fr-FR"/>
        </w:rPr>
      </w:pPr>
      <w:r w:rsidRPr="00151BB6">
        <w:rPr>
          <w:lang w:val="fr-FR"/>
        </w:rPr>
        <w:t>3.</w:t>
      </w:r>
      <w:r w:rsidRPr="00151BB6">
        <w:rPr>
          <w:lang w:val="fr-FR"/>
        </w:rPr>
        <w:tab/>
        <w:t>Il arrive que les matières soient chauffées à la fin du transport, avant le déchargement. Cette opération n’est pas toujours effectuée au point de déchargement ; elle peut l’être à proximité de ce point, à une station dotée d’équipements appropriés. En pareille situation, la température et le taux de remplissage peuvent être dépassés.</w:t>
      </w:r>
    </w:p>
    <w:p w14:paraId="40364BD1" w14:textId="77777777" w:rsidR="00151BB6" w:rsidRPr="00151BB6" w:rsidRDefault="00151BB6" w:rsidP="00151BB6">
      <w:pPr>
        <w:pStyle w:val="SingleTxtG"/>
        <w:rPr>
          <w:lang w:val="fr-FR"/>
        </w:rPr>
      </w:pPr>
      <w:r w:rsidRPr="00151BB6">
        <w:rPr>
          <w:lang w:val="fr-FR"/>
        </w:rPr>
        <w:t>4.</w:t>
      </w:r>
      <w:r w:rsidRPr="00151BB6">
        <w:rPr>
          <w:lang w:val="fr-FR"/>
        </w:rPr>
        <w:tab/>
        <w:t>Les débats que le Groupe de travail des citernes a tenus pendant la session de mars 2021 de la Réunion commune RID/ADR/ADN ont confirmé que le paragraphe 4.3.2.2.3 gagnerait à être aligné sur le paragraphe 4.2.1.9.5, qui était moins précis quant à la présence ou à l’utilisation d’un dispositif de réchauffage, et n’empêchait pas un dépassement de la température de remplissage pour autant que le taux de remplissage, lui, ne soit pas dépassé.</w:t>
      </w:r>
    </w:p>
    <w:p w14:paraId="7E077062" w14:textId="77777777" w:rsidR="00151BB6" w:rsidRPr="00151BB6" w:rsidRDefault="00151BB6" w:rsidP="00151BB6">
      <w:pPr>
        <w:pStyle w:val="SingleTxtG"/>
        <w:rPr>
          <w:lang w:val="fr-FR"/>
        </w:rPr>
      </w:pPr>
      <w:r w:rsidRPr="00151BB6">
        <w:rPr>
          <w:lang w:val="fr-FR"/>
        </w:rPr>
        <w:t>5.</w:t>
      </w:r>
      <w:r w:rsidRPr="00151BB6">
        <w:rPr>
          <w:lang w:val="fr-FR"/>
        </w:rPr>
        <w:tab/>
        <w:t>La première phrase de la proposition fait porter le paragraphe 4.3.2.2.3 sur les liquides transportés à une température supérieure à 50</w:t>
      </w:r>
      <w:r w:rsidR="007E39EF">
        <w:rPr>
          <w:lang w:val="fr-FR"/>
        </w:rPr>
        <w:t> </w:t>
      </w:r>
      <w:r w:rsidRPr="00151BB6">
        <w:rPr>
          <w:lang w:val="fr-FR"/>
        </w:rPr>
        <w:t>°C et exclut ces liquides du champ d’application des alinéas a) à d) du paragraphe 4.3.2.2.1. Étant donné que le paragraphe 4.3.2.2.1 ne s’applique pas aux matières solides fondues, il n’est pas nécessaire de faire mention de ces matières.</w:t>
      </w:r>
    </w:p>
    <w:p w14:paraId="7E6F492C" w14:textId="77777777" w:rsidR="00151BB6" w:rsidRPr="00151BB6" w:rsidRDefault="00151BB6" w:rsidP="00151BB6">
      <w:pPr>
        <w:pStyle w:val="SingleTxtG"/>
        <w:rPr>
          <w:lang w:val="fr-FR"/>
        </w:rPr>
      </w:pPr>
      <w:r w:rsidRPr="00151BB6">
        <w:rPr>
          <w:lang w:val="fr-FR"/>
        </w:rPr>
        <w:t>6.</w:t>
      </w:r>
      <w:r w:rsidRPr="00151BB6">
        <w:rPr>
          <w:lang w:val="fr-FR"/>
        </w:rPr>
        <w:tab/>
        <w:t>La deuxième phrase précise les situations dans lesquelles le paragraphe 4.3.2.2.3 s’applique. Un nouveau cas de figure est ajouté, celui dans lequel un liquide est à une température inférieure à 50</w:t>
      </w:r>
      <w:r w:rsidR="007E39EF">
        <w:rPr>
          <w:lang w:val="fr-FR"/>
        </w:rPr>
        <w:t> </w:t>
      </w:r>
      <w:r w:rsidRPr="00151BB6">
        <w:rPr>
          <w:lang w:val="fr-FR"/>
        </w:rPr>
        <w:t>°C au moment du remplissage, mais est transporté ou déchargé à une température supérieure à 50</w:t>
      </w:r>
      <w:r w:rsidR="007E39EF">
        <w:rPr>
          <w:lang w:val="fr-FR"/>
        </w:rPr>
        <w:t> </w:t>
      </w:r>
      <w:r w:rsidRPr="00151BB6">
        <w:rPr>
          <w:lang w:val="fr-FR"/>
        </w:rPr>
        <w:t>°C.</w:t>
      </w:r>
    </w:p>
    <w:p w14:paraId="0E571AA4" w14:textId="77777777" w:rsidR="00151BB6" w:rsidRPr="00151BB6" w:rsidRDefault="00151BB6" w:rsidP="00151BB6">
      <w:pPr>
        <w:pStyle w:val="SingleTxtG"/>
        <w:rPr>
          <w:lang w:val="fr-FR"/>
        </w:rPr>
      </w:pPr>
      <w:r w:rsidRPr="00151BB6">
        <w:rPr>
          <w:lang w:val="fr-FR"/>
        </w:rPr>
        <w:t>7.</w:t>
      </w:r>
      <w:r w:rsidRPr="00151BB6">
        <w:rPr>
          <w:lang w:val="fr-FR"/>
        </w:rPr>
        <w:tab/>
        <w:t>La troisième phrase est essentiellement reprise du paragraphe 4.2.1.9.5.1, mais a été adaptée dans un souci de cohérence avec le reste du paragraphe 4.3.2.2.3.</w:t>
      </w:r>
    </w:p>
    <w:p w14:paraId="3EA5D095" w14:textId="77777777" w:rsidR="00F9573C" w:rsidRDefault="00151BB6" w:rsidP="00151BB6">
      <w:pPr>
        <w:pStyle w:val="SingleTxtG"/>
        <w:rPr>
          <w:lang w:val="fr-FR"/>
        </w:rPr>
      </w:pPr>
      <w:r w:rsidRPr="00151BB6">
        <w:rPr>
          <w:lang w:val="fr-FR"/>
        </w:rPr>
        <w:t>8.</w:t>
      </w:r>
      <w:r w:rsidRPr="00151BB6">
        <w:rPr>
          <w:lang w:val="fr-FR"/>
        </w:rPr>
        <w:tab/>
        <w:t>La quatrième et dernière phrase, qui concerne le réglage de la température dans les citernes équipées d’un dispositif de réchauffage, est reprise de la version originale du paragraphe 4.3.2.2.3 (RID/ADR 2021).</w:t>
      </w:r>
    </w:p>
    <w:p w14:paraId="7A3FB725" w14:textId="77777777" w:rsidR="00151BB6" w:rsidRPr="00151BB6" w:rsidRDefault="00151BB6" w:rsidP="00151BB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1BB6" w:rsidRPr="00151BB6" w:rsidSect="00151B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76D53" w14:textId="77777777" w:rsidR="00985317" w:rsidRDefault="00985317" w:rsidP="00F95C08">
      <w:pPr>
        <w:spacing w:line="240" w:lineRule="auto"/>
      </w:pPr>
    </w:p>
  </w:endnote>
  <w:endnote w:type="continuationSeparator" w:id="0">
    <w:p w14:paraId="1FC7C81B" w14:textId="77777777" w:rsidR="00985317" w:rsidRPr="00AC3823" w:rsidRDefault="00985317" w:rsidP="00AC3823">
      <w:pPr>
        <w:pStyle w:val="Footer"/>
      </w:pPr>
    </w:p>
  </w:endnote>
  <w:endnote w:type="continuationNotice" w:id="1">
    <w:p w14:paraId="1789A781" w14:textId="77777777" w:rsidR="00985317" w:rsidRDefault="009853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4FE6" w14:textId="77777777" w:rsidR="00151BB6" w:rsidRPr="00151BB6" w:rsidRDefault="00151BB6" w:rsidP="00151BB6">
    <w:pPr>
      <w:pStyle w:val="Footer"/>
      <w:tabs>
        <w:tab w:val="right" w:pos="9638"/>
      </w:tabs>
    </w:pPr>
    <w:r w:rsidRPr="00151BB6">
      <w:rPr>
        <w:b/>
        <w:sz w:val="18"/>
      </w:rPr>
      <w:fldChar w:fldCharType="begin"/>
    </w:r>
    <w:r w:rsidRPr="00151BB6">
      <w:rPr>
        <w:b/>
        <w:sz w:val="18"/>
      </w:rPr>
      <w:instrText xml:space="preserve"> PAGE  \* MERGEFORMAT </w:instrText>
    </w:r>
    <w:r w:rsidRPr="00151BB6">
      <w:rPr>
        <w:b/>
        <w:sz w:val="18"/>
      </w:rPr>
      <w:fldChar w:fldCharType="separate"/>
    </w:r>
    <w:r w:rsidRPr="00151BB6">
      <w:rPr>
        <w:b/>
        <w:noProof/>
        <w:sz w:val="18"/>
      </w:rPr>
      <w:t>2</w:t>
    </w:r>
    <w:r w:rsidRPr="00151BB6">
      <w:rPr>
        <w:b/>
        <w:sz w:val="18"/>
      </w:rPr>
      <w:fldChar w:fldCharType="end"/>
    </w:r>
    <w:r>
      <w:rPr>
        <w:b/>
        <w:sz w:val="18"/>
      </w:rPr>
      <w:tab/>
    </w:r>
    <w:r>
      <w:t>GE.21-09264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179B" w14:textId="77777777" w:rsidR="00151BB6" w:rsidRPr="00151BB6" w:rsidRDefault="00151BB6" w:rsidP="00151BB6">
    <w:pPr>
      <w:pStyle w:val="Footer"/>
      <w:tabs>
        <w:tab w:val="right" w:pos="9638"/>
      </w:tabs>
      <w:rPr>
        <w:b/>
        <w:sz w:val="18"/>
      </w:rPr>
    </w:pPr>
    <w:r>
      <w:t>GE.21-09264</w:t>
    </w:r>
    <w:r>
      <w:tab/>
    </w:r>
    <w:r w:rsidRPr="00151BB6">
      <w:rPr>
        <w:b/>
        <w:sz w:val="18"/>
      </w:rPr>
      <w:fldChar w:fldCharType="begin"/>
    </w:r>
    <w:r w:rsidRPr="00151BB6">
      <w:rPr>
        <w:b/>
        <w:sz w:val="18"/>
      </w:rPr>
      <w:instrText xml:space="preserve"> PAGE  \* MERGEFORMAT </w:instrText>
    </w:r>
    <w:r w:rsidRPr="00151BB6">
      <w:rPr>
        <w:b/>
        <w:sz w:val="18"/>
      </w:rPr>
      <w:fldChar w:fldCharType="separate"/>
    </w:r>
    <w:r w:rsidRPr="00151BB6">
      <w:rPr>
        <w:b/>
        <w:noProof/>
        <w:sz w:val="18"/>
      </w:rPr>
      <w:t>3</w:t>
    </w:r>
    <w:r w:rsidRPr="00151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5605" w14:textId="77777777" w:rsidR="007F20FA" w:rsidRPr="00151BB6" w:rsidRDefault="00151BB6" w:rsidP="00151BB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0E3341E" wp14:editId="375337F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21-09264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01E939E" wp14:editId="5011E18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110821    110821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627DE" w14:textId="77777777" w:rsidR="00985317" w:rsidRPr="00AC3823" w:rsidRDefault="0098531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833007" w14:textId="77777777" w:rsidR="00985317" w:rsidRPr="00AC3823" w:rsidRDefault="0098531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494211" w14:textId="77777777" w:rsidR="00985317" w:rsidRPr="00AC3823" w:rsidRDefault="00985317">
      <w:pPr>
        <w:spacing w:line="240" w:lineRule="auto"/>
        <w:rPr>
          <w:sz w:val="2"/>
          <w:szCs w:val="2"/>
        </w:rPr>
      </w:pPr>
    </w:p>
  </w:footnote>
  <w:footnote w:id="2">
    <w:p w14:paraId="5904C1D1" w14:textId="77777777" w:rsidR="00151BB6" w:rsidRPr="00151BB6" w:rsidRDefault="00151BB6">
      <w:pPr>
        <w:pStyle w:val="FootnoteText"/>
      </w:pPr>
      <w:r>
        <w:rPr>
          <w:rStyle w:val="FootnoteReference"/>
        </w:rPr>
        <w:tab/>
      </w:r>
      <w:r w:rsidRPr="00151BB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 20), par. 20.51.</w:t>
      </w:r>
    </w:p>
  </w:footnote>
  <w:footnote w:id="3">
    <w:p w14:paraId="268C525C" w14:textId="77777777" w:rsidR="00151BB6" w:rsidRPr="00151BB6" w:rsidRDefault="00151BB6">
      <w:pPr>
        <w:pStyle w:val="FootnoteText"/>
      </w:pPr>
      <w:r>
        <w:rPr>
          <w:rStyle w:val="FootnoteReference"/>
        </w:rPr>
        <w:tab/>
      </w:r>
      <w:r w:rsidRPr="00151BB6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</w:t>
      </w:r>
      <w:r w:rsidR="007E39EF">
        <w:rPr>
          <w:lang w:val="fr-FR"/>
        </w:rPr>
        <w:t xml:space="preserve"> </w:t>
      </w:r>
      <w:r>
        <w:rPr>
          <w:lang w:val="fr-FR"/>
        </w:rPr>
        <w:t>OTIF/RID/RC/2021/42.</w:t>
      </w:r>
    </w:p>
  </w:footnote>
  <w:footnote w:id="4">
    <w:p w14:paraId="70404852" w14:textId="77777777" w:rsidR="00151BB6" w:rsidRPr="00151BB6" w:rsidRDefault="00151BB6">
      <w:pPr>
        <w:pStyle w:val="FootnoteText"/>
      </w:pPr>
      <w:r>
        <w:rPr>
          <w:rStyle w:val="FootnoteReference"/>
        </w:rPr>
        <w:tab/>
      </w:r>
      <w:r w:rsidRPr="00151BB6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0F2" w14:textId="582A93CA" w:rsidR="00151BB6" w:rsidRPr="00151BB6" w:rsidRDefault="004B5EB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27A5B">
      <w:t>ECE/TRANS/WP.15/AC.1/2021/42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AAF8C" w14:textId="34E3AF2A" w:rsidR="00151BB6" w:rsidRPr="00151BB6" w:rsidRDefault="004B5EB4" w:rsidP="00151BB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27A5B">
      <w:t>ECE/TRANS/WP.15/AC.1/2021/42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1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1BB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D6CB7"/>
    <w:rsid w:val="00421996"/>
    <w:rsid w:val="00427A5B"/>
    <w:rsid w:val="00441C3B"/>
    <w:rsid w:val="00446FE5"/>
    <w:rsid w:val="00452396"/>
    <w:rsid w:val="00477EB2"/>
    <w:rsid w:val="004837D8"/>
    <w:rsid w:val="004B5EB4"/>
    <w:rsid w:val="004E2EED"/>
    <w:rsid w:val="004E468C"/>
    <w:rsid w:val="005505B7"/>
    <w:rsid w:val="00573BE5"/>
    <w:rsid w:val="00586ED3"/>
    <w:rsid w:val="00596AA9"/>
    <w:rsid w:val="0071601D"/>
    <w:rsid w:val="007A62E6"/>
    <w:rsid w:val="007E39EF"/>
    <w:rsid w:val="007F20FA"/>
    <w:rsid w:val="0080684C"/>
    <w:rsid w:val="00871C75"/>
    <w:rsid w:val="008776DC"/>
    <w:rsid w:val="008D5EF9"/>
    <w:rsid w:val="009446C0"/>
    <w:rsid w:val="009705C8"/>
    <w:rsid w:val="00985317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82D4B"/>
  <w15:docId w15:val="{4087100E-FA36-4114-8343-4C7C5A38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51BB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ECE/TRANS/WP.15/AC.1/2021/42</vt:lpstr>
      <vt:lpstr>    Taux de remplissage pour les matières transportées à 50  C et plus</vt:lpstr>
      <vt:lpstr>        Communication du Gouvernement néerlandais*, **, ***</vt:lpstr>
      <vt:lpstr>    Introduction</vt:lpstr>
      <vt:lpstr>    Proposition</vt:lpstr>
      <vt:lpstr>    Justification</vt:lpstr>
    </vt:vector>
  </TitlesOfParts>
  <Company>DCM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ECE/TRANS/WP.15/AC.1/2021/42</dc:title>
  <dc:subject/>
  <dc:creator>Valerie BERTIN</dc:creator>
  <cp:keywords/>
  <cp:lastModifiedBy>Christine Barrio-Champeau</cp:lastModifiedBy>
  <cp:revision>2</cp:revision>
  <cp:lastPrinted>2021-08-11T13:52:00Z</cp:lastPrinted>
  <dcterms:created xsi:type="dcterms:W3CDTF">2021-08-12T06:49:00Z</dcterms:created>
  <dcterms:modified xsi:type="dcterms:W3CDTF">2021-08-12T06:49:00Z</dcterms:modified>
</cp:coreProperties>
</file>