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24306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0C041A" w14:textId="77777777" w:rsidR="002D5AAC" w:rsidRDefault="002D5AAC" w:rsidP="00E02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0625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D6811E" w14:textId="3479375A" w:rsidR="002D5AAC" w:rsidRDefault="00E02D52" w:rsidP="00E02D52">
            <w:pPr>
              <w:jc w:val="right"/>
            </w:pPr>
            <w:r w:rsidRPr="00E02D52">
              <w:rPr>
                <w:sz w:val="40"/>
              </w:rPr>
              <w:t>ECE</w:t>
            </w:r>
            <w:r>
              <w:t>/TRANS/WP.15/AC.1/2021/35</w:t>
            </w:r>
          </w:p>
        </w:tc>
      </w:tr>
      <w:tr w:rsidR="002D5AAC" w:rsidRPr="006C5912" w14:paraId="134DE7B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624E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0B3646" wp14:editId="1B2E0C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6AE91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0A1CD8" w14:textId="77777777" w:rsidR="002D5AAC" w:rsidRDefault="00E02D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3C6B40" w14:textId="77777777" w:rsidR="00E02D52" w:rsidRDefault="00E02D52" w:rsidP="00E02D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2021</w:t>
            </w:r>
          </w:p>
          <w:p w14:paraId="56507392" w14:textId="77777777" w:rsidR="00E02D52" w:rsidRDefault="00E02D52" w:rsidP="00E02D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7D91C4" w14:textId="17F789B4" w:rsidR="00E02D52" w:rsidRPr="008D53B6" w:rsidRDefault="00E02D52" w:rsidP="00E02D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BE42D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616AAF" w14:textId="77777777" w:rsidR="00E02D52" w:rsidRPr="0031141E" w:rsidRDefault="00E02D52" w:rsidP="00E02D52">
      <w:pPr>
        <w:spacing w:before="120"/>
        <w:rPr>
          <w:sz w:val="28"/>
          <w:szCs w:val="28"/>
        </w:rPr>
      </w:pPr>
      <w:r w:rsidRPr="0031141E">
        <w:rPr>
          <w:sz w:val="28"/>
          <w:szCs w:val="28"/>
        </w:rPr>
        <w:t>Комитет по внутреннему транспорту</w:t>
      </w:r>
    </w:p>
    <w:p w14:paraId="7146B328" w14:textId="77777777" w:rsidR="00E02D52" w:rsidRPr="0031141E" w:rsidRDefault="00E02D52" w:rsidP="00E02D52">
      <w:pPr>
        <w:spacing w:before="120" w:after="120"/>
        <w:rPr>
          <w:b/>
          <w:sz w:val="24"/>
          <w:szCs w:val="24"/>
        </w:rPr>
      </w:pPr>
      <w:r w:rsidRPr="0031141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D755C4" w14:textId="5DD65030" w:rsidR="00E02D52" w:rsidRPr="0031141E" w:rsidRDefault="00E02D52" w:rsidP="00E02D52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E02D52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14:paraId="6D023709" w14:textId="77777777" w:rsidR="00E02D52" w:rsidRPr="0031141E" w:rsidRDefault="00E02D52" w:rsidP="00E02D52">
      <w:r>
        <w:t>Женева, сентябрь 2021 года</w:t>
      </w:r>
    </w:p>
    <w:p w14:paraId="090657C6" w14:textId="77777777" w:rsidR="00E02D52" w:rsidRPr="0031141E" w:rsidRDefault="00E02D52" w:rsidP="00E02D52">
      <w:r>
        <w:t>Пункт 7 предварительной повестки дня</w:t>
      </w:r>
    </w:p>
    <w:p w14:paraId="5361F203" w14:textId="77777777" w:rsidR="00E02D52" w:rsidRPr="0031141E" w:rsidRDefault="00E02D52" w:rsidP="00E02D52">
      <w:pPr>
        <w:spacing w:line="240" w:lineRule="auto"/>
        <w:rPr>
          <w:b/>
          <w:bCs/>
        </w:rPr>
      </w:pPr>
      <w:r>
        <w:rPr>
          <w:b/>
          <w:bCs/>
        </w:rPr>
        <w:t>Доклады неофициальных рабочих групп</w:t>
      </w:r>
      <w:r>
        <w:t xml:space="preserve"> </w:t>
      </w:r>
    </w:p>
    <w:p w14:paraId="6F8E47EF" w14:textId="279582C6" w:rsidR="00E02D52" w:rsidRPr="0031141E" w:rsidRDefault="00E02D52" w:rsidP="00E02D52">
      <w:pPr>
        <w:pStyle w:val="HChG"/>
      </w:pPr>
      <w:r>
        <w:tab/>
      </w:r>
      <w:r>
        <w:tab/>
      </w:r>
      <w:r>
        <w:rPr>
          <w:bCs/>
        </w:rPr>
        <w:t>Обновленная информация о работе рабочей группы по</w:t>
      </w:r>
      <w:r>
        <w:rPr>
          <w:bCs/>
          <w:lang w:val="en-US"/>
        </w:rPr>
        <w:t> </w:t>
      </w:r>
      <w:r>
        <w:rPr>
          <w:bCs/>
        </w:rPr>
        <w:t>BLEVE</w:t>
      </w:r>
    </w:p>
    <w:p w14:paraId="406A9CC7" w14:textId="7CF2041D" w:rsidR="00E02D52" w:rsidRDefault="00E02D52" w:rsidP="00E02D52">
      <w:pPr>
        <w:pStyle w:val="H1G"/>
        <w:rPr>
          <w:b w:val="0"/>
          <w:bCs/>
          <w:sz w:val="20"/>
          <w:shd w:val="clear" w:color="auto" w:fill="FFFFFF"/>
        </w:rPr>
      </w:pPr>
      <w:r>
        <w:tab/>
      </w:r>
      <w:r>
        <w:tab/>
      </w:r>
      <w:r w:rsidRPr="005A5F4D">
        <w:t>Передано правительством Испании от имени рабочей группы по</w:t>
      </w:r>
      <w:r>
        <w:rPr>
          <w:lang w:val="en-US"/>
        </w:rPr>
        <w:t> </w:t>
      </w:r>
      <w:r w:rsidRPr="005A5F4D">
        <w:t>BLEVE</w:t>
      </w:r>
      <w:r w:rsidRPr="00E02D52">
        <w:rPr>
          <w:rStyle w:val="FootnoteReference"/>
          <w:b w:val="0"/>
          <w:bCs/>
          <w:sz w:val="20"/>
          <w:vertAlign w:val="baseline"/>
        </w:rPr>
        <w:sym w:font="Symbol" w:char="F02A"/>
      </w:r>
      <w:r w:rsidRPr="00E02D52">
        <w:rPr>
          <w:b w:val="0"/>
          <w:bCs/>
          <w:sz w:val="20"/>
        </w:rPr>
        <w:t xml:space="preserve"> </w:t>
      </w:r>
      <w:r w:rsidRPr="00E02D52">
        <w:rPr>
          <w:rStyle w:val="FootnoteReference"/>
          <w:b w:val="0"/>
          <w:bCs/>
          <w:sz w:val="20"/>
          <w:vertAlign w:val="baseline"/>
        </w:rPr>
        <w:sym w:font="Symbol" w:char="F02A"/>
      </w:r>
      <w:r w:rsidRPr="00E02D52">
        <w:rPr>
          <w:rStyle w:val="FootnoteReference"/>
          <w:b w:val="0"/>
          <w:bCs/>
          <w:sz w:val="20"/>
          <w:vertAlign w:val="baseline"/>
        </w:rPr>
        <w:sym w:font="Symbol" w:char="F02A"/>
      </w:r>
      <w:r w:rsidRPr="00E02D52">
        <w:rPr>
          <w:b w:val="0"/>
          <w:bCs/>
          <w:sz w:val="20"/>
        </w:rPr>
        <w:t xml:space="preserve"> </w:t>
      </w:r>
      <w:r w:rsidRPr="00E02D52">
        <w:rPr>
          <w:rStyle w:val="FootnoteReference"/>
          <w:b w:val="0"/>
          <w:bCs/>
          <w:sz w:val="20"/>
          <w:shd w:val="clear" w:color="auto" w:fill="FFFFFF"/>
          <w:vertAlign w:val="baseline"/>
        </w:rPr>
        <w:footnoteReference w:customMarkFollows="1" w:id="1"/>
        <w:sym w:font="Symbol" w:char="F02A"/>
      </w:r>
      <w:r w:rsidRPr="00E02D52">
        <w:rPr>
          <w:rStyle w:val="FootnoteReference"/>
          <w:b w:val="0"/>
          <w:bCs/>
          <w:sz w:val="20"/>
          <w:vertAlign w:val="baseline"/>
        </w:rPr>
        <w:footnoteReference w:customMarkFollows="1" w:id="2"/>
        <w:sym w:font="Symbol" w:char="F02A"/>
      </w:r>
      <w:bookmarkStart w:id="0" w:name="_Hlk76400539"/>
      <w:r w:rsidRPr="00E02D52">
        <w:rPr>
          <w:rStyle w:val="FootnoteReference"/>
          <w:b w:val="0"/>
          <w:bCs/>
          <w:sz w:val="20"/>
          <w:shd w:val="clear" w:color="auto" w:fill="FFFFFF"/>
          <w:vertAlign w:val="baseline"/>
        </w:rPr>
        <w:footnoteReference w:customMarkFollows="1" w:id="3"/>
        <w:sym w:font="Symbol" w:char="F02A"/>
      </w:r>
      <w:bookmarkEnd w:id="0"/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02D52" w:rsidRPr="00E02D52" w14:paraId="6D392C40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5FEDB8B" w14:textId="77777777" w:rsidR="00E02D52" w:rsidRPr="00E02D52" w:rsidRDefault="00E02D5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02D52">
              <w:rPr>
                <w:rFonts w:cs="Times New Roman"/>
              </w:rPr>
              <w:tab/>
            </w:r>
            <w:r w:rsidRPr="00E02D5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02D52" w:rsidRPr="00E02D52" w14:paraId="2A649B4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F0B951E" w14:textId="0FD9092D" w:rsidR="00E02D52" w:rsidRPr="00E02D52" w:rsidRDefault="00E02D52" w:rsidP="00154D7C">
            <w:pPr>
              <w:pStyle w:val="SingleTxtG"/>
              <w:ind w:left="3515" w:hanging="2381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Доклад о совещаниях рабочей группы по BLEVE.</w:t>
            </w:r>
          </w:p>
        </w:tc>
      </w:tr>
      <w:tr w:rsidR="00E02D52" w:rsidRPr="00E02D52" w14:paraId="216642C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CB4712B" w14:textId="010CA437" w:rsidR="00E02D52" w:rsidRPr="00E02D52" w:rsidRDefault="00E02D52" w:rsidP="00154D7C">
            <w:pPr>
              <w:pStyle w:val="SingleTxtG"/>
              <w:ind w:left="3515" w:hanging="2381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Принять к сведению работу группы и то, что предложения будут представлены в других документах.</w:t>
            </w:r>
          </w:p>
        </w:tc>
      </w:tr>
      <w:tr w:rsidR="00E02D52" w:rsidRPr="00E02D52" w14:paraId="1481E47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5637B66" w14:textId="4449A716" w:rsidR="00E02D52" w:rsidRPr="00E02D52" w:rsidRDefault="00E02D52" w:rsidP="00154D7C">
            <w:pPr>
              <w:pStyle w:val="SingleTxtG"/>
              <w:ind w:left="3515" w:hanging="2381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 xml:space="preserve">ECE/TRANS/WP.15/AC.1/2019/INF.8, ECE/TRANS/WP.15/AC.1/2019/INF.23 (мартовская сессия 2019 года), </w:t>
            </w:r>
            <w:r w:rsidR="00154D7C">
              <w:br/>
            </w:r>
            <w:r>
              <w:t xml:space="preserve">ECE/TRANS/WP.15/AC.1/2020/42, ECE/TRANS/WP.15/AC.1/2020/INF.7 и </w:t>
            </w:r>
            <w:r w:rsidR="00C86DCE">
              <w:t>Add.1</w:t>
            </w:r>
            <w:r w:rsidR="00C86DCE" w:rsidRPr="00C86DCE">
              <w:t>-</w:t>
            </w:r>
            <w:r w:rsidR="00C86DCE">
              <w:t>Add.7</w:t>
            </w:r>
            <w:r>
              <w:t xml:space="preserve">, ECE/TRANS/WP.15/AC.1/2020/INF.20 (сентябрьская сессия 2020 года) </w:t>
            </w:r>
            <w:r w:rsidR="00154D7C">
              <w:br/>
            </w:r>
            <w:r w:rsidRPr="00154D7C">
              <w:rPr>
                <w:spacing w:val="-4"/>
              </w:rPr>
              <w:t>и ECE/TRANS/WP.15/109/INF.7 (майская сессия 2021 года).</w:t>
            </w:r>
          </w:p>
        </w:tc>
      </w:tr>
      <w:tr w:rsidR="00E02D52" w:rsidRPr="00E02D52" w14:paraId="2EC9FF8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626EFCA" w14:textId="77777777" w:rsidR="00E02D52" w:rsidRPr="00E02D52" w:rsidRDefault="00E02D52" w:rsidP="00850215">
            <w:pPr>
              <w:rPr>
                <w:rFonts w:cs="Times New Roman"/>
              </w:rPr>
            </w:pPr>
          </w:p>
        </w:tc>
      </w:tr>
    </w:tbl>
    <w:p w14:paraId="6F20FFFB" w14:textId="77777777" w:rsidR="00E02D52" w:rsidRPr="0031141E" w:rsidRDefault="00E02D52" w:rsidP="00C86DCE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6009349F" w14:textId="77777777" w:rsidR="00E02D52" w:rsidRPr="0031141E" w:rsidRDefault="00E02D52" w:rsidP="00E02D52">
      <w:pPr>
        <w:pStyle w:val="SingleTxtG"/>
        <w:ind w:right="993"/>
      </w:pPr>
      <w:r>
        <w:t>1.</w:t>
      </w:r>
      <w:r>
        <w:tab/>
        <w:t>Рабочая группа по BLEVE, работающая в соответствии с кругом ведения, определенным Совместным совещанием, рассматривает меры, которые позволят предотвратить возникновение BLEVE в случае пожара при перевозке легковоспламеняющихся жидкостей и воспламеняющихся газов.</w:t>
      </w:r>
    </w:p>
    <w:p w14:paraId="5C349C17" w14:textId="20D8BBE3" w:rsidR="00E02D52" w:rsidRPr="0031141E" w:rsidRDefault="00E02D52" w:rsidP="00E02D52">
      <w:pPr>
        <w:pStyle w:val="SingleTxtG"/>
        <w:ind w:right="993"/>
      </w:pPr>
      <w:r>
        <w:t>2.</w:t>
      </w:r>
      <w:r>
        <w:tab/>
        <w:t>На сессии Совместного совещания в сентябре 2020 года были представлены документы ECE/TRANS/WP.15/AC.1/2020/42, INF.7, INF.7/Add.1</w:t>
      </w:r>
      <w:r w:rsidR="00C86DCE" w:rsidRPr="00C86DCE">
        <w:t>-</w:t>
      </w:r>
      <w:r>
        <w:t>Add.7 и INF.20. Представитель Испании, выступая от имени рабочей группы по BLEVE, запросил руководящие указания в отношении шести мер, которые, как было определено, могут способствовать предотвращению взрывов расширяющихся паров кипящей жидкости (BLEVE): а) установка металлических брызговиков, b) установка систем пожаротушения моторного отсека, с) установка предохранительного клапана, d)</w:t>
      </w:r>
      <w:r>
        <w:rPr>
          <w:lang w:val="en-US"/>
        </w:rPr>
        <w:t> </w:t>
      </w:r>
      <w:r>
        <w:t xml:space="preserve">внедрение технических устройств для обеспечения общей безопасности дорожного движения, е) установка термостойкого экрана между кабиной и цистерной </w:t>
      </w:r>
      <w:r>
        <w:br/>
        <w:t>и f) использование вспененных алюминиевых сплавов (ВАС) внутри цистерны.</w:t>
      </w:r>
    </w:p>
    <w:p w14:paraId="69550082" w14:textId="77777777" w:rsidR="00E02D52" w:rsidRPr="0031141E" w:rsidRDefault="00E02D52" w:rsidP="00E02D52">
      <w:pPr>
        <w:pStyle w:val="SingleTxtG"/>
        <w:ind w:right="993"/>
      </w:pPr>
      <w:r>
        <w:t>3.</w:t>
      </w:r>
      <w:r>
        <w:tab/>
        <w:t>После обсуждения были приняты следующие решения (см. доклад ECE/TRANS/WP.15/AC.1/158):</w:t>
      </w:r>
    </w:p>
    <w:p w14:paraId="7D01797A" w14:textId="77777777" w:rsidR="00E02D52" w:rsidRPr="0031141E" w:rsidRDefault="00E02D52" w:rsidP="00E02D52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 xml:space="preserve">Совместное совещание решило установить приоритетность мер a), b) и c) на индивидуальной или комбинированной основе. </w:t>
      </w:r>
    </w:p>
    <w:p w14:paraId="3C9E3FFF" w14:textId="77777777" w:rsidR="00E02D52" w:rsidRPr="0031141E" w:rsidRDefault="00E02D52" w:rsidP="00E02D52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 xml:space="preserve">Касаясь неофициального документа INF.20 относительно обязательных сроков применения положений по безопасности для новых грузовых транспортных средств, делегаты отметили, что меры d) уже рассматриваются Всемирным форумом для согласования правил в области транспортных средств (WP.29). </w:t>
      </w:r>
    </w:p>
    <w:p w14:paraId="1E09EB16" w14:textId="3EA18140" w:rsidR="00E02D52" w:rsidRPr="0031141E" w:rsidRDefault="00E02D52" w:rsidP="00E02D52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>Совместное совещание также решило провести дальнейшую оценку меры</w:t>
      </w:r>
      <w:r>
        <w:rPr>
          <w:lang w:val="en-US"/>
        </w:rPr>
        <w:t> </w:t>
      </w:r>
      <w:r>
        <w:t xml:space="preserve">е). </w:t>
      </w:r>
    </w:p>
    <w:p w14:paraId="7D8C6F79" w14:textId="77777777" w:rsidR="00E02D52" w:rsidRPr="0031141E" w:rsidRDefault="00E02D52" w:rsidP="00E02D52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 xml:space="preserve">Некоторые делегаты рекомендовали продолжить изучение вопроса о термическом покрытии в случае появления новых элементов. </w:t>
      </w:r>
    </w:p>
    <w:p w14:paraId="0F9D75E9" w14:textId="77777777" w:rsidR="00E02D52" w:rsidRPr="0031141E" w:rsidRDefault="00E02D52" w:rsidP="00E02D52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>Меры f) не были сочтены уместными из-за неопределенности в отношении эффективности, влияния на техническое обслуживание или проверки и расходов, связанных с использованием ВАС.</w:t>
      </w:r>
    </w:p>
    <w:p w14:paraId="26C1365A" w14:textId="5BBC8BB1" w:rsidR="00E02D52" w:rsidRPr="0031141E" w:rsidRDefault="00E02D52" w:rsidP="00E02D52">
      <w:pPr>
        <w:pStyle w:val="SingleTxtG"/>
        <w:ind w:right="993"/>
      </w:pPr>
      <w:r>
        <w:t>4.</w:t>
      </w:r>
      <w:r>
        <w:tab/>
        <w:t>Рабочая группа по BLEVE продолжила разработку предложений по реализации мер a), b) и c) в ходе совещаний в Microsoft Teams, состоявшихся 20 ноября 2020 года, 1</w:t>
      </w:r>
      <w:r>
        <w:rPr>
          <w:lang w:val="en-US"/>
        </w:rPr>
        <w:t> </w:t>
      </w:r>
      <w:r>
        <w:t>марта 2021 года, 14 апреля 2021 года, 27 мая 2021 года и 16 июня 2021 года.</w:t>
      </w:r>
    </w:p>
    <w:p w14:paraId="5D4ED1D7" w14:textId="290C88DC" w:rsidR="00E02D52" w:rsidRPr="0031141E" w:rsidRDefault="00E02D52" w:rsidP="00E02D52">
      <w:pPr>
        <w:pStyle w:val="SingleTxtG"/>
        <w:ind w:right="993"/>
      </w:pPr>
      <w:r>
        <w:t>5.</w:t>
      </w:r>
      <w:r>
        <w:tab/>
        <w:t xml:space="preserve">На сессии WP.15 в мае 2021 года был представлен неофициальный документ (INF.7), содержащий варианты осуществления мер a) и b) с учетом того, </w:t>
      </w:r>
      <w:r w:rsidR="006C5912">
        <w:br/>
      </w:r>
      <w:r>
        <w:t xml:space="preserve">что они применимы только к автомобильному транспорту </w:t>
      </w:r>
      <w:r>
        <w:br/>
        <w:t>(</w:t>
      </w:r>
      <w:hyperlink r:id="rId8" w:history="1">
        <w:r w:rsidRPr="00E02D52">
          <w:rPr>
            <w:rStyle w:val="Hyperlink"/>
          </w:rPr>
          <w:t>https://unece.org/sites/default/files/2021-04/ECE-TRANS-WP15-109-GE-inf7e.pdf</w:t>
        </w:r>
      </w:hyperlink>
      <w:r>
        <w:t xml:space="preserve">). Поэтому WP.15 любезно попросили высказать первоначальное мнение </w:t>
      </w:r>
      <w:r w:rsidR="006C5912">
        <w:br/>
      </w:r>
      <w:r>
        <w:t xml:space="preserve">по этим вариантам, чтобы указать рабочей группе по BLEVE направление, в котором следует вести разработку предложений. Эта обратная связь поможет определить содержание официального документа, который будет представлен на следующей сессии WP.15 в ноябре 2021 года. </w:t>
      </w:r>
    </w:p>
    <w:p w14:paraId="33D51952" w14:textId="77777777" w:rsidR="00E02D52" w:rsidRPr="0031141E" w:rsidRDefault="00E02D52" w:rsidP="00E02D52">
      <w:pPr>
        <w:pStyle w:val="SingleTxtG"/>
        <w:ind w:right="993"/>
      </w:pPr>
      <w:r>
        <w:t>6.</w:t>
      </w:r>
      <w:r>
        <w:tab/>
        <w:t>Установка брызговиков и установка систем пожаротушения дополняют друг друга и, вместе с обязательным требованием об оборудовании предохранительными клапанами определенных цистерн, могут способствовать эффективному предотвращению BLEVE, как показывают проведенные ранее исследования (см. INF.8 и INF.23, подготовленные ИНЕРИС для правительства Франции и представленные на сессии Совместного совещания в марте 2019 года).</w:t>
      </w:r>
    </w:p>
    <w:p w14:paraId="11392E11" w14:textId="77777777" w:rsidR="00E02D52" w:rsidRPr="0031141E" w:rsidRDefault="00E02D52" w:rsidP="00E02D52">
      <w:pPr>
        <w:pStyle w:val="SingleTxtG"/>
        <w:ind w:right="993"/>
      </w:pPr>
      <w:r>
        <w:t>7.</w:t>
      </w:r>
      <w:r>
        <w:tab/>
        <w:t xml:space="preserve">Следует отметить, что в INF.8 Совместному совещанию была передана информация о сфере деятельности рабочей группы по BLEVE. В нем также говорится, что повышение температуры любого сжиженного вещества выше точки кипения может </w:t>
      </w:r>
      <w:r>
        <w:lastRenderedPageBreak/>
        <w:t xml:space="preserve">привести к возникновению BLEVE (в INF.8/Add.1 приводится перечень веществ, приведших к BLEVE (Abbasi &amp; Abbasi, 2006)), и поэтому целью группы является разработка мер по устранению опасности BLEVE не только в случае СНГ, но и в случае других веществ (других легковоспламеняющихся или невоспламеняющихся газов и легковоспламеняющихся жидкостей). Таким образом, сфера применения предложений рабочей группы по BLEVE о внесении изменений в МПОГ/ДОПОГ, вероятно, будет охватывать СНГ и другие газы и легковоспламеняющиеся жидкости, которые могут вызвать BLEVE. </w:t>
      </w:r>
    </w:p>
    <w:p w14:paraId="59A8FC65" w14:textId="77777777" w:rsidR="00E02D52" w:rsidRPr="0031141E" w:rsidRDefault="00E02D52" w:rsidP="00E02D52">
      <w:pPr>
        <w:pStyle w:val="SingleTxtG"/>
        <w:ind w:right="993"/>
      </w:pPr>
      <w:r>
        <w:t>8.</w:t>
      </w:r>
      <w:r>
        <w:tab/>
        <w:t>Кроме того, хотя это и не входит в сферу деятельности рабочей группы по BLEVE, любые меры, предотвращающие распространение пожара на автоцистернах, скорее всего, будут иметь и более общие преимущества в плане безопасности (помимо уменьшения опасности возникновения BLEVE). Эти преимущества не были оценены количественно, но представляется вероятным, что такие меры, тем не менее, будут иметь дополнительные преимущества в плане обеспечения безопасности дорожного движения.</w:t>
      </w:r>
    </w:p>
    <w:p w14:paraId="42E78DB3" w14:textId="35CE368A" w:rsidR="00E02D52" w:rsidRPr="0031141E" w:rsidRDefault="00E02D52" w:rsidP="00E02D52">
      <w:pPr>
        <w:pStyle w:val="SingleTxtG"/>
        <w:ind w:right="993"/>
      </w:pPr>
      <w:r>
        <w:t>9.</w:t>
      </w:r>
      <w:r>
        <w:tab/>
        <w:t>С докладом WP</w:t>
      </w:r>
      <w:r w:rsidR="006D4E56" w:rsidRPr="00177ED9">
        <w:t>.</w:t>
      </w:r>
      <w:r>
        <w:t>15 о работе ее майской сессии можно ознакомиться в документе ECE/TRANS/WP.15/253, но ключевыми моментами являются следующие:</w:t>
      </w:r>
    </w:p>
    <w:p w14:paraId="4833F228" w14:textId="77777777" w:rsidR="00E02D52" w:rsidRPr="0031141E" w:rsidRDefault="00E02D52" w:rsidP="00E02D5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 xml:space="preserve">Представитель Испании представила Рабочей группе предложения неофициальной рабочей группы по BLEVE Совместного совещания об оснащении транспортных средств системами пожаротушения моторного отсека и защиты от загорания шин, приняла к сведению высказанные в ходе сессии замечания и предпочтения в отношении различных предложенных вариантов (мнения о том, какой вариант является наилучшим, разделились) и предложила тем делегациям, которые пожелают сделать это, изучить различные варианты и передать ей свои замечания, по возможности, до следующего совещания неофициальной группы, запланированного на 27 мая 2021 года. Она также предложила делегациям, желающим участвовать в работе неофициальной группы, связаться с ней. </w:t>
      </w:r>
    </w:p>
    <w:p w14:paraId="0BDDB21D" w14:textId="77777777" w:rsidR="00E02D52" w:rsidRPr="0031141E" w:rsidRDefault="00E02D52" w:rsidP="00E02D5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 xml:space="preserve">Рабочая группа отметила, что неофициальная группа по BLEVE представит на следующей сессии официальный документ, касающийся оснащения транспортных средств системами пожаротушения моторного отсека и защиты от загорания шин. </w:t>
      </w:r>
    </w:p>
    <w:p w14:paraId="5306C43F" w14:textId="77777777" w:rsidR="00E02D52" w:rsidRPr="0031141E" w:rsidRDefault="00E02D52" w:rsidP="00E02D5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2268" w:right="993" w:hanging="567"/>
      </w:pPr>
      <w:r>
        <w:t xml:space="preserve">Рабочая группа также отметила, что предложения по предохранительным клапанам будут представлены отдельно на Совместном совещании, так как они применимы ко всем видам наземного транспорта. </w:t>
      </w:r>
    </w:p>
    <w:p w14:paraId="45A38A31" w14:textId="584D0D0B" w:rsidR="00E02D52" w:rsidRPr="00177ED9" w:rsidRDefault="00177ED9" w:rsidP="00177ED9">
      <w:pPr>
        <w:pStyle w:val="HChG"/>
      </w:pPr>
      <w:r>
        <w:tab/>
      </w:r>
      <w:r>
        <w:tab/>
      </w:r>
      <w:r w:rsidR="00E02D52" w:rsidRPr="00177ED9">
        <w:t>Последующие шаги</w:t>
      </w:r>
    </w:p>
    <w:p w14:paraId="2DF94375" w14:textId="77777777" w:rsidR="00E02D52" w:rsidRPr="0031141E" w:rsidRDefault="00E02D52" w:rsidP="00E02D52">
      <w:pPr>
        <w:pStyle w:val="SingleTxtG"/>
        <w:ind w:right="993"/>
      </w:pPr>
      <w:r>
        <w:t>10.</w:t>
      </w:r>
      <w:r>
        <w:tab/>
        <w:t>Рабочая группа по BLEVE продолжает свою работу, и предполагается, что следующие шаги будут включать представление:</w:t>
      </w:r>
    </w:p>
    <w:p w14:paraId="4E9DA82F" w14:textId="7F498816" w:rsidR="00E02D52" w:rsidRPr="00E02D52" w:rsidRDefault="00E02D52" w:rsidP="00E02D52">
      <w:pPr>
        <w:pStyle w:val="Bullet1G"/>
      </w:pPr>
      <w:r w:rsidRPr="00E02D52">
        <w:t xml:space="preserve">рабочего документа с предложениями об обязательном оборудовании цистерн предохранительными клапанами </w:t>
      </w:r>
      <w:r w:rsidR="00177ED9" w:rsidRPr="00AA7B53">
        <w:t>—</w:t>
      </w:r>
      <w:r w:rsidRPr="00E02D52">
        <w:t xml:space="preserve"> к сентябрьской сессии Совместного совещания 2021 года; и</w:t>
      </w:r>
    </w:p>
    <w:p w14:paraId="1149F442" w14:textId="17A185DE" w:rsidR="00E02D52" w:rsidRPr="00E02D52" w:rsidRDefault="00E02D52" w:rsidP="00E02D52">
      <w:pPr>
        <w:pStyle w:val="Bullet1G"/>
      </w:pPr>
      <w:r w:rsidRPr="00E02D52">
        <w:t xml:space="preserve">рабочего документа с предложениями по внедрению систем пожаротушения моторного отсека и защиты от загорания шин </w:t>
      </w:r>
      <w:r w:rsidR="00AA7B53" w:rsidRPr="00AA7B53">
        <w:t>—</w:t>
      </w:r>
      <w:r w:rsidRPr="00E02D52">
        <w:t xml:space="preserve"> к ноябрьской сессии WP.15.</w:t>
      </w:r>
    </w:p>
    <w:p w14:paraId="5D2C5201" w14:textId="58B07E9A" w:rsidR="00E02D52" w:rsidRPr="0031141E" w:rsidRDefault="00E02D52" w:rsidP="00E02D52">
      <w:pPr>
        <w:pStyle w:val="SingleTxtG"/>
        <w:ind w:right="993"/>
      </w:pPr>
      <w:r>
        <w:t>11.</w:t>
      </w:r>
      <w:r>
        <w:tab/>
        <w:t>Предполагается, что дополнительное совещание рабочей группы по BLEVE будет проведено в начале июля, т.</w:t>
      </w:r>
      <w:r w:rsidR="00AA7B53">
        <w:rPr>
          <w:lang w:val="en-US"/>
        </w:rPr>
        <w:t> </w:t>
      </w:r>
      <w:r>
        <w:t>е. до крайнего срока представления рабочих документов WP.15, с целью выработки предложений для представления WP.15.</w:t>
      </w:r>
    </w:p>
    <w:p w14:paraId="0852DBE4" w14:textId="59E87B39" w:rsidR="00E02D52" w:rsidRDefault="00E02D52" w:rsidP="00E02D52">
      <w:pPr>
        <w:pStyle w:val="SingleTxtG"/>
        <w:ind w:right="993"/>
      </w:pPr>
      <w:r>
        <w:t>12.</w:t>
      </w:r>
      <w:r>
        <w:tab/>
        <w:t>После майской сессии WP.15 в деятельности рабочей группы по BLEVE приняли участие несколько новых сторон, поэтому ожидается, что к следующей сессии WP.15 будут представлены хорошо проработанные предложения.</w:t>
      </w:r>
    </w:p>
    <w:p w14:paraId="46CC166E" w14:textId="29A418F0" w:rsidR="00E02D52" w:rsidRPr="00E02D52" w:rsidRDefault="00E02D52" w:rsidP="00E02D52">
      <w:pPr>
        <w:pStyle w:val="SingleTxtG"/>
        <w:spacing w:before="240" w:after="0"/>
        <w:ind w:right="993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2D52" w:rsidRPr="00E02D52" w:rsidSect="00E02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99E0" w14:textId="77777777" w:rsidR="00EB62D4" w:rsidRPr="00A312BC" w:rsidRDefault="00EB62D4" w:rsidP="00A312BC"/>
  </w:endnote>
  <w:endnote w:type="continuationSeparator" w:id="0">
    <w:p w14:paraId="7F347112" w14:textId="77777777" w:rsidR="00EB62D4" w:rsidRPr="00A312BC" w:rsidRDefault="00EB62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D81F" w14:textId="63E1B444" w:rsidR="00E02D52" w:rsidRPr="00E02D52" w:rsidRDefault="00E02D52">
    <w:pPr>
      <w:pStyle w:val="Footer"/>
    </w:pPr>
    <w:r w:rsidRPr="00E02D52">
      <w:rPr>
        <w:b/>
        <w:sz w:val="18"/>
      </w:rPr>
      <w:fldChar w:fldCharType="begin"/>
    </w:r>
    <w:r w:rsidRPr="00E02D52">
      <w:rPr>
        <w:b/>
        <w:sz w:val="18"/>
      </w:rPr>
      <w:instrText xml:space="preserve"> PAGE  \* MERGEFORMAT </w:instrText>
    </w:r>
    <w:r w:rsidRPr="00E02D52">
      <w:rPr>
        <w:b/>
        <w:sz w:val="18"/>
      </w:rPr>
      <w:fldChar w:fldCharType="separate"/>
    </w:r>
    <w:r w:rsidRPr="00E02D52">
      <w:rPr>
        <w:b/>
        <w:noProof/>
        <w:sz w:val="18"/>
      </w:rPr>
      <w:t>2</w:t>
    </w:r>
    <w:r w:rsidRPr="00E02D52">
      <w:rPr>
        <w:b/>
        <w:sz w:val="18"/>
      </w:rPr>
      <w:fldChar w:fldCharType="end"/>
    </w:r>
    <w:r>
      <w:rPr>
        <w:b/>
        <w:sz w:val="18"/>
      </w:rPr>
      <w:tab/>
    </w:r>
    <w:r>
      <w:t>GE.21-08875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287B" w14:textId="79E0C1D9" w:rsidR="00E02D52" w:rsidRPr="00E02D52" w:rsidRDefault="00E02D52" w:rsidP="00E02D52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GE.21-08875</w:t>
    </w:r>
    <w:r>
      <w:tab/>
    </w:r>
    <w:r w:rsidRPr="00E02D52">
      <w:rPr>
        <w:b/>
        <w:sz w:val="18"/>
      </w:rPr>
      <w:fldChar w:fldCharType="begin"/>
    </w:r>
    <w:r w:rsidRPr="00E02D52">
      <w:rPr>
        <w:b/>
        <w:sz w:val="18"/>
      </w:rPr>
      <w:instrText xml:space="preserve"> PAGE  \* MERGEFORMAT </w:instrText>
    </w:r>
    <w:r w:rsidRPr="00E02D52">
      <w:rPr>
        <w:b/>
        <w:sz w:val="18"/>
      </w:rPr>
      <w:fldChar w:fldCharType="separate"/>
    </w:r>
    <w:r w:rsidRPr="00E02D52">
      <w:rPr>
        <w:b/>
        <w:noProof/>
        <w:sz w:val="18"/>
      </w:rPr>
      <w:t>3</w:t>
    </w:r>
    <w:r w:rsidRPr="00E02D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C298" w14:textId="26491C28" w:rsidR="00042B72" w:rsidRPr="00E02D52" w:rsidRDefault="00E02D52" w:rsidP="00E02D5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9A1C52" wp14:editId="3E534C4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21-08875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7B7496" wp14:editId="2F1DC0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060721  070721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C134" w14:textId="77777777" w:rsidR="00EB62D4" w:rsidRPr="001075E9" w:rsidRDefault="00EB62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70B782" w14:textId="77777777" w:rsidR="00EB62D4" w:rsidRDefault="00EB62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D351E7" w14:textId="77777777" w:rsidR="00E02D52" w:rsidRPr="000D2903" w:rsidRDefault="00E02D52" w:rsidP="00E02D52">
      <w:pPr>
        <w:pStyle w:val="FootnoteText"/>
      </w:pPr>
      <w:r>
        <w:tab/>
      </w:r>
      <w:r w:rsidRPr="00E02D52">
        <w:rPr>
          <w:rStyle w:val="FootnoteReference"/>
          <w:sz w:val="20"/>
          <w:shd w:val="clear" w:color="auto" w:fill="FFFFFF"/>
          <w:vertAlign w:val="baseline"/>
        </w:rPr>
        <w:sym w:font="Symbol" w:char="F02A"/>
      </w:r>
      <w:r w:rsidRPr="000D2903">
        <w:tab/>
        <w:t>A/75/6 (разд. 20), п. 20.51.</w:t>
      </w:r>
    </w:p>
  </w:footnote>
  <w:footnote w:id="2">
    <w:p w14:paraId="50F9BE8B" w14:textId="77777777" w:rsidR="00E02D52" w:rsidRPr="000D2903" w:rsidRDefault="00E02D52" w:rsidP="00E02D52">
      <w:pPr>
        <w:pStyle w:val="FootnoteText"/>
      </w:pPr>
      <w:r w:rsidRPr="000D2903">
        <w:tab/>
      </w:r>
      <w:r w:rsidRPr="00E02D52">
        <w:rPr>
          <w:rStyle w:val="FootnoteReference"/>
          <w:sz w:val="20"/>
          <w:shd w:val="clear" w:color="auto" w:fill="FFFFFF"/>
          <w:vertAlign w:val="baseline"/>
        </w:rPr>
        <w:sym w:font="Symbol" w:char="F02A"/>
      </w:r>
      <w:r w:rsidRPr="00E02D52">
        <w:rPr>
          <w:rStyle w:val="FootnoteReference"/>
          <w:sz w:val="20"/>
          <w:shd w:val="clear" w:color="auto" w:fill="FFFFFF"/>
          <w:vertAlign w:val="baseline"/>
        </w:rPr>
        <w:sym w:font="Symbol" w:char="F02A"/>
      </w:r>
      <w:r w:rsidRPr="00E02D52">
        <w:rPr>
          <w:rStyle w:val="FootnoteReference"/>
          <w:sz w:val="20"/>
          <w:shd w:val="clear" w:color="auto" w:fill="FFFFFF"/>
          <w:vertAlign w:val="baseline"/>
        </w:rPr>
        <w:tab/>
      </w:r>
      <w:r w:rsidRPr="000D2903">
        <w:t>Распространено Межправительственной организацией по международным железнодорожным перевозкам (ОТИФ) под условным обозначением OTIF/RID/RC/2021/35.</w:t>
      </w:r>
    </w:p>
  </w:footnote>
  <w:footnote w:id="3">
    <w:p w14:paraId="180FBA1B" w14:textId="77777777" w:rsidR="00E02D52" w:rsidRPr="0031141E" w:rsidRDefault="00E02D52" w:rsidP="00E02D52">
      <w:pPr>
        <w:pStyle w:val="FootnoteText"/>
      </w:pPr>
      <w:r w:rsidRPr="000D2903">
        <w:tab/>
      </w:r>
      <w:r w:rsidRPr="00E02D52">
        <w:rPr>
          <w:rStyle w:val="FootnoteReference"/>
          <w:sz w:val="20"/>
          <w:shd w:val="clear" w:color="auto" w:fill="FFFFFF"/>
          <w:vertAlign w:val="baseline"/>
        </w:rPr>
        <w:sym w:font="Symbol" w:char="F02A"/>
      </w:r>
      <w:r w:rsidRPr="00E02D52">
        <w:rPr>
          <w:rStyle w:val="FootnoteReference"/>
          <w:sz w:val="20"/>
          <w:shd w:val="clear" w:color="auto" w:fill="FFFFFF"/>
          <w:vertAlign w:val="baseline"/>
        </w:rPr>
        <w:sym w:font="Symbol" w:char="F02A"/>
      </w:r>
      <w:r w:rsidRPr="00E02D52">
        <w:rPr>
          <w:rStyle w:val="FootnoteReference"/>
          <w:sz w:val="20"/>
          <w:shd w:val="clear" w:color="auto" w:fill="FFFFFF"/>
          <w:vertAlign w:val="baseline"/>
        </w:rPr>
        <w:sym w:font="Symbol" w:char="F02A"/>
      </w:r>
      <w:r w:rsidRPr="00E02D52">
        <w:rPr>
          <w:rStyle w:val="FootnoteReference"/>
          <w:sz w:val="20"/>
          <w:shd w:val="clear" w:color="auto" w:fill="FFFFFF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E5FE" w14:textId="400A846A" w:rsidR="00E02D52" w:rsidRPr="00E02D52" w:rsidRDefault="00F4357E">
    <w:pPr>
      <w:pStyle w:val="Header"/>
    </w:pPr>
    <w:fldSimple w:instr=" TITLE  \* MERGEFORMAT ">
      <w:r>
        <w:t>ECE/TRANS/WP.15/AC.1/2021/35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E5AF" w14:textId="41E2C417" w:rsidR="00E02D52" w:rsidRPr="00E02D52" w:rsidRDefault="00F4357E" w:rsidP="00E02D52">
    <w:pPr>
      <w:pStyle w:val="Header"/>
      <w:jc w:val="right"/>
    </w:pPr>
    <w:fldSimple w:instr=" TITLE  \* MERGEFORMAT ">
      <w:r>
        <w:t>ECE/TRANS/WP.15/AC.1/2021/35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FD6E" w14:textId="77777777" w:rsidR="00E02D52" w:rsidRDefault="00E02D52" w:rsidP="00E02D5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857BA"/>
    <w:multiLevelType w:val="hybridMultilevel"/>
    <w:tmpl w:val="A8CAB9FC"/>
    <w:lvl w:ilvl="0" w:tplc="EB96768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0D1235"/>
    <w:multiLevelType w:val="hybridMultilevel"/>
    <w:tmpl w:val="51B62774"/>
    <w:lvl w:ilvl="0" w:tplc="EB96768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881947"/>
    <w:multiLevelType w:val="hybridMultilevel"/>
    <w:tmpl w:val="BF3281CC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18"/>
  </w:num>
  <w:num w:numId="20">
    <w:abstractNumId w:val="15"/>
  </w:num>
  <w:num w:numId="21">
    <w:abstractNumId w:val="17"/>
  </w:num>
  <w:num w:numId="22">
    <w:abstractNumId w:val="12"/>
    <w:lvlOverride w:ilvl="0">
      <w:lvl w:ilvl="0" w:tplc="EB967684">
        <w:start w:val="1"/>
        <w:numFmt w:val="bullet"/>
        <w:lvlText w:val="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 w:tplc="EB967684">
        <w:start w:val="1"/>
        <w:numFmt w:val="bullet"/>
        <w:lvlText w:val="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4">
    <w:abstractNumId w:val="13"/>
    <w:lvlOverride w:ilvl="0">
      <w:lvl w:ilvl="0" w:tplc="08090001">
        <w:start w:val="1"/>
        <w:numFmt w:val="bullet"/>
        <w:lvlText w:val=""/>
        <w:lvlJc w:val="left"/>
        <w:pPr>
          <w:ind w:left="1900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D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4D7C"/>
    <w:rsid w:val="00177ED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912"/>
    <w:rsid w:val="006D461A"/>
    <w:rsid w:val="006D4E56"/>
    <w:rsid w:val="006F35EE"/>
    <w:rsid w:val="007021FF"/>
    <w:rsid w:val="00712895"/>
    <w:rsid w:val="00734ACB"/>
    <w:rsid w:val="00745212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7B5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6DCE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52AE"/>
    <w:rsid w:val="00DD78D1"/>
    <w:rsid w:val="00DE32CD"/>
    <w:rsid w:val="00DF5767"/>
    <w:rsid w:val="00DF71B9"/>
    <w:rsid w:val="00E02D52"/>
    <w:rsid w:val="00E12C5F"/>
    <w:rsid w:val="00E73F76"/>
    <w:rsid w:val="00EA2C9F"/>
    <w:rsid w:val="00EA420E"/>
    <w:rsid w:val="00EB62D4"/>
    <w:rsid w:val="00ED0BDA"/>
    <w:rsid w:val="00EE142A"/>
    <w:rsid w:val="00EF1360"/>
    <w:rsid w:val="00EF3220"/>
    <w:rsid w:val="00F2523A"/>
    <w:rsid w:val="00F4357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5AE7B"/>
  <w15:docId w15:val="{7F35F036-D166-4AE0-8C73-6222EE88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02D52"/>
    <w:rPr>
      <w:lang w:val="ru-RU" w:eastAsia="en-US"/>
    </w:rPr>
  </w:style>
  <w:style w:type="character" w:customStyle="1" w:styleId="HChGChar">
    <w:name w:val="_ H _Ch_G Char"/>
    <w:link w:val="HChG"/>
    <w:rsid w:val="00E02D52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0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1-04/ECE-TRANS-WP15-109-GE-inf7e.pdf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ECE/TRANS/WP.15/AC.1/2021/35</vt:lpstr>
      <vt:lpstr>A/</vt:lpstr>
      <vt:lpstr>A/</vt:lpstr>
    </vt:vector>
  </TitlesOfParts>
  <Company>DCM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ECE/TRANS/WP.15/AC.1/2021/35</dc:title>
  <dc:subject/>
  <dc:creator>Shuvalova NATALIA</dc:creator>
  <cp:keywords/>
  <cp:lastModifiedBy>Christine Barrio-Champeau</cp:lastModifiedBy>
  <cp:revision>2</cp:revision>
  <cp:lastPrinted>2021-07-07T14:23:00Z</cp:lastPrinted>
  <dcterms:created xsi:type="dcterms:W3CDTF">2021-08-10T12:58:00Z</dcterms:created>
  <dcterms:modified xsi:type="dcterms:W3CDTF">2021-08-10T12:58:00Z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