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BDF8401" w14:textId="77777777" w:rsidTr="00C97039">
        <w:trPr>
          <w:trHeight w:hRule="exact" w:val="851"/>
        </w:trPr>
        <w:tc>
          <w:tcPr>
            <w:tcW w:w="1276" w:type="dxa"/>
            <w:tcBorders>
              <w:bottom w:val="single" w:sz="4" w:space="0" w:color="auto"/>
            </w:tcBorders>
          </w:tcPr>
          <w:p w14:paraId="0E1C691D" w14:textId="77777777" w:rsidR="00F35BAF" w:rsidRPr="00DB58B5" w:rsidRDefault="00F35BAF" w:rsidP="00115A48"/>
        </w:tc>
        <w:tc>
          <w:tcPr>
            <w:tcW w:w="2268" w:type="dxa"/>
            <w:tcBorders>
              <w:bottom w:val="single" w:sz="4" w:space="0" w:color="auto"/>
            </w:tcBorders>
            <w:vAlign w:val="bottom"/>
          </w:tcPr>
          <w:p w14:paraId="72F9243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EE87E0" w14:textId="77777777" w:rsidR="00F35BAF" w:rsidRPr="00DB58B5" w:rsidRDefault="00115A48" w:rsidP="00115A48">
            <w:pPr>
              <w:jc w:val="right"/>
            </w:pPr>
            <w:r w:rsidRPr="001B4A4F">
              <w:rPr>
                <w:rFonts w:eastAsia="Times New Roman"/>
                <w:sz w:val="40"/>
                <w:lang w:val="en-GB" w:eastAsia="fr-FR"/>
              </w:rPr>
              <w:t>ECE</w:t>
            </w:r>
            <w:r>
              <w:t>/TRANS/WP.15/AC.1/2021/33</w:t>
            </w:r>
          </w:p>
        </w:tc>
      </w:tr>
      <w:tr w:rsidR="00F35BAF" w:rsidRPr="00DB58B5" w14:paraId="268422C5" w14:textId="77777777" w:rsidTr="00C97039">
        <w:trPr>
          <w:trHeight w:hRule="exact" w:val="2835"/>
        </w:trPr>
        <w:tc>
          <w:tcPr>
            <w:tcW w:w="1276" w:type="dxa"/>
            <w:tcBorders>
              <w:top w:val="single" w:sz="4" w:space="0" w:color="auto"/>
              <w:bottom w:val="single" w:sz="12" w:space="0" w:color="auto"/>
            </w:tcBorders>
          </w:tcPr>
          <w:p w14:paraId="18D7D5DC" w14:textId="77777777" w:rsidR="00F35BAF" w:rsidRPr="00DB58B5" w:rsidRDefault="00F35BAF" w:rsidP="00C97039">
            <w:pPr>
              <w:spacing w:before="120"/>
              <w:jc w:val="center"/>
            </w:pPr>
            <w:r>
              <w:rPr>
                <w:noProof/>
                <w:lang w:eastAsia="fr-CH"/>
              </w:rPr>
              <w:drawing>
                <wp:inline distT="0" distB="0" distL="0" distR="0" wp14:anchorId="5BECEFF9" wp14:editId="2BBF14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3414F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1427FD" w14:textId="77777777" w:rsidR="00F35BAF" w:rsidRDefault="00115A48" w:rsidP="00C97039">
            <w:pPr>
              <w:spacing w:before="240"/>
            </w:pPr>
            <w:r>
              <w:t>Distr. générale</w:t>
            </w:r>
          </w:p>
          <w:p w14:paraId="084EBE80" w14:textId="77777777" w:rsidR="00115A48" w:rsidRDefault="00115A48" w:rsidP="00115A48">
            <w:pPr>
              <w:spacing w:line="240" w:lineRule="exact"/>
            </w:pPr>
            <w:r>
              <w:t>25 juin 2021</w:t>
            </w:r>
          </w:p>
          <w:p w14:paraId="4FEEE0B5" w14:textId="77777777" w:rsidR="00115A48" w:rsidRDefault="00115A48" w:rsidP="00115A48">
            <w:pPr>
              <w:spacing w:line="240" w:lineRule="exact"/>
            </w:pPr>
            <w:r>
              <w:t>Français</w:t>
            </w:r>
          </w:p>
          <w:p w14:paraId="1A2F600A" w14:textId="77777777" w:rsidR="00115A48" w:rsidRPr="00DB58B5" w:rsidRDefault="00115A48" w:rsidP="00115A48">
            <w:pPr>
              <w:spacing w:line="240" w:lineRule="exact"/>
            </w:pPr>
            <w:r>
              <w:t>Original : anglais</w:t>
            </w:r>
          </w:p>
        </w:tc>
      </w:tr>
    </w:tbl>
    <w:p w14:paraId="3636AFD1" w14:textId="77777777" w:rsidR="007F20FA" w:rsidRPr="000312C0" w:rsidRDefault="007F20FA" w:rsidP="007F20FA">
      <w:pPr>
        <w:spacing w:before="120"/>
        <w:rPr>
          <w:b/>
          <w:sz w:val="28"/>
          <w:szCs w:val="28"/>
        </w:rPr>
      </w:pPr>
      <w:r w:rsidRPr="000312C0">
        <w:rPr>
          <w:b/>
          <w:sz w:val="28"/>
          <w:szCs w:val="28"/>
        </w:rPr>
        <w:t>Commission économique pour l’Europe</w:t>
      </w:r>
    </w:p>
    <w:p w14:paraId="6B03AD01" w14:textId="77777777" w:rsidR="007F20FA" w:rsidRDefault="007F20FA" w:rsidP="007F20FA">
      <w:pPr>
        <w:spacing w:before="120"/>
        <w:rPr>
          <w:sz w:val="28"/>
          <w:szCs w:val="28"/>
        </w:rPr>
      </w:pPr>
      <w:r w:rsidRPr="00685843">
        <w:rPr>
          <w:sz w:val="28"/>
          <w:szCs w:val="28"/>
        </w:rPr>
        <w:t>Comité des transports intérieurs</w:t>
      </w:r>
    </w:p>
    <w:p w14:paraId="0710F587" w14:textId="77777777" w:rsidR="00115A48" w:rsidRPr="00115A48" w:rsidRDefault="00115A48" w:rsidP="00602D3E">
      <w:pPr>
        <w:spacing w:before="120"/>
        <w:rPr>
          <w:b/>
          <w:sz w:val="24"/>
          <w:szCs w:val="24"/>
          <w:lang w:val="fr-FR"/>
        </w:rPr>
      </w:pPr>
      <w:r w:rsidRPr="00115A48">
        <w:rPr>
          <w:b/>
          <w:bCs/>
          <w:sz w:val="24"/>
          <w:szCs w:val="24"/>
          <w:lang w:val="fr-FR"/>
        </w:rPr>
        <w:t>Groupe de travail des transports de marchandises dangereuses</w:t>
      </w:r>
    </w:p>
    <w:p w14:paraId="30A800C1" w14:textId="77777777" w:rsidR="00115A48" w:rsidRPr="00115A48" w:rsidRDefault="00115A48" w:rsidP="00602D3E">
      <w:pPr>
        <w:spacing w:before="120"/>
        <w:rPr>
          <w:b/>
          <w:bCs/>
          <w:lang w:val="fr-FR"/>
        </w:rPr>
      </w:pPr>
      <w:r w:rsidRPr="00115A48">
        <w:rPr>
          <w:b/>
          <w:bCs/>
          <w:lang w:val="fr-FR"/>
        </w:rPr>
        <w:t>Réunion commune de la Commission d’experts du RID et du Groupe</w:t>
      </w:r>
      <w:r w:rsidR="00D707E8">
        <w:rPr>
          <w:b/>
          <w:bCs/>
          <w:lang w:val="fr-FR"/>
        </w:rPr>
        <w:br/>
      </w:r>
      <w:r w:rsidRPr="00115A48">
        <w:rPr>
          <w:b/>
          <w:bCs/>
          <w:lang w:val="fr-FR"/>
        </w:rPr>
        <w:t>de travail des transports de marchandises dangereuses</w:t>
      </w:r>
    </w:p>
    <w:p w14:paraId="3831B53E" w14:textId="77777777" w:rsidR="00115A48" w:rsidRPr="00115A48" w:rsidRDefault="00115A48" w:rsidP="00115A48">
      <w:pPr>
        <w:rPr>
          <w:lang w:val="fr-FR"/>
        </w:rPr>
      </w:pPr>
      <w:r w:rsidRPr="00115A48">
        <w:rPr>
          <w:lang w:val="fr-FR"/>
        </w:rPr>
        <w:t>Genève, 21 septembre-1</w:t>
      </w:r>
      <w:r w:rsidRPr="00115A48">
        <w:rPr>
          <w:vertAlign w:val="superscript"/>
          <w:lang w:val="fr-FR"/>
        </w:rPr>
        <w:t>er</w:t>
      </w:r>
      <w:r w:rsidRPr="00115A48">
        <w:rPr>
          <w:lang w:val="fr-FR"/>
        </w:rPr>
        <w:t xml:space="preserve"> octobre 2021</w:t>
      </w:r>
    </w:p>
    <w:p w14:paraId="6602F026" w14:textId="77777777" w:rsidR="00115A48" w:rsidRPr="00115A48" w:rsidRDefault="00115A48" w:rsidP="00115A48">
      <w:pPr>
        <w:rPr>
          <w:lang w:val="fr-FR"/>
        </w:rPr>
      </w:pPr>
      <w:r w:rsidRPr="00115A48">
        <w:rPr>
          <w:lang w:val="fr-FR"/>
        </w:rPr>
        <w:t>Point 5 a) de l’ordre du jour provisoire</w:t>
      </w:r>
    </w:p>
    <w:p w14:paraId="19C3DFD6" w14:textId="77777777" w:rsidR="00115A48" w:rsidRPr="00115A48" w:rsidRDefault="00115A48" w:rsidP="00115A48">
      <w:pPr>
        <w:rPr>
          <w:b/>
          <w:bCs/>
          <w:lang w:val="fr-FR"/>
        </w:rPr>
      </w:pPr>
      <w:r w:rsidRPr="00115A48">
        <w:rPr>
          <w:b/>
          <w:bCs/>
          <w:lang w:val="fr-FR"/>
        </w:rPr>
        <w:t>Propositions d’amendements au RID, à l’ADR et à l’ADN</w:t>
      </w:r>
      <w:r w:rsidR="00602D3E">
        <w:rPr>
          <w:b/>
          <w:bCs/>
          <w:lang w:val="fr-FR"/>
        </w:rPr>
        <w:t> </w:t>
      </w:r>
      <w:r w:rsidRPr="00115A48">
        <w:rPr>
          <w:b/>
          <w:bCs/>
          <w:lang w:val="fr-FR"/>
        </w:rPr>
        <w:t xml:space="preserve">: </w:t>
      </w:r>
    </w:p>
    <w:p w14:paraId="0A6EDC27" w14:textId="77777777" w:rsidR="00115A48" w:rsidRPr="00115A48" w:rsidRDefault="00115A48" w:rsidP="00115A48">
      <w:pPr>
        <w:rPr>
          <w:b/>
          <w:bCs/>
          <w:lang w:val="fr-FR"/>
        </w:rPr>
      </w:pPr>
      <w:r w:rsidRPr="00115A48">
        <w:rPr>
          <w:b/>
          <w:bCs/>
          <w:lang w:val="fr-FR"/>
        </w:rPr>
        <w:t>questions en suspens</w:t>
      </w:r>
    </w:p>
    <w:p w14:paraId="5A007B9D" w14:textId="77777777" w:rsidR="00115A48" w:rsidRPr="00115A48" w:rsidRDefault="00115A48" w:rsidP="00602D3E">
      <w:pPr>
        <w:pStyle w:val="HChG"/>
        <w:rPr>
          <w:lang w:val="fr-FR"/>
        </w:rPr>
      </w:pPr>
      <w:r w:rsidRPr="00115A48">
        <w:rPr>
          <w:lang w:val="fr-FR"/>
        </w:rPr>
        <w:tab/>
      </w:r>
      <w:r w:rsidRPr="00115A48">
        <w:rPr>
          <w:lang w:val="fr-FR"/>
        </w:rPr>
        <w:tab/>
        <w:t xml:space="preserve">Récipients à pression autorisés par le Département </w:t>
      </w:r>
      <w:r w:rsidR="00602D3E">
        <w:rPr>
          <w:lang w:val="fr-FR"/>
        </w:rPr>
        <w:br/>
      </w:r>
      <w:r w:rsidRPr="00115A48">
        <w:rPr>
          <w:lang w:val="fr-FR"/>
        </w:rPr>
        <w:t>des transports des États-Unis d’Amérique</w:t>
      </w:r>
    </w:p>
    <w:p w14:paraId="5F931FC2" w14:textId="77777777" w:rsidR="00602D3E" w:rsidRDefault="00115A48" w:rsidP="00602D3E">
      <w:pPr>
        <w:pStyle w:val="H1G"/>
        <w:rPr>
          <w:lang w:val="fr-FR"/>
        </w:rPr>
      </w:pPr>
      <w:r w:rsidRPr="00115A48">
        <w:rPr>
          <w:lang w:val="fr-FR"/>
        </w:rPr>
        <w:tab/>
      </w:r>
      <w:r w:rsidRPr="00115A48">
        <w:rPr>
          <w:lang w:val="fr-FR"/>
        </w:rPr>
        <w:tab/>
        <w:t>Communication du secrétariat de l’Organisation intergouvernementale pour les transports internationaux ferroviaires (OTIF) et du secrétariat de la Commission économique pour l’Europe (CEE)</w:t>
      </w:r>
      <w:r w:rsidR="00602D3E" w:rsidRPr="00602D3E">
        <w:rPr>
          <w:rStyle w:val="FootnoteReference"/>
          <w:b w:val="0"/>
          <w:bCs/>
          <w:sz w:val="20"/>
          <w:vertAlign w:val="baseline"/>
        </w:rPr>
        <w:footnoteReference w:customMarkFollows="1" w:id="2"/>
        <w:t>*</w:t>
      </w:r>
      <w:r w:rsidRPr="00602D3E">
        <w:rPr>
          <w:b w:val="0"/>
          <w:bCs/>
          <w:vertAlign w:val="superscript"/>
          <w:lang w:val="fr-FR"/>
        </w:rPr>
        <w:t>,</w:t>
      </w:r>
      <w:r w:rsidR="00602D3E">
        <w:rPr>
          <w:sz w:val="18"/>
          <w:vertAlign w:val="superscript"/>
          <w:lang w:val="fr-FR"/>
        </w:rPr>
        <w:t xml:space="preserve"> </w:t>
      </w:r>
      <w:r w:rsidR="00602D3E" w:rsidRPr="00602D3E">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02D3E" w14:paraId="7D741491" w14:textId="77777777">
        <w:trPr>
          <w:jc w:val="center"/>
        </w:trPr>
        <w:tc>
          <w:tcPr>
            <w:tcW w:w="9637" w:type="dxa"/>
            <w:shd w:val="clear" w:color="auto" w:fill="auto"/>
          </w:tcPr>
          <w:p w14:paraId="2A363AA2" w14:textId="77777777" w:rsidR="00602D3E" w:rsidRDefault="00602D3E">
            <w:pPr>
              <w:spacing w:before="240" w:after="120"/>
              <w:ind w:left="255"/>
              <w:rPr>
                <w:i/>
                <w:sz w:val="24"/>
              </w:rPr>
            </w:pPr>
            <w:r>
              <w:rPr>
                <w:i/>
                <w:sz w:val="24"/>
              </w:rPr>
              <w:t>Résumé</w:t>
            </w:r>
          </w:p>
        </w:tc>
      </w:tr>
      <w:tr w:rsidR="00602D3E" w14:paraId="3BF9BECD" w14:textId="77777777">
        <w:trPr>
          <w:jc w:val="center"/>
        </w:trPr>
        <w:tc>
          <w:tcPr>
            <w:tcW w:w="9637" w:type="dxa"/>
            <w:shd w:val="clear" w:color="auto" w:fill="auto"/>
          </w:tcPr>
          <w:p w14:paraId="6945F5F6" w14:textId="77777777" w:rsidR="00602D3E" w:rsidRDefault="00115A48" w:rsidP="00602D3E">
            <w:pPr>
              <w:pStyle w:val="SingleTxtG"/>
              <w:ind w:left="3402" w:hanging="2268"/>
            </w:pPr>
            <w:r w:rsidRPr="00115A48">
              <w:rPr>
                <w:b/>
                <w:bCs/>
                <w:lang w:val="fr-FR"/>
              </w:rPr>
              <w:t>Résumé analytique :</w:t>
            </w:r>
            <w:r w:rsidRPr="00115A48">
              <w:rPr>
                <w:lang w:val="fr-FR"/>
              </w:rPr>
              <w:tab/>
              <w:t>Des amendements mineurs sont proposés à la nouvelle sous</w:t>
            </w:r>
            <w:r w:rsidR="00D707E8">
              <w:rPr>
                <w:lang w:val="fr-FR"/>
              </w:rPr>
              <w:noBreakHyphen/>
            </w:r>
            <w:r w:rsidRPr="00115A48">
              <w:rPr>
                <w:lang w:val="fr-FR"/>
              </w:rPr>
              <w:t>section 1.1.4.7 concernant les récipients à pression rechargeables autorisés par le Département des transports des États-Unis d</w:t>
            </w:r>
            <w:r w:rsidR="00602D3E" w:rsidRPr="00115A48">
              <w:rPr>
                <w:lang w:val="fr-FR"/>
              </w:rPr>
              <w:t>’</w:t>
            </w:r>
            <w:r w:rsidRPr="00115A48">
              <w:rPr>
                <w:lang w:val="fr-FR"/>
              </w:rPr>
              <w:t>Amérique</w:t>
            </w:r>
          </w:p>
        </w:tc>
      </w:tr>
      <w:tr w:rsidR="00602D3E" w14:paraId="0BE1CE8F" w14:textId="77777777">
        <w:trPr>
          <w:jc w:val="center"/>
        </w:trPr>
        <w:tc>
          <w:tcPr>
            <w:tcW w:w="9637" w:type="dxa"/>
            <w:shd w:val="clear" w:color="auto" w:fill="auto"/>
          </w:tcPr>
          <w:p w14:paraId="77198F8B" w14:textId="77777777" w:rsidR="00115A48" w:rsidRPr="00115A48" w:rsidRDefault="00115A48" w:rsidP="001B4A4F">
            <w:pPr>
              <w:pStyle w:val="SingleTxtG"/>
              <w:spacing w:after="0"/>
              <w:ind w:left="3402" w:hanging="2268"/>
              <w:rPr>
                <w:lang w:val="fr-FR"/>
              </w:rPr>
            </w:pPr>
            <w:r w:rsidRPr="00115A48">
              <w:rPr>
                <w:b/>
                <w:bCs/>
                <w:lang w:val="fr-FR"/>
              </w:rPr>
              <w:t>Documents de référence :</w:t>
            </w:r>
            <w:r w:rsidRPr="00115A48">
              <w:rPr>
                <w:lang w:val="fr-FR"/>
              </w:rPr>
              <w:tab/>
              <w:t>ECE/TRANS/WP.15/AC.1/2021/9</w:t>
            </w:r>
          </w:p>
          <w:p w14:paraId="2AA4B5DE" w14:textId="77777777" w:rsidR="00602D3E" w:rsidRPr="00115A48" w:rsidRDefault="00115A48" w:rsidP="00602D3E">
            <w:pPr>
              <w:pStyle w:val="SingleTxtG"/>
              <w:ind w:left="3402"/>
              <w:rPr>
                <w:b/>
                <w:bCs/>
                <w:lang w:val="fr-FR"/>
              </w:rPr>
            </w:pPr>
            <w:r w:rsidRPr="00115A48">
              <w:rPr>
                <w:lang w:val="fr-FR"/>
              </w:rPr>
              <w:tab/>
              <w:t>Document informel INF.24 de la Réunion commune de</w:t>
            </w:r>
            <w:r w:rsidRPr="00115A48">
              <w:rPr>
                <w:i/>
                <w:iCs/>
                <w:lang w:val="fr-FR"/>
              </w:rPr>
              <w:t xml:space="preserve"> </w:t>
            </w:r>
            <w:r w:rsidRPr="00115A48">
              <w:rPr>
                <w:lang w:val="fr-FR"/>
              </w:rPr>
              <w:t>mars 2021</w:t>
            </w:r>
            <w:r w:rsidR="00D707E8">
              <w:rPr>
                <w:lang w:val="fr-FR"/>
              </w:rPr>
              <w:t> </w:t>
            </w:r>
            <w:r w:rsidRPr="00115A48">
              <w:rPr>
                <w:lang w:val="fr-FR"/>
              </w:rPr>
              <w:t xml:space="preserve">; </w:t>
            </w:r>
            <w:r w:rsidRPr="00115A48">
              <w:rPr>
                <w:lang w:val="fr-FR"/>
              </w:rPr>
              <w:tab/>
              <w:t>ECE/TRANS/WP.15/AC.1/160, annexe II.</w:t>
            </w:r>
          </w:p>
        </w:tc>
      </w:tr>
      <w:tr w:rsidR="00602D3E" w14:paraId="4145D3BB" w14:textId="77777777">
        <w:trPr>
          <w:jc w:val="center"/>
        </w:trPr>
        <w:tc>
          <w:tcPr>
            <w:tcW w:w="9637" w:type="dxa"/>
            <w:shd w:val="clear" w:color="auto" w:fill="auto"/>
          </w:tcPr>
          <w:p w14:paraId="70BDED4F" w14:textId="77777777" w:rsidR="00602D3E" w:rsidRDefault="00602D3E"/>
        </w:tc>
      </w:tr>
    </w:tbl>
    <w:p w14:paraId="2ED8734B" w14:textId="77777777" w:rsidR="00115A48" w:rsidRPr="00115A48" w:rsidRDefault="00602D3E" w:rsidP="00602D3E">
      <w:pPr>
        <w:pStyle w:val="HChG"/>
        <w:rPr>
          <w:lang w:val="fr-FR"/>
        </w:rPr>
      </w:pPr>
      <w:r>
        <w:rPr>
          <w:lang w:val="fr-FR"/>
        </w:rPr>
        <w:tab/>
      </w:r>
      <w:r>
        <w:rPr>
          <w:lang w:val="fr-FR"/>
        </w:rPr>
        <w:tab/>
      </w:r>
      <w:r w:rsidR="00115A48" w:rsidRPr="00115A48">
        <w:rPr>
          <w:lang w:val="fr-FR"/>
        </w:rPr>
        <w:t>Introduction</w:t>
      </w:r>
    </w:p>
    <w:p w14:paraId="40CBCD3A" w14:textId="77777777" w:rsidR="00115A48" w:rsidRPr="00115A48" w:rsidRDefault="00115A48" w:rsidP="00602D3E">
      <w:pPr>
        <w:pStyle w:val="SingleTxtG"/>
        <w:rPr>
          <w:lang w:val="fr-FR"/>
        </w:rPr>
      </w:pPr>
      <w:r w:rsidRPr="00115A48">
        <w:rPr>
          <w:lang w:val="fr-FR"/>
        </w:rPr>
        <w:t>1.</w:t>
      </w:r>
      <w:r w:rsidRPr="00115A48">
        <w:rPr>
          <w:lang w:val="fr-FR"/>
        </w:rPr>
        <w:tab/>
      </w:r>
      <w:r w:rsidRPr="00D707E8">
        <w:rPr>
          <w:spacing w:val="-2"/>
          <w:lang w:val="fr-FR"/>
        </w:rPr>
        <w:t>À la Réunion commune de mars 2021 de la Commission d’experts du RID et du Groupe de travail des transports de marchandises dangereuses, une nouvelle sous-section 1.1.4.7 a été ajoutée concernant les récipients à pression rechargeables autorisés par le Département des transports des États-Unis d’Amérique (voir ECE/TRANS/WP.15/AC.1/160, annexe II)</w:t>
      </w:r>
      <w:r w:rsidR="00602D3E" w:rsidRPr="00D707E8">
        <w:rPr>
          <w:spacing w:val="-2"/>
          <w:lang w:val="fr-FR"/>
        </w:rPr>
        <w:t> </w:t>
      </w:r>
      <w:r w:rsidRPr="00D707E8">
        <w:rPr>
          <w:spacing w:val="-2"/>
          <w:lang w:val="fr-FR"/>
        </w:rPr>
        <w:t>:</w:t>
      </w:r>
    </w:p>
    <w:p w14:paraId="658D00C3" w14:textId="77777777" w:rsidR="00115A48" w:rsidRPr="00115A48" w:rsidRDefault="00115A48" w:rsidP="00602D3E">
      <w:pPr>
        <w:pStyle w:val="SingleTxtG"/>
        <w:ind w:left="2268" w:hanging="1134"/>
        <w:rPr>
          <w:b/>
          <w:i/>
          <w:iCs/>
          <w:lang w:val="fr-FR"/>
        </w:rPr>
      </w:pPr>
      <w:r w:rsidRPr="00115A48">
        <w:rPr>
          <w:lang w:val="fr-FR"/>
        </w:rPr>
        <w:t>« </w:t>
      </w:r>
      <w:r w:rsidRPr="00115A48">
        <w:rPr>
          <w:b/>
          <w:bCs/>
          <w:lang w:val="fr-FR"/>
        </w:rPr>
        <w:t>1.1.4.7</w:t>
      </w:r>
      <w:r w:rsidRPr="00115A48">
        <w:rPr>
          <w:lang w:val="fr-FR"/>
        </w:rPr>
        <w:tab/>
      </w:r>
      <w:r w:rsidRPr="00115A48">
        <w:rPr>
          <w:b/>
          <w:bCs/>
          <w:i/>
          <w:iCs/>
          <w:lang w:val="fr-FR"/>
        </w:rPr>
        <w:t xml:space="preserve">Récipients à pression rechargeables autorisés par le Département des </w:t>
      </w:r>
      <w:r w:rsidRPr="00115A48">
        <w:rPr>
          <w:b/>
          <w:bCs/>
          <w:i/>
          <w:iCs/>
          <w:lang w:val="fr-FR"/>
        </w:rPr>
        <w:tab/>
        <w:t>transports des États-Unis d’Amérique</w:t>
      </w:r>
      <w:r w:rsidRPr="00115A48">
        <w:rPr>
          <w:lang w:val="fr-FR"/>
        </w:rPr>
        <w:t xml:space="preserve"> </w:t>
      </w:r>
      <w:bookmarkStart w:id="0" w:name="_Hlk525131534"/>
    </w:p>
    <w:p w14:paraId="6D6318BF" w14:textId="77777777" w:rsidR="00115A48" w:rsidRPr="00115A48" w:rsidRDefault="00115A48" w:rsidP="00602D3E">
      <w:pPr>
        <w:pStyle w:val="SingleTxtG"/>
        <w:ind w:left="2268" w:hanging="1134"/>
        <w:rPr>
          <w:bCs/>
          <w:i/>
          <w:iCs/>
          <w:lang w:val="fr-FR"/>
        </w:rPr>
      </w:pPr>
      <w:r w:rsidRPr="00115A48">
        <w:rPr>
          <w:lang w:val="fr-FR"/>
        </w:rPr>
        <w:lastRenderedPageBreak/>
        <w:t>1.1.4.7.1</w:t>
      </w:r>
      <w:r w:rsidRPr="00115A48">
        <w:rPr>
          <w:lang w:val="fr-FR"/>
        </w:rPr>
        <w:tab/>
      </w:r>
      <w:r w:rsidRPr="00115A48">
        <w:rPr>
          <w:i/>
          <w:iCs/>
          <w:lang w:val="fr-FR"/>
        </w:rPr>
        <w:t>Importation de gaz</w:t>
      </w:r>
    </w:p>
    <w:p w14:paraId="0DB94469" w14:textId="77777777" w:rsidR="00115A48" w:rsidRPr="00115A48" w:rsidRDefault="00115A48" w:rsidP="00602D3E">
      <w:pPr>
        <w:pStyle w:val="SingleTxtG"/>
        <w:ind w:left="2268"/>
        <w:rPr>
          <w:bCs/>
          <w:lang w:val="fr-FR"/>
        </w:rPr>
      </w:pPr>
      <w:r w:rsidRPr="00115A48">
        <w:rPr>
          <w:lang w:val="fr-FR"/>
        </w:rPr>
        <w:t>Les récipients à pression rechargeables autorisés par le Département des transports des États-Unis d’Amérique et construits et éprouvés conformément aux normes énoncées dans la Partie 178 (Specifications for Packagings (Spécifications relatives aux emballages)) du Titre 49 (</w:t>
      </w:r>
      <w:r w:rsidRPr="00115A48">
        <w:rPr>
          <w:i/>
          <w:iCs/>
          <w:lang w:val="fr-FR"/>
        </w:rPr>
        <w:t>Transportation</w:t>
      </w:r>
      <w:r w:rsidRPr="00115A48">
        <w:rPr>
          <w:lang w:val="fr-FR"/>
        </w:rPr>
        <w:t xml:space="preserve"> (Transports)) du Code of Federal Regulations (recueil des règlements fédéraux), lorsqu’ils sont admis au transport dans une chaîne de transport conformément au 1.1.4.2, peuvent être transportés depuis leur emplacement d’entreposage temporaire au point final de la chaîne de transport jusqu’aux utilisateurs finaux.</w:t>
      </w:r>
      <w:bookmarkEnd w:id="0"/>
    </w:p>
    <w:p w14:paraId="17822EB6" w14:textId="77777777" w:rsidR="00115A48" w:rsidRPr="00115A48" w:rsidRDefault="00115A48" w:rsidP="00602D3E">
      <w:pPr>
        <w:pStyle w:val="SingleTxtG"/>
        <w:ind w:left="2268"/>
        <w:rPr>
          <w:bCs/>
          <w:lang w:val="fr-FR"/>
        </w:rPr>
      </w:pPr>
      <w:bookmarkStart w:id="1" w:name="_Hlk525132507"/>
      <w:r w:rsidRPr="00115A48">
        <w:rPr>
          <w:lang w:val="fr-FR"/>
        </w:rPr>
        <w:t>L’expéditeur chargé du transport RID ou ADR inscrit la mention suivante dans le document de transport</w:t>
      </w:r>
      <w:r w:rsidR="00D707E8">
        <w:rPr>
          <w:lang w:val="fr-FR"/>
        </w:rPr>
        <w:t> </w:t>
      </w:r>
      <w:r w:rsidRPr="00115A48">
        <w:rPr>
          <w:lang w:val="fr-FR"/>
        </w:rPr>
        <w:t>:</w:t>
      </w:r>
    </w:p>
    <w:p w14:paraId="7846C94A" w14:textId="77777777" w:rsidR="00115A48" w:rsidRPr="00115A48" w:rsidRDefault="00115A48" w:rsidP="00602D3E">
      <w:pPr>
        <w:pStyle w:val="SingleTxtG"/>
        <w:ind w:left="2268"/>
        <w:rPr>
          <w:bCs/>
          <w:lang w:val="fr-FR"/>
        </w:rPr>
      </w:pPr>
      <w:r w:rsidRPr="00115A48">
        <w:rPr>
          <w:lang w:val="fr-FR"/>
        </w:rPr>
        <w:t>«</w:t>
      </w:r>
      <w:r w:rsidR="00D707E8">
        <w:rPr>
          <w:lang w:val="fr-FR"/>
        </w:rPr>
        <w:t> </w:t>
      </w:r>
      <w:r w:rsidRPr="00115A48">
        <w:rPr>
          <w:lang w:val="fr-FR"/>
        </w:rPr>
        <w:t>TRANSPORT CONFORMÉMENT AU 1.1.4.7.1</w:t>
      </w:r>
      <w:r w:rsidR="00D707E8">
        <w:rPr>
          <w:lang w:val="fr-FR"/>
        </w:rPr>
        <w:t> </w:t>
      </w:r>
      <w:r w:rsidRPr="00115A48">
        <w:rPr>
          <w:lang w:val="fr-FR"/>
        </w:rPr>
        <w:t>».</w:t>
      </w:r>
    </w:p>
    <w:bookmarkEnd w:id="1"/>
    <w:p w14:paraId="4EA51F88" w14:textId="77777777" w:rsidR="00115A48" w:rsidRPr="00115A48" w:rsidRDefault="00115A48" w:rsidP="00602D3E">
      <w:pPr>
        <w:pStyle w:val="SingleTxtG"/>
        <w:ind w:left="2268" w:hanging="1134"/>
        <w:rPr>
          <w:bCs/>
          <w:i/>
          <w:iCs/>
          <w:lang w:val="fr-FR"/>
        </w:rPr>
      </w:pPr>
      <w:r w:rsidRPr="00115A48">
        <w:rPr>
          <w:lang w:val="fr-FR"/>
        </w:rPr>
        <w:t>1.1.4.7.2</w:t>
      </w:r>
      <w:r w:rsidRPr="00115A48">
        <w:rPr>
          <w:lang w:val="fr-FR"/>
        </w:rPr>
        <w:tab/>
      </w:r>
      <w:r w:rsidRPr="00115A48">
        <w:rPr>
          <w:i/>
          <w:iCs/>
          <w:lang w:val="fr-FR"/>
        </w:rPr>
        <w:t>Exportation de gaz et récipients à pression vides non nettoyés</w:t>
      </w:r>
    </w:p>
    <w:p w14:paraId="2FB783CB" w14:textId="77777777" w:rsidR="00115A48" w:rsidRPr="00115A48" w:rsidRDefault="00115A48" w:rsidP="00602D3E">
      <w:pPr>
        <w:pStyle w:val="SingleTxtG"/>
        <w:ind w:left="2268"/>
        <w:rPr>
          <w:bCs/>
          <w:lang w:val="fr-FR"/>
        </w:rPr>
      </w:pPr>
      <w:r w:rsidRPr="00115A48">
        <w:rPr>
          <w:lang w:val="fr-FR"/>
        </w:rPr>
        <w:t>Les récipients à pression rechargeables autorisés par le Département des transports des États-Unis d’Amérique et construits conformément aux normes énoncées dans la Partie 178 (Specifications for Packagings (Spécifications relatives aux emballages)) du Titre 49 (</w:t>
      </w:r>
      <w:r w:rsidRPr="00115A48">
        <w:rPr>
          <w:i/>
          <w:iCs/>
          <w:lang w:val="fr-FR"/>
        </w:rPr>
        <w:t>Transportation</w:t>
      </w:r>
      <w:r w:rsidRPr="00115A48">
        <w:rPr>
          <w:lang w:val="fr-FR"/>
        </w:rPr>
        <w:t xml:space="preserve"> (Transports)) du Code of Federal Regulations (recueil des règlements fédéraux) ne peuvent être remplis et transportés que pour l’exportation vers des pays qui ne sont pas des États parties au RID ou à l’ADR et à condition de satisfaire aux dispositions ci-après</w:t>
      </w:r>
      <w:r w:rsidR="00D707E8">
        <w:rPr>
          <w:lang w:val="fr-FR"/>
        </w:rPr>
        <w:t> </w:t>
      </w:r>
      <w:r w:rsidRPr="00115A48">
        <w:rPr>
          <w:lang w:val="fr-FR"/>
        </w:rPr>
        <w:t>:</w:t>
      </w:r>
    </w:p>
    <w:p w14:paraId="2E47BEFD" w14:textId="77777777" w:rsidR="00115A48" w:rsidRPr="00115A48" w:rsidRDefault="00115A48" w:rsidP="00602D3E">
      <w:pPr>
        <w:pStyle w:val="SingleTxtG"/>
        <w:ind w:left="2835" w:hanging="567"/>
        <w:rPr>
          <w:lang w:val="fr-FR"/>
        </w:rPr>
      </w:pPr>
      <w:r w:rsidRPr="00115A48">
        <w:rPr>
          <w:lang w:val="fr-FR"/>
        </w:rPr>
        <w:t>a)</w:t>
      </w:r>
      <w:r w:rsidRPr="00115A48">
        <w:rPr>
          <w:lang w:val="fr-FR"/>
        </w:rPr>
        <w:tab/>
        <w:t>Le remplissage des récipients à pression est réalisé conformément aux prescriptions pertinentes du Code of Federal Regulations (recueil des règlements fédéraux) des États-Unis d’Amérique ;</w:t>
      </w:r>
    </w:p>
    <w:p w14:paraId="1176CB40" w14:textId="77777777" w:rsidR="00115A48" w:rsidRPr="00115A48" w:rsidRDefault="00115A48" w:rsidP="00602D3E">
      <w:pPr>
        <w:pStyle w:val="SingleTxtG"/>
        <w:ind w:left="2835" w:hanging="567"/>
        <w:rPr>
          <w:lang w:val="fr-FR"/>
        </w:rPr>
      </w:pPr>
      <w:r w:rsidRPr="00115A48">
        <w:rPr>
          <w:lang w:val="fr-FR"/>
        </w:rPr>
        <w:t>b)</w:t>
      </w:r>
      <w:r w:rsidRPr="00115A48">
        <w:rPr>
          <w:lang w:val="fr-FR"/>
        </w:rPr>
        <w:tab/>
        <w:t>Les récipients à pression sont marqués et étiquetés conformément aux dispositions du chapitre 5.2 du RID ou de l’ADR</w:t>
      </w:r>
      <w:r w:rsidR="00D707E8">
        <w:rPr>
          <w:lang w:val="fr-FR"/>
        </w:rPr>
        <w:t> </w:t>
      </w:r>
      <w:r w:rsidRPr="00115A48">
        <w:rPr>
          <w:lang w:val="fr-FR"/>
        </w:rPr>
        <w:t>;</w:t>
      </w:r>
    </w:p>
    <w:p w14:paraId="156019D7" w14:textId="77777777" w:rsidR="00115A48" w:rsidRPr="00115A48" w:rsidRDefault="00115A48" w:rsidP="00602D3E">
      <w:pPr>
        <w:pStyle w:val="SingleTxtG"/>
        <w:ind w:left="2835" w:hanging="567"/>
        <w:rPr>
          <w:lang w:val="fr-FR"/>
        </w:rPr>
      </w:pPr>
      <w:r w:rsidRPr="00115A48">
        <w:rPr>
          <w:lang w:val="fr-FR"/>
        </w:rPr>
        <w:t>c)</w:t>
      </w:r>
      <w:r w:rsidRPr="00115A48">
        <w:rPr>
          <w:lang w:val="fr-FR"/>
        </w:rPr>
        <w:tab/>
        <w:t>Les dispositions du 4.1.6.12 et du 4.1.6.13 s’appliquent aux récipients à pression. Les récipients à pression ne doivent pas être remplis après la date limite du contrôle périodique mais peuvent être transportés après cette date pour être soumis à l’inspection, y compris toute opération de transport intermédiaire ;</w:t>
      </w:r>
    </w:p>
    <w:p w14:paraId="22CBFA70" w14:textId="77777777" w:rsidR="00115A48" w:rsidRPr="00115A48" w:rsidRDefault="00115A48" w:rsidP="00602D3E">
      <w:pPr>
        <w:pStyle w:val="SingleTxtG"/>
        <w:ind w:left="2835" w:hanging="567"/>
        <w:rPr>
          <w:bCs/>
          <w:lang w:val="fr-FR"/>
        </w:rPr>
      </w:pPr>
      <w:r w:rsidRPr="00115A48">
        <w:rPr>
          <w:lang w:val="fr-FR"/>
        </w:rPr>
        <w:t>d)</w:t>
      </w:r>
      <w:r w:rsidRPr="00115A48">
        <w:rPr>
          <w:lang w:val="fr-FR"/>
        </w:rPr>
        <w:tab/>
        <w:t>L’expéditeur chargé du transport RID ou ADR inscrit la mention suivante dans le document de transport</w:t>
      </w:r>
      <w:r w:rsidR="00D707E8">
        <w:rPr>
          <w:lang w:val="fr-FR"/>
        </w:rPr>
        <w:t> </w:t>
      </w:r>
      <w:r w:rsidRPr="00115A48">
        <w:rPr>
          <w:lang w:val="fr-FR"/>
        </w:rPr>
        <w:t>:</w:t>
      </w:r>
    </w:p>
    <w:p w14:paraId="06537069" w14:textId="77777777" w:rsidR="00115A48" w:rsidRPr="00115A48" w:rsidRDefault="00115A48" w:rsidP="00602D3E">
      <w:pPr>
        <w:spacing w:after="120"/>
        <w:ind w:left="2835"/>
        <w:rPr>
          <w:lang w:val="fr-FR"/>
        </w:rPr>
      </w:pPr>
      <w:r w:rsidRPr="00115A48">
        <w:rPr>
          <w:lang w:val="fr-FR"/>
        </w:rPr>
        <w:tab/>
        <w:t>«</w:t>
      </w:r>
      <w:r w:rsidR="00D707E8">
        <w:rPr>
          <w:lang w:val="fr-FR"/>
        </w:rPr>
        <w:t> </w:t>
      </w:r>
      <w:r w:rsidRPr="00115A48">
        <w:rPr>
          <w:lang w:val="fr-FR"/>
        </w:rPr>
        <w:t>Transport conformément au 1.1.4.7.2 ». »</w:t>
      </w:r>
    </w:p>
    <w:p w14:paraId="4A0C17D4" w14:textId="77777777" w:rsidR="00115A48" w:rsidRPr="00115A48" w:rsidRDefault="00115A48" w:rsidP="00602D3E">
      <w:pPr>
        <w:pStyle w:val="SingleTxtG"/>
        <w:rPr>
          <w:lang w:val="fr-FR"/>
        </w:rPr>
      </w:pPr>
      <w:r w:rsidRPr="00115A48">
        <w:rPr>
          <w:lang w:val="fr-FR"/>
        </w:rPr>
        <w:t>2.</w:t>
      </w:r>
      <w:r w:rsidRPr="00115A48">
        <w:rPr>
          <w:lang w:val="fr-FR"/>
        </w:rPr>
        <w:tab/>
        <w:t>S’agissant de l’adoption de cette nouvelle sous-section dans l’ADR, il a été noté à la 109</w:t>
      </w:r>
      <w:r w:rsidRPr="00115A48">
        <w:rPr>
          <w:vertAlign w:val="superscript"/>
          <w:lang w:val="fr-FR"/>
        </w:rPr>
        <w:t>e</w:t>
      </w:r>
      <w:r w:rsidR="00D707E8">
        <w:rPr>
          <w:lang w:val="fr-FR"/>
        </w:rPr>
        <w:t> </w:t>
      </w:r>
      <w:r w:rsidRPr="00115A48">
        <w:rPr>
          <w:lang w:val="fr-FR"/>
        </w:rPr>
        <w:t>session du WP.15 (Genève, 4-7 mai 2021) que des éclaircissements étaient nécessaires concernant les termes « expéditeur chargé du transport RID ou ADR » dans le 1.1.4.7.1 et le 1.1.4.7.2 d). Les secrétariats sont convenus de soumettre une proposition à ce sujet à la Réunion conjointe de septembre 2021.</w:t>
      </w:r>
    </w:p>
    <w:p w14:paraId="4CFAF5E2" w14:textId="77777777" w:rsidR="00115A48" w:rsidRPr="00115A48" w:rsidRDefault="00115A48" w:rsidP="00602D3E">
      <w:pPr>
        <w:pStyle w:val="SingleTxtG"/>
        <w:rPr>
          <w:u w:val="single"/>
          <w:lang w:val="fr-FR"/>
        </w:rPr>
      </w:pPr>
      <w:r w:rsidRPr="00115A48">
        <w:rPr>
          <w:u w:val="single"/>
          <w:lang w:val="fr-FR"/>
        </w:rPr>
        <w:t>Expéditeur chargé du transport RID ou ADR</w:t>
      </w:r>
    </w:p>
    <w:p w14:paraId="52B7BF15" w14:textId="77777777" w:rsidR="00115A48" w:rsidRPr="00115A48" w:rsidRDefault="00115A48" w:rsidP="00602D3E">
      <w:pPr>
        <w:pStyle w:val="SingleTxtG"/>
        <w:rPr>
          <w:lang w:val="fr-FR"/>
        </w:rPr>
      </w:pPr>
      <w:r w:rsidRPr="00115A48">
        <w:rPr>
          <w:lang w:val="fr-FR"/>
        </w:rPr>
        <w:t>3.</w:t>
      </w:r>
      <w:r w:rsidRPr="00115A48">
        <w:rPr>
          <w:lang w:val="fr-FR"/>
        </w:rPr>
        <w:tab/>
        <w:t>Le 1.1.4.7.1 et le 1.1.4.7.2 d) mentionnent tous deux l’« expéditeur chargé du transport RID ou ADR », lequel doit inscrire une mention particulière dans le document de transport.</w:t>
      </w:r>
    </w:p>
    <w:p w14:paraId="6E2A7C9E" w14:textId="77777777" w:rsidR="00115A48" w:rsidRPr="00115A48" w:rsidRDefault="00115A48" w:rsidP="00602D3E">
      <w:pPr>
        <w:pStyle w:val="SingleTxtG"/>
        <w:rPr>
          <w:lang w:val="fr-FR"/>
        </w:rPr>
      </w:pPr>
      <w:r w:rsidRPr="00115A48">
        <w:rPr>
          <w:lang w:val="fr-FR"/>
        </w:rPr>
        <w:t>4.</w:t>
      </w:r>
      <w:r w:rsidRPr="00115A48">
        <w:rPr>
          <w:lang w:val="fr-FR"/>
        </w:rPr>
        <w:tab/>
        <w:t>Le terme « expéditeur » est défini au 1.2.1. Dans l’ensemble du texte du RID, de l’ADR et de l’ADN, seul ce terme est utilisé, sans aucun complément.</w:t>
      </w:r>
    </w:p>
    <w:p w14:paraId="6EFB9A21" w14:textId="77777777" w:rsidR="00115A48" w:rsidRPr="00115A48" w:rsidRDefault="00115A48" w:rsidP="00602D3E">
      <w:pPr>
        <w:pStyle w:val="SingleTxtG"/>
        <w:rPr>
          <w:lang w:val="fr-FR"/>
        </w:rPr>
      </w:pPr>
      <w:r w:rsidRPr="00115A48">
        <w:rPr>
          <w:lang w:val="fr-FR"/>
        </w:rPr>
        <w:t>5.</w:t>
      </w:r>
      <w:r w:rsidRPr="00115A48">
        <w:rPr>
          <w:lang w:val="fr-FR"/>
        </w:rPr>
        <w:tab/>
        <w:t>Dans le 1.1.4.7.2 d), qui traite de l’exportation de gaz et de récipients à pression vides non nettoyés, les termes « expéditeur chargé du transport RID ou ADR » désignent l’expéditeur tel que défini au 1.2.1.</w:t>
      </w:r>
    </w:p>
    <w:p w14:paraId="4554D102" w14:textId="77777777" w:rsidR="00115A48" w:rsidRPr="00115A48" w:rsidRDefault="00115A48" w:rsidP="00602D3E">
      <w:pPr>
        <w:pStyle w:val="SingleTxtG"/>
        <w:rPr>
          <w:lang w:val="fr-FR"/>
        </w:rPr>
      </w:pPr>
      <w:r w:rsidRPr="00115A48">
        <w:rPr>
          <w:lang w:val="fr-FR"/>
        </w:rPr>
        <w:t>6.</w:t>
      </w:r>
      <w:r w:rsidRPr="00115A48">
        <w:rPr>
          <w:lang w:val="fr-FR"/>
        </w:rPr>
        <w:tab/>
        <w:t>Le 1.1.4.7.1, qui traite de l’importation de gaz, s’applique au transport dans une chaîne de transport conformément au 1.1.4.2. Pour le transport conformément au 1.1.4.2.1, le 5.4.1.1.7 s’applique. Le 5.4.1.1.7 prévoit l’obligation d’inscrire une mention dans le document de transport, sans préciser qui doit effectuer cette inscription. Les secrétariats se demandent si le deuxième paragraphe du 1.1.4.7.1 reste nécessaire. Si l’on conserve ce deuxième paragraphe, il faudrait préciser la référence à « l’expéditeur chargé du transport RID ou ADR ».</w:t>
      </w:r>
    </w:p>
    <w:p w14:paraId="61E31EA7" w14:textId="77777777" w:rsidR="00115A48" w:rsidRPr="00115A48" w:rsidRDefault="00115A48" w:rsidP="00602D3E">
      <w:pPr>
        <w:pStyle w:val="SingleTxtG"/>
        <w:rPr>
          <w:u w:val="single"/>
          <w:lang w:val="fr-FR"/>
        </w:rPr>
      </w:pPr>
      <w:r w:rsidRPr="00115A48">
        <w:rPr>
          <w:u w:val="single"/>
          <w:lang w:val="fr-FR"/>
        </w:rPr>
        <w:t>Informations figurant dans le document de transport</w:t>
      </w:r>
    </w:p>
    <w:p w14:paraId="611BE035" w14:textId="77777777" w:rsidR="00115A48" w:rsidRPr="00115A48" w:rsidRDefault="00115A48" w:rsidP="00602D3E">
      <w:pPr>
        <w:pStyle w:val="SingleTxtG"/>
        <w:rPr>
          <w:lang w:val="fr-FR"/>
        </w:rPr>
      </w:pPr>
      <w:r w:rsidRPr="00115A48">
        <w:rPr>
          <w:lang w:val="fr-FR"/>
        </w:rPr>
        <w:t>7.</w:t>
      </w:r>
      <w:r w:rsidRPr="00115A48">
        <w:rPr>
          <w:lang w:val="fr-FR"/>
        </w:rPr>
        <w:tab/>
        <w:t>Pour faciliter l’utilisation du document de transport, le chapitre 5.4 du RID, de l’ADR et de l’ADN précise toutes les informations qui doivent y figurer, même dans les cas où la disposition initiale indique déjà quelle mention complémentaire est requise.</w:t>
      </w:r>
    </w:p>
    <w:p w14:paraId="05752E8B" w14:textId="77777777" w:rsidR="00115A48" w:rsidRPr="00115A48" w:rsidRDefault="00115A48" w:rsidP="00602D3E">
      <w:pPr>
        <w:pStyle w:val="SingleTxtG"/>
        <w:rPr>
          <w:lang w:val="fr-FR"/>
        </w:rPr>
      </w:pPr>
      <w:r w:rsidRPr="00115A48">
        <w:rPr>
          <w:lang w:val="fr-FR"/>
        </w:rPr>
        <w:t>8.</w:t>
      </w:r>
      <w:r w:rsidRPr="00115A48">
        <w:rPr>
          <w:lang w:val="fr-FR"/>
        </w:rPr>
        <w:tab/>
        <w:t>La mention requise dans le document de transport concernant les récipients à pression autorisés par le Département des transports des États-Unis d’Amérique devrait être indiquée au chapitre 5.4, par souci d’exhaustivité. Pour éviter la répétition des dispositions, un renvoi au paragraphe correspondant du chapitre 5.4 pourrait être fait dans un Nota, comme au</w:t>
      </w:r>
      <w:r w:rsidR="00D707E8">
        <w:rPr>
          <w:lang w:val="fr-FR"/>
        </w:rPr>
        <w:t> </w:t>
      </w:r>
      <w:r w:rsidRPr="00115A48">
        <w:rPr>
          <w:lang w:val="fr-FR"/>
        </w:rPr>
        <w:t>1.1.4.2.</w:t>
      </w:r>
    </w:p>
    <w:p w14:paraId="7B874370" w14:textId="77777777" w:rsidR="00115A48" w:rsidRPr="00115A48" w:rsidRDefault="00115A48" w:rsidP="00602D3E">
      <w:pPr>
        <w:pStyle w:val="HChG"/>
        <w:rPr>
          <w:lang w:val="fr-FR"/>
        </w:rPr>
      </w:pPr>
      <w:r w:rsidRPr="00115A48">
        <w:rPr>
          <w:lang w:val="fr-FR"/>
        </w:rPr>
        <w:tab/>
      </w:r>
      <w:r w:rsidRPr="00115A48">
        <w:rPr>
          <w:lang w:val="fr-FR"/>
        </w:rPr>
        <w:tab/>
        <w:t>Propositions</w:t>
      </w:r>
    </w:p>
    <w:p w14:paraId="0F3321B1" w14:textId="77777777" w:rsidR="00115A48" w:rsidRPr="00115A48" w:rsidRDefault="00115A48" w:rsidP="00602D3E">
      <w:pPr>
        <w:pStyle w:val="SingleTxtG"/>
        <w:ind w:left="2268" w:hanging="1134"/>
        <w:rPr>
          <w:lang w:val="fr-FR"/>
        </w:rPr>
      </w:pPr>
      <w:r w:rsidRPr="00115A48">
        <w:rPr>
          <w:b/>
          <w:bCs/>
          <w:lang w:val="fr-FR"/>
        </w:rPr>
        <w:t>1.1.4.7.1</w:t>
      </w:r>
      <w:r w:rsidRPr="00115A48">
        <w:rPr>
          <w:lang w:val="fr-FR"/>
        </w:rPr>
        <w:tab/>
        <w:t>Dans l’amendement figurant dans le document ECE/TRANS/WP.15/</w:t>
      </w:r>
      <w:r w:rsidR="00D707E8">
        <w:rPr>
          <w:lang w:val="fr-FR"/>
        </w:rPr>
        <w:br/>
      </w:r>
      <w:r w:rsidRPr="00115A48">
        <w:rPr>
          <w:lang w:val="fr-FR"/>
        </w:rPr>
        <w:t>AC.1/160 (annexe II), supprimer</w:t>
      </w:r>
      <w:r w:rsidRPr="00115A48">
        <w:rPr>
          <w:b/>
          <w:bCs/>
          <w:lang w:val="fr-FR"/>
        </w:rPr>
        <w:t xml:space="preserve"> </w:t>
      </w:r>
      <w:r w:rsidRPr="00115A48">
        <w:rPr>
          <w:lang w:val="fr-FR"/>
        </w:rPr>
        <w:t>le second paragraphe.</w:t>
      </w:r>
    </w:p>
    <w:p w14:paraId="37A03C79" w14:textId="77777777" w:rsidR="00115A48" w:rsidRPr="00115A48" w:rsidRDefault="00115A48" w:rsidP="00602D3E">
      <w:pPr>
        <w:pStyle w:val="SingleTxtG"/>
        <w:ind w:left="2268" w:hanging="1134"/>
        <w:rPr>
          <w:lang w:val="fr-FR"/>
        </w:rPr>
      </w:pPr>
      <w:r w:rsidRPr="00115A48">
        <w:rPr>
          <w:b/>
          <w:bCs/>
          <w:lang w:val="fr-FR"/>
        </w:rPr>
        <w:t>1.1.4.7.2</w:t>
      </w:r>
      <w:r w:rsidRPr="00115A48">
        <w:rPr>
          <w:lang w:val="fr-FR"/>
        </w:rPr>
        <w:tab/>
        <w:t>Dans l’amendement figurant dans le document ECE/TRANS/WP.15/AC.1/</w:t>
      </w:r>
      <w:r w:rsidR="00D707E8">
        <w:rPr>
          <w:lang w:val="fr-FR"/>
        </w:rPr>
        <w:br/>
      </w:r>
      <w:r w:rsidRPr="00115A48">
        <w:rPr>
          <w:lang w:val="fr-FR"/>
        </w:rPr>
        <w:t>160 (annexe II), supprimer l’alinéa d).</w:t>
      </w:r>
    </w:p>
    <w:p w14:paraId="193CB824" w14:textId="77777777" w:rsidR="00115A48" w:rsidRPr="00115A48" w:rsidRDefault="00115A48" w:rsidP="00602D3E">
      <w:pPr>
        <w:pStyle w:val="SingleTxtG"/>
        <w:ind w:left="2268" w:hanging="1134"/>
        <w:rPr>
          <w:lang w:val="fr-FR"/>
        </w:rPr>
      </w:pPr>
      <w:r w:rsidRPr="00115A48">
        <w:rPr>
          <w:b/>
          <w:bCs/>
          <w:lang w:val="fr-FR"/>
        </w:rPr>
        <w:t>1.1.4.7</w:t>
      </w:r>
      <w:r w:rsidRPr="00115A48">
        <w:rPr>
          <w:lang w:val="fr-FR"/>
        </w:rPr>
        <w:tab/>
      </w:r>
      <w:r w:rsidRPr="00115A48">
        <w:rPr>
          <w:lang w:val="fr-FR"/>
        </w:rPr>
        <w:tab/>
        <w:t>Après le 1.1.4.7.2, ajouter le nouveau Nota suivant</w:t>
      </w:r>
      <w:r w:rsidR="00D707E8">
        <w:rPr>
          <w:i/>
          <w:iCs/>
          <w:lang w:val="fr-FR"/>
        </w:rPr>
        <w:t> </w:t>
      </w:r>
      <w:r w:rsidRPr="00115A48">
        <w:rPr>
          <w:lang w:val="fr-FR"/>
        </w:rPr>
        <w:t>:</w:t>
      </w:r>
    </w:p>
    <w:p w14:paraId="4970E9CF" w14:textId="77777777" w:rsidR="00115A48" w:rsidRPr="00115A48" w:rsidRDefault="00115A48" w:rsidP="00602D3E">
      <w:pPr>
        <w:pStyle w:val="SingleTxtG"/>
        <w:ind w:left="2268"/>
        <w:rPr>
          <w:lang w:val="fr-FR"/>
        </w:rPr>
      </w:pPr>
      <w:r w:rsidRPr="00115A48">
        <w:rPr>
          <w:lang w:val="fr-FR"/>
        </w:rPr>
        <w:t>«</w:t>
      </w:r>
      <w:r w:rsidR="00D707E8">
        <w:rPr>
          <w:lang w:val="fr-FR"/>
        </w:rPr>
        <w:t> </w:t>
      </w:r>
      <w:r w:rsidRPr="00115A48">
        <w:rPr>
          <w:b/>
          <w:bCs/>
          <w:lang w:val="fr-FR"/>
        </w:rPr>
        <w:t>NOTA</w:t>
      </w:r>
      <w:r w:rsidR="00D707E8">
        <w:rPr>
          <w:b/>
          <w:bCs/>
          <w:lang w:val="fr-FR"/>
        </w:rPr>
        <w:t> </w:t>
      </w:r>
      <w:r w:rsidRPr="00115A48">
        <w:rPr>
          <w:b/>
          <w:bCs/>
          <w:lang w:val="fr-FR"/>
        </w:rPr>
        <w:t>:</w:t>
      </w:r>
      <w:r w:rsidRPr="00115A48">
        <w:rPr>
          <w:lang w:val="fr-FR"/>
        </w:rPr>
        <w:t xml:space="preserve"> Pour le transport conformément au 1.1.4.7, voir également le 5.4.1.1.23. »</w:t>
      </w:r>
    </w:p>
    <w:p w14:paraId="0BC694E7" w14:textId="77777777" w:rsidR="00115A48" w:rsidRPr="00115A48" w:rsidRDefault="00115A48" w:rsidP="00602D3E">
      <w:pPr>
        <w:pStyle w:val="SingleTxtG"/>
        <w:ind w:left="2268" w:hanging="1134"/>
        <w:rPr>
          <w:lang w:val="fr-FR"/>
        </w:rPr>
      </w:pPr>
      <w:r w:rsidRPr="00115A48">
        <w:rPr>
          <w:b/>
          <w:bCs/>
          <w:lang w:val="fr-FR"/>
        </w:rPr>
        <w:t>5.4.1.1</w:t>
      </w:r>
      <w:r w:rsidRPr="00115A48">
        <w:rPr>
          <w:lang w:val="fr-FR"/>
        </w:rPr>
        <w:tab/>
      </w:r>
      <w:r w:rsidRPr="00115A48">
        <w:rPr>
          <w:lang w:val="fr-FR"/>
        </w:rPr>
        <w:tab/>
        <w:t>Ajouter une nouvelle sous-section 5.4.1.1.23 libellée comme suit :</w:t>
      </w:r>
    </w:p>
    <w:p w14:paraId="5C4B0834" w14:textId="77777777" w:rsidR="00115A48" w:rsidRPr="00115A48" w:rsidRDefault="00115A48" w:rsidP="00602D3E">
      <w:pPr>
        <w:pStyle w:val="SingleTxtG"/>
        <w:ind w:left="2268" w:hanging="1134"/>
        <w:rPr>
          <w:lang w:val="fr-FR"/>
        </w:rPr>
      </w:pPr>
      <w:r w:rsidRPr="00115A48">
        <w:rPr>
          <w:lang w:val="fr-FR"/>
        </w:rPr>
        <w:t>« </w:t>
      </w:r>
      <w:r w:rsidRPr="00115A48">
        <w:rPr>
          <w:b/>
          <w:bCs/>
          <w:lang w:val="fr-FR"/>
        </w:rPr>
        <w:t>5.4.1.1.23</w:t>
      </w:r>
      <w:r w:rsidRPr="00115A48">
        <w:rPr>
          <w:lang w:val="fr-FR"/>
        </w:rPr>
        <w:tab/>
      </w:r>
      <w:r w:rsidRPr="00115A48">
        <w:rPr>
          <w:b/>
          <w:bCs/>
          <w:lang w:val="fr-FR"/>
        </w:rPr>
        <w:t>Dispositions spéciales concernant les récipients à pression rechargeables autorisés par le Département des transports des États-Unis d’Amérique</w:t>
      </w:r>
    </w:p>
    <w:p w14:paraId="4586AC20" w14:textId="77777777" w:rsidR="00115A48" w:rsidRPr="00115A48" w:rsidRDefault="00115A48" w:rsidP="00602D3E">
      <w:pPr>
        <w:pStyle w:val="SingleTxtG"/>
        <w:ind w:left="2268"/>
        <w:rPr>
          <w:lang w:val="fr-FR"/>
        </w:rPr>
      </w:pPr>
      <w:r w:rsidRPr="00115A48">
        <w:rPr>
          <w:lang w:val="fr-FR"/>
        </w:rPr>
        <w:t>Pour le transport conformément au 1.1.4.7, le document de transport doit porter la mention suivante</w:t>
      </w:r>
      <w:r w:rsidR="00D707E8">
        <w:rPr>
          <w:lang w:val="fr-FR"/>
        </w:rPr>
        <w:t> </w:t>
      </w:r>
      <w:r w:rsidRPr="00115A48">
        <w:rPr>
          <w:lang w:val="fr-FR"/>
        </w:rPr>
        <w:t>:</w:t>
      </w:r>
    </w:p>
    <w:p w14:paraId="5A861D6B" w14:textId="77777777" w:rsidR="00115A48" w:rsidRPr="00115A48" w:rsidRDefault="00115A48" w:rsidP="00602D3E">
      <w:pPr>
        <w:pStyle w:val="SingleTxtG"/>
        <w:ind w:left="3402" w:hanging="1134"/>
        <w:rPr>
          <w:lang w:val="fr-FR"/>
        </w:rPr>
      </w:pPr>
      <w:r w:rsidRPr="00115A48">
        <w:rPr>
          <w:lang w:val="fr-FR"/>
        </w:rPr>
        <w:t>« TRANSPORT CONFORMÉMENT AU 1.1.4.7.1 » ou</w:t>
      </w:r>
    </w:p>
    <w:p w14:paraId="66236AE2" w14:textId="77777777" w:rsidR="00F9573C" w:rsidRDefault="00115A48" w:rsidP="00602D3E">
      <w:pPr>
        <w:pStyle w:val="SingleTxtG"/>
        <w:ind w:left="3402" w:hanging="1134"/>
        <w:rPr>
          <w:lang w:val="fr-FR"/>
        </w:rPr>
      </w:pPr>
      <w:r w:rsidRPr="00115A48">
        <w:rPr>
          <w:lang w:val="fr-FR"/>
        </w:rPr>
        <w:t>« TRANSPORT CONFORMÉMENT AU 1.1.4.7.2 », selon le cas. »</w:t>
      </w:r>
    </w:p>
    <w:p w14:paraId="77C85835" w14:textId="5C56B6C3" w:rsidR="00115A48" w:rsidRPr="00115A48" w:rsidRDefault="00115A48" w:rsidP="00115A48">
      <w:pPr>
        <w:pStyle w:val="SingleTxtG"/>
        <w:spacing w:before="240" w:after="0"/>
        <w:jc w:val="center"/>
        <w:rPr>
          <w:u w:val="single"/>
        </w:rPr>
      </w:pPr>
      <w:r>
        <w:rPr>
          <w:u w:val="single"/>
        </w:rPr>
        <w:tab/>
      </w:r>
      <w:r>
        <w:rPr>
          <w:u w:val="single"/>
        </w:rPr>
        <w:tab/>
      </w:r>
      <w:r>
        <w:rPr>
          <w:u w:val="single"/>
        </w:rPr>
        <w:tab/>
      </w:r>
      <w:r w:rsidR="00C90ABC">
        <w:rPr>
          <w:u w:val="single"/>
        </w:rPr>
        <w:tab/>
      </w:r>
    </w:p>
    <w:sectPr w:rsidR="00115A48" w:rsidRPr="00115A48" w:rsidSect="00115A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964C" w14:textId="77777777" w:rsidR="002A23B5" w:rsidRDefault="002A23B5" w:rsidP="00F95C08">
      <w:pPr>
        <w:spacing w:line="240" w:lineRule="auto"/>
      </w:pPr>
    </w:p>
  </w:endnote>
  <w:endnote w:type="continuationSeparator" w:id="0">
    <w:p w14:paraId="7826DF41" w14:textId="77777777" w:rsidR="002A23B5" w:rsidRPr="00AC3823" w:rsidRDefault="002A23B5" w:rsidP="00AC3823">
      <w:pPr>
        <w:pStyle w:val="Footer"/>
      </w:pPr>
    </w:p>
  </w:endnote>
  <w:endnote w:type="continuationNotice" w:id="1">
    <w:p w14:paraId="38F32E4C" w14:textId="77777777" w:rsidR="002A23B5" w:rsidRDefault="002A2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A207" w14:textId="77777777" w:rsidR="00115A48" w:rsidRPr="00115A48" w:rsidRDefault="00115A48" w:rsidP="00115A48">
    <w:pPr>
      <w:pStyle w:val="Footer"/>
      <w:tabs>
        <w:tab w:val="right" w:pos="9638"/>
      </w:tabs>
    </w:pPr>
    <w:r w:rsidRPr="00115A48">
      <w:rPr>
        <w:b/>
        <w:sz w:val="18"/>
      </w:rPr>
      <w:fldChar w:fldCharType="begin"/>
    </w:r>
    <w:r w:rsidRPr="00115A48">
      <w:rPr>
        <w:b/>
        <w:sz w:val="18"/>
      </w:rPr>
      <w:instrText xml:space="preserve"> PAGE  \* MERGEFORMAT </w:instrText>
    </w:r>
    <w:r w:rsidRPr="00115A48">
      <w:rPr>
        <w:b/>
        <w:sz w:val="18"/>
      </w:rPr>
      <w:fldChar w:fldCharType="separate"/>
    </w:r>
    <w:r w:rsidRPr="00115A48">
      <w:rPr>
        <w:b/>
        <w:noProof/>
        <w:sz w:val="18"/>
      </w:rPr>
      <w:t>2</w:t>
    </w:r>
    <w:r w:rsidRPr="00115A48">
      <w:rPr>
        <w:b/>
        <w:sz w:val="18"/>
      </w:rPr>
      <w:fldChar w:fldCharType="end"/>
    </w:r>
    <w:r>
      <w:rPr>
        <w:b/>
        <w:sz w:val="18"/>
      </w:rPr>
      <w:tab/>
    </w:r>
    <w:r>
      <w:t>GE.21-08578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E61E" w14:textId="77777777" w:rsidR="00115A48" w:rsidRPr="00115A48" w:rsidRDefault="00115A48" w:rsidP="00115A48">
    <w:pPr>
      <w:pStyle w:val="Footer"/>
      <w:tabs>
        <w:tab w:val="right" w:pos="9638"/>
      </w:tabs>
      <w:rPr>
        <w:b/>
        <w:sz w:val="18"/>
      </w:rPr>
    </w:pPr>
    <w:r>
      <w:t>GE.21-08578</w:t>
    </w:r>
    <w:r>
      <w:tab/>
    </w:r>
    <w:r w:rsidRPr="00115A48">
      <w:rPr>
        <w:b/>
        <w:sz w:val="18"/>
      </w:rPr>
      <w:fldChar w:fldCharType="begin"/>
    </w:r>
    <w:r w:rsidRPr="00115A48">
      <w:rPr>
        <w:b/>
        <w:sz w:val="18"/>
      </w:rPr>
      <w:instrText xml:space="preserve"> PAGE  \* MERGEFORMAT </w:instrText>
    </w:r>
    <w:r w:rsidRPr="00115A48">
      <w:rPr>
        <w:b/>
        <w:sz w:val="18"/>
      </w:rPr>
      <w:fldChar w:fldCharType="separate"/>
    </w:r>
    <w:r w:rsidRPr="00115A48">
      <w:rPr>
        <w:b/>
        <w:noProof/>
        <w:sz w:val="18"/>
      </w:rPr>
      <w:t>3</w:t>
    </w:r>
    <w:r w:rsidRPr="00115A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5818" w14:textId="522B25D1" w:rsidR="007F20FA" w:rsidRPr="00115A48" w:rsidRDefault="00115A48" w:rsidP="00115A4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EB0BA6" wp14:editId="642AB9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21-08578  (F)</w:t>
    </w:r>
    <w:r>
      <w:rPr>
        <w:noProof/>
        <w:sz w:val="20"/>
      </w:rPr>
      <w:drawing>
        <wp:anchor distT="0" distB="0" distL="114300" distR="114300" simplePos="0" relativeHeight="251660288" behindDoc="0" locked="0" layoutInCell="1" allowOverlap="1" wp14:anchorId="63F8F28A" wp14:editId="607D8D8B">
          <wp:simplePos x="0" y="0"/>
          <wp:positionH relativeFrom="margin">
            <wp:posOffset>5489575</wp:posOffset>
          </wp:positionH>
          <wp:positionV relativeFrom="margin">
            <wp:posOffset>8891905</wp:posOffset>
          </wp:positionV>
          <wp:extent cx="714375" cy="7143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3E">
      <w:rPr>
        <w:sz w:val="20"/>
      </w:rPr>
      <w:t xml:space="preserve">    300721    </w:t>
    </w:r>
    <w:r w:rsidR="00C90ABC">
      <w:rPr>
        <w:sz w:val="20"/>
      </w:rPr>
      <w:t>050821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B6EA" w14:textId="77777777" w:rsidR="002A23B5" w:rsidRPr="00AC3823" w:rsidRDefault="002A23B5" w:rsidP="00AC3823">
      <w:pPr>
        <w:pStyle w:val="Footer"/>
        <w:tabs>
          <w:tab w:val="right" w:pos="2155"/>
        </w:tabs>
        <w:spacing w:after="80" w:line="240" w:lineRule="atLeast"/>
        <w:ind w:left="680"/>
        <w:rPr>
          <w:u w:val="single"/>
        </w:rPr>
      </w:pPr>
      <w:r>
        <w:rPr>
          <w:u w:val="single"/>
        </w:rPr>
        <w:tab/>
      </w:r>
    </w:p>
  </w:footnote>
  <w:footnote w:type="continuationSeparator" w:id="0">
    <w:p w14:paraId="615BDCF7" w14:textId="77777777" w:rsidR="002A23B5" w:rsidRPr="00AC3823" w:rsidRDefault="002A23B5" w:rsidP="00AC3823">
      <w:pPr>
        <w:pStyle w:val="Footer"/>
        <w:tabs>
          <w:tab w:val="right" w:pos="2155"/>
        </w:tabs>
        <w:spacing w:after="80" w:line="240" w:lineRule="atLeast"/>
        <w:ind w:left="680"/>
        <w:rPr>
          <w:u w:val="single"/>
        </w:rPr>
      </w:pPr>
      <w:r>
        <w:rPr>
          <w:u w:val="single"/>
        </w:rPr>
        <w:tab/>
      </w:r>
    </w:p>
  </w:footnote>
  <w:footnote w:type="continuationNotice" w:id="1">
    <w:p w14:paraId="4EA17DC6" w14:textId="77777777" w:rsidR="002A23B5" w:rsidRPr="00AC3823" w:rsidRDefault="002A23B5">
      <w:pPr>
        <w:spacing w:line="240" w:lineRule="auto"/>
        <w:rPr>
          <w:sz w:val="2"/>
          <w:szCs w:val="2"/>
        </w:rPr>
      </w:pPr>
    </w:p>
  </w:footnote>
  <w:footnote w:id="2">
    <w:p w14:paraId="4BABFF89" w14:textId="77777777" w:rsidR="00602D3E" w:rsidRPr="00602D3E" w:rsidRDefault="00602D3E">
      <w:pPr>
        <w:pStyle w:val="FootnoteText"/>
      </w:pPr>
      <w:r>
        <w:rPr>
          <w:rStyle w:val="FootnoteReference"/>
        </w:rPr>
        <w:tab/>
      </w:r>
      <w:r w:rsidRPr="00602D3E">
        <w:rPr>
          <w:rStyle w:val="FootnoteReference"/>
          <w:sz w:val="20"/>
          <w:vertAlign w:val="baseline"/>
        </w:rPr>
        <w:t>*</w:t>
      </w:r>
      <w:r>
        <w:rPr>
          <w:rStyle w:val="FootnoteReference"/>
          <w:sz w:val="20"/>
          <w:vertAlign w:val="baseline"/>
        </w:rPr>
        <w:tab/>
      </w:r>
      <w:r>
        <w:rPr>
          <w:lang w:val="fr-FR"/>
        </w:rPr>
        <w:t>A/75/6 (Sect.20), par. 20.51.</w:t>
      </w:r>
    </w:p>
  </w:footnote>
  <w:footnote w:id="3">
    <w:p w14:paraId="20771625" w14:textId="77777777" w:rsidR="00602D3E" w:rsidRPr="00602D3E" w:rsidRDefault="00602D3E">
      <w:pPr>
        <w:pStyle w:val="FootnoteText"/>
      </w:pPr>
      <w:r>
        <w:rPr>
          <w:rStyle w:val="FootnoteReference"/>
        </w:rPr>
        <w:tab/>
      </w:r>
      <w:r w:rsidRPr="00602D3E">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08C2" w14:textId="069C0CFD" w:rsidR="00115A48" w:rsidRPr="00115A48" w:rsidRDefault="00E05D37">
    <w:pPr>
      <w:pStyle w:val="Header"/>
    </w:pPr>
    <w:r>
      <w:fldChar w:fldCharType="begin"/>
    </w:r>
    <w:r>
      <w:instrText xml:space="preserve"> TITLE  \* MERGEFORMAT </w:instrText>
    </w:r>
    <w:r>
      <w:fldChar w:fldCharType="separate"/>
    </w:r>
    <w:r w:rsidR="005332A0">
      <w:t>ECE/TRANS/WP.15/AC.1/2021/33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A503" w14:textId="56D83789" w:rsidR="00115A48" w:rsidRPr="00115A48" w:rsidRDefault="00E05D37" w:rsidP="00115A48">
    <w:pPr>
      <w:pStyle w:val="Header"/>
      <w:jc w:val="right"/>
    </w:pPr>
    <w:r>
      <w:fldChar w:fldCharType="begin"/>
    </w:r>
    <w:r>
      <w:instrText xml:space="preserve"> TITLE  \* MERGEFORMAT </w:instrText>
    </w:r>
    <w:r>
      <w:fldChar w:fldCharType="separate"/>
    </w:r>
    <w:r w:rsidR="005332A0">
      <w:t>ECE/TRANS/WP.15/AC.1/2021/33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B5"/>
    <w:rsid w:val="00017F94"/>
    <w:rsid w:val="00023842"/>
    <w:rsid w:val="000334F9"/>
    <w:rsid w:val="00045FEB"/>
    <w:rsid w:val="0007796D"/>
    <w:rsid w:val="000B7790"/>
    <w:rsid w:val="00111F2F"/>
    <w:rsid w:val="00115A48"/>
    <w:rsid w:val="0014365E"/>
    <w:rsid w:val="00143C66"/>
    <w:rsid w:val="00176178"/>
    <w:rsid w:val="001B4A4F"/>
    <w:rsid w:val="001F525A"/>
    <w:rsid w:val="00201148"/>
    <w:rsid w:val="00223272"/>
    <w:rsid w:val="0024779E"/>
    <w:rsid w:val="00257168"/>
    <w:rsid w:val="002744B8"/>
    <w:rsid w:val="002832AC"/>
    <w:rsid w:val="002A23B5"/>
    <w:rsid w:val="002D7C93"/>
    <w:rsid w:val="00305801"/>
    <w:rsid w:val="003916DE"/>
    <w:rsid w:val="00421996"/>
    <w:rsid w:val="00422E61"/>
    <w:rsid w:val="00441C3B"/>
    <w:rsid w:val="00446FE5"/>
    <w:rsid w:val="00452396"/>
    <w:rsid w:val="00452ADB"/>
    <w:rsid w:val="00477EB2"/>
    <w:rsid w:val="004837D8"/>
    <w:rsid w:val="004E2EED"/>
    <w:rsid w:val="004E468C"/>
    <w:rsid w:val="004F06E6"/>
    <w:rsid w:val="005332A0"/>
    <w:rsid w:val="005505B7"/>
    <w:rsid w:val="00573BE5"/>
    <w:rsid w:val="00586ED3"/>
    <w:rsid w:val="00596AA9"/>
    <w:rsid w:val="00602D3E"/>
    <w:rsid w:val="0071601D"/>
    <w:rsid w:val="007A62E6"/>
    <w:rsid w:val="007F20FA"/>
    <w:rsid w:val="0080684C"/>
    <w:rsid w:val="00871C75"/>
    <w:rsid w:val="008776DC"/>
    <w:rsid w:val="008D5EF9"/>
    <w:rsid w:val="009446C0"/>
    <w:rsid w:val="009705C8"/>
    <w:rsid w:val="009C1CF4"/>
    <w:rsid w:val="009F6B74"/>
    <w:rsid w:val="00A24BD6"/>
    <w:rsid w:val="00A3029F"/>
    <w:rsid w:val="00A30353"/>
    <w:rsid w:val="00AC3823"/>
    <w:rsid w:val="00AE323C"/>
    <w:rsid w:val="00AF0CB5"/>
    <w:rsid w:val="00B00181"/>
    <w:rsid w:val="00B00B0D"/>
    <w:rsid w:val="00B45F2E"/>
    <w:rsid w:val="00B765F7"/>
    <w:rsid w:val="00B77993"/>
    <w:rsid w:val="00BA0CA9"/>
    <w:rsid w:val="00C02897"/>
    <w:rsid w:val="00C90ABC"/>
    <w:rsid w:val="00C97039"/>
    <w:rsid w:val="00D1139E"/>
    <w:rsid w:val="00D3439C"/>
    <w:rsid w:val="00D707E8"/>
    <w:rsid w:val="00D7622E"/>
    <w:rsid w:val="00DB1831"/>
    <w:rsid w:val="00DD3BFD"/>
    <w:rsid w:val="00DF6678"/>
    <w:rsid w:val="00E0299A"/>
    <w:rsid w:val="00E05D37"/>
    <w:rsid w:val="00E85C74"/>
    <w:rsid w:val="00E90C31"/>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1E8F7"/>
  <w15:docId w15:val="{138835BF-18A8-44E0-836D-D9C3AC61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02D3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5909</Characters>
  <Application>Microsoft Office Word</Application>
  <DocSecurity>0</DocSecurity>
  <Lines>49</Lines>
  <Paragraphs>13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Nations Unies	ECE/TRANS/WP.15/AC.1/2021/33</vt:lpstr>
      <vt:lpstr>    Récipients à pression autorisés par le Département  des transports des États-U</vt:lpstr>
      <vt:lpstr>        Communication du secrétariat de l’Organisation intergouvernementale pour les t</vt:lpstr>
      <vt:lpstr>    Introduction</vt:lpstr>
      <vt:lpstr>    Propositions</vt:lpstr>
    </vt:vector>
  </TitlesOfParts>
  <Company>DCM</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ECE/TRANS/WP.15/AC.1/2021/33</dc:title>
  <dc:subject/>
  <dc:creator>Valerie BERTIN</dc:creator>
  <cp:keywords/>
  <cp:lastModifiedBy>Christine Barrio-Champeau</cp:lastModifiedBy>
  <cp:revision>2</cp:revision>
  <cp:lastPrinted>2021-08-05T14:25:00Z</cp:lastPrinted>
  <dcterms:created xsi:type="dcterms:W3CDTF">2021-08-10T16:16:00Z</dcterms:created>
  <dcterms:modified xsi:type="dcterms:W3CDTF">2021-08-10T16:16:00Z</dcterms:modified>
</cp:coreProperties>
</file>