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527F5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F2CE37" w14:textId="77777777" w:rsidR="002D5AAC" w:rsidRDefault="002D5AAC" w:rsidP="008776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DDD8D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D4872C" w14:textId="28E12E45" w:rsidR="002D5AAC" w:rsidRDefault="00877622" w:rsidP="00877622">
            <w:pPr>
              <w:jc w:val="right"/>
            </w:pPr>
            <w:r w:rsidRPr="00877622">
              <w:rPr>
                <w:sz w:val="40"/>
              </w:rPr>
              <w:t>ECE</w:t>
            </w:r>
            <w:r>
              <w:t>/TRANS/WP.15/AC.1/2021/32</w:t>
            </w:r>
          </w:p>
        </w:tc>
      </w:tr>
      <w:tr w:rsidR="002D5AAC" w:rsidRPr="00877622" w14:paraId="4221B68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ED37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14E8FD" wp14:editId="3E3B22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8765D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F0D4B6" w14:textId="77777777" w:rsidR="002D5AAC" w:rsidRDefault="008776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4710DD" w14:textId="77777777" w:rsidR="00877622" w:rsidRDefault="00877622" w:rsidP="008776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2021</w:t>
            </w:r>
          </w:p>
          <w:p w14:paraId="2E21E681" w14:textId="77777777" w:rsidR="00877622" w:rsidRDefault="00877622" w:rsidP="008776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5A2A9D" w14:textId="15EFD8E0" w:rsidR="00877622" w:rsidRPr="008D53B6" w:rsidRDefault="00877622" w:rsidP="008776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635B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890DD2" w14:textId="77777777" w:rsidR="00877622" w:rsidRPr="007A66D9" w:rsidRDefault="00877622" w:rsidP="00877622">
      <w:pPr>
        <w:spacing w:before="120"/>
        <w:rPr>
          <w:sz w:val="28"/>
          <w:szCs w:val="28"/>
        </w:rPr>
      </w:pPr>
      <w:r w:rsidRPr="007A66D9">
        <w:rPr>
          <w:sz w:val="28"/>
          <w:szCs w:val="28"/>
        </w:rPr>
        <w:t>Комитет по внутреннему транспорту</w:t>
      </w:r>
    </w:p>
    <w:p w14:paraId="32E42BA6" w14:textId="77777777" w:rsidR="00877622" w:rsidRPr="007A66D9" w:rsidRDefault="00877622" w:rsidP="00877622">
      <w:pPr>
        <w:spacing w:before="120" w:after="120"/>
        <w:rPr>
          <w:b/>
          <w:sz w:val="24"/>
          <w:szCs w:val="24"/>
        </w:rPr>
      </w:pPr>
      <w:r w:rsidRPr="007A66D9">
        <w:rPr>
          <w:b/>
          <w:bCs/>
          <w:sz w:val="24"/>
          <w:szCs w:val="24"/>
        </w:rPr>
        <w:t>Рабочая группа по перевозкам опасных грузов</w:t>
      </w:r>
    </w:p>
    <w:p w14:paraId="0D172B56" w14:textId="71DA53DD" w:rsidR="00877622" w:rsidRPr="006D6D17" w:rsidRDefault="00877622" w:rsidP="00877622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4CE63352" w14:textId="77777777" w:rsidR="00877622" w:rsidRPr="006D6D17" w:rsidRDefault="00877622" w:rsidP="00877622">
      <w:r>
        <w:t>Женева, 21 сентября — 1 октября 2021 года</w:t>
      </w:r>
    </w:p>
    <w:p w14:paraId="364BA9A8" w14:textId="77777777" w:rsidR="00877622" w:rsidRPr="006D6D17" w:rsidRDefault="00877622" w:rsidP="00877622">
      <w:r>
        <w:t>Пункт 5 b) предварительной повестки дня</w:t>
      </w:r>
    </w:p>
    <w:p w14:paraId="0FB855D8" w14:textId="77777777" w:rsidR="00877622" w:rsidRDefault="00877622" w:rsidP="00877622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</w:p>
    <w:p w14:paraId="18E92DAA" w14:textId="2DC201B5" w:rsidR="00E12C5F" w:rsidRDefault="00877622" w:rsidP="00877622">
      <w:r>
        <w:rPr>
          <w:b/>
          <w:bCs/>
        </w:rPr>
        <w:t>новые предложения</w:t>
      </w:r>
    </w:p>
    <w:p w14:paraId="4C0F51E2" w14:textId="77777777" w:rsidR="00877622" w:rsidRPr="006D6D17" w:rsidRDefault="00877622" w:rsidP="00877622">
      <w:pPr>
        <w:pStyle w:val="HChG"/>
      </w:pPr>
      <w:r>
        <w:tab/>
      </w:r>
      <w:r>
        <w:tab/>
        <w:t xml:space="preserve">Перевозка электроэнергетических систем, содержащих литий-ионные батареи </w:t>
      </w:r>
    </w:p>
    <w:p w14:paraId="42BE828F" w14:textId="5DB4EFD3" w:rsidR="00877622" w:rsidRDefault="00877622" w:rsidP="00877622">
      <w:pPr>
        <w:pStyle w:val="H1G"/>
      </w:pPr>
      <w:r>
        <w:tab/>
      </w:r>
      <w:r>
        <w:tab/>
        <w:t>Передано правительством Швеции</w:t>
      </w:r>
      <w:r w:rsidRPr="0087762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877622">
        <w:rPr>
          <w:b w:val="0"/>
          <w:bCs/>
          <w:sz w:val="20"/>
        </w:rPr>
        <w:t xml:space="preserve"> </w:t>
      </w:r>
      <w:r w:rsidRPr="0087762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77622" w:rsidRPr="00877622" w14:paraId="7B4BF348" w14:textId="77777777" w:rsidTr="0087762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B2B6844" w14:textId="77777777" w:rsidR="00877622" w:rsidRPr="00877622" w:rsidRDefault="0087762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77622">
              <w:rPr>
                <w:rFonts w:cs="Times New Roman"/>
              </w:rPr>
              <w:tab/>
            </w:r>
            <w:r w:rsidRPr="0087762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77622" w:rsidRPr="00877622" w14:paraId="29B53D4F" w14:textId="77777777" w:rsidTr="0087762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E3B1FA7" w14:textId="77777777" w:rsidR="00877622" w:rsidRDefault="00877622" w:rsidP="0001168E">
            <w:pPr>
              <w:pStyle w:val="SingleTxtG"/>
              <w:tabs>
                <w:tab w:val="left" w:pos="3686"/>
              </w:tabs>
              <w:ind w:left="3686" w:hanging="2552"/>
            </w:pPr>
            <w:r w:rsidRPr="00877622">
              <w:rPr>
                <w:b/>
                <w:bCs/>
              </w:rPr>
              <w:t>Существо предложения:</w:t>
            </w:r>
            <w:r w:rsidRPr="00877622">
              <w:tab/>
              <w:t>Уточнить и разработать соответствующие положения о перевозке и условия для перевозки электроэнергетических систем, содержащих литий-ионные батареи, автомобильным и железнодорожным транспортом.</w:t>
            </w:r>
          </w:p>
          <w:p w14:paraId="2BC117A7" w14:textId="3F9F3080" w:rsidR="00877622" w:rsidRPr="00877622" w:rsidRDefault="00877622" w:rsidP="0001168E">
            <w:pPr>
              <w:pStyle w:val="SingleTxtG"/>
              <w:tabs>
                <w:tab w:val="left" w:pos="3686"/>
              </w:tabs>
              <w:ind w:left="3686" w:hanging="2552"/>
            </w:pPr>
            <w:r w:rsidRPr="0001168E">
              <w:rPr>
                <w:b/>
                <w:bCs/>
              </w:rPr>
              <w:t>Предлагаемое решение:</w:t>
            </w:r>
            <w:r w:rsidRPr="00877622">
              <w:tab/>
              <w:t>Включить соответствующие положения о перевозке электроэнергетических систем, содержащих литий-ионные батареи.</w:t>
            </w:r>
          </w:p>
        </w:tc>
      </w:tr>
      <w:tr w:rsidR="00877622" w:rsidRPr="00877622" w14:paraId="28A72D52" w14:textId="77777777" w:rsidTr="0087762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8FDB8CC" w14:textId="77777777" w:rsidR="00877622" w:rsidRPr="00877622" w:rsidRDefault="00877622" w:rsidP="00850215">
            <w:pPr>
              <w:rPr>
                <w:rFonts w:cs="Times New Roman"/>
              </w:rPr>
            </w:pPr>
          </w:p>
        </w:tc>
      </w:tr>
    </w:tbl>
    <w:p w14:paraId="41C35170" w14:textId="77777777" w:rsidR="00877622" w:rsidRPr="006D6D17" w:rsidRDefault="00877622" w:rsidP="0087762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D181944" w14:textId="519C99FE" w:rsidR="00877622" w:rsidRPr="006D6D17" w:rsidRDefault="00877622" w:rsidP="00877622">
      <w:pPr>
        <w:pStyle w:val="SingleTxtG"/>
      </w:pPr>
      <w:r>
        <w:t>1.</w:t>
      </w:r>
      <w:r>
        <w:tab/>
        <w:t xml:space="preserve">За последние несколько лет использование мобильных электроэнергетических систем значительно возросло. Эта тенденция, вероятнее всего, сохранится и еще больше расширится, особенно учитывая глобальную деятельность и цель постепенного отказа от ископаемых видов топлива и перехода к низкоуглеродным источникам энергии. Цель и законодательство, выдвинутые Европейской комиссией и описанные на веб-сайте </w:t>
      </w:r>
      <w:hyperlink r:id="rId8" w:history="1">
        <w:r w:rsidR="0001168E" w:rsidRPr="0001168E">
          <w:rPr>
            <w:rStyle w:val="Hyperlink"/>
          </w:rPr>
          <w:t>ec.europa.eu/environment/topics/waste-and-recycling/batteries-and-accumulators_en</w:t>
        </w:r>
      </w:hyperlink>
      <w:r>
        <w:t>, являются одним из примеров текущих действий по облегчению и ускорению этого перехода.</w:t>
      </w:r>
    </w:p>
    <w:p w14:paraId="09AA2EA9" w14:textId="2FA66892" w:rsidR="00877622" w:rsidRPr="007A66D9" w:rsidRDefault="00877622" w:rsidP="00877622">
      <w:pPr>
        <w:pStyle w:val="SingleTxtG"/>
      </w:pPr>
      <w:r>
        <w:lastRenderedPageBreak/>
        <w:t>2.</w:t>
      </w:r>
      <w:r>
        <w:tab/>
        <w:t>Мобильные электроэнергетические системы могут представлять собой литиевые батареи, прикрепленные к внутренней структуре контейнеров. Кроме того, это могут быть системы, закрепленные и зафиксированные на прицепах, содержащие литий-ионные батареи и другое оборудование, необходимое для их функционирования. В некоторых случаях на прицепе может быть закреплена только одна большая литий-ионная батарея. Такие системы используются, например, для обеспечения электроэнергией электрифицированных машин и навесов на строительных площадках. Их часто перевозят для использования на рабочих объектах и в рабочих ситуациях в соответствии с положениями пункта 1.1.3.1 c). В примере на рис. 1 ниже энергетическая система состоит из шести батарей с индивидуальной емкостью 20 кВт·ч, общей емкостью 120 кВт·ч. Вес энергетической системы без прицепа составляет около 3000 кг.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1"/>
      </w:tblGrid>
      <w:tr w:rsidR="00877622" w14:paraId="2945AAE2" w14:textId="77777777" w:rsidTr="00CB6617">
        <w:trPr>
          <w:gridAfter w:val="1"/>
          <w:wAfter w:w="91" w:type="dxa"/>
          <w:trHeight w:val="381"/>
        </w:trPr>
        <w:tc>
          <w:tcPr>
            <w:tcW w:w="8505" w:type="dxa"/>
          </w:tcPr>
          <w:p w14:paraId="60CCBB98" w14:textId="77777777" w:rsidR="00877622" w:rsidRDefault="00877622" w:rsidP="00CB6617">
            <w:pPr>
              <w:pStyle w:val="SingleTxtG"/>
              <w:ind w:left="0"/>
              <w:jc w:val="left"/>
            </w:pPr>
            <w:r>
              <w:rPr>
                <w:b/>
                <w:bCs/>
              </w:rPr>
              <w:t>Рис. 1</w:t>
            </w:r>
          </w:p>
        </w:tc>
      </w:tr>
      <w:tr w:rsidR="00877622" w14:paraId="26C65136" w14:textId="77777777" w:rsidTr="00CB6617">
        <w:trPr>
          <w:trHeight w:val="381"/>
        </w:trPr>
        <w:tc>
          <w:tcPr>
            <w:tcW w:w="8505" w:type="dxa"/>
            <w:gridSpan w:val="2"/>
          </w:tcPr>
          <w:p w14:paraId="056501EB" w14:textId="3EED7180" w:rsidR="00877622" w:rsidRPr="00CF5997" w:rsidRDefault="00877622" w:rsidP="00CB6617">
            <w:pPr>
              <w:pStyle w:val="SingleTxtG"/>
              <w:ind w:left="0"/>
              <w:jc w:val="center"/>
              <w:rPr>
                <w:b/>
              </w:rPr>
            </w:pPr>
          </w:p>
          <w:p w14:paraId="0F07514B" w14:textId="36281E8E" w:rsidR="00877622" w:rsidRPr="00963EBC" w:rsidRDefault="0001168E" w:rsidP="00CB6617">
            <w:pPr>
              <w:pStyle w:val="SingleTxtG"/>
              <w:ind w:left="0"/>
              <w:jc w:val="center"/>
              <w:rPr>
                <w:b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03CAB4" wp14:editId="5647E239">
                      <wp:simplePos x="0" y="0"/>
                      <wp:positionH relativeFrom="column">
                        <wp:posOffset>3798751</wp:posOffset>
                      </wp:positionH>
                      <wp:positionV relativeFrom="paragraph">
                        <wp:posOffset>62230</wp:posOffset>
                      </wp:positionV>
                      <wp:extent cx="1073785" cy="44259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A64B" w14:textId="77777777" w:rsidR="00877622" w:rsidRPr="0001168E" w:rsidRDefault="00877622" w:rsidP="0001168E">
                                  <w:pPr>
                                    <w:spacing w:line="20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168E">
                                    <w:rPr>
                                      <w:sz w:val="18"/>
                                      <w:szCs w:val="18"/>
                                    </w:rPr>
                                    <w:t>Батарея, прикрепленная болтами к прицепу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3C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99.1pt;margin-top:4.9pt;width:84.55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" stroked="f">
                      <v:textbox inset="0,0,0,0">
                        <w:txbxContent>
                          <w:p w14:paraId="72F6A64B" w14:textId="77777777" w:rsidR="00877622" w:rsidRPr="0001168E" w:rsidRDefault="00877622" w:rsidP="0001168E">
                            <w:pPr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1168E">
                              <w:rPr>
                                <w:sz w:val="18"/>
                                <w:szCs w:val="18"/>
                              </w:rPr>
                              <w:t>Батарея, прикрепленная болтами к прицепу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622" w:rsidRPr="00963EBC">
              <w:rPr>
                <w:noProof/>
                <w:lang w:val="de-DE" w:eastAsia="de-DE"/>
              </w:rPr>
              <w:drawing>
                <wp:inline distT="0" distB="0" distL="0" distR="0" wp14:anchorId="7FEB913A" wp14:editId="0B2F6372">
                  <wp:extent cx="4722394" cy="2128932"/>
                  <wp:effectExtent l="0" t="0" r="2540" b="5080"/>
                  <wp:docPr id="4" name="Bildobjekt 1" descr="cid:image003.jpg@01D7100F.2847F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cid:image003.jpg@01D7100F.2847FFC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" b="1"/>
                          <a:stretch/>
                        </pic:blipFill>
                        <pic:spPr bwMode="auto">
                          <a:xfrm>
                            <a:off x="0" y="0"/>
                            <a:ext cx="4809473" cy="216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497A" w14:textId="77777777" w:rsidR="00877622" w:rsidRDefault="00877622" w:rsidP="00877622">
      <w:pPr>
        <w:pStyle w:val="SingleTxtG"/>
        <w:snapToGrid w:val="0"/>
        <w:spacing w:before="120" w:line="240" w:lineRule="exact"/>
      </w:pPr>
    </w:p>
    <w:p w14:paraId="54DDA463" w14:textId="77777777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3.</w:t>
      </w:r>
      <w:r>
        <w:tab/>
        <w:t>В последнее время неоднократно поднимался вопрос о том, как следует классифицировать эти мобильные электроэнергетические системы, а также о том, применимы ли какие-либо изъятия, например положения подраздела 1.1.3.7.</w:t>
      </w:r>
    </w:p>
    <w:p w14:paraId="55F8465A" w14:textId="22CE3FF4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4.</w:t>
      </w:r>
      <w:r>
        <w:tab/>
        <w:t xml:space="preserve">Одно из возможных решений состоит в том, чтобы использовать существующий № ООН 3536 </w:t>
      </w:r>
      <w:r w:rsidR="0001168E" w:rsidRPr="0001168E">
        <w:t>—</w:t>
      </w:r>
      <w:r>
        <w:t xml:space="preserve"> батареи литиевые, установленные в грузовой транспортной единице, и перевозить эти системы в условиях более или менее полного регулирования. Определение грузовой транспортной единицы, содержащееся в главе</w:t>
      </w:r>
      <w:r w:rsidR="0001168E">
        <w:rPr>
          <w:lang w:val="en-US"/>
        </w:rPr>
        <w:t> </w:t>
      </w:r>
      <w:r>
        <w:t>1.2, гласит следующее:</w:t>
      </w:r>
    </w:p>
    <w:p w14:paraId="30AFC31D" w14:textId="77777777" w:rsidR="00877622" w:rsidRPr="006D6D17" w:rsidRDefault="00877622" w:rsidP="00877622">
      <w:pPr>
        <w:tabs>
          <w:tab w:val="left" w:pos="-720"/>
          <w:tab w:val="left" w:pos="-324"/>
          <w:tab w:val="left" w:pos="1985"/>
          <w:tab w:val="left" w:pos="2552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napToGrid w:val="0"/>
        <w:spacing w:before="120" w:after="120" w:line="259" w:lineRule="auto"/>
        <w:ind w:left="1701" w:right="1179"/>
        <w:rPr>
          <w:i/>
        </w:rPr>
      </w:pPr>
      <w:r>
        <w:t>«</w:t>
      </w:r>
      <w:r w:rsidRPr="00F461A2">
        <w:rPr>
          <w:i/>
          <w:iCs/>
        </w:rPr>
        <w:t>“</w:t>
      </w:r>
      <w:r>
        <w:rPr>
          <w:i/>
          <w:iCs/>
        </w:rPr>
        <w:t>Грузовая транспортная единица</w:t>
      </w:r>
      <w:r w:rsidRPr="009E7F61">
        <w:rPr>
          <w:i/>
          <w:iCs/>
        </w:rPr>
        <w:t>”</w:t>
      </w:r>
      <w:r>
        <w:rPr>
          <w:i/>
          <w:iCs/>
        </w:rPr>
        <w:t xml:space="preserve"> означает транспортное средство, вагон, контейнер, контейнер-цистерну, переносную цистерну или МЭГК.</w:t>
      </w:r>
      <w:r>
        <w:t>».</w:t>
      </w:r>
    </w:p>
    <w:p w14:paraId="61DCEFE6" w14:textId="52635D05" w:rsidR="00877622" w:rsidRPr="007A66D9" w:rsidRDefault="00877622" w:rsidP="00877622">
      <w:pPr>
        <w:pStyle w:val="SingleTxtG"/>
      </w:pPr>
      <w:r>
        <w:t>5.</w:t>
      </w:r>
      <w:r>
        <w:tab/>
        <w:t>Номеру ООН 3536</w:t>
      </w:r>
      <w:r w:rsidRPr="00682D1A">
        <w:t xml:space="preserve"> </w:t>
      </w:r>
      <w:r>
        <w:t>назначено специальное положение 389, в котором указано, что позиция под № ООН 3536 применяется в отношении грузовых транспортных единиц, в которых установлены литий-ионные батареи или литий-металлические батареи и которые предназначены только для обеспечения электроэнергией внешних потребителей. Однако специальное положение 389 допускает освобождение батарей, по отдельности установленных в грузовых транспортных единицах, только от действия требований в отношении маркировки и знаков опасности. Все остальные требования остаются в силе, например требования в отношении документации на опасные грузы, оборудования, находящегося на борту, и подготовки водителей. По</w:t>
      </w:r>
      <w:r w:rsidR="00A246BF">
        <w:rPr>
          <w:lang w:val="en-US"/>
        </w:rPr>
        <w:t> </w:t>
      </w:r>
      <w:r>
        <w:t>мнению Швеции, № ООН 3536 будет наиболее подходящей позицией, поскольку № ООН 3171 «средство транспортное, работающее на аккумуляторных батареях» в нынешней формулировке не является подходящей позицией для этих систем.</w:t>
      </w:r>
    </w:p>
    <w:p w14:paraId="73EC2584" w14:textId="77777777" w:rsidR="00877622" w:rsidRPr="007A66D9" w:rsidRDefault="00877622" w:rsidP="00877622">
      <w:pPr>
        <w:pStyle w:val="SingleTxtG"/>
        <w:snapToGrid w:val="0"/>
        <w:spacing w:before="120" w:line="240" w:lineRule="exact"/>
      </w:pPr>
      <w:r>
        <w:t>6.</w:t>
      </w:r>
      <w:r>
        <w:tab/>
        <w:t xml:space="preserve">Если перевозка этих систем осуществляется предприятиями в дополнение к их основной деятельности, то использовать пункт 1.1.3.1 с) в его нынешнем виде невозможно. Данный пункт ограничивает размеры тары, а также предусматривает </w:t>
      </w:r>
      <w:r>
        <w:lastRenderedPageBreak/>
        <w:t xml:space="preserve">ограничения в соответствии с подразделом 1.1.3.6. Номер ООН 3536 не отнесен ни к одной транспортной категории, и, таким образом, подраздел 1.1.3.6 не может применяться. </w:t>
      </w:r>
    </w:p>
    <w:p w14:paraId="4568266C" w14:textId="655F3756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7.</w:t>
      </w:r>
      <w:r>
        <w:tab/>
        <w:t>Кроме того, можно провести обсуждение того, может ли применяться подраздел</w:t>
      </w:r>
      <w:r w:rsidR="00A246BF">
        <w:rPr>
          <w:lang w:val="en-US"/>
        </w:rPr>
        <w:t> </w:t>
      </w:r>
      <w:r>
        <w:t xml:space="preserve">1.1.3.7 или нет. Вопрос заключается в том, считается ли электроэнергетическая система «используемой» во время перевозки или она считается перевозимой в качестве груза («перевозимой»). В настоящее время Швеция придерживается того толкования, что такая система </w:t>
      </w:r>
      <w:r>
        <w:rPr>
          <w:u w:val="single"/>
        </w:rPr>
        <w:t>не</w:t>
      </w:r>
      <w:r>
        <w:t xml:space="preserve"> может считаться «используемой» и, следовательно, подраздел 1.1.3.7 не может применяться.</w:t>
      </w:r>
    </w:p>
    <w:p w14:paraId="4796E59C" w14:textId="4C040B9E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8.</w:t>
      </w:r>
      <w:r>
        <w:tab/>
        <w:t xml:space="preserve">Швеция считает, что компании должны иметь возможность перевозить системы аккумулирования электроэнергии в соответствии с пунктом 1.1.3.1 с) в рабочих ситуациях так же, как и другие виды опасных грузов, например легковоспламеняющиеся жидкости. Для решения этой проблемы Швеция предлагает два альтернативных варианта поправки к пункту 1.1.3.1 с). В первом варианте Швеция предлагает включить новое предложение для электроэнергетических систем с верхним пределом общей энергоемкости 100 кВт·ч. Этот предел энергоемкости основан на содержании энергии в батареях, используемых в автомобилях Tesla, </w:t>
      </w:r>
      <w:hyperlink r:id="rId11" w:anchor="Battery" w:history="1">
        <w:r w:rsidR="00A246BF" w:rsidRPr="00C92B9A">
          <w:rPr>
            <w:rStyle w:val="Hyperlink"/>
          </w:rPr>
          <w:t>https://en.wikipedia.org/wiki/Tesla_Model_S#Battery</w:t>
        </w:r>
      </w:hyperlink>
      <w:r>
        <w:t>, при этом, конечно, могут обсуждаться и другие значения.</w:t>
      </w:r>
    </w:p>
    <w:p w14:paraId="02F36C7D" w14:textId="666039C0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9.</w:t>
      </w:r>
      <w:r>
        <w:tab/>
        <w:t xml:space="preserve">Во втором варианте Швеция предлагает ввести иное ограничение </w:t>
      </w:r>
      <w:r w:rsidR="00A246BF" w:rsidRPr="00A246BF">
        <w:t>—</w:t>
      </w:r>
      <w:r>
        <w:t xml:space="preserve"> на общий вес батарей. Предлагаемая максимальная масса составляет 667 кг. Это значение основано на среднем значении удельной энергоемкости 150 Вт·ч/кг для батареи </w:t>
      </w:r>
      <w:r w:rsidRPr="00A246BF">
        <w:rPr>
          <w:spacing w:val="-2"/>
        </w:rPr>
        <w:t>(см.</w:t>
      </w:r>
      <w:r w:rsidR="00A246BF" w:rsidRPr="00A246BF">
        <w:rPr>
          <w:spacing w:val="-2"/>
          <w:lang w:val="en-US"/>
        </w:rPr>
        <w:t> </w:t>
      </w:r>
      <w:hyperlink r:id="rId12" w:history="1">
        <w:r w:rsidR="00A246BF" w:rsidRPr="00A246BF">
          <w:rPr>
            <w:rStyle w:val="Hyperlink"/>
            <w:spacing w:val="-2"/>
            <w:lang w:val="en-US"/>
          </w:rPr>
          <w:t>setis.ec.europa.eu/transforming-european-energy-system-through-innovation-2016_en</w:t>
        </w:r>
      </w:hyperlink>
      <w:r w:rsidRPr="00A246BF">
        <w:rPr>
          <w:spacing w:val="-2"/>
          <w:lang w:val="en-US"/>
        </w:rPr>
        <w:t>)</w:t>
      </w:r>
      <w:r w:rsidRPr="00A246BF">
        <w:rPr>
          <w:rStyle w:val="FootnoteReference"/>
          <w:spacing w:val="-2"/>
        </w:rPr>
        <w:footnoteReference w:id="3"/>
      </w:r>
      <w:r w:rsidRPr="00A246BF">
        <w:rPr>
          <w:spacing w:val="-2"/>
          <w:lang w:val="en-US"/>
        </w:rPr>
        <w:t>.</w:t>
      </w:r>
      <w:r w:rsidRPr="00A246BF">
        <w:rPr>
          <w:lang w:val="en-US"/>
        </w:rPr>
        <w:t xml:space="preserve"> </w:t>
      </w:r>
      <w:r>
        <w:t xml:space="preserve">Швеции известно, что разные батареи имеют разные показатели, однако она считает, что 150 Вт·ч/кг </w:t>
      </w:r>
      <w:r w:rsidR="00A246BF" w:rsidRPr="00A246BF">
        <w:t>—</w:t>
      </w:r>
      <w:r>
        <w:t xml:space="preserve"> это разумный средний предел. Предел для батарей в килограммах составит 667 кг (100 кВт·ч/150 Вт·ч/кг).</w:t>
      </w:r>
    </w:p>
    <w:p w14:paraId="4F95B094" w14:textId="3596F15E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10.</w:t>
      </w:r>
      <w:r>
        <w:tab/>
        <w:t>Кроме того, Швеция также считает, что в целях облегчения ситуации для наземной перевозки № ООН 3536 следует предусмотреть некоторые изъятия, аналогичные специальному положению 363, которое назначено двигателям и машинам (№ ООН 3528, 3529, 3530), или специальному положению 666, которое назначено № ООН 3171. Швеция предлагает ввести в МПОГ/ДОПОГ новое специальное положение для № ООН 3536, в котором будут указаны все применимые положения, касающиеся автомобильной и железнодорожной перевозки. Предложение Швеции состоит в том, чтобы потребовать, чтобы грузовые транспортные единицы, отнесенные к № ООН 3536, снабжались табличками оранжевого цвета и большими знаками опасности, когда общая энергоемкость превышает 100 кВт·ч (может быть дополнительно обсуждено). Конкретные требования, касающиеся соблюдения пункта</w:t>
      </w:r>
      <w:r w:rsidR="001B43D0">
        <w:rPr>
          <w:lang w:val="en-US"/>
        </w:rPr>
        <w:t> </w:t>
      </w:r>
      <w:r>
        <w:t>2.2.9.1.7 и крепления груза, которые в настоящее время содержатся в специальном положении 389, также должны применяться, и поэтому они переносятся из специального положения 389 в указанное новое специальное положение. Как следствие, специальное положение 389 может быть исключено из ДОПОГ/МПОГ. Никакие другие положения не должны применяться.</w:t>
      </w:r>
    </w:p>
    <w:p w14:paraId="3CA40E50" w14:textId="77777777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11.</w:t>
      </w:r>
      <w:r>
        <w:tab/>
        <w:t>Поскольку Швеция считает, что этот вид перевозок больше распространен на суше и существует срочная необходимость в разработке соответствующих положений, которые не обязательно должны быть такими же строгими, как для морских перевозок, обсуждение этого вопроса, по мнению Швеции, должно быть проведено Совместным совещанием, а не Подкомитетом экспертов ООН по перевозке опасных грузов. Швеция считает, что для мультимодальных перевозок достаточно действующего специального положения 389 в Типовых правилах ООН (двадцать первое пересмотренное издание).</w:t>
      </w:r>
    </w:p>
    <w:p w14:paraId="7CC5D6CB" w14:textId="77777777" w:rsidR="00877622" w:rsidRPr="006D6D17" w:rsidRDefault="00877622" w:rsidP="001B43D0">
      <w:pPr>
        <w:pStyle w:val="HChG"/>
      </w:pPr>
      <w:r>
        <w:lastRenderedPageBreak/>
        <w:tab/>
      </w:r>
      <w:r>
        <w:tab/>
        <w:t>Предложения</w:t>
      </w:r>
    </w:p>
    <w:p w14:paraId="4CCE31BE" w14:textId="77777777" w:rsidR="00877622" w:rsidRPr="006D6D17" w:rsidRDefault="00877622" w:rsidP="001B43D0">
      <w:pPr>
        <w:pStyle w:val="H1G"/>
      </w:pPr>
      <w:r>
        <w:tab/>
      </w:r>
      <w:r>
        <w:tab/>
        <w:t>Предложение 1</w:t>
      </w:r>
    </w:p>
    <w:p w14:paraId="1D571394" w14:textId="26BC56E5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12.</w:t>
      </w:r>
      <w:r>
        <w:tab/>
        <w:t xml:space="preserve">Изменить пункт 1.1.3.1 c) следующим образом (новый текст выделен </w:t>
      </w:r>
      <w:r>
        <w:rPr>
          <w:b/>
          <w:bCs/>
        </w:rPr>
        <w:t>жирным шрифтом</w:t>
      </w:r>
      <w:r>
        <w:t xml:space="preserve">). Два разных варианта заключены в квадратные скобки (* = вариант 1 и </w:t>
      </w:r>
      <w:r w:rsidR="001B43D0">
        <w:br/>
      </w:r>
      <w:r>
        <w:t>** = вариант 2):</w:t>
      </w:r>
    </w:p>
    <w:p w14:paraId="3096C82B" w14:textId="61570BF6" w:rsidR="00877622" w:rsidRPr="006D6D17" w:rsidRDefault="00877622" w:rsidP="00877622">
      <w:pPr>
        <w:pStyle w:val="SingleTxtG"/>
        <w:snapToGrid w:val="0"/>
        <w:spacing w:before="120" w:line="240" w:lineRule="exact"/>
        <w:ind w:left="1701" w:hanging="567"/>
      </w:pPr>
      <w:r>
        <w:t>«c)</w:t>
      </w:r>
      <w:r>
        <w:tab/>
        <w:t>перевозкам, осуществляемым предприятиями в дополнение к их основной деятельности, таким как доставка грузов на строительные и инженерно-технические объекты или обратные рейсы от таких объектов, или в связи с работами по замерам, ремонту и обслуживанию, в количествах не более 450</w:t>
      </w:r>
      <w:r w:rsidR="001B43D0">
        <w:rPr>
          <w:lang w:val="en-US"/>
        </w:rPr>
        <w:t> </w:t>
      </w:r>
      <w:r>
        <w:t xml:space="preserve">литров на единицу тары, включая контейнеры средней грузоподъемности для массовых грузов (КСМ) и крупногабаритную тару, и без превышения максимальных количеств, указанных в подразделе 1.1.3.6. </w:t>
      </w:r>
      <w:r>
        <w:rPr>
          <w:b/>
          <w:bCs/>
        </w:rPr>
        <w:t>[Для № ООН 3536 максимальная общая энергоемкость батарей составляет 100 кВт·ч.</w:t>
      </w:r>
      <w:r w:rsidRPr="001B43D0">
        <w:rPr>
          <w:b/>
          <w:bCs/>
        </w:rPr>
        <w:t>*</w:t>
      </w:r>
      <w:r>
        <w:rPr>
          <w:b/>
          <w:bCs/>
        </w:rPr>
        <w:t>] [Для</w:t>
      </w:r>
      <w:r w:rsidR="001B43D0">
        <w:rPr>
          <w:b/>
          <w:bCs/>
          <w:lang w:val="en-US"/>
        </w:rPr>
        <w:t> </w:t>
      </w:r>
      <w:r>
        <w:rPr>
          <w:b/>
          <w:bCs/>
        </w:rPr>
        <w:t>№ ООН 3536 максимальная масса батарей составляет 667 кг.**]</w:t>
      </w:r>
      <w:r>
        <w:t xml:space="preserve"> Должны быть приняты меры для предотвращения любой утечки содержимого в нормальных условиях перевозки. Эти изъятия не применяются к классу 7.</w:t>
      </w:r>
    </w:p>
    <w:p w14:paraId="2389E454" w14:textId="2BB25BF1" w:rsidR="00877622" w:rsidRPr="006D6D17" w:rsidRDefault="00877622" w:rsidP="001B43D0">
      <w:pPr>
        <w:pStyle w:val="SingleTxtG"/>
        <w:snapToGrid w:val="0"/>
        <w:spacing w:before="120" w:line="240" w:lineRule="exact"/>
        <w:ind w:left="1701" w:hanging="567"/>
      </w:pPr>
      <w:r>
        <w:tab/>
        <w:t>Это изъятие не распространяется на перевозки, осуществляемые такими предприятиями для собственного снабжения либо для внешнего или внутреннего распределения;».</w:t>
      </w:r>
    </w:p>
    <w:p w14:paraId="7C0921A9" w14:textId="77777777" w:rsidR="00877622" w:rsidRPr="006D6D17" w:rsidRDefault="00877622" w:rsidP="00877622">
      <w:pPr>
        <w:pStyle w:val="H1G"/>
      </w:pPr>
      <w:r>
        <w:tab/>
      </w:r>
      <w:r>
        <w:tab/>
      </w:r>
      <w:r>
        <w:rPr>
          <w:bCs/>
        </w:rPr>
        <w:t>Предложение 2</w:t>
      </w:r>
    </w:p>
    <w:p w14:paraId="055D449D" w14:textId="77777777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13.</w:t>
      </w:r>
      <w:r>
        <w:tab/>
        <w:t>В главу 3.3 включить новое специальное положение следующего содержания:</w:t>
      </w:r>
    </w:p>
    <w:p w14:paraId="661DE405" w14:textId="77777777" w:rsidR="00877622" w:rsidRPr="006D6D17" w:rsidRDefault="00877622" w:rsidP="00877622">
      <w:pPr>
        <w:pStyle w:val="SingleTxtG"/>
        <w:snapToGrid w:val="0"/>
        <w:spacing w:before="120" w:line="240" w:lineRule="exact"/>
        <w:ind w:left="1701" w:hanging="567"/>
        <w:rPr>
          <w:bCs/>
        </w:rPr>
      </w:pPr>
      <w:r>
        <w:t>«6XX</w:t>
      </w:r>
      <w:r>
        <w:tab/>
        <w:t>Данная позиция применяется только в отношении грузовых транспортных единиц, в которых установлены литий-ионные батареи или литий-металлические батареи и которые предназначены только для обеспечения электроэнергией внешних потребителей. Никакие другие требования ДОПОГ/МПОГ не применяются, за исключением следующих положений:</w:t>
      </w:r>
    </w:p>
    <w:p w14:paraId="23C17B5F" w14:textId="77777777" w:rsidR="00877622" w:rsidRPr="006D6D17" w:rsidRDefault="00877622" w:rsidP="00877622">
      <w:pPr>
        <w:pStyle w:val="SingleTxtG"/>
        <w:snapToGrid w:val="0"/>
        <w:spacing w:before="120" w:line="240" w:lineRule="exact"/>
        <w:ind w:left="1701"/>
      </w:pPr>
      <w:r>
        <w:t xml:space="preserve">Литиевые батареи должны отвечать положениям пункта 2.2.9.1.7 a)–g) и должны быть снабжены необходимыми системами для предотвращения избыточного заряда и разряда между батареями. </w:t>
      </w:r>
    </w:p>
    <w:p w14:paraId="50A6A009" w14:textId="77777777" w:rsidR="00877622" w:rsidRPr="006D6D17" w:rsidRDefault="00877622" w:rsidP="00877622">
      <w:pPr>
        <w:pStyle w:val="SingleTxtG"/>
        <w:snapToGrid w:val="0"/>
        <w:spacing w:before="120" w:line="240" w:lineRule="exact"/>
        <w:ind w:left="1701"/>
      </w:pPr>
      <w:r>
        <w:t>Батареи должны быть надежно прикреплены к внутренней структуре грузовой транспортной единицы (например, посредством размещения на полках, в шкафах и т. д.) таким образом, чтобы исключалась возможность короткого замыкания, случайного срабатывания и значительного перемещения по отношению к грузовой транспортной единице при толчках, нагрузках и вибрации, обычно возникающих в ходе перевозки.</w:t>
      </w:r>
    </w:p>
    <w:p w14:paraId="23565FC6" w14:textId="77777777" w:rsidR="00877622" w:rsidRPr="006D6D17" w:rsidRDefault="00877622" w:rsidP="00877622">
      <w:pPr>
        <w:pStyle w:val="SingleTxtG"/>
        <w:snapToGrid w:val="0"/>
        <w:spacing w:before="120" w:line="240" w:lineRule="exact"/>
        <w:ind w:left="1701"/>
      </w:pPr>
      <w:r>
        <w:t>Опасные грузы, необходимые для безопасного и надлежащего функционирования грузовой транспортной единицы (например, системы пожаротушения и кондиционирования воздуха), должны быть надлежащим образом прикреплены к грузовой транспортной единице или установлены в ней и, кроме того, не подпадают под действие ДОПОГ/МПОГ. Опасные грузы, которые не являются необходимыми для безопасного и надлежащего функционирования грузовой транспортной единицы, не должны перевозиться в данной грузовой транспортной единице.</w:t>
      </w:r>
    </w:p>
    <w:p w14:paraId="43A4F4FD" w14:textId="77777777" w:rsidR="00877622" w:rsidRPr="006D6D17" w:rsidRDefault="00877622" w:rsidP="00877622">
      <w:pPr>
        <w:pStyle w:val="SingleTxtG"/>
        <w:snapToGrid w:val="0"/>
        <w:spacing w:before="120" w:line="240" w:lineRule="exact"/>
        <w:ind w:left="1701"/>
      </w:pPr>
      <w:r>
        <w:t>Батареи, находящиеся внутри грузовой транспортной единицы, не подпадают под действие требований в отношении маркировки и знаков опасности. Если максимальная общая энергоемкость превышает 100 кВт·ч, грузовая транспортная единица должна быть снабжена табличками оранжевого цвета в соответствии с подразделом 5.3.2.2 и большими знаками опасности в соответствии с подразделом 5.3.1.1 на двух противоположных боковых сторонах.».</w:t>
      </w:r>
    </w:p>
    <w:p w14:paraId="2A576162" w14:textId="77777777" w:rsidR="00877622" w:rsidRPr="006D6D17" w:rsidRDefault="00877622" w:rsidP="00877622">
      <w:pPr>
        <w:pStyle w:val="H23G"/>
      </w:pPr>
      <w:r>
        <w:lastRenderedPageBreak/>
        <w:tab/>
      </w:r>
      <w:r>
        <w:tab/>
      </w:r>
      <w:r>
        <w:rPr>
          <w:bCs/>
        </w:rPr>
        <w:t>Сопутствующие поправки:</w:t>
      </w:r>
    </w:p>
    <w:p w14:paraId="753FAD69" w14:textId="77777777" w:rsidR="00877622" w:rsidRPr="006D6D17" w:rsidRDefault="00877622" w:rsidP="00877622">
      <w:pPr>
        <w:snapToGrid w:val="0"/>
        <w:spacing w:before="120" w:after="120" w:line="240" w:lineRule="exact"/>
        <w:ind w:left="1128" w:right="1119"/>
      </w:pPr>
      <w:r>
        <w:t>14.</w:t>
      </w:r>
      <w:r>
        <w:tab/>
        <w:t>Изменить первое примечание в пункте 2.2.9.1.7 следующим образом:</w:t>
      </w:r>
    </w:p>
    <w:p w14:paraId="26EC99EB" w14:textId="0473D2CC" w:rsidR="00877622" w:rsidRPr="006D6D17" w:rsidRDefault="00877622" w:rsidP="00877622">
      <w:pPr>
        <w:snapToGrid w:val="0"/>
        <w:spacing w:before="120" w:after="120" w:line="240" w:lineRule="exact"/>
        <w:ind w:left="1128" w:right="1119"/>
        <w:jc w:val="both"/>
      </w:pPr>
      <w:r>
        <w:tab/>
        <w:t>«</w:t>
      </w:r>
      <w:r>
        <w:rPr>
          <w:b/>
          <w:bCs/>
          <w:i/>
          <w:iCs/>
        </w:rPr>
        <w:t>ПРИМЕЧАНИЕ:</w:t>
      </w:r>
      <w:r w:rsidR="001B43D0">
        <w:tab/>
      </w:r>
      <w:r>
        <w:rPr>
          <w:i/>
          <w:iCs/>
        </w:rPr>
        <w:t xml:space="preserve">В отношении № ООН 3536 БАТАРЕИ ЛИТИЕВЫЕ, УСТАНОВЛЕННЫЕ В ГРУЗОВОЙ ТРАНСПОРТНОЙ ЕДИНИЦЕ, см. специальное положение </w:t>
      </w:r>
      <w:r>
        <w:rPr>
          <w:i/>
          <w:iCs/>
          <w:u w:val="single"/>
        </w:rPr>
        <w:t>6XX</w:t>
      </w:r>
      <w:r>
        <w:rPr>
          <w:i/>
          <w:iCs/>
        </w:rPr>
        <w:t xml:space="preserve"> </w:t>
      </w:r>
      <w:r>
        <w:rPr>
          <w:i/>
          <w:iCs/>
          <w:strike/>
        </w:rPr>
        <w:t>389</w:t>
      </w:r>
      <w:r>
        <w:rPr>
          <w:i/>
          <w:iCs/>
        </w:rPr>
        <w:t xml:space="preserve"> главы 3.3.</w:t>
      </w:r>
      <w:r>
        <w:t>».</w:t>
      </w:r>
    </w:p>
    <w:p w14:paraId="5DD9A11D" w14:textId="77777777" w:rsidR="00877622" w:rsidRPr="006D6D17" w:rsidRDefault="00877622" w:rsidP="00877622">
      <w:pPr>
        <w:snapToGrid w:val="0"/>
        <w:spacing w:before="120" w:after="120" w:line="240" w:lineRule="exact"/>
        <w:ind w:left="1128" w:right="1119"/>
      </w:pPr>
      <w:r>
        <w:t>15.</w:t>
      </w:r>
      <w:r>
        <w:tab/>
        <w:t>В пункте 3.3.1 изменить специальное положение 389 следующим образом:</w:t>
      </w:r>
    </w:p>
    <w:p w14:paraId="186CC6D0" w14:textId="0106C016" w:rsidR="00877622" w:rsidRDefault="00877622" w:rsidP="00877622">
      <w:pPr>
        <w:snapToGrid w:val="0"/>
        <w:spacing w:before="120" w:after="120" w:line="240" w:lineRule="exact"/>
        <w:ind w:left="1701" w:right="1119"/>
      </w:pPr>
      <w:r>
        <w:t>«389</w:t>
      </w:r>
      <w:r>
        <w:tab/>
        <w:t>(Исключено)».</w:t>
      </w:r>
    </w:p>
    <w:p w14:paraId="12734504" w14:textId="0C7A737A" w:rsidR="00877622" w:rsidRDefault="0087762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9084C59" w14:textId="77777777" w:rsidR="00877622" w:rsidRPr="006D6D17" w:rsidRDefault="00877622" w:rsidP="00877622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Приложение</w:t>
      </w:r>
    </w:p>
    <w:p w14:paraId="4E65F4DB" w14:textId="77777777" w:rsidR="00877622" w:rsidRPr="006D6D17" w:rsidRDefault="00877622" w:rsidP="00877622">
      <w:pPr>
        <w:pStyle w:val="H1G"/>
      </w:pPr>
      <w:r>
        <w:tab/>
      </w:r>
      <w:r>
        <w:tab/>
      </w:r>
      <w:r>
        <w:rPr>
          <w:bCs/>
        </w:rPr>
        <w:t>Веб-сайты с информацией о системах аккумулирования энергии:</w:t>
      </w:r>
    </w:p>
    <w:p w14:paraId="612A204B" w14:textId="77777777" w:rsidR="007E0CC0" w:rsidRPr="007E0CC0" w:rsidRDefault="00994FDD" w:rsidP="007E0CC0">
      <w:pPr>
        <w:pStyle w:val="SingleTxtG"/>
        <w:snapToGrid w:val="0"/>
        <w:spacing w:before="120" w:line="240" w:lineRule="exact"/>
      </w:pPr>
      <w:hyperlink r:id="rId13" w:history="1">
        <w:r w:rsidR="007E0CC0" w:rsidRPr="00963EBC">
          <w:rPr>
            <w:rStyle w:val="Hyperlink"/>
          </w:rPr>
          <w:t>https://www.tillquist.com/en/energy/energy-storage/ees-energy-storage-systems</w:t>
        </w:r>
      </w:hyperlink>
    </w:p>
    <w:p w14:paraId="65FF7E87" w14:textId="62DB8225" w:rsidR="007E0CC0" w:rsidRPr="007E0CC0" w:rsidRDefault="00994FDD" w:rsidP="00877622">
      <w:pPr>
        <w:pStyle w:val="SingleTxtG"/>
        <w:snapToGrid w:val="0"/>
        <w:spacing w:before="120" w:line="240" w:lineRule="exact"/>
      </w:pPr>
      <w:hyperlink r:id="rId14" w:history="1">
        <w:r w:rsidR="007E0CC0" w:rsidRPr="00963EBC">
          <w:rPr>
            <w:rStyle w:val="Hyperlink"/>
          </w:rPr>
          <w:t>https://www.atlascopco.com/sv-se/construction-equipment/products/energy-storage-systems/large</w:t>
        </w:r>
      </w:hyperlink>
    </w:p>
    <w:p w14:paraId="195B8A58" w14:textId="77777777" w:rsidR="00877622" w:rsidRPr="006D6D17" w:rsidRDefault="00877622" w:rsidP="00877622">
      <w:pPr>
        <w:pStyle w:val="H23G"/>
      </w:pPr>
      <w:r>
        <w:tab/>
      </w:r>
      <w:r>
        <w:tab/>
      </w:r>
      <w:r>
        <w:rPr>
          <w:bCs/>
        </w:rPr>
        <w:t>Сравнение между новым специальным положением 6xx и существующим специальным положением 389 (новый текст выделен жирным шрифтом)</w:t>
      </w:r>
    </w:p>
    <w:p w14:paraId="67D72463" w14:textId="34660CB7" w:rsidR="00877622" w:rsidRPr="006D6D17" w:rsidRDefault="00877622" w:rsidP="00877622">
      <w:pPr>
        <w:pStyle w:val="SingleTxtG"/>
        <w:snapToGrid w:val="0"/>
        <w:spacing w:before="120" w:line="240" w:lineRule="exact"/>
        <w:rPr>
          <w:b/>
          <w:bCs/>
        </w:rPr>
      </w:pPr>
      <w:r>
        <w:t>«6XX</w:t>
      </w:r>
      <w:r>
        <w:tab/>
        <w:t xml:space="preserve">Данная позиция применяется только в отношении грузовых транспортных единиц, в которых установлены литий-ионные батареи или литий-металлические батареи и которые предназначены только для обеспечения электроэнергией внешних потребителей. </w:t>
      </w:r>
      <w:r>
        <w:rPr>
          <w:b/>
          <w:bCs/>
        </w:rPr>
        <w:t>Никакие другие требования ДОПОГ/МПОГ не применяются, за</w:t>
      </w:r>
      <w:r w:rsidR="007E0CC0">
        <w:rPr>
          <w:b/>
          <w:bCs/>
          <w:lang w:val="en-US"/>
        </w:rPr>
        <w:t> </w:t>
      </w:r>
      <w:r>
        <w:rPr>
          <w:b/>
          <w:bCs/>
        </w:rPr>
        <w:t>исключением следующих положений:</w:t>
      </w:r>
    </w:p>
    <w:p w14:paraId="439BE2AD" w14:textId="77777777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Литиевые батареи должны отвечать положениям пункта 2.2.9.1.7 a)–g) и должны быть снабжены необходимыми системами для предотвращения избыточного заряда и разряда между батареями.</w:t>
      </w:r>
    </w:p>
    <w:p w14:paraId="4E53D23A" w14:textId="77777777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 xml:space="preserve">Батареи должны быть надежно прикреплены к внутренней структуре грузовой </w:t>
      </w:r>
      <w:r w:rsidRPr="007E0CC0">
        <w:rPr>
          <w:spacing w:val="-2"/>
        </w:rPr>
        <w:t>транспортной единицы (например, посредством размещения на полках, в шкафах и т. д.)</w:t>
      </w:r>
      <w:r>
        <w:t xml:space="preserve"> таким образом, чтобы исключалась возможность короткого замыкания, случайного срабатывания и значительного перемещения по отношению к грузовой транспортной единице при толчках, нагрузках и вибрации, обычно возникающих в ходе перевозки.</w:t>
      </w:r>
    </w:p>
    <w:p w14:paraId="00B4CA93" w14:textId="77777777" w:rsidR="00877622" w:rsidRPr="006D6D17" w:rsidRDefault="00877622" w:rsidP="00877622">
      <w:pPr>
        <w:pStyle w:val="SingleTxtG"/>
        <w:snapToGrid w:val="0"/>
        <w:spacing w:before="120" w:line="240" w:lineRule="exact"/>
      </w:pPr>
      <w:r>
        <w:t>Опасные грузы, необходимые для безопасного и надлежащего функционирования грузовой транспортной единицы (например, системы пожаротушения и кондиционирования воздуха), должны быть надлежащим образом прикреплены к грузовой транспортной единице или установлены в ней и, кроме того, не подпадают под действие ДОПОГ/МПОГ. Опасные грузы, которые не являются необходимыми для безопасного и надлежащего функционирования грузовой транспортной единицы, не должны перевозиться в данной грузовой транспортной единице.</w:t>
      </w:r>
    </w:p>
    <w:p w14:paraId="50ACC0FF" w14:textId="6280EF04" w:rsidR="00877622" w:rsidRDefault="00877622" w:rsidP="00877622">
      <w:pPr>
        <w:pStyle w:val="SingleTxtG"/>
      </w:pPr>
      <w:r>
        <w:t>Батареи, находящиеся внутри грузовой транспортной единицы, не подпадают под</w:t>
      </w:r>
      <w:r w:rsidR="007E0CC0">
        <w:rPr>
          <w:lang w:val="en-US"/>
        </w:rPr>
        <w:t> </w:t>
      </w:r>
      <w:r>
        <w:t xml:space="preserve">действие требований в отношении маркировки и знаков опасности. </w:t>
      </w:r>
      <w:r>
        <w:rPr>
          <w:b/>
          <w:bCs/>
        </w:rPr>
        <w:t>Если</w:t>
      </w:r>
      <w:r w:rsidR="007E0CC0">
        <w:rPr>
          <w:b/>
          <w:bCs/>
          <w:lang w:val="en-US"/>
        </w:rPr>
        <w:t> </w:t>
      </w:r>
      <w:r>
        <w:rPr>
          <w:b/>
          <w:bCs/>
        </w:rPr>
        <w:t>максимальная общая энергоемкость превышает 100 кВт·ч,</w:t>
      </w:r>
      <w:r>
        <w:t xml:space="preserve"> грузовая транспортная единица должна быть снабжена табличками оранжевого цвета в соответствии с подразделом 5.3.2.2 и большими знаками опасности в соответствии с подразделом 5.3.1.1 на двух противоположных боковых сторонах.».</w:t>
      </w:r>
    </w:p>
    <w:p w14:paraId="60D5BB3F" w14:textId="69A32808" w:rsidR="00877622" w:rsidRPr="00877622" w:rsidRDefault="00877622" w:rsidP="008776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7622" w:rsidRPr="00877622" w:rsidSect="0087762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88ED" w14:textId="77777777" w:rsidR="0038141A" w:rsidRPr="00A312BC" w:rsidRDefault="0038141A" w:rsidP="00A312BC"/>
  </w:endnote>
  <w:endnote w:type="continuationSeparator" w:id="0">
    <w:p w14:paraId="28613EE8" w14:textId="77777777" w:rsidR="0038141A" w:rsidRPr="00A312BC" w:rsidRDefault="003814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1CC7" w14:textId="2F70F125" w:rsidR="00877622" w:rsidRPr="00877622" w:rsidRDefault="00877622">
    <w:pPr>
      <w:pStyle w:val="Footer"/>
    </w:pPr>
    <w:r w:rsidRPr="00877622">
      <w:rPr>
        <w:b/>
        <w:sz w:val="18"/>
      </w:rPr>
      <w:fldChar w:fldCharType="begin"/>
    </w:r>
    <w:r w:rsidRPr="00877622">
      <w:rPr>
        <w:b/>
        <w:sz w:val="18"/>
      </w:rPr>
      <w:instrText xml:space="preserve"> PAGE  \* MERGEFORMAT </w:instrText>
    </w:r>
    <w:r w:rsidRPr="00877622">
      <w:rPr>
        <w:b/>
        <w:sz w:val="18"/>
      </w:rPr>
      <w:fldChar w:fldCharType="separate"/>
    </w:r>
    <w:r w:rsidRPr="00877622">
      <w:rPr>
        <w:b/>
        <w:noProof/>
        <w:sz w:val="18"/>
      </w:rPr>
      <w:t>2</w:t>
    </w:r>
    <w:r w:rsidRPr="00877622">
      <w:rPr>
        <w:b/>
        <w:sz w:val="18"/>
      </w:rPr>
      <w:fldChar w:fldCharType="end"/>
    </w:r>
    <w:r>
      <w:rPr>
        <w:b/>
        <w:sz w:val="18"/>
      </w:rPr>
      <w:tab/>
    </w:r>
    <w:r>
      <w:t>GE.21-08577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212B" w14:textId="34985356" w:rsidR="00877622" w:rsidRPr="00877622" w:rsidRDefault="00877622" w:rsidP="00877622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GE.21-08577</w:t>
    </w:r>
    <w:r>
      <w:tab/>
    </w:r>
    <w:r w:rsidRPr="00877622">
      <w:rPr>
        <w:b/>
        <w:sz w:val="18"/>
      </w:rPr>
      <w:fldChar w:fldCharType="begin"/>
    </w:r>
    <w:r w:rsidRPr="00877622">
      <w:rPr>
        <w:b/>
        <w:sz w:val="18"/>
      </w:rPr>
      <w:instrText xml:space="preserve"> PAGE  \* MERGEFORMAT </w:instrText>
    </w:r>
    <w:r w:rsidRPr="00877622">
      <w:rPr>
        <w:b/>
        <w:sz w:val="18"/>
      </w:rPr>
      <w:fldChar w:fldCharType="separate"/>
    </w:r>
    <w:r w:rsidRPr="00877622">
      <w:rPr>
        <w:b/>
        <w:noProof/>
        <w:sz w:val="18"/>
      </w:rPr>
      <w:t>3</w:t>
    </w:r>
    <w:r w:rsidRPr="008776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6161" w14:textId="270C5545" w:rsidR="00042B72" w:rsidRPr="007E0CC0" w:rsidRDefault="00877622" w:rsidP="0087762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3F16BC" wp14:editId="77B961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21-08577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7791AC" wp14:editId="693D18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CC0">
      <w:rPr>
        <w:lang w:val="en-US"/>
      </w:rPr>
      <w:t xml:space="preserve">  290621  290621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8F62" w14:textId="77777777" w:rsidR="0038141A" w:rsidRPr="001075E9" w:rsidRDefault="003814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A237B9" w14:textId="77777777" w:rsidR="0038141A" w:rsidRDefault="003814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B6E844" w14:textId="77777777" w:rsidR="00877622" w:rsidRPr="0016672E" w:rsidRDefault="00877622" w:rsidP="0001168E">
      <w:pPr>
        <w:pStyle w:val="FootnoteText"/>
        <w:rPr>
          <w:szCs w:val="18"/>
        </w:rPr>
      </w:pPr>
      <w:r w:rsidRPr="0016672E">
        <w:rPr>
          <w:szCs w:val="18"/>
        </w:rPr>
        <w:tab/>
      </w:r>
      <w:r w:rsidRPr="0001168E">
        <w:rPr>
          <w:sz w:val="20"/>
        </w:rPr>
        <w:t>*</w:t>
      </w:r>
      <w:r w:rsidRPr="0016672E">
        <w:rPr>
          <w:szCs w:val="18"/>
        </w:rPr>
        <w:tab/>
        <w:t>A/75/6 (разд. 20), п. 20.51.</w:t>
      </w:r>
    </w:p>
  </w:footnote>
  <w:footnote w:id="2">
    <w:p w14:paraId="06F9595E" w14:textId="77777777" w:rsidR="00877622" w:rsidRPr="0016672E" w:rsidRDefault="00877622" w:rsidP="0001168E">
      <w:pPr>
        <w:pStyle w:val="FootnoteText"/>
        <w:rPr>
          <w:szCs w:val="18"/>
        </w:rPr>
      </w:pPr>
      <w:r w:rsidRPr="0016672E">
        <w:rPr>
          <w:szCs w:val="18"/>
        </w:rPr>
        <w:tab/>
      </w:r>
      <w:r w:rsidRPr="0001168E">
        <w:rPr>
          <w:sz w:val="20"/>
        </w:rPr>
        <w:t>**</w:t>
      </w:r>
      <w:r w:rsidRPr="0016672E">
        <w:rPr>
          <w:szCs w:val="18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OTIF/RID/RC/2021/32.</w:t>
      </w:r>
    </w:p>
  </w:footnote>
  <w:footnote w:id="3">
    <w:p w14:paraId="3406CC2E" w14:textId="7AB67A23" w:rsidR="00877622" w:rsidRPr="006D6D17" w:rsidRDefault="00877622" w:rsidP="00877622">
      <w:pPr>
        <w:pStyle w:val="FootnoteText"/>
      </w:pPr>
      <w:r>
        <w:tab/>
      </w:r>
      <w:r w:rsidRPr="001B43D0">
        <w:rPr>
          <w:rStyle w:val="FootnoteReference"/>
          <w:szCs w:val="18"/>
        </w:rPr>
        <w:footnoteRef/>
      </w:r>
      <w:r>
        <w:tab/>
        <w:t>Это значение подтверждено RECHARGE (Европейская ассоциация по усовершенствованным перезаряжаемым батареям и литиевым батареям).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C676" w14:textId="39FEC623" w:rsidR="00877622" w:rsidRPr="00877622" w:rsidRDefault="00994FD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67561">
      <w:t>ECE/TRANS/WP.15/AC.1/2021/32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B88D" w14:textId="7A2636A5" w:rsidR="00877622" w:rsidRPr="00877622" w:rsidRDefault="00994FDD" w:rsidP="008776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67561">
      <w:t>ECE/TRANS/WP.15/AC.1/2021/32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A"/>
    <w:rsid w:val="0001168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3D0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41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561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0CC0"/>
    <w:rsid w:val="00806737"/>
    <w:rsid w:val="00825F8D"/>
    <w:rsid w:val="00834B71"/>
    <w:rsid w:val="0086445C"/>
    <w:rsid w:val="0087762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FDD"/>
    <w:rsid w:val="009A24AC"/>
    <w:rsid w:val="009C59D7"/>
    <w:rsid w:val="009C6FE6"/>
    <w:rsid w:val="009D7E7D"/>
    <w:rsid w:val="009E4EDB"/>
    <w:rsid w:val="00A14DA8"/>
    <w:rsid w:val="00A246BF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0A499"/>
  <w15:docId w15:val="{54C36083-EBA3-4950-8D28-C7B5395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77622"/>
    <w:rPr>
      <w:lang w:val="ru-RU" w:eastAsia="en-US"/>
    </w:rPr>
  </w:style>
  <w:style w:type="paragraph" w:customStyle="1" w:styleId="ParNoG">
    <w:name w:val="_ParNo_G"/>
    <w:basedOn w:val="SingleTxtG"/>
    <w:qFormat/>
    <w:rsid w:val="00877622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2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topics/waste-and-recycling/batteries-and-accumulators_en" TargetMode="External"/><Relationship Id="rId13" Type="http://schemas.openxmlformats.org/officeDocument/2006/relationships/hyperlink" Target="https://www.tillquist.com/en/energy/energy-storage/ees-energy-storage-system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setis.ec.europa.eu/transforming-european-energy-system-through-innovation-2016_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esla_Model_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jpg@01D7100F.2847FFC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atlascopco.com/sv-se/construction-equipment/products/energy-storage-systems/larg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ECE/TRANS/WP.15/AC.1/2021/32</vt:lpstr>
      <vt:lpstr>A/</vt:lpstr>
      <vt:lpstr>A/</vt:lpstr>
    </vt:vector>
  </TitlesOfParts>
  <Company>DCM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ECE/TRANS/WP.15/AC.1/2021/32</dc:title>
  <dc:subject/>
  <dc:creator>Marina KOROTKOVA</dc:creator>
  <cp:keywords/>
  <cp:lastModifiedBy>Christine Barrio-Champeau</cp:lastModifiedBy>
  <cp:revision>2</cp:revision>
  <cp:lastPrinted>2021-06-29T14:07:00Z</cp:lastPrinted>
  <dcterms:created xsi:type="dcterms:W3CDTF">2021-08-10T16:04:00Z</dcterms:created>
  <dcterms:modified xsi:type="dcterms:W3CDTF">2021-08-10T16:04:00Z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