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912CD" w14:paraId="6B77EAAC" w14:textId="77777777" w:rsidTr="00B20551">
        <w:trPr>
          <w:cantSplit/>
          <w:trHeight w:hRule="exact" w:val="851"/>
        </w:trPr>
        <w:tc>
          <w:tcPr>
            <w:tcW w:w="1276" w:type="dxa"/>
            <w:tcBorders>
              <w:bottom w:val="single" w:sz="4" w:space="0" w:color="auto"/>
            </w:tcBorders>
            <w:vAlign w:val="bottom"/>
          </w:tcPr>
          <w:p w14:paraId="0C27DD0C" w14:textId="77777777" w:rsidR="009E6CB7" w:rsidRPr="003912CD" w:rsidRDefault="009E6CB7" w:rsidP="00B20551">
            <w:pPr>
              <w:spacing w:after="80"/>
            </w:pPr>
          </w:p>
        </w:tc>
        <w:tc>
          <w:tcPr>
            <w:tcW w:w="2268" w:type="dxa"/>
            <w:tcBorders>
              <w:bottom w:val="single" w:sz="4" w:space="0" w:color="auto"/>
            </w:tcBorders>
            <w:vAlign w:val="bottom"/>
          </w:tcPr>
          <w:p w14:paraId="7057CA68" w14:textId="77777777" w:rsidR="009E6CB7" w:rsidRPr="003912CD" w:rsidRDefault="009E6CB7" w:rsidP="00B20551">
            <w:pPr>
              <w:spacing w:after="80" w:line="300" w:lineRule="exact"/>
              <w:rPr>
                <w:b/>
                <w:sz w:val="24"/>
                <w:szCs w:val="24"/>
              </w:rPr>
            </w:pPr>
            <w:r w:rsidRPr="003912CD">
              <w:rPr>
                <w:sz w:val="28"/>
                <w:szCs w:val="28"/>
              </w:rPr>
              <w:t>United Nations</w:t>
            </w:r>
          </w:p>
        </w:tc>
        <w:tc>
          <w:tcPr>
            <w:tcW w:w="6095" w:type="dxa"/>
            <w:gridSpan w:val="2"/>
            <w:tcBorders>
              <w:bottom w:val="single" w:sz="4" w:space="0" w:color="auto"/>
            </w:tcBorders>
            <w:vAlign w:val="bottom"/>
          </w:tcPr>
          <w:p w14:paraId="72FCE8B2" w14:textId="7D6630B1" w:rsidR="009E6CB7" w:rsidRPr="003912CD" w:rsidRDefault="008F2944" w:rsidP="008F2944">
            <w:pPr>
              <w:jc w:val="right"/>
            </w:pPr>
            <w:r w:rsidRPr="003912CD">
              <w:rPr>
                <w:sz w:val="40"/>
              </w:rPr>
              <w:t>ECE</w:t>
            </w:r>
            <w:r w:rsidRPr="003912CD">
              <w:t>/TRANS/WP.15/2021/8</w:t>
            </w:r>
          </w:p>
        </w:tc>
      </w:tr>
      <w:tr w:rsidR="009E6CB7" w:rsidRPr="003912CD" w14:paraId="67ABB9B8" w14:textId="77777777" w:rsidTr="00B20551">
        <w:trPr>
          <w:cantSplit/>
          <w:trHeight w:hRule="exact" w:val="2835"/>
        </w:trPr>
        <w:tc>
          <w:tcPr>
            <w:tcW w:w="1276" w:type="dxa"/>
            <w:tcBorders>
              <w:top w:val="single" w:sz="4" w:space="0" w:color="auto"/>
              <w:bottom w:val="single" w:sz="12" w:space="0" w:color="auto"/>
            </w:tcBorders>
          </w:tcPr>
          <w:p w14:paraId="7272CBFB" w14:textId="77777777" w:rsidR="009E6CB7" w:rsidRPr="003912CD" w:rsidRDefault="00686A48" w:rsidP="00B20551">
            <w:pPr>
              <w:spacing w:before="120"/>
            </w:pPr>
            <w:r w:rsidRPr="003912CD">
              <w:rPr>
                <w:noProof/>
                <w:lang w:eastAsia="fr-CH"/>
              </w:rPr>
              <w:drawing>
                <wp:inline distT="0" distB="0" distL="0" distR="0" wp14:anchorId="3021A766" wp14:editId="161FC2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853FF" w14:textId="77777777" w:rsidR="009E6CB7" w:rsidRPr="003912CD" w:rsidRDefault="009E6CB7" w:rsidP="00B20551">
            <w:pPr>
              <w:spacing w:before="120" w:line="420" w:lineRule="exact"/>
              <w:rPr>
                <w:sz w:val="40"/>
                <w:szCs w:val="40"/>
              </w:rPr>
            </w:pPr>
            <w:r w:rsidRPr="003912CD">
              <w:rPr>
                <w:b/>
                <w:sz w:val="40"/>
                <w:szCs w:val="40"/>
              </w:rPr>
              <w:t>Economic and Social Council</w:t>
            </w:r>
          </w:p>
        </w:tc>
        <w:tc>
          <w:tcPr>
            <w:tcW w:w="2835" w:type="dxa"/>
            <w:tcBorders>
              <w:top w:val="single" w:sz="4" w:space="0" w:color="auto"/>
              <w:bottom w:val="single" w:sz="12" w:space="0" w:color="auto"/>
            </w:tcBorders>
          </w:tcPr>
          <w:p w14:paraId="50278A23" w14:textId="77777777" w:rsidR="009E6CB7" w:rsidRPr="003912CD" w:rsidRDefault="008F2944" w:rsidP="008F2944">
            <w:pPr>
              <w:spacing w:before="240" w:line="240" w:lineRule="exact"/>
            </w:pPr>
            <w:r w:rsidRPr="003912CD">
              <w:t>Distr.: General</w:t>
            </w:r>
          </w:p>
          <w:p w14:paraId="19A39E9E" w14:textId="520AACDA" w:rsidR="008F2944" w:rsidRPr="003912CD" w:rsidRDefault="00320F21" w:rsidP="008F2944">
            <w:pPr>
              <w:spacing w:line="240" w:lineRule="exact"/>
            </w:pPr>
            <w:r>
              <w:t>19 August</w:t>
            </w:r>
            <w:r w:rsidR="008F2944" w:rsidRPr="00320F21">
              <w:t xml:space="preserve"> 2021</w:t>
            </w:r>
          </w:p>
          <w:p w14:paraId="2C21584A" w14:textId="77777777" w:rsidR="008F2944" w:rsidRPr="003912CD" w:rsidRDefault="008F2944" w:rsidP="008F2944">
            <w:pPr>
              <w:spacing w:line="240" w:lineRule="exact"/>
            </w:pPr>
          </w:p>
          <w:p w14:paraId="0F8B2233" w14:textId="1644E8E0" w:rsidR="008F2944" w:rsidRPr="003912CD" w:rsidRDefault="008F2944" w:rsidP="008F2944">
            <w:pPr>
              <w:spacing w:line="240" w:lineRule="exact"/>
            </w:pPr>
            <w:r w:rsidRPr="003912CD">
              <w:t>Original: English</w:t>
            </w:r>
          </w:p>
        </w:tc>
      </w:tr>
    </w:tbl>
    <w:p w14:paraId="28574963" w14:textId="77777777" w:rsidR="008F2944" w:rsidRPr="003912CD" w:rsidRDefault="008F2944" w:rsidP="008F2944">
      <w:pPr>
        <w:spacing w:before="120"/>
        <w:rPr>
          <w:b/>
          <w:sz w:val="28"/>
          <w:szCs w:val="28"/>
        </w:rPr>
      </w:pPr>
      <w:r w:rsidRPr="003912CD">
        <w:rPr>
          <w:b/>
          <w:sz w:val="28"/>
          <w:szCs w:val="28"/>
        </w:rPr>
        <w:t>Economic Commission for Europe</w:t>
      </w:r>
    </w:p>
    <w:p w14:paraId="37A7345B" w14:textId="77777777" w:rsidR="008F2944" w:rsidRPr="003912CD" w:rsidRDefault="008F2944" w:rsidP="008F2944">
      <w:pPr>
        <w:spacing w:before="120"/>
        <w:rPr>
          <w:sz w:val="28"/>
          <w:szCs w:val="28"/>
        </w:rPr>
      </w:pPr>
      <w:r w:rsidRPr="003912CD">
        <w:rPr>
          <w:sz w:val="28"/>
          <w:szCs w:val="28"/>
        </w:rPr>
        <w:t>Inland Transport Committee</w:t>
      </w:r>
    </w:p>
    <w:p w14:paraId="24905549" w14:textId="77777777" w:rsidR="008F2944" w:rsidRPr="003912CD" w:rsidRDefault="008F2944" w:rsidP="008F2944">
      <w:pPr>
        <w:spacing w:before="120"/>
        <w:rPr>
          <w:b/>
          <w:sz w:val="24"/>
          <w:szCs w:val="24"/>
        </w:rPr>
      </w:pPr>
      <w:r w:rsidRPr="003912CD">
        <w:rPr>
          <w:b/>
          <w:sz w:val="24"/>
          <w:szCs w:val="24"/>
        </w:rPr>
        <w:t>Working Party on the Transport of Dangerous Goods</w:t>
      </w:r>
    </w:p>
    <w:p w14:paraId="50249D45" w14:textId="51DCC5FF" w:rsidR="008F2944" w:rsidRPr="003912CD" w:rsidRDefault="008F2944" w:rsidP="008F2944">
      <w:pPr>
        <w:spacing w:before="120"/>
        <w:rPr>
          <w:rFonts w:eastAsia="SimSun"/>
          <w:b/>
        </w:rPr>
      </w:pPr>
      <w:r w:rsidRPr="003912CD">
        <w:rPr>
          <w:rFonts w:eastAsia="SimSun"/>
          <w:b/>
        </w:rPr>
        <w:t>110th</w:t>
      </w:r>
      <w:r w:rsidRPr="003912CD">
        <w:rPr>
          <w:rStyle w:val="hps"/>
          <w:rFonts w:ascii="Arial" w:hAnsi="Arial" w:cs="Arial"/>
          <w:color w:val="222222"/>
        </w:rPr>
        <w:t xml:space="preserve"> </w:t>
      </w:r>
      <w:r w:rsidRPr="003912CD">
        <w:rPr>
          <w:rFonts w:eastAsia="SimSun"/>
          <w:b/>
        </w:rPr>
        <w:t xml:space="preserve">session </w:t>
      </w:r>
    </w:p>
    <w:p w14:paraId="27B25269" w14:textId="32B25737" w:rsidR="008F2944" w:rsidRPr="003912CD" w:rsidRDefault="008F2944" w:rsidP="008F2944">
      <w:pPr>
        <w:rPr>
          <w:rFonts w:eastAsia="SimSun"/>
        </w:rPr>
      </w:pPr>
      <w:r w:rsidRPr="003912CD">
        <w:rPr>
          <w:rFonts w:eastAsia="SimSun"/>
        </w:rPr>
        <w:t>Geneva, 8–12 November 2021</w:t>
      </w:r>
    </w:p>
    <w:p w14:paraId="592A0E15" w14:textId="77777777" w:rsidR="00B45FBD" w:rsidRPr="003912CD" w:rsidRDefault="00B45FBD" w:rsidP="00B45FBD">
      <w:r w:rsidRPr="003912CD">
        <w:rPr>
          <w:rFonts w:eastAsia="SimSun"/>
        </w:rPr>
        <w:t xml:space="preserve">Item </w:t>
      </w:r>
      <w:r w:rsidRPr="003912CD">
        <w:t>5 (b) of the provisional agenda</w:t>
      </w:r>
    </w:p>
    <w:p w14:paraId="3D6B16D1" w14:textId="77777777" w:rsidR="00B45FBD" w:rsidRPr="003912CD" w:rsidRDefault="00B45FBD" w:rsidP="00B45FBD">
      <w:pPr>
        <w:rPr>
          <w:b/>
          <w:bCs/>
        </w:rPr>
      </w:pPr>
      <w:r w:rsidRPr="003912CD">
        <w:rPr>
          <w:b/>
          <w:bCs/>
        </w:rPr>
        <w:t>Proposals for amendments to annexes A and B of ADR:</w:t>
      </w:r>
    </w:p>
    <w:p w14:paraId="50572BF0" w14:textId="77777777" w:rsidR="00B45FBD" w:rsidRPr="003912CD" w:rsidRDefault="00B45FBD" w:rsidP="00B45FBD">
      <w:pPr>
        <w:rPr>
          <w:b/>
          <w:bCs/>
        </w:rPr>
      </w:pPr>
      <w:r w:rsidRPr="003912CD">
        <w:rPr>
          <w:b/>
          <w:bCs/>
          <w:szCs w:val="24"/>
        </w:rPr>
        <w:t>miscellaneous proposals</w:t>
      </w:r>
    </w:p>
    <w:p w14:paraId="3B3D7220" w14:textId="77777777" w:rsidR="00B45FBD" w:rsidRPr="003912CD" w:rsidRDefault="00B45FBD" w:rsidP="00B45FBD">
      <w:pPr>
        <w:pStyle w:val="HChG"/>
      </w:pPr>
      <w:r w:rsidRPr="003912CD">
        <w:tab/>
      </w:r>
      <w:r w:rsidRPr="003912CD">
        <w:tab/>
        <w:t xml:space="preserve">Requirements on security for dangerous goods carried in accordance with 1.1.3.6 </w:t>
      </w:r>
    </w:p>
    <w:p w14:paraId="3F500A98" w14:textId="2043BBAE" w:rsidR="00B45FBD" w:rsidRPr="003912CD" w:rsidRDefault="00B45FBD" w:rsidP="00B45FBD">
      <w:pPr>
        <w:pStyle w:val="H1G"/>
      </w:pPr>
      <w:r w:rsidRPr="003912CD">
        <w:tab/>
      </w:r>
      <w:r w:rsidRPr="003912CD">
        <w:tab/>
        <w:t>Transmitted by the Governments of Sweden and Norway</w:t>
      </w:r>
      <w:r w:rsidR="0047080D" w:rsidRPr="003912CD">
        <w:rPr>
          <w:sz w:val="20"/>
          <w:vertAlign w:val="superscript"/>
        </w:rPr>
        <w:footnoteReference w:customMarkFollows="1" w:id="2"/>
        <w:sym w:font="Symbol" w:char="F02A"/>
      </w:r>
    </w:p>
    <w:p w14:paraId="7CB3424E" w14:textId="77777777" w:rsidR="00B45FBD" w:rsidRPr="003912CD" w:rsidRDefault="00B45FBD" w:rsidP="00B45FBD">
      <w:pPr>
        <w:pStyle w:val="HChG"/>
      </w:pPr>
      <w:r w:rsidRPr="003912CD">
        <w:tab/>
      </w:r>
      <w:r w:rsidRPr="003912CD">
        <w:tab/>
        <w:t>Introduction</w:t>
      </w:r>
    </w:p>
    <w:p w14:paraId="0403A96B" w14:textId="4299AE94" w:rsidR="00B45FBD" w:rsidRPr="003912CD" w:rsidRDefault="0049182A" w:rsidP="00552B46">
      <w:pPr>
        <w:pStyle w:val="SingleTxtG"/>
      </w:pPr>
      <w:r w:rsidRPr="003912CD">
        <w:t>1.</w:t>
      </w:r>
      <w:r w:rsidRPr="003912CD">
        <w:tab/>
      </w:r>
      <w:r w:rsidR="00B45FBD" w:rsidRPr="003912CD">
        <w:t>At the 109</w:t>
      </w:r>
      <w:r w:rsidR="00B45FBD" w:rsidRPr="003912CD">
        <w:rPr>
          <w:vertAlign w:val="superscript"/>
        </w:rPr>
        <w:t>th</w:t>
      </w:r>
      <w:r w:rsidR="00B45FBD" w:rsidRPr="003912CD">
        <w:t xml:space="preserve"> session </w:t>
      </w:r>
      <w:r w:rsidR="00E42684" w:rsidRPr="003912CD">
        <w:t>of the Working Party</w:t>
      </w:r>
      <w:r w:rsidR="00B45FBD" w:rsidRPr="003912CD">
        <w:t xml:space="preserve">, Norway and Sweden submitted </w:t>
      </w:r>
      <w:r w:rsidR="00E42684" w:rsidRPr="003912CD">
        <w:t xml:space="preserve">informal document </w:t>
      </w:r>
      <w:hyperlink r:id="rId12" w:history="1">
        <w:r w:rsidR="00B45FBD" w:rsidRPr="003912CD">
          <w:rPr>
            <w:rStyle w:val="Hyperlink"/>
            <w:color w:val="auto"/>
          </w:rPr>
          <w:t>INF.8</w:t>
        </w:r>
      </w:hyperlink>
      <w:r w:rsidR="00B45FBD" w:rsidRPr="003912CD">
        <w:rPr>
          <w:rStyle w:val="Hyperlink"/>
          <w:color w:val="auto"/>
        </w:rPr>
        <w:t>.</w:t>
      </w:r>
      <w:r w:rsidR="00B45FBD" w:rsidRPr="003912CD">
        <w:rPr>
          <w:rStyle w:val="Hyperlink"/>
        </w:rPr>
        <w:t xml:space="preserve"> </w:t>
      </w:r>
      <w:r w:rsidR="00B45FBD" w:rsidRPr="003912CD">
        <w:t xml:space="preserve">The document presented the discrepancies between the security provisions in Chapter 1.10 and the provisions in Chapter 8.5, S1 (6) and sub-section 1.1.3.6 respectively. This document is a follow up on basis of the discussions from the last meeting, with focus on 1.1.3.6. </w:t>
      </w:r>
    </w:p>
    <w:p w14:paraId="1B8723BF" w14:textId="6455D37C" w:rsidR="00B45FBD" w:rsidRPr="003912CD" w:rsidRDefault="0049182A" w:rsidP="0049182A">
      <w:pPr>
        <w:pStyle w:val="SingleTxtG"/>
      </w:pPr>
      <w:r w:rsidRPr="003912CD">
        <w:t>2.</w:t>
      </w:r>
      <w:r w:rsidRPr="003912CD">
        <w:tab/>
      </w:r>
      <w:r w:rsidR="00B45FBD" w:rsidRPr="003912CD">
        <w:t xml:space="preserve">There are 212 Class 1 substances and articles listed as high consequence dangerous goods in packages (Table 1.10.3.1.2) from 0 kg, which may be carried in accordance with sub-section 1.1.3.6 without having to apply any of the provisions concerning security in chapter 1.10. </w:t>
      </w:r>
    </w:p>
    <w:p w14:paraId="2A7320DE" w14:textId="3CE1AB27" w:rsidR="00B45FBD" w:rsidRPr="003912CD" w:rsidRDefault="0049182A" w:rsidP="003912CD">
      <w:pPr>
        <w:pStyle w:val="SingleTxtG"/>
      </w:pPr>
      <w:r w:rsidRPr="003912CD">
        <w:t>3.</w:t>
      </w:r>
      <w:r w:rsidRPr="003912CD">
        <w:tab/>
      </w:r>
      <w:r w:rsidR="00B45FBD" w:rsidRPr="003912CD">
        <w:t xml:space="preserve">In addition, there are 318 substances and articles belonging to other classes which are also listed as high consequence dangerous </w:t>
      </w:r>
      <w:r w:rsidR="00877C8C" w:rsidRPr="003912CD">
        <w:t>goods but</w:t>
      </w:r>
      <w:r w:rsidR="00B45FBD" w:rsidRPr="003912CD">
        <w:t xml:space="preserve"> permitted to be carried in accordance with 1.1.3.6. These are toxic gases, desensitized explosives in </w:t>
      </w:r>
      <w:r w:rsidR="003912CD" w:rsidRPr="003912CD">
        <w:t xml:space="preserve">Class </w:t>
      </w:r>
      <w:r w:rsidR="00B45FBD" w:rsidRPr="003912CD">
        <w:t xml:space="preserve">3 and </w:t>
      </w:r>
      <w:r w:rsidR="003912CD" w:rsidRPr="003912CD">
        <w:t xml:space="preserve">Class </w:t>
      </w:r>
      <w:r w:rsidR="00B45FBD" w:rsidRPr="003912CD">
        <w:t xml:space="preserve">4.1 and toxic substances of packing group I. We have listed all the concerned substances and articles, including </w:t>
      </w:r>
      <w:r w:rsidR="003912CD" w:rsidRPr="003912CD">
        <w:t xml:space="preserve">those in </w:t>
      </w:r>
      <w:r w:rsidR="00B45FBD" w:rsidRPr="003912CD">
        <w:t>Class</w:t>
      </w:r>
      <w:r w:rsidR="003912CD" w:rsidRPr="003912CD">
        <w:t xml:space="preserve"> </w:t>
      </w:r>
      <w:r w:rsidR="00B45FBD" w:rsidRPr="003912CD">
        <w:t>1, in</w:t>
      </w:r>
      <w:r w:rsidR="007C7F77" w:rsidRPr="003912CD">
        <w:rPr>
          <w:lang w:eastAsia="zh-CN"/>
        </w:rPr>
        <w:t xml:space="preserve"> informal document INF.3</w:t>
      </w:r>
      <w:r w:rsidR="00B45FBD" w:rsidRPr="003912CD">
        <w:t>.</w:t>
      </w:r>
    </w:p>
    <w:p w14:paraId="1DC0AD42" w14:textId="68AAE748" w:rsidR="00B45FBD" w:rsidRPr="003912CD" w:rsidRDefault="0049182A" w:rsidP="0049182A">
      <w:pPr>
        <w:pStyle w:val="SingleTxtG"/>
      </w:pPr>
      <w:r w:rsidRPr="003912CD">
        <w:t>4.</w:t>
      </w:r>
      <w:r w:rsidRPr="003912CD">
        <w:tab/>
      </w:r>
      <w:r w:rsidR="00B45FBD" w:rsidRPr="003912CD">
        <w:t xml:space="preserve">We think </w:t>
      </w:r>
      <w:r w:rsidR="002C430C">
        <w:t xml:space="preserve">that </w:t>
      </w:r>
      <w:r w:rsidR="00B45FBD" w:rsidRPr="003912CD">
        <w:t xml:space="preserve">it is inconsistent that goods specifically considered as high consequence dangerous goods from 0 kg are exempted from the provisions </w:t>
      </w:r>
      <w:r w:rsidR="002C430C">
        <w:t>of</w:t>
      </w:r>
      <w:r w:rsidR="002C430C" w:rsidRPr="003912CD">
        <w:t xml:space="preserve"> </w:t>
      </w:r>
      <w:r w:rsidR="002C430C">
        <w:t>C</w:t>
      </w:r>
      <w:r w:rsidR="002C430C" w:rsidRPr="003912CD">
        <w:t xml:space="preserve">hapter </w:t>
      </w:r>
      <w:r w:rsidR="00B45FBD" w:rsidRPr="003912CD">
        <w:t xml:space="preserve">1.10 when carried in accordance with sub-section 1.1.3.6. </w:t>
      </w:r>
      <w:r w:rsidR="002C430C">
        <w:t>This is</w:t>
      </w:r>
      <w:r w:rsidR="00B45FBD" w:rsidRPr="003912CD">
        <w:t xml:space="preserve"> relevant for all classes, but in particular for explosives of Class 1. In our countries there are no similar security exemptions in other regulations for storage, handling and use of explosives.</w:t>
      </w:r>
    </w:p>
    <w:p w14:paraId="03C370D5" w14:textId="3EB13864" w:rsidR="00B45FBD" w:rsidRPr="003912CD" w:rsidRDefault="0049182A" w:rsidP="0049182A">
      <w:pPr>
        <w:pStyle w:val="SingleTxtG"/>
      </w:pPr>
      <w:r w:rsidRPr="003912CD">
        <w:t>5.</w:t>
      </w:r>
      <w:r w:rsidRPr="003912CD">
        <w:tab/>
      </w:r>
      <w:r w:rsidR="00B45FBD" w:rsidRPr="003912CD">
        <w:t>To increase the security level for transport in accordance with 1.1.3.6, Sweden and Norway propose that the security provisions should apply to all substances and articles that are included in Table 1.10.3.1.2.</w:t>
      </w:r>
    </w:p>
    <w:p w14:paraId="7BCC432A" w14:textId="7F77AE63" w:rsidR="00B45FBD" w:rsidRPr="003912CD" w:rsidRDefault="00F71A74" w:rsidP="0049182A">
      <w:pPr>
        <w:pStyle w:val="SingleTxtG"/>
      </w:pPr>
      <w:r w:rsidRPr="003912CD">
        <w:lastRenderedPageBreak/>
        <w:t>6.</w:t>
      </w:r>
      <w:r w:rsidRPr="003912CD">
        <w:tab/>
      </w:r>
      <w:r w:rsidR="00B45FBD" w:rsidRPr="003912CD">
        <w:t xml:space="preserve">If the proposal (alternative 1 or 2 below) would be adopted, consequential amendments </w:t>
      </w:r>
      <w:r w:rsidR="002C430C">
        <w:t>would be</w:t>
      </w:r>
      <w:r w:rsidR="002C430C" w:rsidRPr="003912CD">
        <w:t xml:space="preserve"> </w:t>
      </w:r>
      <w:r w:rsidR="00B45FBD" w:rsidRPr="003912CD">
        <w:t xml:space="preserve">needed in section 1.10.4. </w:t>
      </w:r>
    </w:p>
    <w:p w14:paraId="66398D67" w14:textId="57C6665A" w:rsidR="00B45FBD" w:rsidRPr="003912CD" w:rsidRDefault="00F71A74" w:rsidP="0049182A">
      <w:pPr>
        <w:pStyle w:val="SingleTxtG"/>
      </w:pPr>
      <w:r w:rsidRPr="003912CD">
        <w:t>7.</w:t>
      </w:r>
      <w:r w:rsidRPr="003912CD">
        <w:tab/>
      </w:r>
      <w:r w:rsidR="00B45FBD" w:rsidRPr="003912CD">
        <w:t xml:space="preserve">In 1.10.4 we propose to delete the first sentence; if 1.1.3.6 is applied for carriage of substances or articles exempted from </w:t>
      </w:r>
      <w:r w:rsidR="002C430C">
        <w:t>C</w:t>
      </w:r>
      <w:r w:rsidR="002C430C" w:rsidRPr="003912CD">
        <w:t xml:space="preserve">hapter </w:t>
      </w:r>
      <w:r w:rsidR="00B45FBD" w:rsidRPr="003912CD">
        <w:t xml:space="preserve">1.10, section 1.10.4 is no longer applicable. If the transport contains substances or articles which are not exempted from </w:t>
      </w:r>
      <w:r w:rsidR="002C430C">
        <w:t>C</w:t>
      </w:r>
      <w:r w:rsidR="002C430C" w:rsidRPr="003912CD">
        <w:t xml:space="preserve">hapter </w:t>
      </w:r>
      <w:r w:rsidR="00B45FBD" w:rsidRPr="003912CD">
        <w:t>1.10, this is already stated in the first indent in 1.1.3.6.2. Thus, the first sentence in 1.10.4 only repeats what is already clarified in 1.1.3.6.</w:t>
      </w:r>
    </w:p>
    <w:p w14:paraId="48F29F07" w14:textId="1BB44CE7" w:rsidR="00B45FBD" w:rsidRPr="003912CD" w:rsidRDefault="00F71A74" w:rsidP="0049182A">
      <w:pPr>
        <w:pStyle w:val="SingleTxtG"/>
      </w:pPr>
      <w:r w:rsidRPr="003912CD">
        <w:t>8.</w:t>
      </w:r>
      <w:r w:rsidRPr="003912CD">
        <w:tab/>
      </w:r>
      <w:r w:rsidR="00B45FBD" w:rsidRPr="003912CD">
        <w:t xml:space="preserve">Furthermore, we also propose to delete the second sentence in 1.10.4 concerning exemptions from </w:t>
      </w:r>
      <w:r w:rsidR="002C430C">
        <w:t>C</w:t>
      </w:r>
      <w:r w:rsidR="002C430C" w:rsidRPr="003912CD">
        <w:t xml:space="preserve">hapter </w:t>
      </w:r>
      <w:r w:rsidR="00B45FBD" w:rsidRPr="003912CD">
        <w:t xml:space="preserve">1.10 for bulk and tank carriage. Irrespective of the volume contained, </w:t>
      </w:r>
      <w:r w:rsidR="00EC7438">
        <w:t xml:space="preserve">for carriage in </w:t>
      </w:r>
      <w:r w:rsidR="00B45FBD" w:rsidRPr="003912CD">
        <w:t>bulk or tank</w:t>
      </w:r>
      <w:r w:rsidR="00EC7438">
        <w:t>,</w:t>
      </w:r>
      <w:r w:rsidR="00B45FBD" w:rsidRPr="003912CD">
        <w:t xml:space="preserve"> transport</w:t>
      </w:r>
      <w:r w:rsidR="00EC7438">
        <w:t xml:space="preserve"> units</w:t>
      </w:r>
      <w:r w:rsidR="00B45FBD" w:rsidRPr="003912CD">
        <w:t xml:space="preserve"> bear orange coloured plates and are usually also marked with placards, or labels for some smaller volumes. Thus, a </w:t>
      </w:r>
      <w:r w:rsidR="00635E17">
        <w:t xml:space="preserve">would-be </w:t>
      </w:r>
      <w:r w:rsidR="00B45FBD" w:rsidRPr="003912CD">
        <w:t xml:space="preserve">perpetrator might in many cases not be able to determine whether the transport carries a full load or only contain a smaller volume, </w:t>
      </w:r>
      <w:r w:rsidR="003B69BC">
        <w:t>when</w:t>
      </w:r>
      <w:r w:rsidR="003B69BC" w:rsidRPr="003912CD">
        <w:t xml:space="preserve"> </w:t>
      </w:r>
      <w:r w:rsidR="00B45FBD" w:rsidRPr="003912CD">
        <w:t xml:space="preserve">the security threat could </w:t>
      </w:r>
      <w:r w:rsidR="003B69BC">
        <w:t>remain</w:t>
      </w:r>
      <w:r w:rsidR="003B69BC" w:rsidRPr="003912CD">
        <w:t xml:space="preserve"> </w:t>
      </w:r>
      <w:r w:rsidR="00B45FBD" w:rsidRPr="003912CD">
        <w:t xml:space="preserve">the same. </w:t>
      </w:r>
    </w:p>
    <w:p w14:paraId="1ECBBDFD" w14:textId="07C93EB8" w:rsidR="00B45FBD" w:rsidRPr="003912CD" w:rsidRDefault="003B69BC" w:rsidP="003B69BC">
      <w:pPr>
        <w:pStyle w:val="SingleTxtG"/>
      </w:pPr>
      <w:r>
        <w:t>9.</w:t>
      </w:r>
      <w:r>
        <w:tab/>
      </w:r>
      <w:r w:rsidR="00B45FBD" w:rsidRPr="003912CD">
        <w:t xml:space="preserve">Furthermore, distribution of dangerous goods in bulk and tank is not allowed in accordance with 1.1.3.6 or </w:t>
      </w:r>
      <w:r w:rsidR="004E03EA">
        <w:t xml:space="preserve">in application of </w:t>
      </w:r>
      <w:r w:rsidR="00B45FBD" w:rsidRPr="003912CD">
        <w:t>any other exemption in section 1.1.3. Therefore, it seems inconsistent to allow for an exemption which refers to the quantities specified in 1.1.3.6.</w:t>
      </w:r>
    </w:p>
    <w:p w14:paraId="094462B6" w14:textId="77777777" w:rsidR="00B45FBD" w:rsidRPr="003912CD" w:rsidRDefault="00B45FBD" w:rsidP="00B45FBD">
      <w:pPr>
        <w:pStyle w:val="HChG"/>
        <w:ind w:firstLine="0"/>
      </w:pPr>
      <w:r w:rsidRPr="003912CD">
        <w:tab/>
        <w:t>Proposals</w:t>
      </w:r>
    </w:p>
    <w:p w14:paraId="1F8BA4C1" w14:textId="623CF61C" w:rsidR="00B45FBD" w:rsidRPr="003912CD" w:rsidRDefault="004E03EA" w:rsidP="004E03EA">
      <w:pPr>
        <w:pStyle w:val="H1G"/>
      </w:pPr>
      <w:r>
        <w:tab/>
      </w:r>
      <w:r>
        <w:tab/>
      </w:r>
      <w:r w:rsidR="00B45FBD" w:rsidRPr="003912CD">
        <w:t>Alternative 1</w:t>
      </w:r>
    </w:p>
    <w:p w14:paraId="4B3C4246" w14:textId="5A9F13C2" w:rsidR="00B45FBD" w:rsidRPr="004670B8" w:rsidRDefault="004670B8" w:rsidP="004670B8">
      <w:pPr>
        <w:pStyle w:val="SingleTxtG"/>
      </w:pPr>
      <w:r>
        <w:t>10.</w:t>
      </w:r>
      <w:r>
        <w:tab/>
      </w:r>
      <w:r w:rsidR="00B45FBD" w:rsidRPr="004670B8">
        <w:t>Amend the first indent in 1.1.3.6.2 as follows</w:t>
      </w:r>
      <w:r w:rsidR="004E03EA" w:rsidRPr="004670B8">
        <w:t xml:space="preserve"> (added text underlined, deleted text </w:t>
      </w:r>
      <w:r w:rsidRPr="004670B8">
        <w:t>strikethrough</w:t>
      </w:r>
      <w:r w:rsidR="004E03EA" w:rsidRPr="004670B8">
        <w:t>)</w:t>
      </w:r>
      <w:r w:rsidR="00B45FBD" w:rsidRPr="004670B8">
        <w:t>:</w:t>
      </w:r>
    </w:p>
    <w:p w14:paraId="61C7602D" w14:textId="70A944B3" w:rsidR="00B45FBD" w:rsidRPr="004E03EA" w:rsidRDefault="004E03EA" w:rsidP="004E03EA">
      <w:pPr>
        <w:keepNext/>
        <w:snapToGrid w:val="0"/>
        <w:spacing w:before="120" w:after="120"/>
        <w:ind w:left="1134" w:right="1134"/>
        <w:jc w:val="both"/>
      </w:pPr>
      <w:r>
        <w:t>“-</w:t>
      </w:r>
      <w:r>
        <w:tab/>
      </w:r>
      <w:r w:rsidR="00B45FBD" w:rsidRPr="004E03EA">
        <w:t>Chapter 1.10 except for</w:t>
      </w:r>
      <w:r w:rsidR="00B45FBD" w:rsidRPr="004E03EA">
        <w:rPr>
          <w:u w:val="single"/>
        </w:rPr>
        <w:t xml:space="preserve"> high consequence dangerous goods (according to subsection 1.10.3.1)</w:t>
      </w:r>
      <w:r w:rsidR="00B45FBD" w:rsidRPr="004E03EA">
        <w:t xml:space="preserve"> </w:t>
      </w:r>
      <w:r w:rsidR="00B45FBD" w:rsidRPr="004E03EA">
        <w:rPr>
          <w:strike/>
        </w:rPr>
        <w:t xml:space="preserve">Class 1 explosives of UN Nos. 0029, 0030, 0059, 0065, 0073, 0104, 0237, 0255, 0267, 0288, 0289, 0290, 0360, 0361, 0364, 0365, 0366, 0439, 0440, 0441, 0455, 0456, 0500, 0512 and 0513 </w:t>
      </w:r>
      <w:r w:rsidR="00B45FBD" w:rsidRPr="004E03EA">
        <w:t>and except for Class 7 excepted packages of UN Nos. 2910 and 2911 if the activity level exceeds the A₂ value;</w:t>
      </w:r>
      <w:r>
        <w:t>”</w:t>
      </w:r>
    </w:p>
    <w:p w14:paraId="768A9D4A" w14:textId="28140926" w:rsidR="00B45FBD" w:rsidRPr="003912CD" w:rsidRDefault="004E03EA" w:rsidP="004E03EA">
      <w:pPr>
        <w:pStyle w:val="H1G"/>
      </w:pPr>
      <w:r>
        <w:tab/>
      </w:r>
      <w:r>
        <w:tab/>
      </w:r>
      <w:r w:rsidR="00B45FBD" w:rsidRPr="003912CD">
        <w:t>Alternative 2</w:t>
      </w:r>
    </w:p>
    <w:p w14:paraId="74078CC5" w14:textId="7DDC127C" w:rsidR="00471712" w:rsidRPr="003912CD" w:rsidRDefault="004670B8" w:rsidP="00B45FBD">
      <w:pPr>
        <w:pStyle w:val="SingleTxtG"/>
        <w:tabs>
          <w:tab w:val="left" w:pos="1134"/>
        </w:tabs>
        <w:ind w:right="850"/>
        <w:jc w:val="left"/>
      </w:pPr>
      <w:r>
        <w:t>11.</w:t>
      </w:r>
      <w:r>
        <w:tab/>
      </w:r>
      <w:r w:rsidR="00B45FBD" w:rsidRPr="003912CD">
        <w:t>In case the proposal above would not be adopted, we propose a second alternative which only deals with amendments covering class 1.</w:t>
      </w:r>
      <w:r w:rsidR="00471712" w:rsidRPr="003912CD">
        <w:t xml:space="preserve"> </w:t>
      </w:r>
    </w:p>
    <w:p w14:paraId="3EC1124C" w14:textId="676B388D" w:rsidR="00B45FBD" w:rsidRPr="004670B8" w:rsidRDefault="00B45FBD" w:rsidP="004670B8">
      <w:pPr>
        <w:pStyle w:val="SingleTxtG"/>
      </w:pPr>
      <w:r w:rsidRPr="004670B8">
        <w:t>Amend the first indent in 1.1.3.6.2 as follows</w:t>
      </w:r>
      <w:r w:rsidR="004670B8" w:rsidRPr="004670B8">
        <w:t xml:space="preserve"> (added text underlined, deleted text strikethrough)</w:t>
      </w:r>
      <w:r w:rsidRPr="004670B8">
        <w:t>:</w:t>
      </w:r>
    </w:p>
    <w:p w14:paraId="0FE7D58A" w14:textId="42E2BA32" w:rsidR="00B45FBD" w:rsidRPr="003912CD" w:rsidRDefault="004670B8" w:rsidP="004670B8">
      <w:pPr>
        <w:pStyle w:val="SingleTxtG"/>
      </w:pPr>
      <w:r>
        <w:t>“-</w:t>
      </w:r>
      <w:r>
        <w:tab/>
      </w:r>
      <w:r w:rsidR="00B45FBD" w:rsidRPr="003912CD">
        <w:t xml:space="preserve">Chapter 1.10 except for </w:t>
      </w:r>
      <w:r w:rsidR="00B45FBD" w:rsidRPr="003912CD">
        <w:rPr>
          <w:u w:val="single"/>
        </w:rPr>
        <w:t>high consequence dangerous goods of</w:t>
      </w:r>
      <w:r w:rsidR="00B45FBD" w:rsidRPr="003912CD">
        <w:t xml:space="preserve"> Class 1 explosives </w:t>
      </w:r>
      <w:r w:rsidR="00B45FBD" w:rsidRPr="003912CD">
        <w:rPr>
          <w:u w:val="single"/>
        </w:rPr>
        <w:t xml:space="preserve">(according to subsection 1.10.3.1) </w:t>
      </w:r>
      <w:r w:rsidR="00B45FBD" w:rsidRPr="003912CD">
        <w:t>  of UN Nos. 0029, 0030, 0059, 0065, 0073, 0104, 0237, 0255, 0267, 0288, 0289, 0290, 0360, 0361, 0364, 0365, 0366, 0439, 0440, 0441, 0455, 0456, 0500, 0512 and 0513 and except for Class 7 excepted packages of UN Nos. 2910 and 2911 if the activity level exceeds the A₂ value;</w:t>
      </w:r>
      <w:r>
        <w:t>”</w:t>
      </w:r>
    </w:p>
    <w:p w14:paraId="7A92D09C" w14:textId="5C521E2C" w:rsidR="00B45FBD" w:rsidRPr="004670B8" w:rsidRDefault="004670B8" w:rsidP="004670B8">
      <w:pPr>
        <w:pStyle w:val="H1G"/>
      </w:pPr>
      <w:r>
        <w:tab/>
      </w:r>
      <w:r>
        <w:tab/>
      </w:r>
      <w:r w:rsidR="00B45FBD" w:rsidRPr="003912CD">
        <w:t>Consequential amendment (alternatives 1 and 2)</w:t>
      </w:r>
    </w:p>
    <w:p w14:paraId="6D59DEF7" w14:textId="6F97CBBA" w:rsidR="00B45FBD" w:rsidRPr="00862578" w:rsidRDefault="00B45FBD" w:rsidP="00B45FBD">
      <w:pPr>
        <w:pStyle w:val="SingleTxtG"/>
        <w:tabs>
          <w:tab w:val="left" w:pos="2268"/>
        </w:tabs>
        <w:rPr>
          <w:i/>
          <w:iCs/>
        </w:rPr>
      </w:pPr>
      <w:r w:rsidRPr="00862578">
        <w:rPr>
          <w:i/>
          <w:iCs/>
          <w:u w:val="single"/>
        </w:rPr>
        <w:t>Comment</w:t>
      </w:r>
      <w:r w:rsidRPr="00862578">
        <w:rPr>
          <w:i/>
          <w:iCs/>
        </w:rPr>
        <w:t xml:space="preserve">: The second sentence is proposed to be </w:t>
      </w:r>
      <w:r w:rsidR="00862578" w:rsidRPr="00862578">
        <w:rPr>
          <w:i/>
          <w:iCs/>
        </w:rPr>
        <w:t>deleted but</w:t>
      </w:r>
      <w:r w:rsidRPr="00862578">
        <w:rPr>
          <w:i/>
          <w:iCs/>
        </w:rPr>
        <w:t xml:space="preserve"> is kept within square brackets for separate consideration. </w:t>
      </w:r>
    </w:p>
    <w:p w14:paraId="2BCB91F5" w14:textId="0B2E4798" w:rsidR="00B45FBD" w:rsidRPr="00862578" w:rsidRDefault="00862578" w:rsidP="00862578">
      <w:pPr>
        <w:pStyle w:val="SingleTxtG"/>
      </w:pPr>
      <w:r>
        <w:t>12.</w:t>
      </w:r>
      <w:r>
        <w:tab/>
      </w:r>
      <w:r w:rsidR="00B45FBD" w:rsidRPr="00862578">
        <w:t>Amend section 1.10.4 to read as follows (changes underlined or stricken through):</w:t>
      </w:r>
    </w:p>
    <w:p w14:paraId="3BAB30F5" w14:textId="77777777" w:rsidR="00B45FBD" w:rsidRPr="003912CD" w:rsidRDefault="00B45FBD" w:rsidP="00471712">
      <w:pPr>
        <w:spacing w:after="200"/>
        <w:ind w:left="1134" w:right="1134"/>
        <w:jc w:val="both"/>
      </w:pPr>
      <w:r w:rsidRPr="003912CD">
        <w:rPr>
          <w:strike/>
        </w:rPr>
        <w:t xml:space="preserve">In accordance with the provisions of 1.1.3.6, the requirements of 1.10.1, 1.10.2, 1.10.3 and 8.1.2.1 (d) do not apply when the quantities carried in packages on a transport unit do not exceed those referred to in 1.1.3.6.3, except for UN Nos. 0029, 0030, 0059, 0065, 0073, 0104, 0237, 0255, 0267, 0288, 0289, 0290, 0360, 0361, 0364, 0365, 0366, 0439, 0440, 0441, 0455, 0456, 0500, 0512 and 0513 and except for UN Nos. 2910 and 2911 if the activity level </w:t>
      </w:r>
      <w:r w:rsidRPr="003912CD">
        <w:rPr>
          <w:strike/>
        </w:rPr>
        <w:lastRenderedPageBreak/>
        <w:t>exceeds the A₂ value (see first indent of 1.1.3.6.2). In addition,</w:t>
      </w:r>
      <w:r w:rsidRPr="003912CD">
        <w:t xml:space="preserve"> [</w:t>
      </w:r>
      <w:r w:rsidRPr="003912CD">
        <w:rPr>
          <w:strike/>
        </w:rPr>
        <w:t>t</w:t>
      </w:r>
      <w:r w:rsidRPr="003912CD">
        <w:rPr>
          <w:u w:val="single"/>
        </w:rPr>
        <w:t>T</w:t>
      </w:r>
      <w:r w:rsidRPr="003912CD">
        <w:t>he requirements of 1.10.1, 1.10.2, 1.10.3 and 8.1.2.1 (d) do not apply when the quantities carried in tanks or in bulk on a transport unit do not exceed those referred to in 1.1.3.6.3./</w:t>
      </w:r>
      <w:r w:rsidRPr="003912CD">
        <w:rPr>
          <w:strike/>
        </w:rPr>
        <w:t>The requirements of 1.10.1, 1.10.2, 1.10.3 and 8.1.2.1 (d) do not apply when the quantities carried in tanks or in bulk on a transport unit do not exceed those referred to in 1.1.3.6.3.</w:t>
      </w:r>
      <w:r w:rsidRPr="003912CD">
        <w:t>]</w:t>
      </w:r>
    </w:p>
    <w:p w14:paraId="6E411B5B" w14:textId="53C23A50" w:rsidR="00471712" w:rsidRPr="003912CD" w:rsidRDefault="00B45FBD" w:rsidP="00471712">
      <w:pPr>
        <w:pStyle w:val="SingleTxtG"/>
        <w:tabs>
          <w:tab w:val="left" w:pos="2268"/>
        </w:tabs>
        <w:rPr>
          <w:rStyle w:val="HChGChar"/>
          <w:b w:val="0"/>
          <w:sz w:val="20"/>
        </w:rPr>
      </w:pPr>
      <w:r w:rsidRPr="003912CD">
        <w:rPr>
          <w:strike/>
        </w:rPr>
        <w:t>In addition t</w:t>
      </w:r>
      <w:r w:rsidRPr="003912CD">
        <w:rPr>
          <w:u w:val="single"/>
        </w:rPr>
        <w:t>T</w:t>
      </w:r>
      <w:r w:rsidRPr="003912CD">
        <w:t>he provisions of this Chapter do not apply to the carriage of UN No. 2912 RADIOACTIVE MATERIAL, LOW SPECIFIC ACTIVITY (LSA-I) and UN No. 2913 RADIOACTIVE MATERIAL, SURFACE CONTAMINATED OBJECTS (SCO-I).</w:t>
      </w:r>
    </w:p>
    <w:p w14:paraId="60C96E46" w14:textId="26A826AC" w:rsidR="00B45FBD" w:rsidRPr="00862578" w:rsidRDefault="00862578" w:rsidP="00862578">
      <w:pPr>
        <w:pStyle w:val="HChG"/>
      </w:pPr>
      <w:r>
        <w:rPr>
          <w:rStyle w:val="HChGChar"/>
          <w:b/>
        </w:rPr>
        <w:tab/>
      </w:r>
      <w:r>
        <w:rPr>
          <w:rStyle w:val="HChGChar"/>
          <w:b/>
        </w:rPr>
        <w:tab/>
      </w:r>
      <w:r w:rsidR="00B45FBD" w:rsidRPr="00862578">
        <w:rPr>
          <w:rStyle w:val="HChGChar"/>
          <w:b/>
        </w:rPr>
        <w:t>Justification</w:t>
      </w:r>
    </w:p>
    <w:p w14:paraId="2A984DF2" w14:textId="2943B587" w:rsidR="00B45FBD" w:rsidRPr="003912CD" w:rsidRDefault="00862578" w:rsidP="00B45FBD">
      <w:pPr>
        <w:pStyle w:val="SingleTxtG"/>
      </w:pPr>
      <w:r>
        <w:t>13.</w:t>
      </w:r>
      <w:r>
        <w:tab/>
      </w:r>
      <w:r w:rsidR="00B45FBD" w:rsidRPr="003912CD">
        <w:t>Except for specific UN-numbers, sub-section 1.1.3.6 exempts application of chapter 1.10. Thus, when goods are carried in accordance with 1.1.3.6, training is only required in accordance with chapter 1.3, but with exemption from the last sentence in 1.3.1 which addresses security training. This, and the exemption from the other security provisions in chapter 1.10, gives improper signals concerning the security risks connected to high consequence dangerous goods. Introducing requirements on security would promote the security awareness and increase the safety of the driver.</w:t>
      </w:r>
    </w:p>
    <w:p w14:paraId="2C12EA3F" w14:textId="6CB12FF3" w:rsidR="00471712" w:rsidRPr="003912CD" w:rsidRDefault="00471712" w:rsidP="00471712">
      <w:pPr>
        <w:spacing w:before="240"/>
        <w:jc w:val="center"/>
        <w:rPr>
          <w:u w:val="single"/>
        </w:rPr>
      </w:pPr>
      <w:r w:rsidRPr="003912CD">
        <w:rPr>
          <w:u w:val="single"/>
        </w:rPr>
        <w:tab/>
      </w:r>
      <w:r w:rsidRPr="003912CD">
        <w:rPr>
          <w:u w:val="single"/>
        </w:rPr>
        <w:tab/>
      </w:r>
      <w:r w:rsidRPr="003912CD">
        <w:rPr>
          <w:u w:val="single"/>
        </w:rPr>
        <w:tab/>
      </w:r>
    </w:p>
    <w:sectPr w:rsidR="00471712" w:rsidRPr="003912CD" w:rsidSect="008F2944">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DEA5" w14:textId="77777777" w:rsidR="00D06933" w:rsidRDefault="00D06933"/>
  </w:endnote>
  <w:endnote w:type="continuationSeparator" w:id="0">
    <w:p w14:paraId="76379D54" w14:textId="77777777" w:rsidR="00D06933" w:rsidRDefault="00D06933"/>
  </w:endnote>
  <w:endnote w:type="continuationNotice" w:id="1">
    <w:p w14:paraId="42CCAD48" w14:textId="77777777" w:rsidR="00D06933" w:rsidRDefault="00D0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1896" w14:textId="2B3B1553" w:rsidR="008F2944" w:rsidRPr="008F2944" w:rsidRDefault="008F2944" w:rsidP="008F2944">
    <w:pPr>
      <w:pStyle w:val="Footer"/>
      <w:tabs>
        <w:tab w:val="right" w:pos="9638"/>
      </w:tabs>
      <w:rPr>
        <w:sz w:val="18"/>
      </w:rPr>
    </w:pPr>
    <w:r w:rsidRPr="008F2944">
      <w:rPr>
        <w:b/>
        <w:sz w:val="18"/>
      </w:rPr>
      <w:fldChar w:fldCharType="begin"/>
    </w:r>
    <w:r w:rsidRPr="008F2944">
      <w:rPr>
        <w:b/>
        <w:sz w:val="18"/>
      </w:rPr>
      <w:instrText xml:space="preserve"> PAGE  \* MERGEFORMAT </w:instrText>
    </w:r>
    <w:r w:rsidRPr="008F2944">
      <w:rPr>
        <w:b/>
        <w:sz w:val="18"/>
      </w:rPr>
      <w:fldChar w:fldCharType="separate"/>
    </w:r>
    <w:r w:rsidRPr="008F2944">
      <w:rPr>
        <w:b/>
        <w:noProof/>
        <w:sz w:val="18"/>
      </w:rPr>
      <w:t>2</w:t>
    </w:r>
    <w:r w:rsidRPr="008F29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50F2" w14:textId="64E511A2" w:rsidR="008F2944" w:rsidRPr="008F2944" w:rsidRDefault="008F2944" w:rsidP="008F2944">
    <w:pPr>
      <w:pStyle w:val="Footer"/>
      <w:tabs>
        <w:tab w:val="right" w:pos="9638"/>
      </w:tabs>
      <w:rPr>
        <w:b/>
        <w:sz w:val="18"/>
      </w:rPr>
    </w:pPr>
    <w:r>
      <w:tab/>
    </w:r>
    <w:r w:rsidRPr="008F2944">
      <w:rPr>
        <w:b/>
        <w:sz w:val="18"/>
      </w:rPr>
      <w:fldChar w:fldCharType="begin"/>
    </w:r>
    <w:r w:rsidRPr="008F2944">
      <w:rPr>
        <w:b/>
        <w:sz w:val="18"/>
      </w:rPr>
      <w:instrText xml:space="preserve"> PAGE  \* MERGEFORMAT </w:instrText>
    </w:r>
    <w:r w:rsidRPr="008F2944">
      <w:rPr>
        <w:b/>
        <w:sz w:val="18"/>
      </w:rPr>
      <w:fldChar w:fldCharType="separate"/>
    </w:r>
    <w:r w:rsidRPr="008F2944">
      <w:rPr>
        <w:b/>
        <w:noProof/>
        <w:sz w:val="18"/>
      </w:rPr>
      <w:t>3</w:t>
    </w:r>
    <w:r w:rsidRPr="008F294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B0043" w14:textId="77777777" w:rsidR="00D06933" w:rsidRPr="000B175B" w:rsidRDefault="00D06933" w:rsidP="000B175B">
      <w:pPr>
        <w:tabs>
          <w:tab w:val="right" w:pos="2155"/>
        </w:tabs>
        <w:spacing w:after="80"/>
        <w:ind w:left="680"/>
        <w:rPr>
          <w:u w:val="single"/>
        </w:rPr>
      </w:pPr>
      <w:r>
        <w:rPr>
          <w:u w:val="single"/>
        </w:rPr>
        <w:tab/>
      </w:r>
    </w:p>
  </w:footnote>
  <w:footnote w:type="continuationSeparator" w:id="0">
    <w:p w14:paraId="12A4515F" w14:textId="77777777" w:rsidR="00D06933" w:rsidRPr="00FC68B7" w:rsidRDefault="00D06933" w:rsidP="00FC68B7">
      <w:pPr>
        <w:tabs>
          <w:tab w:val="left" w:pos="2155"/>
        </w:tabs>
        <w:spacing w:after="80"/>
        <w:ind w:left="680"/>
        <w:rPr>
          <w:u w:val="single"/>
        </w:rPr>
      </w:pPr>
      <w:r>
        <w:rPr>
          <w:u w:val="single"/>
        </w:rPr>
        <w:tab/>
      </w:r>
    </w:p>
  </w:footnote>
  <w:footnote w:type="continuationNotice" w:id="1">
    <w:p w14:paraId="540FB58C" w14:textId="77777777" w:rsidR="00D06933" w:rsidRDefault="00D06933"/>
  </w:footnote>
  <w:footnote w:id="2">
    <w:p w14:paraId="6183CD23" w14:textId="77777777" w:rsidR="0047080D" w:rsidRDefault="0047080D" w:rsidP="0047080D">
      <w:pPr>
        <w:pStyle w:val="FootnoteText"/>
        <w:tabs>
          <w:tab w:val="left" w:pos="720"/>
        </w:tabs>
        <w:ind w:left="1418" w:right="1260" w:hanging="284"/>
        <w:jc w:val="both"/>
      </w:pPr>
      <w:r>
        <w:rPr>
          <w:rStyle w:val="FootnoteReference"/>
          <w:sz w:val="20"/>
        </w:rPr>
        <w:sym w:font="Symbol" w:char="F02A"/>
      </w:r>
      <w:r>
        <w:tab/>
      </w:r>
      <w:r w:rsidRPr="00F72FE6">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D312" w14:textId="621E3FA2" w:rsidR="008F2944" w:rsidRPr="008F2944" w:rsidRDefault="00862578">
    <w:pPr>
      <w:pStyle w:val="Header"/>
    </w:pPr>
    <w:fldSimple w:instr=" TITLE  \* MERGEFORMAT ">
      <w:r w:rsidR="008F2944">
        <w:t>ECE/TRANS/WP.15/2021/8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E47A" w14:textId="6A27EA32" w:rsidR="008F2944" w:rsidRPr="008F2944" w:rsidRDefault="00862578" w:rsidP="008F2944">
    <w:pPr>
      <w:pStyle w:val="Header"/>
      <w:jc w:val="right"/>
    </w:pPr>
    <w:fldSimple w:instr=" TITLE  \* MERGEFORMAT ">
      <w:r w:rsidR="008F2944">
        <w:t>ECE/TRANS/WP.15/2021/8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A009C"/>
    <w:multiLevelType w:val="hybridMultilevel"/>
    <w:tmpl w:val="1DA0D562"/>
    <w:lvl w:ilvl="0" w:tplc="1C6CBCA2">
      <w:start w:val="2910"/>
      <w:numFmt w:val="bullet"/>
      <w:lvlText w:val="-"/>
      <w:lvlJc w:val="left"/>
      <w:pPr>
        <w:ind w:left="972" w:hanging="360"/>
      </w:pPr>
      <w:rPr>
        <w:rFonts w:ascii="Calibri" w:eastAsia="Calibri" w:hAnsi="Calibri" w:cs="Calibri" w:hint="default"/>
      </w:rPr>
    </w:lvl>
    <w:lvl w:ilvl="1" w:tplc="04140003">
      <w:start w:val="1"/>
      <w:numFmt w:val="bullet"/>
      <w:lvlText w:val="o"/>
      <w:lvlJc w:val="left"/>
      <w:pPr>
        <w:ind w:left="1692" w:hanging="360"/>
      </w:pPr>
      <w:rPr>
        <w:rFonts w:ascii="Courier New" w:hAnsi="Courier New" w:cs="Courier New" w:hint="default"/>
      </w:rPr>
    </w:lvl>
    <w:lvl w:ilvl="2" w:tplc="04140005">
      <w:start w:val="1"/>
      <w:numFmt w:val="bullet"/>
      <w:lvlText w:val=""/>
      <w:lvlJc w:val="left"/>
      <w:pPr>
        <w:ind w:left="2412" w:hanging="360"/>
      </w:pPr>
      <w:rPr>
        <w:rFonts w:ascii="Wingdings" w:hAnsi="Wingdings" w:hint="default"/>
      </w:rPr>
    </w:lvl>
    <w:lvl w:ilvl="3" w:tplc="04140001">
      <w:start w:val="1"/>
      <w:numFmt w:val="bullet"/>
      <w:lvlText w:val=""/>
      <w:lvlJc w:val="left"/>
      <w:pPr>
        <w:ind w:left="3132" w:hanging="360"/>
      </w:pPr>
      <w:rPr>
        <w:rFonts w:ascii="Symbol" w:hAnsi="Symbol" w:hint="default"/>
      </w:rPr>
    </w:lvl>
    <w:lvl w:ilvl="4" w:tplc="04140003">
      <w:start w:val="1"/>
      <w:numFmt w:val="bullet"/>
      <w:lvlText w:val="o"/>
      <w:lvlJc w:val="left"/>
      <w:pPr>
        <w:ind w:left="3852" w:hanging="360"/>
      </w:pPr>
      <w:rPr>
        <w:rFonts w:ascii="Courier New" w:hAnsi="Courier New" w:cs="Courier New" w:hint="default"/>
      </w:rPr>
    </w:lvl>
    <w:lvl w:ilvl="5" w:tplc="04140005">
      <w:start w:val="1"/>
      <w:numFmt w:val="bullet"/>
      <w:lvlText w:val=""/>
      <w:lvlJc w:val="left"/>
      <w:pPr>
        <w:ind w:left="4572" w:hanging="360"/>
      </w:pPr>
      <w:rPr>
        <w:rFonts w:ascii="Wingdings" w:hAnsi="Wingdings" w:hint="default"/>
      </w:rPr>
    </w:lvl>
    <w:lvl w:ilvl="6" w:tplc="04140001">
      <w:start w:val="1"/>
      <w:numFmt w:val="bullet"/>
      <w:lvlText w:val=""/>
      <w:lvlJc w:val="left"/>
      <w:pPr>
        <w:ind w:left="5292" w:hanging="360"/>
      </w:pPr>
      <w:rPr>
        <w:rFonts w:ascii="Symbol" w:hAnsi="Symbol" w:hint="default"/>
      </w:rPr>
    </w:lvl>
    <w:lvl w:ilvl="7" w:tplc="04140003">
      <w:start w:val="1"/>
      <w:numFmt w:val="bullet"/>
      <w:lvlText w:val="o"/>
      <w:lvlJc w:val="left"/>
      <w:pPr>
        <w:ind w:left="6012" w:hanging="360"/>
      </w:pPr>
      <w:rPr>
        <w:rFonts w:ascii="Courier New" w:hAnsi="Courier New" w:cs="Courier New" w:hint="default"/>
      </w:rPr>
    </w:lvl>
    <w:lvl w:ilvl="8" w:tplc="04140005">
      <w:start w:val="1"/>
      <w:numFmt w:val="bullet"/>
      <w:lvlText w:val=""/>
      <w:lvlJc w:val="left"/>
      <w:pPr>
        <w:ind w:left="6732"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DC55CB"/>
    <w:multiLevelType w:val="hybridMultilevel"/>
    <w:tmpl w:val="FAB0F760"/>
    <w:lvl w:ilvl="0" w:tplc="5C325F14">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44"/>
    <w:rsid w:val="00002A7D"/>
    <w:rsid w:val="000038A8"/>
    <w:rsid w:val="00006790"/>
    <w:rsid w:val="00027624"/>
    <w:rsid w:val="00050F6B"/>
    <w:rsid w:val="000678CD"/>
    <w:rsid w:val="00072C8C"/>
    <w:rsid w:val="00081CE0"/>
    <w:rsid w:val="00084D30"/>
    <w:rsid w:val="00087AC1"/>
    <w:rsid w:val="00090320"/>
    <w:rsid w:val="000908C2"/>
    <w:rsid w:val="000931C0"/>
    <w:rsid w:val="0009732C"/>
    <w:rsid w:val="000A01F9"/>
    <w:rsid w:val="000A2E09"/>
    <w:rsid w:val="000B175B"/>
    <w:rsid w:val="000B3A0F"/>
    <w:rsid w:val="000E0415"/>
    <w:rsid w:val="000F432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430C"/>
    <w:rsid w:val="002C6D45"/>
    <w:rsid w:val="002D6E53"/>
    <w:rsid w:val="002F046D"/>
    <w:rsid w:val="002F3023"/>
    <w:rsid w:val="00301764"/>
    <w:rsid w:val="00320F21"/>
    <w:rsid w:val="003229D8"/>
    <w:rsid w:val="00336C97"/>
    <w:rsid w:val="00337F88"/>
    <w:rsid w:val="00342432"/>
    <w:rsid w:val="0035223F"/>
    <w:rsid w:val="00352D4B"/>
    <w:rsid w:val="0035638C"/>
    <w:rsid w:val="003912CD"/>
    <w:rsid w:val="003A46BB"/>
    <w:rsid w:val="003A4EC7"/>
    <w:rsid w:val="003A7295"/>
    <w:rsid w:val="003B1F60"/>
    <w:rsid w:val="003B69BC"/>
    <w:rsid w:val="003C2CC4"/>
    <w:rsid w:val="003D4B23"/>
    <w:rsid w:val="003E278A"/>
    <w:rsid w:val="00413520"/>
    <w:rsid w:val="004325CB"/>
    <w:rsid w:val="00440A07"/>
    <w:rsid w:val="00462880"/>
    <w:rsid w:val="004670B8"/>
    <w:rsid w:val="0047080D"/>
    <w:rsid w:val="00471712"/>
    <w:rsid w:val="00476F24"/>
    <w:rsid w:val="0049182A"/>
    <w:rsid w:val="004C55B0"/>
    <w:rsid w:val="004E03EA"/>
    <w:rsid w:val="004F6BA0"/>
    <w:rsid w:val="00503BEA"/>
    <w:rsid w:val="00533616"/>
    <w:rsid w:val="00535ABA"/>
    <w:rsid w:val="0053768B"/>
    <w:rsid w:val="005420F2"/>
    <w:rsid w:val="0054285C"/>
    <w:rsid w:val="00552B46"/>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5E17"/>
    <w:rsid w:val="00640B26"/>
    <w:rsid w:val="0065766B"/>
    <w:rsid w:val="006770B2"/>
    <w:rsid w:val="00686A48"/>
    <w:rsid w:val="006940E1"/>
    <w:rsid w:val="006A3C72"/>
    <w:rsid w:val="006A7392"/>
    <w:rsid w:val="006B03A1"/>
    <w:rsid w:val="006B67D9"/>
    <w:rsid w:val="006C5535"/>
    <w:rsid w:val="006D0589"/>
    <w:rsid w:val="006E564B"/>
    <w:rsid w:val="006E7154"/>
    <w:rsid w:val="006F50F8"/>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C7F77"/>
    <w:rsid w:val="007D7362"/>
    <w:rsid w:val="007F5CE2"/>
    <w:rsid w:val="007F6611"/>
    <w:rsid w:val="00800522"/>
    <w:rsid w:val="00810BAC"/>
    <w:rsid w:val="008175E9"/>
    <w:rsid w:val="008242D7"/>
    <w:rsid w:val="0082577B"/>
    <w:rsid w:val="008272DD"/>
    <w:rsid w:val="00862578"/>
    <w:rsid w:val="00866893"/>
    <w:rsid w:val="00866F02"/>
    <w:rsid w:val="00867D18"/>
    <w:rsid w:val="00871F9A"/>
    <w:rsid w:val="00871FD5"/>
    <w:rsid w:val="00877C8C"/>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2944"/>
    <w:rsid w:val="008F3882"/>
    <w:rsid w:val="008F4B7C"/>
    <w:rsid w:val="00907E39"/>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45FBD"/>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06933"/>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42684"/>
    <w:rsid w:val="00E6414C"/>
    <w:rsid w:val="00E7260F"/>
    <w:rsid w:val="00E8702D"/>
    <w:rsid w:val="00E905F4"/>
    <w:rsid w:val="00E916A9"/>
    <w:rsid w:val="00E916DE"/>
    <w:rsid w:val="00E925AD"/>
    <w:rsid w:val="00E96630"/>
    <w:rsid w:val="00EC7438"/>
    <w:rsid w:val="00ED18DC"/>
    <w:rsid w:val="00ED6201"/>
    <w:rsid w:val="00ED7A2A"/>
    <w:rsid w:val="00EF1D7F"/>
    <w:rsid w:val="00F0137E"/>
    <w:rsid w:val="00F21786"/>
    <w:rsid w:val="00F3742B"/>
    <w:rsid w:val="00F41FDB"/>
    <w:rsid w:val="00F50596"/>
    <w:rsid w:val="00F56D63"/>
    <w:rsid w:val="00F609A9"/>
    <w:rsid w:val="00F71A74"/>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977F9"/>
  <w15:docId w15:val="{298008AF-AA48-4136-BCB5-D92D4D65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ps">
    <w:name w:val="hps"/>
    <w:basedOn w:val="DefaultParagraphFont"/>
    <w:rsid w:val="008F2944"/>
  </w:style>
  <w:style w:type="character" w:customStyle="1" w:styleId="H1GChar">
    <w:name w:val="_ H_1_G Char"/>
    <w:link w:val="H1G"/>
    <w:rsid w:val="00B45FBD"/>
    <w:rPr>
      <w:b/>
      <w:sz w:val="24"/>
      <w:lang w:val="en-GB"/>
    </w:rPr>
  </w:style>
  <w:style w:type="character" w:customStyle="1" w:styleId="HChGChar">
    <w:name w:val="_ H _Ch_G Char"/>
    <w:link w:val="HChG"/>
    <w:rsid w:val="00B45FBD"/>
    <w:rPr>
      <w:b/>
      <w:sz w:val="28"/>
      <w:lang w:val="en-GB"/>
    </w:rPr>
  </w:style>
  <w:style w:type="character" w:customStyle="1" w:styleId="FootnoteTextChar">
    <w:name w:val="Footnote Text Char"/>
    <w:aliases w:val="5_G Char,5_GR Char"/>
    <w:basedOn w:val="DefaultParagraphFont"/>
    <w:link w:val="FootnoteText"/>
    <w:rsid w:val="00B45FBD"/>
    <w:rPr>
      <w:sz w:val="18"/>
      <w:lang w:val="en-GB"/>
    </w:rPr>
  </w:style>
  <w:style w:type="paragraph" w:styleId="ListParagraph">
    <w:name w:val="List Paragraph"/>
    <w:basedOn w:val="Normal"/>
    <w:uiPriority w:val="34"/>
    <w:qFormat/>
    <w:rsid w:val="00B45FBD"/>
    <w:pPr>
      <w:suppressAutoHyphens w:val="0"/>
      <w:spacing w:line="240" w:lineRule="auto"/>
      <w:ind w:left="720"/>
    </w:pPr>
    <w:rPr>
      <w:rFonts w:ascii="Calibri" w:eastAsiaTheme="minorHAnsi" w:hAnsi="Calibri" w:cs="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4/ECE-TRANS-WP15-109-GE-inf8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2FE5536A-F4DB-48E6-987F-0530A97CF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D2C42-1C55-4768-9B39-F5997CA34D2E}">
  <ds:schemaRefs>
    <ds:schemaRef ds:uri="http://schemas.microsoft.com/sharepoint/v3/contenttype/forms"/>
  </ds:schemaRefs>
</ds:datastoreItem>
</file>

<file path=customXml/itemProps4.xml><?xml version="1.0" encoding="utf-8"?>
<ds:datastoreItem xmlns:ds="http://schemas.openxmlformats.org/officeDocument/2006/customXml" ds:itemID="{640FF7DE-E883-49C7-9325-58F698488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40</TotalTime>
  <Pages>3</Pages>
  <Words>1018</Words>
  <Characters>5805</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ECE/TRANS/WP.15/2021/8</dc:title>
  <dc:creator>Christine Barrio-Champeau</dc:creator>
  <cp:lastModifiedBy>Christine Barrio-Champeau</cp:lastModifiedBy>
  <cp:revision>24</cp:revision>
  <cp:lastPrinted>2009-02-18T09:36:00Z</cp:lastPrinted>
  <dcterms:created xsi:type="dcterms:W3CDTF">2021-07-16T10:29:00Z</dcterms:created>
  <dcterms:modified xsi:type="dcterms:W3CDTF">2021-08-19T08:10:00Z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