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6942D1" w14:paraId="3EEA5169" w14:textId="77777777" w:rsidTr="00EE7E6D">
        <w:trPr>
          <w:cantSplit/>
          <w:trHeight w:hRule="exact" w:val="913"/>
        </w:trPr>
        <w:tc>
          <w:tcPr>
            <w:tcW w:w="9735" w:type="dxa"/>
            <w:tcBorders>
              <w:bottom w:val="single" w:sz="4" w:space="0" w:color="auto"/>
            </w:tcBorders>
            <w:vAlign w:val="bottom"/>
          </w:tcPr>
          <w:p w14:paraId="737A8918" w14:textId="44048B77" w:rsidR="0099001C" w:rsidRPr="006942D1" w:rsidRDefault="0099001C" w:rsidP="00D32A5A">
            <w:pPr>
              <w:ind w:right="96"/>
              <w:jc w:val="right"/>
              <w:rPr>
                <w:rFonts w:asciiTheme="majorBidi" w:hAnsiTheme="majorBidi" w:cstheme="majorBidi"/>
                <w:b/>
                <w:sz w:val="40"/>
                <w:szCs w:val="40"/>
              </w:rPr>
            </w:pPr>
            <w:r w:rsidRPr="006942D1">
              <w:rPr>
                <w:rFonts w:asciiTheme="majorBidi" w:hAnsiTheme="majorBidi" w:cstheme="majorBidi"/>
                <w:b/>
                <w:sz w:val="40"/>
                <w:szCs w:val="40"/>
              </w:rPr>
              <w:t>UN/SCEGHS/</w:t>
            </w:r>
            <w:r w:rsidR="000F2840">
              <w:rPr>
                <w:rFonts w:asciiTheme="majorBidi" w:hAnsiTheme="majorBidi" w:cstheme="majorBidi"/>
                <w:b/>
                <w:sz w:val="40"/>
                <w:szCs w:val="40"/>
              </w:rPr>
              <w:t>40</w:t>
            </w:r>
            <w:r w:rsidRPr="006942D1">
              <w:rPr>
                <w:rFonts w:asciiTheme="majorBidi" w:hAnsiTheme="majorBidi" w:cstheme="majorBidi"/>
                <w:b/>
                <w:sz w:val="40"/>
                <w:szCs w:val="40"/>
              </w:rPr>
              <w:t>/INF.</w:t>
            </w:r>
            <w:r w:rsidR="000F2840">
              <w:rPr>
                <w:rFonts w:asciiTheme="majorBidi" w:hAnsiTheme="majorBidi" w:cstheme="majorBidi"/>
                <w:b/>
                <w:sz w:val="40"/>
                <w:szCs w:val="40"/>
              </w:rPr>
              <w:t>23</w:t>
            </w:r>
          </w:p>
        </w:tc>
      </w:tr>
      <w:tr w:rsidR="0099001C" w:rsidRPr="00C62212" w14:paraId="0CF18C10" w14:textId="77777777" w:rsidTr="00472290">
        <w:trPr>
          <w:cantSplit/>
          <w:trHeight w:hRule="exact" w:val="2781"/>
        </w:trPr>
        <w:tc>
          <w:tcPr>
            <w:tcW w:w="9735" w:type="dxa"/>
            <w:tcBorders>
              <w:top w:val="single" w:sz="4" w:space="0" w:color="auto"/>
            </w:tcBorders>
          </w:tcPr>
          <w:p w14:paraId="3E41EE01" w14:textId="77777777" w:rsidR="00965932" w:rsidRPr="00C62212" w:rsidRDefault="00965932" w:rsidP="00965932">
            <w:pPr>
              <w:spacing w:before="120"/>
              <w:rPr>
                <w:rFonts w:asciiTheme="majorBidi" w:hAnsiTheme="majorBidi" w:cstheme="majorBidi"/>
                <w:b/>
                <w:sz w:val="24"/>
                <w:szCs w:val="24"/>
              </w:rPr>
            </w:pPr>
            <w:r w:rsidRPr="00C62212">
              <w:rPr>
                <w:rFonts w:asciiTheme="majorBidi" w:hAnsiTheme="majorBidi" w:cstheme="majorBidi"/>
                <w:b/>
                <w:sz w:val="24"/>
                <w:szCs w:val="24"/>
              </w:rPr>
              <w:t>Committee of Experts on the Transport of Dangerous Goods</w:t>
            </w:r>
            <w:r w:rsidRPr="00C62212">
              <w:rPr>
                <w:rFonts w:asciiTheme="majorBidi" w:hAnsiTheme="majorBidi" w:cstheme="majorBidi"/>
                <w:b/>
                <w:sz w:val="24"/>
                <w:szCs w:val="24"/>
              </w:rPr>
              <w:br/>
              <w:t>and on the Globally Harmonized System of Classification</w:t>
            </w:r>
            <w:r w:rsidRPr="00C62212">
              <w:rPr>
                <w:rFonts w:asciiTheme="majorBidi" w:hAnsiTheme="majorBidi" w:cstheme="majorBidi"/>
                <w:b/>
                <w:sz w:val="24"/>
                <w:szCs w:val="24"/>
              </w:rPr>
              <w:br/>
              <w:t>and Labelling of Chemicals</w:t>
            </w:r>
          </w:p>
          <w:p w14:paraId="0254736F" w14:textId="18E5CAEF" w:rsidR="00965932" w:rsidRPr="00C62212" w:rsidRDefault="00085D2B" w:rsidP="00587E3B">
            <w:pPr>
              <w:tabs>
                <w:tab w:val="left" w:pos="7230"/>
                <w:tab w:val="right" w:pos="9300"/>
              </w:tabs>
              <w:spacing w:before="120"/>
              <w:rPr>
                <w:rFonts w:asciiTheme="majorBidi" w:hAnsiTheme="majorBidi" w:cstheme="majorBidi"/>
                <w:b/>
                <w:color w:val="000000"/>
              </w:rPr>
            </w:pPr>
            <w:r w:rsidRPr="00C62212">
              <w:rPr>
                <w:rFonts w:asciiTheme="majorBidi" w:hAnsiTheme="majorBidi" w:cstheme="majorBidi"/>
                <w:b/>
              </w:rPr>
              <w:t xml:space="preserve">Sub-Committee </w:t>
            </w:r>
            <w:r w:rsidR="00965932" w:rsidRPr="00C62212">
              <w:rPr>
                <w:rFonts w:asciiTheme="majorBidi" w:hAnsiTheme="majorBidi" w:cstheme="majorBidi"/>
                <w:b/>
              </w:rPr>
              <w:t>of Experts on the Globally Harmonized</w:t>
            </w:r>
            <w:r w:rsidR="00965932" w:rsidRPr="00C62212">
              <w:rPr>
                <w:rFonts w:asciiTheme="majorBidi" w:hAnsiTheme="majorBidi" w:cstheme="majorBidi"/>
                <w:b/>
              </w:rPr>
              <w:br/>
              <w:t>System of Classification and Labelling of Chemicals</w:t>
            </w:r>
            <w:r w:rsidR="00965932" w:rsidRPr="00C62212">
              <w:rPr>
                <w:rFonts w:asciiTheme="majorBidi" w:hAnsiTheme="majorBidi" w:cstheme="majorBidi"/>
                <w:b/>
              </w:rPr>
              <w:tab/>
            </w:r>
            <w:r w:rsidR="007C1201" w:rsidRPr="00C62212">
              <w:rPr>
                <w:rFonts w:asciiTheme="majorBidi" w:hAnsiTheme="majorBidi" w:cstheme="majorBidi"/>
                <w:b/>
              </w:rPr>
              <w:tab/>
            </w:r>
            <w:r w:rsidR="00CB47CE">
              <w:rPr>
                <w:rFonts w:asciiTheme="majorBidi" w:hAnsiTheme="majorBidi" w:cstheme="majorBidi"/>
                <w:b/>
              </w:rPr>
              <w:t>5</w:t>
            </w:r>
            <w:r w:rsidR="000F2840">
              <w:rPr>
                <w:rFonts w:asciiTheme="majorBidi" w:hAnsiTheme="majorBidi" w:cstheme="majorBidi"/>
                <w:b/>
              </w:rPr>
              <w:t xml:space="preserve"> July 2021</w:t>
            </w:r>
          </w:p>
          <w:p w14:paraId="5B162A31" w14:textId="056F4B9D" w:rsidR="00450736" w:rsidRPr="00283442" w:rsidRDefault="000F2840" w:rsidP="00450736">
            <w:pPr>
              <w:spacing w:before="120"/>
              <w:rPr>
                <w:b/>
              </w:rPr>
            </w:pPr>
            <w:r>
              <w:rPr>
                <w:b/>
                <w:bCs/>
              </w:rPr>
              <w:t>Fortieth</w:t>
            </w:r>
            <w:r w:rsidR="00450736" w:rsidRPr="00283442">
              <w:rPr>
                <w:b/>
                <w:bCs/>
              </w:rPr>
              <w:t xml:space="preserve"> session</w:t>
            </w:r>
          </w:p>
          <w:p w14:paraId="7C5D8399" w14:textId="2C9EFCBF" w:rsidR="00450736" w:rsidRPr="00283442" w:rsidRDefault="00450736" w:rsidP="00450736">
            <w:pPr>
              <w:jc w:val="both"/>
            </w:pPr>
            <w:r w:rsidRPr="00283442">
              <w:t xml:space="preserve">Geneva, </w:t>
            </w:r>
            <w:r w:rsidR="000F2840">
              <w:t>5-7 July 2021</w:t>
            </w:r>
          </w:p>
          <w:p w14:paraId="2A8E70B5" w14:textId="13016B81" w:rsidR="00450736" w:rsidRPr="00062B1F" w:rsidRDefault="00450736" w:rsidP="00450736">
            <w:pPr>
              <w:jc w:val="both"/>
              <w:rPr>
                <w:lang w:val="en-US"/>
              </w:rPr>
            </w:pPr>
            <w:r w:rsidRPr="00FD5144">
              <w:rPr>
                <w:lang w:val="en-US"/>
              </w:rPr>
              <w:t xml:space="preserve">Items </w:t>
            </w:r>
            <w:r w:rsidR="00FD5144" w:rsidRPr="00FD5144">
              <w:rPr>
                <w:lang w:val="en-US"/>
              </w:rPr>
              <w:t>2</w:t>
            </w:r>
            <w:r w:rsidRPr="00FD5144">
              <w:rPr>
                <w:lang w:val="en-US"/>
              </w:rPr>
              <w:t xml:space="preserve"> (a) and </w:t>
            </w:r>
            <w:r w:rsidR="00FD5144" w:rsidRPr="00FD5144">
              <w:rPr>
                <w:lang w:val="en-US"/>
              </w:rPr>
              <w:t>2</w:t>
            </w:r>
            <w:r w:rsidRPr="00FD5144">
              <w:rPr>
                <w:lang w:val="en-US"/>
              </w:rPr>
              <w:t xml:space="preserve"> (</w:t>
            </w:r>
            <w:r w:rsidR="00FD5144" w:rsidRPr="00FD5144">
              <w:rPr>
                <w:lang w:val="en-US"/>
              </w:rPr>
              <w:t>i</w:t>
            </w:r>
            <w:r w:rsidRPr="00FD5144">
              <w:rPr>
                <w:lang w:val="en-US"/>
              </w:rPr>
              <w:t>) of the provisional agenda</w:t>
            </w:r>
          </w:p>
          <w:p w14:paraId="65ED2A2F" w14:textId="77777777" w:rsidR="00D36906" w:rsidRDefault="00D36906" w:rsidP="00271E2A">
            <w:pPr>
              <w:spacing w:line="240" w:lineRule="exact"/>
              <w:rPr>
                <w:rFonts w:asciiTheme="majorBidi" w:hAnsiTheme="majorBidi" w:cstheme="majorBidi"/>
                <w:b/>
                <w:bCs/>
              </w:rPr>
            </w:pPr>
          </w:p>
          <w:p w14:paraId="4DA34DEE" w14:textId="71BFCB75" w:rsidR="00450736" w:rsidRPr="00C62212" w:rsidRDefault="00450736" w:rsidP="00271E2A">
            <w:pPr>
              <w:spacing w:line="240" w:lineRule="exact"/>
              <w:rPr>
                <w:rFonts w:asciiTheme="majorBidi" w:hAnsiTheme="majorBidi" w:cstheme="majorBidi"/>
                <w:b/>
                <w:bCs/>
              </w:rPr>
            </w:pPr>
          </w:p>
        </w:tc>
      </w:tr>
    </w:tbl>
    <w:p w14:paraId="056F5414" w14:textId="61CA89FD" w:rsidR="00451383" w:rsidRDefault="005745F6" w:rsidP="00451383">
      <w:pPr>
        <w:pStyle w:val="HChG"/>
        <w:spacing w:before="240"/>
      </w:pPr>
      <w:r w:rsidRPr="00C62212">
        <w:rPr>
          <w:rFonts w:asciiTheme="majorBidi" w:eastAsia="MS Mincho" w:hAnsiTheme="majorBidi" w:cstheme="majorBidi"/>
          <w:lang w:eastAsia="ja-JP"/>
        </w:rPr>
        <w:tab/>
      </w:r>
      <w:r w:rsidR="00331C5E" w:rsidRPr="00C62212">
        <w:rPr>
          <w:rFonts w:asciiTheme="majorBidi" w:hAnsiTheme="majorBidi" w:cstheme="majorBidi"/>
          <w:lang w:eastAsia="en-GB"/>
        </w:rPr>
        <w:t xml:space="preserve"> </w:t>
      </w:r>
      <w:r w:rsidR="00451383">
        <w:rPr>
          <w:rFonts w:asciiTheme="majorBidi" w:hAnsiTheme="majorBidi" w:cstheme="majorBidi"/>
          <w:lang w:eastAsia="en-GB"/>
        </w:rPr>
        <w:tab/>
      </w:r>
      <w:r w:rsidR="00451383">
        <w:t xml:space="preserve">Work of the Sub-Committee of Experts on the Transport of Dangerous Goods (TDG) on matters of interest to the GHS Sub-Committee </w:t>
      </w:r>
      <w:r w:rsidR="00451383" w:rsidRPr="003823CD">
        <w:t xml:space="preserve"> </w:t>
      </w:r>
    </w:p>
    <w:p w14:paraId="1AF93E04" w14:textId="77777777" w:rsidR="00451383" w:rsidRDefault="00451383" w:rsidP="00451383">
      <w:pPr>
        <w:pStyle w:val="H1G"/>
        <w:rPr>
          <w:rFonts w:eastAsia="MS Mincho"/>
        </w:rPr>
      </w:pPr>
      <w:r w:rsidRPr="003823CD">
        <w:rPr>
          <w:rFonts w:eastAsia="MS Mincho"/>
        </w:rPr>
        <w:tab/>
      </w:r>
      <w:r w:rsidRPr="003823CD">
        <w:rPr>
          <w:rFonts w:eastAsia="MS Mincho"/>
        </w:rPr>
        <w:tab/>
        <w:t>Note by the secretariat</w:t>
      </w:r>
    </w:p>
    <w:p w14:paraId="66CCD324" w14:textId="337FEE84" w:rsidR="00451383" w:rsidRDefault="00451383" w:rsidP="00451383">
      <w:pPr>
        <w:pStyle w:val="SingleTxtG"/>
        <w:tabs>
          <w:tab w:val="left" w:pos="1701"/>
        </w:tabs>
      </w:pPr>
      <w:r w:rsidRPr="00E3141C">
        <w:rPr>
          <w:lang w:eastAsia="ja-JP"/>
        </w:rPr>
        <w:t xml:space="preserve">1. </w:t>
      </w:r>
      <w:r w:rsidRPr="00E3141C">
        <w:rPr>
          <w:lang w:eastAsia="ja-JP"/>
        </w:rPr>
        <w:tab/>
      </w:r>
      <w:r>
        <w:t>At its fifty-</w:t>
      </w:r>
      <w:r w:rsidR="00732060">
        <w:t>eighth</w:t>
      </w:r>
      <w:r>
        <w:t xml:space="preserve"> session, the Sub-Committee of Experts on the Transport of Dangerous Goods (TDG Sub-Committee) considered matters of interest to the GHS Sub-Committee under items 2 and 1</w:t>
      </w:r>
      <w:r w:rsidR="007F24C8">
        <w:t>0</w:t>
      </w:r>
      <w:r>
        <w:t xml:space="preserve"> of its agenda</w:t>
      </w:r>
      <w:r>
        <w:rPr>
          <w:rStyle w:val="FootnoteReference"/>
        </w:rPr>
        <w:footnoteReference w:id="2"/>
      </w:r>
      <w:r>
        <w:t xml:space="preserve"> (“explosives and related matters” and “Issues relating to the Globally Harmonized System of Classification and Labelling of Chemicals” respectively). </w:t>
      </w:r>
    </w:p>
    <w:p w14:paraId="5ACD09C5" w14:textId="7195EA5A" w:rsidR="00451383" w:rsidRDefault="00451383" w:rsidP="00451383">
      <w:pPr>
        <w:pStyle w:val="SingleTxtG"/>
        <w:tabs>
          <w:tab w:val="left" w:pos="1701"/>
        </w:tabs>
      </w:pPr>
      <w:r>
        <w:t>2.</w:t>
      </w:r>
      <w:r>
        <w:tab/>
        <w:t xml:space="preserve">Questions under the agenda item </w:t>
      </w:r>
      <w:r w:rsidR="001A12F9">
        <w:t xml:space="preserve">“Explosives and related matters” </w:t>
      </w:r>
      <w:r>
        <w:t xml:space="preserve">were referred to the Working Group on Explosives, which met via web conference on </w:t>
      </w:r>
      <w:r w:rsidR="004E5C05">
        <w:t xml:space="preserve">14 - 16 </w:t>
      </w:r>
      <w:r>
        <w:t xml:space="preserve">and 18 </w:t>
      </w:r>
      <w:r w:rsidR="007E446A">
        <w:t>June 2021</w:t>
      </w:r>
      <w:r>
        <w:t xml:space="preserve"> to conclude its business prior to and in support of the </w:t>
      </w:r>
      <w:r w:rsidR="00160A63">
        <w:t xml:space="preserve">work of the </w:t>
      </w:r>
      <w:r>
        <w:t xml:space="preserve">sub-committees. The report of the Working Group on Explosives </w:t>
      </w:r>
      <w:r w:rsidR="00160A63">
        <w:t>has been</w:t>
      </w:r>
      <w:r>
        <w:t xml:space="preserve"> circulated </w:t>
      </w:r>
      <w:r w:rsidR="007E446A">
        <w:t xml:space="preserve">to the TDG Sub-Committee as </w:t>
      </w:r>
      <w:r>
        <w:t>informal document INF.</w:t>
      </w:r>
      <w:r w:rsidR="007E446A">
        <w:t>23</w:t>
      </w:r>
      <w:r>
        <w:rPr>
          <w:rStyle w:val="FootnoteReference"/>
        </w:rPr>
        <w:footnoteReference w:id="3"/>
      </w:r>
      <w:r>
        <w:t>.</w:t>
      </w:r>
    </w:p>
    <w:p w14:paraId="06FCAC20" w14:textId="1E40660C" w:rsidR="00451383" w:rsidRDefault="00451383" w:rsidP="00451383">
      <w:pPr>
        <w:pStyle w:val="SingleTxtG"/>
        <w:tabs>
          <w:tab w:val="left" w:pos="1701"/>
        </w:tabs>
      </w:pPr>
      <w:r>
        <w:t xml:space="preserve">3. </w:t>
      </w:r>
      <w:r>
        <w:tab/>
        <w:t>Having considered the report of the Working Group on Explosives and the explanations provided by its Chairman, the TDG Sub-Committee reached the conclusions listed below for each matter of interest to the GHS Sub-Committee under consideration under agenda items 2 and 1</w:t>
      </w:r>
      <w:r w:rsidR="00EF5BC9">
        <w:t>0</w:t>
      </w:r>
      <w:r>
        <w:t xml:space="preserve"> of </w:t>
      </w:r>
      <w:r w:rsidR="00C73FDB">
        <w:t xml:space="preserve">its </w:t>
      </w:r>
      <w:r>
        <w:t xml:space="preserve">agenda. </w:t>
      </w:r>
    </w:p>
    <w:p w14:paraId="677F0544" w14:textId="0651BA4E" w:rsidR="00451383" w:rsidRPr="00FD5144" w:rsidRDefault="007C0279" w:rsidP="00451383">
      <w:pPr>
        <w:pStyle w:val="HChG"/>
      </w:pPr>
      <w:r>
        <w:tab/>
      </w:r>
      <w:r w:rsidR="00451383">
        <w:tab/>
      </w:r>
      <w:r w:rsidR="00451383" w:rsidRPr="00FD5144">
        <w:t xml:space="preserve">GHS agenda item </w:t>
      </w:r>
      <w:r w:rsidR="00586EEE" w:rsidRPr="00FD5144">
        <w:t>2</w:t>
      </w:r>
      <w:r w:rsidR="00451383" w:rsidRPr="00FD5144">
        <w:t xml:space="preserve"> (a)</w:t>
      </w:r>
      <w:r w:rsidR="00451383" w:rsidRPr="00FD5144">
        <w:tab/>
      </w:r>
    </w:p>
    <w:p w14:paraId="0EF9F685" w14:textId="7DDD5D08" w:rsidR="00451383" w:rsidRPr="00FD5144" w:rsidRDefault="00451383" w:rsidP="00451383">
      <w:pPr>
        <w:pStyle w:val="H1G"/>
      </w:pPr>
      <w:r w:rsidRPr="00FD5144">
        <w:tab/>
      </w:r>
      <w:r w:rsidR="00E6547F" w:rsidRPr="00FD5144">
        <w:t>4</w:t>
      </w:r>
      <w:r w:rsidR="00A24441" w:rsidRPr="00FD5144">
        <w:t>.</w:t>
      </w:r>
      <w:r w:rsidRPr="00FD5144">
        <w:tab/>
      </w:r>
      <w:r w:rsidR="00610632" w:rsidRPr="00FD5144">
        <w:t>Issues related to the definitions of explosives</w:t>
      </w:r>
      <w:r w:rsidRPr="00FD5144">
        <w:t xml:space="preserve"> </w:t>
      </w:r>
    </w:p>
    <w:p w14:paraId="25D174A7" w14:textId="1DD57A30" w:rsidR="00451383" w:rsidRPr="00974AD0" w:rsidRDefault="00451383" w:rsidP="00451383">
      <w:pPr>
        <w:pStyle w:val="SingleTxtG"/>
        <w:ind w:left="2552" w:hanging="1418"/>
      </w:pPr>
      <w:r w:rsidRPr="00974AD0">
        <w:rPr>
          <w:i/>
          <w:iCs/>
        </w:rPr>
        <w:t>Informal document:</w:t>
      </w:r>
      <w:r w:rsidRPr="00974AD0">
        <w:t xml:space="preserve"> </w:t>
      </w:r>
      <w:r w:rsidRPr="00974AD0">
        <w:tab/>
      </w:r>
      <w:r w:rsidR="00560953">
        <w:t>TDG/</w:t>
      </w:r>
      <w:r w:rsidRPr="00974AD0">
        <w:t>INF.</w:t>
      </w:r>
      <w:r w:rsidR="00974AD0" w:rsidRPr="00974AD0">
        <w:t>2</w:t>
      </w:r>
      <w:r w:rsidRPr="00974AD0">
        <w:t>3</w:t>
      </w:r>
      <w:r w:rsidR="00DC229B">
        <w:t>, para. 11</w:t>
      </w:r>
      <w:r w:rsidR="00560953">
        <w:t xml:space="preserve"> (report of the Working Group on Explosives)</w:t>
      </w:r>
    </w:p>
    <w:p w14:paraId="72B45504" w14:textId="52987D2E" w:rsidR="00451383" w:rsidRDefault="002A77A0" w:rsidP="0053460E">
      <w:pPr>
        <w:pStyle w:val="SingleTxtG"/>
        <w:tabs>
          <w:tab w:val="left" w:pos="1701"/>
        </w:tabs>
      </w:pPr>
      <w:r w:rsidRPr="002A77A0">
        <w:t>Based on the progress of work done on the revision of Chapter 2.1 of GHS, the Sub-Committee endorsed the EWG's position to continue the work of the Informal Correspondence Group (ICG) on the definition of explosives under the leadership of Sweden, in particular to re-evaluate the concerns on the definitions of "explosive substances" and "Class 1".</w:t>
      </w:r>
    </w:p>
    <w:p w14:paraId="3F072753" w14:textId="4754A3CC" w:rsidR="002C087A" w:rsidRPr="002C087A" w:rsidRDefault="002C087A" w:rsidP="0053460E">
      <w:pPr>
        <w:pStyle w:val="SingleTxtG"/>
        <w:tabs>
          <w:tab w:val="left" w:pos="1701"/>
        </w:tabs>
        <w:rPr>
          <w:i/>
          <w:iCs/>
          <w:highlight w:val="cyan"/>
        </w:rPr>
      </w:pPr>
      <w:r w:rsidRPr="002C087A">
        <w:rPr>
          <w:i/>
          <w:iCs/>
        </w:rPr>
        <w:t>(Ref.doc:</w:t>
      </w:r>
      <w:r w:rsidR="00CF2749">
        <w:rPr>
          <w:i/>
          <w:iCs/>
        </w:rPr>
        <w:t xml:space="preserve"> </w:t>
      </w:r>
      <w:r>
        <w:rPr>
          <w:i/>
          <w:iCs/>
        </w:rPr>
        <w:t>ST/SG/AC.10/C.3/2021/</w:t>
      </w:r>
      <w:r w:rsidR="00CF2749">
        <w:rPr>
          <w:i/>
          <w:iCs/>
        </w:rPr>
        <w:t>R.1/Add.1 para 23: draft report of the TDG Sub-Committee on its 58</w:t>
      </w:r>
      <w:r w:rsidR="00CF2749" w:rsidRPr="00CF2749">
        <w:rPr>
          <w:i/>
          <w:iCs/>
          <w:vertAlign w:val="superscript"/>
        </w:rPr>
        <w:t>th</w:t>
      </w:r>
      <w:r w:rsidR="00CF2749">
        <w:rPr>
          <w:i/>
          <w:iCs/>
        </w:rPr>
        <w:t xml:space="preserve"> session)</w:t>
      </w:r>
    </w:p>
    <w:p w14:paraId="5F248BAD" w14:textId="656FEB96" w:rsidR="00FA75C1" w:rsidRPr="00FD5144" w:rsidRDefault="00451383" w:rsidP="00FA75C1">
      <w:pPr>
        <w:pStyle w:val="H1G"/>
      </w:pPr>
      <w:r w:rsidRPr="00FD5144">
        <w:lastRenderedPageBreak/>
        <w:tab/>
      </w:r>
      <w:r w:rsidR="00E6547F" w:rsidRPr="00FD5144">
        <w:t>5</w:t>
      </w:r>
      <w:r w:rsidR="00A24441" w:rsidRPr="00FD5144">
        <w:t>.</w:t>
      </w:r>
      <w:r w:rsidR="00A24441" w:rsidRPr="00FD5144">
        <w:tab/>
      </w:r>
      <w:r w:rsidR="00FA75C1" w:rsidRPr="00FD5144">
        <w:t>Proposal for unifying animal species for evaluation test of acute dermal toxicity in GHS and Model Regulations</w:t>
      </w:r>
    </w:p>
    <w:p w14:paraId="1ED9ECA0" w14:textId="105DB4FA" w:rsidR="00FA75C1" w:rsidRDefault="00FA75C1" w:rsidP="00FA75C1">
      <w:pPr>
        <w:pStyle w:val="SingleTxtG"/>
      </w:pPr>
      <w:r>
        <w:tab/>
      </w:r>
      <w:r w:rsidRPr="00FA75C1">
        <w:rPr>
          <w:i/>
          <w:iCs/>
        </w:rPr>
        <w:t>Document:</w:t>
      </w:r>
      <w:r>
        <w:t xml:space="preserve"> ST/SG/AC.10/C.3/2021/16 (China)</w:t>
      </w:r>
    </w:p>
    <w:p w14:paraId="04F286FC" w14:textId="2E4BEC22" w:rsidR="00A24441" w:rsidRDefault="00FA75C1" w:rsidP="00FA75C1">
      <w:pPr>
        <w:pStyle w:val="SingleTxtG"/>
      </w:pPr>
      <w:r>
        <w:t>The Sub-Committee could not find a consensus on the proposal. While some delegations agreed to the principle of harmonizing the provisions with GHS without promoting animal testing, most experts who spoke noted general caution of possible impacts of such an amendment, such as far reaching reclassifications and the possibility of increased animal testing. The expert from China invited all experts to further comment on the document via email and offered to prepare an updated proposal for a future session.</w:t>
      </w:r>
    </w:p>
    <w:p w14:paraId="156E9EB3" w14:textId="08971515" w:rsidR="00FA75C1" w:rsidRPr="002C087A" w:rsidRDefault="00FA75C1" w:rsidP="00FA75C1">
      <w:pPr>
        <w:pStyle w:val="SingleTxtG"/>
        <w:tabs>
          <w:tab w:val="left" w:pos="1701"/>
        </w:tabs>
        <w:rPr>
          <w:i/>
          <w:iCs/>
          <w:highlight w:val="cyan"/>
        </w:rPr>
      </w:pPr>
      <w:r w:rsidRPr="002C087A">
        <w:rPr>
          <w:i/>
          <w:iCs/>
        </w:rPr>
        <w:t>(Ref.doc:</w:t>
      </w:r>
      <w:r>
        <w:rPr>
          <w:i/>
          <w:iCs/>
        </w:rPr>
        <w:t xml:space="preserve"> ST/SG/AC.10/C.3/2021/R.1/Add.</w:t>
      </w:r>
      <w:r w:rsidR="00EC28FF">
        <w:rPr>
          <w:i/>
          <w:iCs/>
        </w:rPr>
        <w:t>2</w:t>
      </w:r>
      <w:r>
        <w:rPr>
          <w:i/>
          <w:iCs/>
        </w:rPr>
        <w:t xml:space="preserve"> para </w:t>
      </w:r>
      <w:r w:rsidR="00EC28FF">
        <w:rPr>
          <w:i/>
          <w:iCs/>
        </w:rPr>
        <w:t>34</w:t>
      </w:r>
      <w:r>
        <w:rPr>
          <w:i/>
          <w:iCs/>
        </w:rPr>
        <w:t>: draft report of the TDG Sub-Committee on its 58</w:t>
      </w:r>
      <w:r w:rsidRPr="00CF2749">
        <w:rPr>
          <w:i/>
          <w:iCs/>
          <w:vertAlign w:val="superscript"/>
        </w:rPr>
        <w:t>th</w:t>
      </w:r>
      <w:r>
        <w:rPr>
          <w:i/>
          <w:iCs/>
        </w:rPr>
        <w:t xml:space="preserve"> session)</w:t>
      </w:r>
    </w:p>
    <w:p w14:paraId="78AFA841" w14:textId="3B65209B" w:rsidR="00451383" w:rsidRPr="002F0930" w:rsidRDefault="00A24441" w:rsidP="006B34F0">
      <w:pPr>
        <w:pStyle w:val="HChG"/>
      </w:pPr>
      <w:r>
        <w:tab/>
      </w:r>
      <w:r>
        <w:tab/>
      </w:r>
      <w:r w:rsidR="00451383" w:rsidRPr="002F0930">
        <w:t xml:space="preserve">GHS agenda item </w:t>
      </w:r>
      <w:r w:rsidR="001F78E5" w:rsidRPr="002F0930">
        <w:t>2</w:t>
      </w:r>
      <w:r w:rsidR="00451383" w:rsidRPr="002F0930">
        <w:t xml:space="preserve"> (</w:t>
      </w:r>
      <w:r w:rsidR="001F78E5" w:rsidRPr="002F0930">
        <w:t>i</w:t>
      </w:r>
      <w:r w:rsidR="00451383" w:rsidRPr="002F0930">
        <w:t>)</w:t>
      </w:r>
    </w:p>
    <w:p w14:paraId="05D6C3CC" w14:textId="5035B082" w:rsidR="00451383" w:rsidRPr="002F0930" w:rsidRDefault="00451383" w:rsidP="00451383">
      <w:pPr>
        <w:pStyle w:val="H1G"/>
      </w:pPr>
      <w:r w:rsidRPr="002F0930">
        <w:t xml:space="preserve"> </w:t>
      </w:r>
      <w:bookmarkStart w:id="0" w:name="_Hlk38294103"/>
      <w:bookmarkStart w:id="1" w:name="_Hlk38287150"/>
      <w:r w:rsidRPr="002F0930">
        <w:tab/>
      </w:r>
      <w:r w:rsidR="00E6547F">
        <w:t>6</w:t>
      </w:r>
      <w:r w:rsidR="007C0279">
        <w:t>.</w:t>
      </w:r>
      <w:r w:rsidRPr="002F0930">
        <w:tab/>
      </w:r>
      <w:bookmarkEnd w:id="0"/>
      <w:bookmarkEnd w:id="1"/>
      <w:r w:rsidR="006822CB" w:rsidRPr="002F0930">
        <w:t>Alignment of Chapter 2.17 with Chapter 2.1: correction to the GHS</w:t>
      </w:r>
    </w:p>
    <w:p w14:paraId="1B221818" w14:textId="71EA28D6" w:rsidR="00451383" w:rsidRPr="002F0930" w:rsidRDefault="00451383" w:rsidP="00451383">
      <w:pPr>
        <w:spacing w:before="40" w:after="120"/>
      </w:pPr>
      <w:r w:rsidRPr="002F0930">
        <w:rPr>
          <w:i/>
        </w:rPr>
        <w:tab/>
      </w:r>
      <w:r w:rsidRPr="002F0930">
        <w:rPr>
          <w:i/>
        </w:rPr>
        <w:tab/>
        <w:t>Document:</w:t>
      </w:r>
      <w:r w:rsidRPr="002F0930">
        <w:t xml:space="preserve"> </w:t>
      </w:r>
      <w:r w:rsidRPr="002F0930">
        <w:tab/>
      </w:r>
      <w:r w:rsidRPr="002F0930">
        <w:tab/>
        <w:t>ST/SG/AC.10/C.4/202</w:t>
      </w:r>
      <w:r w:rsidR="006822CB" w:rsidRPr="002F0930">
        <w:t>1</w:t>
      </w:r>
      <w:r w:rsidRPr="002F0930">
        <w:t>/</w:t>
      </w:r>
      <w:r w:rsidR="002F0930" w:rsidRPr="002F0930">
        <w:t>6</w:t>
      </w:r>
      <w:r w:rsidRPr="002F0930">
        <w:t xml:space="preserve"> (</w:t>
      </w:r>
      <w:r w:rsidR="002F0930" w:rsidRPr="002F0930">
        <w:t>Sweden</w:t>
      </w:r>
      <w:r w:rsidRPr="002F0930">
        <w:t xml:space="preserve">) </w:t>
      </w:r>
    </w:p>
    <w:p w14:paraId="184675F6" w14:textId="7D33D8EF" w:rsidR="00560953" w:rsidRDefault="00560953" w:rsidP="00560953">
      <w:pPr>
        <w:pStyle w:val="SingleTxtG"/>
        <w:ind w:left="2552" w:hanging="1418"/>
      </w:pPr>
      <w:r w:rsidRPr="00560953">
        <w:rPr>
          <w:i/>
          <w:iCs/>
        </w:rPr>
        <w:t xml:space="preserve">Informal document: </w:t>
      </w:r>
      <w:r w:rsidRPr="00560953">
        <w:rPr>
          <w:i/>
          <w:iCs/>
        </w:rPr>
        <w:tab/>
      </w:r>
      <w:r>
        <w:t>TDG/</w:t>
      </w:r>
      <w:r w:rsidRPr="00974AD0">
        <w:t>INF.23</w:t>
      </w:r>
      <w:r>
        <w:t xml:space="preserve">, para. </w:t>
      </w:r>
      <w:r w:rsidR="00FE6C64">
        <w:t>17</w:t>
      </w:r>
      <w:r>
        <w:t xml:space="preserve"> (report of the Working Group on Explosives)</w:t>
      </w:r>
    </w:p>
    <w:p w14:paraId="148B4587" w14:textId="3687F172" w:rsidR="00CE10DC" w:rsidRDefault="00CE10DC" w:rsidP="00FE6C64">
      <w:pPr>
        <w:pStyle w:val="SingleTxt"/>
        <w:tabs>
          <w:tab w:val="clear" w:pos="1267"/>
        </w:tabs>
        <w:ind w:left="1134"/>
      </w:pPr>
      <w:r w:rsidRPr="00CE10DC">
        <w:t>The Sub-Committee endorsed the outcome of the EWG on the proposal by Sweden for consequential amendments to Chapter 2.1 of GHS, as reflected in paragraph 17 of informal document INF.23.</w:t>
      </w:r>
    </w:p>
    <w:p w14:paraId="0EEA09E6" w14:textId="192D8893" w:rsidR="00FE6C64" w:rsidRPr="002C087A" w:rsidRDefault="00FE6C64" w:rsidP="00FE6C64">
      <w:pPr>
        <w:pStyle w:val="SingleTxtG"/>
        <w:tabs>
          <w:tab w:val="left" w:pos="1701"/>
        </w:tabs>
        <w:rPr>
          <w:i/>
          <w:iCs/>
          <w:highlight w:val="cyan"/>
        </w:rPr>
      </w:pPr>
      <w:r w:rsidRPr="002C087A">
        <w:rPr>
          <w:i/>
          <w:iCs/>
        </w:rPr>
        <w:t>(Ref.doc:</w:t>
      </w:r>
      <w:r>
        <w:rPr>
          <w:i/>
          <w:iCs/>
        </w:rPr>
        <w:t xml:space="preserve"> ST/SG/AC.10/C.3/2021/R.1/Add.</w:t>
      </w:r>
      <w:r w:rsidR="00820D7F">
        <w:rPr>
          <w:i/>
          <w:iCs/>
        </w:rPr>
        <w:t xml:space="preserve">8 </w:t>
      </w:r>
      <w:r>
        <w:rPr>
          <w:i/>
          <w:iCs/>
        </w:rPr>
        <w:t>para</w:t>
      </w:r>
      <w:r w:rsidR="00820D7F">
        <w:rPr>
          <w:i/>
          <w:iCs/>
        </w:rPr>
        <w:t>.</w:t>
      </w:r>
      <w:r>
        <w:rPr>
          <w:i/>
          <w:iCs/>
        </w:rPr>
        <w:t xml:space="preserve"> </w:t>
      </w:r>
      <w:r w:rsidR="00820D7F">
        <w:rPr>
          <w:i/>
          <w:iCs/>
        </w:rPr>
        <w:t>84</w:t>
      </w:r>
      <w:r>
        <w:rPr>
          <w:i/>
          <w:iCs/>
        </w:rPr>
        <w:t>: draft report of the TDG Sub-Committee on its 58</w:t>
      </w:r>
      <w:r w:rsidRPr="00CF2749">
        <w:rPr>
          <w:i/>
          <w:iCs/>
          <w:vertAlign w:val="superscript"/>
        </w:rPr>
        <w:t>th</w:t>
      </w:r>
      <w:r>
        <w:rPr>
          <w:i/>
          <w:iCs/>
        </w:rPr>
        <w:t xml:space="preserve"> session)</w:t>
      </w:r>
    </w:p>
    <w:p w14:paraId="2E5B5C2B" w14:textId="7883D0F7" w:rsidR="00E6547F" w:rsidRPr="002F0930" w:rsidRDefault="00E6547F" w:rsidP="00E6547F">
      <w:pPr>
        <w:pStyle w:val="H1G"/>
      </w:pPr>
      <w:r w:rsidRPr="002F0930">
        <w:tab/>
      </w:r>
      <w:r>
        <w:t>7.</w:t>
      </w:r>
      <w:r w:rsidRPr="002F0930">
        <w:tab/>
      </w:r>
      <w:r>
        <w:t>Proposal for simple definition of the word “toxic”</w:t>
      </w:r>
    </w:p>
    <w:p w14:paraId="0B2A2E43" w14:textId="3F7C3B6F" w:rsidR="00C169F9" w:rsidRDefault="00C169F9" w:rsidP="00C169F9">
      <w:pPr>
        <w:pStyle w:val="SingleTxtG"/>
        <w:ind w:left="2552" w:hanging="1418"/>
      </w:pPr>
      <w:r w:rsidRPr="00560953">
        <w:rPr>
          <w:i/>
          <w:iCs/>
        </w:rPr>
        <w:t xml:space="preserve">Informal document: </w:t>
      </w:r>
      <w:r w:rsidRPr="00C169F9">
        <w:t>INF.12</w:t>
      </w:r>
      <w:r>
        <w:t xml:space="preserve"> (RPMASA)</w:t>
      </w:r>
    </w:p>
    <w:p w14:paraId="1C00E46C" w14:textId="2E0A77B4" w:rsidR="00C169F9" w:rsidRPr="00C169F9" w:rsidRDefault="00282747" w:rsidP="00282747">
      <w:pPr>
        <w:pStyle w:val="SingleTxt"/>
        <w:tabs>
          <w:tab w:val="clear" w:pos="1267"/>
        </w:tabs>
        <w:ind w:left="1134"/>
      </w:pPr>
      <w:r w:rsidRPr="00282747">
        <w:t>The Sub-Committee felt that there was no need to insert in the Model Regulations a definition of "toxic". It was noted that toxic endpoints were clearly defined by classification criteria and that inserting a generic definition could create confusion and extend the scope to substances that do not meet that criteria. Some experts suggested that training and capacity building could help addressing the problem raised.</w:t>
      </w:r>
    </w:p>
    <w:p w14:paraId="4CBCE7C9" w14:textId="7C52DA1A" w:rsidR="00282747" w:rsidRPr="002C087A" w:rsidRDefault="00282747" w:rsidP="00282747">
      <w:pPr>
        <w:pStyle w:val="SingleTxtG"/>
        <w:tabs>
          <w:tab w:val="left" w:pos="1701"/>
        </w:tabs>
        <w:rPr>
          <w:i/>
          <w:iCs/>
          <w:highlight w:val="cyan"/>
        </w:rPr>
      </w:pPr>
      <w:r w:rsidRPr="002C087A">
        <w:rPr>
          <w:i/>
          <w:iCs/>
        </w:rPr>
        <w:t>(Ref.doc:</w:t>
      </w:r>
      <w:r>
        <w:rPr>
          <w:i/>
          <w:iCs/>
        </w:rPr>
        <w:t xml:space="preserve"> ST/SG/AC.10/C.3/2021/R.1/Add.8 para. 89: draft report of the TDG Sub-Committee on its 58</w:t>
      </w:r>
      <w:r w:rsidRPr="00CF2749">
        <w:rPr>
          <w:i/>
          <w:iCs/>
          <w:vertAlign w:val="superscript"/>
        </w:rPr>
        <w:t>th</w:t>
      </w:r>
      <w:r>
        <w:rPr>
          <w:i/>
          <w:iCs/>
        </w:rPr>
        <w:t xml:space="preserve"> session)</w:t>
      </w:r>
    </w:p>
    <w:p w14:paraId="4B7857AA" w14:textId="77777777" w:rsidR="00CE10DC" w:rsidRDefault="00CE10DC" w:rsidP="00CE10DC">
      <w:pPr>
        <w:pStyle w:val="SingleTxt"/>
      </w:pPr>
    </w:p>
    <w:p w14:paraId="7FAA38FF" w14:textId="6F6341E4" w:rsidR="00A13A7A" w:rsidRPr="00C62212" w:rsidRDefault="00451383" w:rsidP="00CE10DC">
      <w:pPr>
        <w:spacing w:before="240"/>
        <w:ind w:left="567" w:firstLine="567"/>
        <w:jc w:val="center"/>
        <w:rPr>
          <w:rFonts w:asciiTheme="majorBidi" w:hAnsiTheme="majorBidi" w:cstheme="majorBidi"/>
        </w:rPr>
      </w:pPr>
      <w:r>
        <w:rPr>
          <w:u w:val="single"/>
        </w:rPr>
        <w:tab/>
      </w:r>
      <w:r>
        <w:rPr>
          <w:u w:val="single"/>
        </w:rPr>
        <w:tab/>
      </w:r>
      <w:r>
        <w:rPr>
          <w:u w:val="single"/>
        </w:rPr>
        <w:tab/>
      </w:r>
    </w:p>
    <w:sectPr w:rsidR="00A13A7A" w:rsidRPr="00C62212" w:rsidSect="002B37B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6B08" w14:textId="77777777" w:rsidR="006304E6" w:rsidRDefault="006304E6"/>
  </w:endnote>
  <w:endnote w:type="continuationSeparator" w:id="0">
    <w:p w14:paraId="407AA147" w14:textId="77777777" w:rsidR="006304E6" w:rsidRDefault="006304E6"/>
  </w:endnote>
  <w:endnote w:type="continuationNotice" w:id="1">
    <w:p w14:paraId="343C0EBC" w14:textId="77777777" w:rsidR="006304E6" w:rsidRDefault="00630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1E8C" w14:textId="57D21F3A"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D150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F98B" w14:textId="1FF21CA0"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4BCC">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FB9F" w14:textId="77777777" w:rsidR="006304E6" w:rsidRPr="000B175B" w:rsidRDefault="006304E6" w:rsidP="000B175B">
      <w:pPr>
        <w:tabs>
          <w:tab w:val="right" w:pos="2155"/>
        </w:tabs>
        <w:spacing w:after="80"/>
        <w:ind w:left="680"/>
        <w:rPr>
          <w:u w:val="single"/>
        </w:rPr>
      </w:pPr>
      <w:r>
        <w:rPr>
          <w:u w:val="single"/>
        </w:rPr>
        <w:tab/>
      </w:r>
    </w:p>
  </w:footnote>
  <w:footnote w:type="continuationSeparator" w:id="0">
    <w:p w14:paraId="51E2350D" w14:textId="77777777" w:rsidR="006304E6" w:rsidRPr="00FC68B7" w:rsidRDefault="006304E6" w:rsidP="00FC68B7">
      <w:pPr>
        <w:tabs>
          <w:tab w:val="left" w:pos="2155"/>
        </w:tabs>
        <w:spacing w:after="80"/>
        <w:ind w:left="680"/>
        <w:rPr>
          <w:u w:val="single"/>
        </w:rPr>
      </w:pPr>
      <w:r>
        <w:rPr>
          <w:u w:val="single"/>
        </w:rPr>
        <w:tab/>
      </w:r>
    </w:p>
  </w:footnote>
  <w:footnote w:type="continuationNotice" w:id="1">
    <w:p w14:paraId="7AF4030C" w14:textId="77777777" w:rsidR="006304E6" w:rsidRDefault="006304E6"/>
  </w:footnote>
  <w:footnote w:id="2">
    <w:p w14:paraId="14EAE57D" w14:textId="79B4E4C2" w:rsidR="00451383" w:rsidRPr="009600BA" w:rsidRDefault="00451383" w:rsidP="00451383">
      <w:pPr>
        <w:pStyle w:val="FootnoteText"/>
        <w:rPr>
          <w:lang w:val="fr-CH"/>
        </w:rPr>
      </w:pPr>
      <w:r>
        <w:tab/>
      </w:r>
      <w:r w:rsidRPr="003142FE">
        <w:rPr>
          <w:rStyle w:val="FootnoteReference"/>
        </w:rPr>
        <w:footnoteRef/>
      </w:r>
      <w:r w:rsidRPr="003142FE">
        <w:t xml:space="preserve"> </w:t>
      </w:r>
      <w:r w:rsidRPr="003142FE">
        <w:tab/>
        <w:t>ST/SG/AC.10/C.3/11</w:t>
      </w:r>
      <w:r w:rsidR="003142FE" w:rsidRPr="003142FE">
        <w:t>5</w:t>
      </w:r>
      <w:r w:rsidRPr="003142FE">
        <w:t>/Add.1/Rev.1.</w:t>
      </w:r>
    </w:p>
  </w:footnote>
  <w:footnote w:id="3">
    <w:p w14:paraId="1272A9A1" w14:textId="12B4EA04" w:rsidR="00451383" w:rsidRPr="00054722" w:rsidRDefault="00451383" w:rsidP="00451383">
      <w:pPr>
        <w:pStyle w:val="FootnoteText"/>
        <w:rPr>
          <w:lang w:val="fr-CH"/>
        </w:rPr>
      </w:pPr>
      <w:r>
        <w:tab/>
      </w:r>
      <w:r>
        <w:rPr>
          <w:rStyle w:val="FootnoteReference"/>
        </w:rPr>
        <w:footnoteRef/>
      </w:r>
      <w:r>
        <w:t xml:space="preserve"> </w:t>
      </w:r>
      <w:r>
        <w:tab/>
      </w:r>
      <w:r w:rsidR="00EF5BC9" w:rsidRPr="00EF5BC9">
        <w:t>https://unece.org/info/Transport/Dangerous-Goods/events/351431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FFE2" w14:textId="3E861B91" w:rsidR="006A7757" w:rsidRPr="0099001C" w:rsidRDefault="006A7757" w:rsidP="00366CA7">
    <w:pPr>
      <w:pStyle w:val="Header"/>
    </w:pPr>
    <w:r w:rsidRPr="009E5D6A">
      <w:t>UN/SCEGHS/</w:t>
    </w:r>
    <w:r w:rsidR="001F78E5">
      <w:t>40</w:t>
    </w:r>
    <w:r w:rsidRPr="009E5D6A">
      <w:t>/INF.</w:t>
    </w:r>
    <w:r w:rsidR="001F78E5">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E8B9" w14:textId="69FAEB6C" w:rsidR="006A7757" w:rsidRPr="0099001C" w:rsidRDefault="006A7757" w:rsidP="0099001C">
    <w:pPr>
      <w:pStyle w:val="Header"/>
      <w:jc w:val="right"/>
    </w:pPr>
    <w:r>
      <w:t>UN/SCEGHS/</w:t>
    </w:r>
    <w:r w:rsidR="00727A68">
      <w:t>3</w:t>
    </w:r>
    <w:r w:rsidR="006942D1">
      <w:t>9</w:t>
    </w:r>
    <w:r>
      <w:t>/INF.</w:t>
    </w:r>
    <w:r w:rsidR="00DD525E">
      <w:t>3</w:t>
    </w:r>
    <w:r w:rsidR="006942D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A07C4"/>
    <w:multiLevelType w:val="hybridMultilevel"/>
    <w:tmpl w:val="2DC8D026"/>
    <w:lvl w:ilvl="0" w:tplc="5EE2654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6300BB6"/>
    <w:multiLevelType w:val="hybridMultilevel"/>
    <w:tmpl w:val="DEB4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A4C5983"/>
    <w:multiLevelType w:val="hybridMultilevel"/>
    <w:tmpl w:val="43441492"/>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7"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F2D3B"/>
    <w:multiLevelType w:val="hybridMultilevel"/>
    <w:tmpl w:val="E8C44654"/>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8D97F58"/>
    <w:multiLevelType w:val="multilevel"/>
    <w:tmpl w:val="2E6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713B7"/>
    <w:multiLevelType w:val="multilevel"/>
    <w:tmpl w:val="257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4"/>
  </w:num>
  <w:num w:numId="4">
    <w:abstractNumId w:val="7"/>
  </w:num>
  <w:num w:numId="5">
    <w:abstractNumId w:val="8"/>
  </w:num>
  <w:num w:numId="6">
    <w:abstractNumId w:val="9"/>
  </w:num>
  <w:num w:numId="7">
    <w:abstractNumId w:val="23"/>
  </w:num>
  <w:num w:numId="8">
    <w:abstractNumId w:val="1"/>
  </w:num>
  <w:num w:numId="9">
    <w:abstractNumId w:val="3"/>
  </w:num>
  <w:num w:numId="10">
    <w:abstractNumId w:val="1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21"/>
  </w:num>
  <w:num w:numId="16">
    <w:abstractNumId w:val="22"/>
  </w:num>
  <w:num w:numId="17">
    <w:abstractNumId w:val="13"/>
  </w:num>
  <w:num w:numId="18">
    <w:abstractNumId w:val="10"/>
  </w:num>
  <w:num w:numId="19">
    <w:abstractNumId w:val="18"/>
  </w:num>
  <w:num w:numId="20">
    <w:abstractNumId w:val="2"/>
  </w:num>
  <w:num w:numId="21">
    <w:abstractNumId w:val="4"/>
  </w:num>
  <w:num w:numId="22">
    <w:abstractNumId w:val="24"/>
  </w:num>
  <w:num w:numId="23">
    <w:abstractNumId w:val="25"/>
  </w:num>
  <w:num w:numId="24">
    <w:abstractNumId w:val="1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9"/>
  </w:num>
  <w:num w:numId="33">
    <w:abstractNumId w:val="1"/>
  </w:num>
  <w:num w:numId="34">
    <w:abstractNumId w:val="1"/>
  </w:num>
  <w:num w:numId="35">
    <w:abstractNumId w:val="20"/>
  </w:num>
  <w:num w:numId="36">
    <w:abstractNumId w:val="15"/>
  </w:num>
  <w:num w:numId="37">
    <w:abstractNumId w:val="6"/>
  </w:num>
  <w:num w:numId="38">
    <w:abstractNumId w:val="1"/>
  </w:num>
  <w:num w:numId="39">
    <w:abstractNumId w:val="1"/>
  </w:num>
  <w:num w:numId="40">
    <w:abstractNumId w:val="1"/>
  </w:num>
  <w:num w:numId="4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en-CA"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1C7"/>
    <w:rsid w:val="00010278"/>
    <w:rsid w:val="0001139F"/>
    <w:rsid w:val="00012269"/>
    <w:rsid w:val="00013453"/>
    <w:rsid w:val="00016322"/>
    <w:rsid w:val="00016F90"/>
    <w:rsid w:val="00021F69"/>
    <w:rsid w:val="0002269F"/>
    <w:rsid w:val="000247DA"/>
    <w:rsid w:val="00025EA6"/>
    <w:rsid w:val="00027C0B"/>
    <w:rsid w:val="000309E1"/>
    <w:rsid w:val="00030DD3"/>
    <w:rsid w:val="000314AE"/>
    <w:rsid w:val="0003215B"/>
    <w:rsid w:val="00032D5C"/>
    <w:rsid w:val="00033B3D"/>
    <w:rsid w:val="0003412D"/>
    <w:rsid w:val="000351FA"/>
    <w:rsid w:val="00035799"/>
    <w:rsid w:val="00036288"/>
    <w:rsid w:val="00040EDC"/>
    <w:rsid w:val="00041A5B"/>
    <w:rsid w:val="00042690"/>
    <w:rsid w:val="00050F6B"/>
    <w:rsid w:val="00051E14"/>
    <w:rsid w:val="00056ADD"/>
    <w:rsid w:val="0006093B"/>
    <w:rsid w:val="00062B1F"/>
    <w:rsid w:val="00065B7E"/>
    <w:rsid w:val="00065DE6"/>
    <w:rsid w:val="00066C18"/>
    <w:rsid w:val="00072C8C"/>
    <w:rsid w:val="00073D8C"/>
    <w:rsid w:val="0007485E"/>
    <w:rsid w:val="00074E61"/>
    <w:rsid w:val="000812C9"/>
    <w:rsid w:val="00081647"/>
    <w:rsid w:val="00082642"/>
    <w:rsid w:val="00085D2B"/>
    <w:rsid w:val="00092477"/>
    <w:rsid w:val="000931C0"/>
    <w:rsid w:val="00093AA0"/>
    <w:rsid w:val="000A1ED4"/>
    <w:rsid w:val="000A37AA"/>
    <w:rsid w:val="000A48A1"/>
    <w:rsid w:val="000A6544"/>
    <w:rsid w:val="000B0443"/>
    <w:rsid w:val="000B175B"/>
    <w:rsid w:val="000B3A0F"/>
    <w:rsid w:val="000B3D62"/>
    <w:rsid w:val="000B4BAE"/>
    <w:rsid w:val="000B735B"/>
    <w:rsid w:val="000C25BD"/>
    <w:rsid w:val="000C2D91"/>
    <w:rsid w:val="000C33ED"/>
    <w:rsid w:val="000C55C9"/>
    <w:rsid w:val="000C5F85"/>
    <w:rsid w:val="000C6544"/>
    <w:rsid w:val="000D10AA"/>
    <w:rsid w:val="000D4174"/>
    <w:rsid w:val="000E0415"/>
    <w:rsid w:val="000F170A"/>
    <w:rsid w:val="000F2840"/>
    <w:rsid w:val="000F2D92"/>
    <w:rsid w:val="000F3F9C"/>
    <w:rsid w:val="000F599C"/>
    <w:rsid w:val="000F72F9"/>
    <w:rsid w:val="00106320"/>
    <w:rsid w:val="00111760"/>
    <w:rsid w:val="0011178C"/>
    <w:rsid w:val="001131FD"/>
    <w:rsid w:val="0011552F"/>
    <w:rsid w:val="00115ECB"/>
    <w:rsid w:val="001164A2"/>
    <w:rsid w:val="001220B8"/>
    <w:rsid w:val="001247D0"/>
    <w:rsid w:val="00130005"/>
    <w:rsid w:val="00135B50"/>
    <w:rsid w:val="00140DE6"/>
    <w:rsid w:val="0014428E"/>
    <w:rsid w:val="0015005D"/>
    <w:rsid w:val="00151F32"/>
    <w:rsid w:val="00152788"/>
    <w:rsid w:val="00154704"/>
    <w:rsid w:val="00154E1C"/>
    <w:rsid w:val="00155A0A"/>
    <w:rsid w:val="00156F3C"/>
    <w:rsid w:val="00160A63"/>
    <w:rsid w:val="001615C0"/>
    <w:rsid w:val="00162BF7"/>
    <w:rsid w:val="0016504F"/>
    <w:rsid w:val="00170A0F"/>
    <w:rsid w:val="0017226D"/>
    <w:rsid w:val="001748C5"/>
    <w:rsid w:val="00181192"/>
    <w:rsid w:val="00184C60"/>
    <w:rsid w:val="00190AEA"/>
    <w:rsid w:val="00191F6F"/>
    <w:rsid w:val="001944E5"/>
    <w:rsid w:val="00195834"/>
    <w:rsid w:val="0019681E"/>
    <w:rsid w:val="00196E86"/>
    <w:rsid w:val="00196FE0"/>
    <w:rsid w:val="001976A3"/>
    <w:rsid w:val="001A0F7B"/>
    <w:rsid w:val="001A12F9"/>
    <w:rsid w:val="001A295D"/>
    <w:rsid w:val="001A2E4F"/>
    <w:rsid w:val="001A2FA5"/>
    <w:rsid w:val="001A7554"/>
    <w:rsid w:val="001A7F6C"/>
    <w:rsid w:val="001B130E"/>
    <w:rsid w:val="001B2187"/>
    <w:rsid w:val="001B4B04"/>
    <w:rsid w:val="001B5DB6"/>
    <w:rsid w:val="001B69DC"/>
    <w:rsid w:val="001B791E"/>
    <w:rsid w:val="001C25E7"/>
    <w:rsid w:val="001C6663"/>
    <w:rsid w:val="001C712D"/>
    <w:rsid w:val="001C7895"/>
    <w:rsid w:val="001D08B7"/>
    <w:rsid w:val="001D26DF"/>
    <w:rsid w:val="001D2AE4"/>
    <w:rsid w:val="001D310D"/>
    <w:rsid w:val="001D3206"/>
    <w:rsid w:val="001E1A8A"/>
    <w:rsid w:val="001E47FD"/>
    <w:rsid w:val="001E4BBA"/>
    <w:rsid w:val="001F0115"/>
    <w:rsid w:val="001F2242"/>
    <w:rsid w:val="001F5503"/>
    <w:rsid w:val="001F70DF"/>
    <w:rsid w:val="001F78E5"/>
    <w:rsid w:val="00202318"/>
    <w:rsid w:val="002057B6"/>
    <w:rsid w:val="002115B7"/>
    <w:rsid w:val="00211E0B"/>
    <w:rsid w:val="002122D6"/>
    <w:rsid w:val="00213E9F"/>
    <w:rsid w:val="00220617"/>
    <w:rsid w:val="00222D67"/>
    <w:rsid w:val="00223A50"/>
    <w:rsid w:val="00225B2C"/>
    <w:rsid w:val="00226304"/>
    <w:rsid w:val="00231C90"/>
    <w:rsid w:val="002366A3"/>
    <w:rsid w:val="00236881"/>
    <w:rsid w:val="00236B77"/>
    <w:rsid w:val="002405A7"/>
    <w:rsid w:val="00240D60"/>
    <w:rsid w:val="00251A87"/>
    <w:rsid w:val="00251D0A"/>
    <w:rsid w:val="0025322D"/>
    <w:rsid w:val="002545C5"/>
    <w:rsid w:val="00254E2E"/>
    <w:rsid w:val="00257E45"/>
    <w:rsid w:val="00262488"/>
    <w:rsid w:val="00266483"/>
    <w:rsid w:val="00267629"/>
    <w:rsid w:val="00271E2A"/>
    <w:rsid w:val="0027295D"/>
    <w:rsid w:val="00273022"/>
    <w:rsid w:val="0028112B"/>
    <w:rsid w:val="002821A4"/>
    <w:rsid w:val="00282747"/>
    <w:rsid w:val="00282F8D"/>
    <w:rsid w:val="00284C59"/>
    <w:rsid w:val="00285190"/>
    <w:rsid w:val="0028528B"/>
    <w:rsid w:val="0028578C"/>
    <w:rsid w:val="00290974"/>
    <w:rsid w:val="00290B20"/>
    <w:rsid w:val="002932FF"/>
    <w:rsid w:val="002933A2"/>
    <w:rsid w:val="00297F8A"/>
    <w:rsid w:val="002A77A0"/>
    <w:rsid w:val="002B1884"/>
    <w:rsid w:val="002B37B6"/>
    <w:rsid w:val="002C087A"/>
    <w:rsid w:val="002C275F"/>
    <w:rsid w:val="002C5815"/>
    <w:rsid w:val="002D037D"/>
    <w:rsid w:val="002D191C"/>
    <w:rsid w:val="002D3600"/>
    <w:rsid w:val="002D59D3"/>
    <w:rsid w:val="002D5FD3"/>
    <w:rsid w:val="002D6144"/>
    <w:rsid w:val="002E20A6"/>
    <w:rsid w:val="002E769D"/>
    <w:rsid w:val="002F0930"/>
    <w:rsid w:val="002F0CD6"/>
    <w:rsid w:val="002F3420"/>
    <w:rsid w:val="00300E7D"/>
    <w:rsid w:val="003107FA"/>
    <w:rsid w:val="0031161F"/>
    <w:rsid w:val="003127A2"/>
    <w:rsid w:val="003142FE"/>
    <w:rsid w:val="00314D47"/>
    <w:rsid w:val="003229D8"/>
    <w:rsid w:val="00322FAA"/>
    <w:rsid w:val="0032550E"/>
    <w:rsid w:val="00325B9F"/>
    <w:rsid w:val="00327615"/>
    <w:rsid w:val="00331C5E"/>
    <w:rsid w:val="00333190"/>
    <w:rsid w:val="0033333D"/>
    <w:rsid w:val="00334D1B"/>
    <w:rsid w:val="003354D1"/>
    <w:rsid w:val="00335925"/>
    <w:rsid w:val="0033745A"/>
    <w:rsid w:val="00337A81"/>
    <w:rsid w:val="00341051"/>
    <w:rsid w:val="00343711"/>
    <w:rsid w:val="00344875"/>
    <w:rsid w:val="00350E63"/>
    <w:rsid w:val="00357B6E"/>
    <w:rsid w:val="00357D6F"/>
    <w:rsid w:val="0036214E"/>
    <w:rsid w:val="00362894"/>
    <w:rsid w:val="0036405C"/>
    <w:rsid w:val="003642AF"/>
    <w:rsid w:val="003644DA"/>
    <w:rsid w:val="00366CA7"/>
    <w:rsid w:val="0037026E"/>
    <w:rsid w:val="00370421"/>
    <w:rsid w:val="00377514"/>
    <w:rsid w:val="00382548"/>
    <w:rsid w:val="003834F7"/>
    <w:rsid w:val="003843A2"/>
    <w:rsid w:val="00386B95"/>
    <w:rsid w:val="0039277A"/>
    <w:rsid w:val="00392EEE"/>
    <w:rsid w:val="003936C1"/>
    <w:rsid w:val="0039696D"/>
    <w:rsid w:val="003972E0"/>
    <w:rsid w:val="003A1E77"/>
    <w:rsid w:val="003B3A99"/>
    <w:rsid w:val="003C1005"/>
    <w:rsid w:val="003C1EFC"/>
    <w:rsid w:val="003C2CC4"/>
    <w:rsid w:val="003C3936"/>
    <w:rsid w:val="003C4335"/>
    <w:rsid w:val="003C4C3F"/>
    <w:rsid w:val="003C542E"/>
    <w:rsid w:val="003C591B"/>
    <w:rsid w:val="003C60C1"/>
    <w:rsid w:val="003C772D"/>
    <w:rsid w:val="003D0D56"/>
    <w:rsid w:val="003D2C17"/>
    <w:rsid w:val="003D4954"/>
    <w:rsid w:val="003D4B23"/>
    <w:rsid w:val="003D6697"/>
    <w:rsid w:val="003E3FFE"/>
    <w:rsid w:val="003E6173"/>
    <w:rsid w:val="003E7C95"/>
    <w:rsid w:val="003F1ED3"/>
    <w:rsid w:val="003F71B3"/>
    <w:rsid w:val="00403848"/>
    <w:rsid w:val="00404110"/>
    <w:rsid w:val="004074F5"/>
    <w:rsid w:val="00416D20"/>
    <w:rsid w:val="004178A7"/>
    <w:rsid w:val="00421612"/>
    <w:rsid w:val="00422AA7"/>
    <w:rsid w:val="00425919"/>
    <w:rsid w:val="00425CB5"/>
    <w:rsid w:val="00425EFD"/>
    <w:rsid w:val="00426F57"/>
    <w:rsid w:val="00427C61"/>
    <w:rsid w:val="00431FEC"/>
    <w:rsid w:val="004325CB"/>
    <w:rsid w:val="004421A6"/>
    <w:rsid w:val="004448E1"/>
    <w:rsid w:val="0044499F"/>
    <w:rsid w:val="004450A2"/>
    <w:rsid w:val="00446392"/>
    <w:rsid w:val="00446CCB"/>
    <w:rsid w:val="00446DE4"/>
    <w:rsid w:val="00450136"/>
    <w:rsid w:val="00450736"/>
    <w:rsid w:val="00451383"/>
    <w:rsid w:val="004518EA"/>
    <w:rsid w:val="00454096"/>
    <w:rsid w:val="00455EE5"/>
    <w:rsid w:val="00456453"/>
    <w:rsid w:val="00456F34"/>
    <w:rsid w:val="00460165"/>
    <w:rsid w:val="00460DD9"/>
    <w:rsid w:val="00460E1C"/>
    <w:rsid w:val="004630E3"/>
    <w:rsid w:val="00466E8E"/>
    <w:rsid w:val="00466FBF"/>
    <w:rsid w:val="00467F71"/>
    <w:rsid w:val="00472290"/>
    <w:rsid w:val="0047269B"/>
    <w:rsid w:val="0047442B"/>
    <w:rsid w:val="00474F1C"/>
    <w:rsid w:val="00477371"/>
    <w:rsid w:val="004776DD"/>
    <w:rsid w:val="00477DA4"/>
    <w:rsid w:val="00481686"/>
    <w:rsid w:val="0048687D"/>
    <w:rsid w:val="00492FBB"/>
    <w:rsid w:val="004939A3"/>
    <w:rsid w:val="004960FE"/>
    <w:rsid w:val="00497EF1"/>
    <w:rsid w:val="004A0A31"/>
    <w:rsid w:val="004A0C94"/>
    <w:rsid w:val="004A2B37"/>
    <w:rsid w:val="004A2C74"/>
    <w:rsid w:val="004A41CA"/>
    <w:rsid w:val="004A4F3D"/>
    <w:rsid w:val="004A6487"/>
    <w:rsid w:val="004A6A2D"/>
    <w:rsid w:val="004B036A"/>
    <w:rsid w:val="004B6B22"/>
    <w:rsid w:val="004B748C"/>
    <w:rsid w:val="004C4A56"/>
    <w:rsid w:val="004D0C85"/>
    <w:rsid w:val="004D1006"/>
    <w:rsid w:val="004D54D2"/>
    <w:rsid w:val="004D54D4"/>
    <w:rsid w:val="004D6A8E"/>
    <w:rsid w:val="004E1611"/>
    <w:rsid w:val="004E33F9"/>
    <w:rsid w:val="004E36F5"/>
    <w:rsid w:val="004E5C05"/>
    <w:rsid w:val="004E7ED6"/>
    <w:rsid w:val="004F2223"/>
    <w:rsid w:val="004F33BF"/>
    <w:rsid w:val="004F3795"/>
    <w:rsid w:val="004F4FE6"/>
    <w:rsid w:val="004F5256"/>
    <w:rsid w:val="004F56B4"/>
    <w:rsid w:val="004F6FA2"/>
    <w:rsid w:val="004F7D12"/>
    <w:rsid w:val="005014A3"/>
    <w:rsid w:val="00503228"/>
    <w:rsid w:val="00504661"/>
    <w:rsid w:val="00505384"/>
    <w:rsid w:val="005064F3"/>
    <w:rsid w:val="00507E7D"/>
    <w:rsid w:val="005124CB"/>
    <w:rsid w:val="00515C5D"/>
    <w:rsid w:val="0052570A"/>
    <w:rsid w:val="00525D41"/>
    <w:rsid w:val="00526101"/>
    <w:rsid w:val="0053092F"/>
    <w:rsid w:val="00532141"/>
    <w:rsid w:val="00532617"/>
    <w:rsid w:val="00532EF8"/>
    <w:rsid w:val="00533DBE"/>
    <w:rsid w:val="0053460E"/>
    <w:rsid w:val="00535116"/>
    <w:rsid w:val="00535BDE"/>
    <w:rsid w:val="005360AE"/>
    <w:rsid w:val="0053769E"/>
    <w:rsid w:val="00540050"/>
    <w:rsid w:val="00540D9D"/>
    <w:rsid w:val="0054112F"/>
    <w:rsid w:val="0054173D"/>
    <w:rsid w:val="005417BC"/>
    <w:rsid w:val="00541C4F"/>
    <w:rsid w:val="005420F2"/>
    <w:rsid w:val="00543A6D"/>
    <w:rsid w:val="00543FE4"/>
    <w:rsid w:val="00544CFE"/>
    <w:rsid w:val="00546218"/>
    <w:rsid w:val="005547AA"/>
    <w:rsid w:val="005560AA"/>
    <w:rsid w:val="005566D4"/>
    <w:rsid w:val="00560662"/>
    <w:rsid w:val="00560953"/>
    <w:rsid w:val="0056349A"/>
    <w:rsid w:val="00564263"/>
    <w:rsid w:val="00564F2A"/>
    <w:rsid w:val="0056520F"/>
    <w:rsid w:val="00567F11"/>
    <w:rsid w:val="00571486"/>
    <w:rsid w:val="00573AE3"/>
    <w:rsid w:val="005745F6"/>
    <w:rsid w:val="00575CF4"/>
    <w:rsid w:val="00576ABE"/>
    <w:rsid w:val="00583B10"/>
    <w:rsid w:val="00586EEE"/>
    <w:rsid w:val="00587E3B"/>
    <w:rsid w:val="0059434A"/>
    <w:rsid w:val="00596B88"/>
    <w:rsid w:val="00597B29"/>
    <w:rsid w:val="005A3BFC"/>
    <w:rsid w:val="005A5BD3"/>
    <w:rsid w:val="005B0D15"/>
    <w:rsid w:val="005B2C89"/>
    <w:rsid w:val="005B3DB3"/>
    <w:rsid w:val="005C2039"/>
    <w:rsid w:val="005D57CC"/>
    <w:rsid w:val="005D6BAA"/>
    <w:rsid w:val="005D7387"/>
    <w:rsid w:val="005E22FE"/>
    <w:rsid w:val="005F7D6B"/>
    <w:rsid w:val="006010AD"/>
    <w:rsid w:val="006012AB"/>
    <w:rsid w:val="006035BF"/>
    <w:rsid w:val="0060668D"/>
    <w:rsid w:val="00610632"/>
    <w:rsid w:val="00611326"/>
    <w:rsid w:val="00611FC4"/>
    <w:rsid w:val="006131ED"/>
    <w:rsid w:val="0061427C"/>
    <w:rsid w:val="00614D26"/>
    <w:rsid w:val="006176FB"/>
    <w:rsid w:val="00617BAE"/>
    <w:rsid w:val="00617FFE"/>
    <w:rsid w:val="006226EE"/>
    <w:rsid w:val="00627ED0"/>
    <w:rsid w:val="006302A5"/>
    <w:rsid w:val="006304E6"/>
    <w:rsid w:val="00635219"/>
    <w:rsid w:val="00635D6B"/>
    <w:rsid w:val="00636B53"/>
    <w:rsid w:val="00640B26"/>
    <w:rsid w:val="0064185D"/>
    <w:rsid w:val="006425F1"/>
    <w:rsid w:val="0064266D"/>
    <w:rsid w:val="00642B90"/>
    <w:rsid w:val="00645B5D"/>
    <w:rsid w:val="006460B5"/>
    <w:rsid w:val="00651A23"/>
    <w:rsid w:val="00654463"/>
    <w:rsid w:val="006606FE"/>
    <w:rsid w:val="006653E5"/>
    <w:rsid w:val="00665595"/>
    <w:rsid w:val="00672C6B"/>
    <w:rsid w:val="006767EE"/>
    <w:rsid w:val="00680CDA"/>
    <w:rsid w:val="00682268"/>
    <w:rsid w:val="006822CB"/>
    <w:rsid w:val="00682406"/>
    <w:rsid w:val="00686631"/>
    <w:rsid w:val="006908E2"/>
    <w:rsid w:val="00690CD9"/>
    <w:rsid w:val="00691F20"/>
    <w:rsid w:val="00693505"/>
    <w:rsid w:val="00693543"/>
    <w:rsid w:val="0069377B"/>
    <w:rsid w:val="006942D1"/>
    <w:rsid w:val="0069592C"/>
    <w:rsid w:val="00695DB7"/>
    <w:rsid w:val="006A7392"/>
    <w:rsid w:val="006A7757"/>
    <w:rsid w:val="006A7B18"/>
    <w:rsid w:val="006A7DFD"/>
    <w:rsid w:val="006B1B5A"/>
    <w:rsid w:val="006B3416"/>
    <w:rsid w:val="006B34F0"/>
    <w:rsid w:val="006B3CA0"/>
    <w:rsid w:val="006B531B"/>
    <w:rsid w:val="006B6238"/>
    <w:rsid w:val="006B6AC8"/>
    <w:rsid w:val="006C16AC"/>
    <w:rsid w:val="006C2521"/>
    <w:rsid w:val="006C2F5D"/>
    <w:rsid w:val="006C6324"/>
    <w:rsid w:val="006C64F0"/>
    <w:rsid w:val="006C7A35"/>
    <w:rsid w:val="006D7053"/>
    <w:rsid w:val="006E0C64"/>
    <w:rsid w:val="006E16A5"/>
    <w:rsid w:val="006E18CD"/>
    <w:rsid w:val="006E3197"/>
    <w:rsid w:val="006E49FC"/>
    <w:rsid w:val="006E564B"/>
    <w:rsid w:val="006E5764"/>
    <w:rsid w:val="006E6C64"/>
    <w:rsid w:val="006F02D2"/>
    <w:rsid w:val="006F0395"/>
    <w:rsid w:val="006F4CE1"/>
    <w:rsid w:val="006F6A63"/>
    <w:rsid w:val="006F7152"/>
    <w:rsid w:val="007057D6"/>
    <w:rsid w:val="007107D8"/>
    <w:rsid w:val="0071248A"/>
    <w:rsid w:val="0071349F"/>
    <w:rsid w:val="00716C5A"/>
    <w:rsid w:val="00717623"/>
    <w:rsid w:val="00720DEB"/>
    <w:rsid w:val="0072106F"/>
    <w:rsid w:val="00721676"/>
    <w:rsid w:val="0072230A"/>
    <w:rsid w:val="00724C6E"/>
    <w:rsid w:val="0072632A"/>
    <w:rsid w:val="00727A68"/>
    <w:rsid w:val="00730F63"/>
    <w:rsid w:val="0073155D"/>
    <w:rsid w:val="00732060"/>
    <w:rsid w:val="00732654"/>
    <w:rsid w:val="007326E2"/>
    <w:rsid w:val="00733AAE"/>
    <w:rsid w:val="00734415"/>
    <w:rsid w:val="00734A5D"/>
    <w:rsid w:val="007361DA"/>
    <w:rsid w:val="00736FA4"/>
    <w:rsid w:val="007439EB"/>
    <w:rsid w:val="00744E85"/>
    <w:rsid w:val="00745882"/>
    <w:rsid w:val="007470AA"/>
    <w:rsid w:val="007506A8"/>
    <w:rsid w:val="0076103A"/>
    <w:rsid w:val="00761CB2"/>
    <w:rsid w:val="0076223F"/>
    <w:rsid w:val="007662FC"/>
    <w:rsid w:val="007673C7"/>
    <w:rsid w:val="00767CFD"/>
    <w:rsid w:val="0077450E"/>
    <w:rsid w:val="00781A60"/>
    <w:rsid w:val="00781B4B"/>
    <w:rsid w:val="00784208"/>
    <w:rsid w:val="00784F5A"/>
    <w:rsid w:val="0079208E"/>
    <w:rsid w:val="00792358"/>
    <w:rsid w:val="00792C45"/>
    <w:rsid w:val="00793314"/>
    <w:rsid w:val="00797F1D"/>
    <w:rsid w:val="007A0B22"/>
    <w:rsid w:val="007A2348"/>
    <w:rsid w:val="007A2ED9"/>
    <w:rsid w:val="007A5AA2"/>
    <w:rsid w:val="007A736C"/>
    <w:rsid w:val="007B3BF7"/>
    <w:rsid w:val="007B413A"/>
    <w:rsid w:val="007B6BA5"/>
    <w:rsid w:val="007C0279"/>
    <w:rsid w:val="007C1201"/>
    <w:rsid w:val="007C3390"/>
    <w:rsid w:val="007C3C0D"/>
    <w:rsid w:val="007C3E38"/>
    <w:rsid w:val="007C4F4B"/>
    <w:rsid w:val="007C710E"/>
    <w:rsid w:val="007C7C5B"/>
    <w:rsid w:val="007D4D7A"/>
    <w:rsid w:val="007D6896"/>
    <w:rsid w:val="007E0557"/>
    <w:rsid w:val="007E0F73"/>
    <w:rsid w:val="007E2718"/>
    <w:rsid w:val="007E446A"/>
    <w:rsid w:val="007E4E60"/>
    <w:rsid w:val="007F0B83"/>
    <w:rsid w:val="007F2302"/>
    <w:rsid w:val="007F24C8"/>
    <w:rsid w:val="007F414A"/>
    <w:rsid w:val="007F48EF"/>
    <w:rsid w:val="007F4FCD"/>
    <w:rsid w:val="007F6611"/>
    <w:rsid w:val="00807005"/>
    <w:rsid w:val="0080705C"/>
    <w:rsid w:val="0081004A"/>
    <w:rsid w:val="00811719"/>
    <w:rsid w:val="0081174F"/>
    <w:rsid w:val="008121E9"/>
    <w:rsid w:val="00815255"/>
    <w:rsid w:val="00815700"/>
    <w:rsid w:val="0081732C"/>
    <w:rsid w:val="008175E9"/>
    <w:rsid w:val="00820D7F"/>
    <w:rsid w:val="008242D7"/>
    <w:rsid w:val="00826F10"/>
    <w:rsid w:val="0082702F"/>
    <w:rsid w:val="00827E05"/>
    <w:rsid w:val="008308E6"/>
    <w:rsid w:val="008311A3"/>
    <w:rsid w:val="00836AF7"/>
    <w:rsid w:val="0084016C"/>
    <w:rsid w:val="0084467B"/>
    <w:rsid w:val="00850069"/>
    <w:rsid w:val="00851935"/>
    <w:rsid w:val="00853E9A"/>
    <w:rsid w:val="00857EB8"/>
    <w:rsid w:val="00861F83"/>
    <w:rsid w:val="00864A63"/>
    <w:rsid w:val="00871FD5"/>
    <w:rsid w:val="00877165"/>
    <w:rsid w:val="00882B2B"/>
    <w:rsid w:val="00883D22"/>
    <w:rsid w:val="00887F74"/>
    <w:rsid w:val="00891141"/>
    <w:rsid w:val="00893050"/>
    <w:rsid w:val="00893960"/>
    <w:rsid w:val="0089738F"/>
    <w:rsid w:val="008979B1"/>
    <w:rsid w:val="00897D5D"/>
    <w:rsid w:val="008A583E"/>
    <w:rsid w:val="008A6B25"/>
    <w:rsid w:val="008A6C4F"/>
    <w:rsid w:val="008A6DDA"/>
    <w:rsid w:val="008B2492"/>
    <w:rsid w:val="008B354D"/>
    <w:rsid w:val="008B50AB"/>
    <w:rsid w:val="008B5B4D"/>
    <w:rsid w:val="008B6E26"/>
    <w:rsid w:val="008D309F"/>
    <w:rsid w:val="008E0E46"/>
    <w:rsid w:val="008E1048"/>
    <w:rsid w:val="008E4C4C"/>
    <w:rsid w:val="008E5168"/>
    <w:rsid w:val="008F2E36"/>
    <w:rsid w:val="008F4575"/>
    <w:rsid w:val="008F5985"/>
    <w:rsid w:val="008F6FE3"/>
    <w:rsid w:val="0090012A"/>
    <w:rsid w:val="00904AD9"/>
    <w:rsid w:val="00907AD2"/>
    <w:rsid w:val="00911047"/>
    <w:rsid w:val="00915107"/>
    <w:rsid w:val="00917E75"/>
    <w:rsid w:val="00921AB9"/>
    <w:rsid w:val="00923EBB"/>
    <w:rsid w:val="009302FB"/>
    <w:rsid w:val="0094089A"/>
    <w:rsid w:val="00944E97"/>
    <w:rsid w:val="009464AD"/>
    <w:rsid w:val="00947761"/>
    <w:rsid w:val="00950624"/>
    <w:rsid w:val="009507CF"/>
    <w:rsid w:val="0095165C"/>
    <w:rsid w:val="00951A9B"/>
    <w:rsid w:val="0096014D"/>
    <w:rsid w:val="00961A01"/>
    <w:rsid w:val="00963CBA"/>
    <w:rsid w:val="009650E6"/>
    <w:rsid w:val="00965574"/>
    <w:rsid w:val="00965932"/>
    <w:rsid w:val="009668FC"/>
    <w:rsid w:val="00971BB4"/>
    <w:rsid w:val="009725FB"/>
    <w:rsid w:val="00974A8D"/>
    <w:rsid w:val="00974AD0"/>
    <w:rsid w:val="00976E2F"/>
    <w:rsid w:val="00982533"/>
    <w:rsid w:val="00986735"/>
    <w:rsid w:val="00987400"/>
    <w:rsid w:val="0099001C"/>
    <w:rsid w:val="00990310"/>
    <w:rsid w:val="00990E36"/>
    <w:rsid w:val="00991261"/>
    <w:rsid w:val="00993414"/>
    <w:rsid w:val="00994614"/>
    <w:rsid w:val="009949B5"/>
    <w:rsid w:val="00994D24"/>
    <w:rsid w:val="009959AF"/>
    <w:rsid w:val="0099623E"/>
    <w:rsid w:val="00996436"/>
    <w:rsid w:val="009A1558"/>
    <w:rsid w:val="009A1717"/>
    <w:rsid w:val="009A276C"/>
    <w:rsid w:val="009B0638"/>
    <w:rsid w:val="009B0B0F"/>
    <w:rsid w:val="009B102B"/>
    <w:rsid w:val="009B1B85"/>
    <w:rsid w:val="009B7011"/>
    <w:rsid w:val="009B73DD"/>
    <w:rsid w:val="009C127C"/>
    <w:rsid w:val="009C12F6"/>
    <w:rsid w:val="009C21BE"/>
    <w:rsid w:val="009D26EF"/>
    <w:rsid w:val="009D555E"/>
    <w:rsid w:val="009E0FCB"/>
    <w:rsid w:val="009E2F92"/>
    <w:rsid w:val="009E46E9"/>
    <w:rsid w:val="009E4994"/>
    <w:rsid w:val="009E5D6A"/>
    <w:rsid w:val="009F05E1"/>
    <w:rsid w:val="009F0F7F"/>
    <w:rsid w:val="009F1B31"/>
    <w:rsid w:val="009F1D14"/>
    <w:rsid w:val="009F2530"/>
    <w:rsid w:val="009F3A17"/>
    <w:rsid w:val="009F3D53"/>
    <w:rsid w:val="009F4066"/>
    <w:rsid w:val="009F40EE"/>
    <w:rsid w:val="009F427D"/>
    <w:rsid w:val="009F4654"/>
    <w:rsid w:val="00A00230"/>
    <w:rsid w:val="00A01958"/>
    <w:rsid w:val="00A02F4C"/>
    <w:rsid w:val="00A04A70"/>
    <w:rsid w:val="00A10E05"/>
    <w:rsid w:val="00A136E8"/>
    <w:rsid w:val="00A13A7A"/>
    <w:rsid w:val="00A1427D"/>
    <w:rsid w:val="00A14D06"/>
    <w:rsid w:val="00A166F2"/>
    <w:rsid w:val="00A1753F"/>
    <w:rsid w:val="00A17D12"/>
    <w:rsid w:val="00A2158F"/>
    <w:rsid w:val="00A22D6B"/>
    <w:rsid w:val="00A230AE"/>
    <w:rsid w:val="00A24441"/>
    <w:rsid w:val="00A31083"/>
    <w:rsid w:val="00A31356"/>
    <w:rsid w:val="00A32DB8"/>
    <w:rsid w:val="00A34B13"/>
    <w:rsid w:val="00A37265"/>
    <w:rsid w:val="00A426FB"/>
    <w:rsid w:val="00A448E2"/>
    <w:rsid w:val="00A47476"/>
    <w:rsid w:val="00A504F4"/>
    <w:rsid w:val="00A51337"/>
    <w:rsid w:val="00A55FB2"/>
    <w:rsid w:val="00A56CAF"/>
    <w:rsid w:val="00A57424"/>
    <w:rsid w:val="00A57C03"/>
    <w:rsid w:val="00A6090C"/>
    <w:rsid w:val="00A60B20"/>
    <w:rsid w:val="00A650E9"/>
    <w:rsid w:val="00A677E3"/>
    <w:rsid w:val="00A71C04"/>
    <w:rsid w:val="00A72F22"/>
    <w:rsid w:val="00A73939"/>
    <w:rsid w:val="00A748A6"/>
    <w:rsid w:val="00A80459"/>
    <w:rsid w:val="00A805EB"/>
    <w:rsid w:val="00A80F63"/>
    <w:rsid w:val="00A84108"/>
    <w:rsid w:val="00A84E01"/>
    <w:rsid w:val="00A8573F"/>
    <w:rsid w:val="00A8760B"/>
    <w:rsid w:val="00A87771"/>
    <w:rsid w:val="00A879A4"/>
    <w:rsid w:val="00A90064"/>
    <w:rsid w:val="00A9364F"/>
    <w:rsid w:val="00AA3853"/>
    <w:rsid w:val="00AA3854"/>
    <w:rsid w:val="00AA38B2"/>
    <w:rsid w:val="00AA496B"/>
    <w:rsid w:val="00AB19FE"/>
    <w:rsid w:val="00AB533E"/>
    <w:rsid w:val="00AB5EF7"/>
    <w:rsid w:val="00AB6DBC"/>
    <w:rsid w:val="00AC12C1"/>
    <w:rsid w:val="00AC5C02"/>
    <w:rsid w:val="00AC6A2A"/>
    <w:rsid w:val="00AC6CF5"/>
    <w:rsid w:val="00AC7E2D"/>
    <w:rsid w:val="00AD0BDD"/>
    <w:rsid w:val="00AD275E"/>
    <w:rsid w:val="00AD2BAE"/>
    <w:rsid w:val="00AD30B7"/>
    <w:rsid w:val="00AD6396"/>
    <w:rsid w:val="00AD67E3"/>
    <w:rsid w:val="00AE3D49"/>
    <w:rsid w:val="00AE460C"/>
    <w:rsid w:val="00AE5CB1"/>
    <w:rsid w:val="00AE5F9C"/>
    <w:rsid w:val="00AE71F3"/>
    <w:rsid w:val="00AF2F27"/>
    <w:rsid w:val="00AF39DD"/>
    <w:rsid w:val="00AF3DD5"/>
    <w:rsid w:val="00AF5A3B"/>
    <w:rsid w:val="00AF74FC"/>
    <w:rsid w:val="00B0106F"/>
    <w:rsid w:val="00B02E43"/>
    <w:rsid w:val="00B150D8"/>
    <w:rsid w:val="00B24BD4"/>
    <w:rsid w:val="00B30179"/>
    <w:rsid w:val="00B30D47"/>
    <w:rsid w:val="00B30E8F"/>
    <w:rsid w:val="00B32782"/>
    <w:rsid w:val="00B33EC0"/>
    <w:rsid w:val="00B40837"/>
    <w:rsid w:val="00B46FEC"/>
    <w:rsid w:val="00B52233"/>
    <w:rsid w:val="00B5428F"/>
    <w:rsid w:val="00B543C9"/>
    <w:rsid w:val="00B60F83"/>
    <w:rsid w:val="00B71E0B"/>
    <w:rsid w:val="00B724A0"/>
    <w:rsid w:val="00B735E2"/>
    <w:rsid w:val="00B75675"/>
    <w:rsid w:val="00B76F60"/>
    <w:rsid w:val="00B776DF"/>
    <w:rsid w:val="00B80297"/>
    <w:rsid w:val="00B80CCF"/>
    <w:rsid w:val="00B81E12"/>
    <w:rsid w:val="00B825CA"/>
    <w:rsid w:val="00B82861"/>
    <w:rsid w:val="00B8484B"/>
    <w:rsid w:val="00B90CA2"/>
    <w:rsid w:val="00B91C47"/>
    <w:rsid w:val="00B963D4"/>
    <w:rsid w:val="00B9730B"/>
    <w:rsid w:val="00B97D28"/>
    <w:rsid w:val="00BA4F5C"/>
    <w:rsid w:val="00BB1B26"/>
    <w:rsid w:val="00BB335B"/>
    <w:rsid w:val="00BB7681"/>
    <w:rsid w:val="00BC74E9"/>
    <w:rsid w:val="00BC7805"/>
    <w:rsid w:val="00BD1504"/>
    <w:rsid w:val="00BD1EA1"/>
    <w:rsid w:val="00BD2146"/>
    <w:rsid w:val="00BD2A17"/>
    <w:rsid w:val="00BD65B6"/>
    <w:rsid w:val="00BE4F74"/>
    <w:rsid w:val="00BE59FB"/>
    <w:rsid w:val="00BE618E"/>
    <w:rsid w:val="00BF414D"/>
    <w:rsid w:val="00BF4542"/>
    <w:rsid w:val="00BF6809"/>
    <w:rsid w:val="00C01530"/>
    <w:rsid w:val="00C040C4"/>
    <w:rsid w:val="00C11757"/>
    <w:rsid w:val="00C164A6"/>
    <w:rsid w:val="00C169F9"/>
    <w:rsid w:val="00C17699"/>
    <w:rsid w:val="00C1778D"/>
    <w:rsid w:val="00C21B2E"/>
    <w:rsid w:val="00C21C71"/>
    <w:rsid w:val="00C22EE1"/>
    <w:rsid w:val="00C232DC"/>
    <w:rsid w:val="00C31445"/>
    <w:rsid w:val="00C3770A"/>
    <w:rsid w:val="00C41A28"/>
    <w:rsid w:val="00C43228"/>
    <w:rsid w:val="00C463DD"/>
    <w:rsid w:val="00C465B5"/>
    <w:rsid w:val="00C51676"/>
    <w:rsid w:val="00C51B20"/>
    <w:rsid w:val="00C52634"/>
    <w:rsid w:val="00C544E7"/>
    <w:rsid w:val="00C5653C"/>
    <w:rsid w:val="00C56F3F"/>
    <w:rsid w:val="00C575D4"/>
    <w:rsid w:val="00C5783A"/>
    <w:rsid w:val="00C6210B"/>
    <w:rsid w:val="00C62212"/>
    <w:rsid w:val="00C6256B"/>
    <w:rsid w:val="00C63D37"/>
    <w:rsid w:val="00C6484F"/>
    <w:rsid w:val="00C717F1"/>
    <w:rsid w:val="00C73FDB"/>
    <w:rsid w:val="00C745C3"/>
    <w:rsid w:val="00C81317"/>
    <w:rsid w:val="00C8562E"/>
    <w:rsid w:val="00C86AA8"/>
    <w:rsid w:val="00C86EEF"/>
    <w:rsid w:val="00C92FE0"/>
    <w:rsid w:val="00C945EB"/>
    <w:rsid w:val="00C97671"/>
    <w:rsid w:val="00CA2305"/>
    <w:rsid w:val="00CA6496"/>
    <w:rsid w:val="00CA6D6B"/>
    <w:rsid w:val="00CB1749"/>
    <w:rsid w:val="00CB3C6A"/>
    <w:rsid w:val="00CB47CE"/>
    <w:rsid w:val="00CC028C"/>
    <w:rsid w:val="00CC4CCF"/>
    <w:rsid w:val="00CC65B7"/>
    <w:rsid w:val="00CD049B"/>
    <w:rsid w:val="00CD1C5B"/>
    <w:rsid w:val="00CD38DF"/>
    <w:rsid w:val="00CD3BE4"/>
    <w:rsid w:val="00CD3E32"/>
    <w:rsid w:val="00CD6C80"/>
    <w:rsid w:val="00CD7685"/>
    <w:rsid w:val="00CD7D8E"/>
    <w:rsid w:val="00CE10DC"/>
    <w:rsid w:val="00CE10F6"/>
    <w:rsid w:val="00CE3620"/>
    <w:rsid w:val="00CE4865"/>
    <w:rsid w:val="00CE4A8F"/>
    <w:rsid w:val="00CE6E0A"/>
    <w:rsid w:val="00CE7F1C"/>
    <w:rsid w:val="00CF17F6"/>
    <w:rsid w:val="00CF1B7E"/>
    <w:rsid w:val="00CF22A3"/>
    <w:rsid w:val="00CF2749"/>
    <w:rsid w:val="00CF3AA2"/>
    <w:rsid w:val="00CF6AE6"/>
    <w:rsid w:val="00D03FFD"/>
    <w:rsid w:val="00D04557"/>
    <w:rsid w:val="00D04E00"/>
    <w:rsid w:val="00D055EB"/>
    <w:rsid w:val="00D0666B"/>
    <w:rsid w:val="00D071D0"/>
    <w:rsid w:val="00D15E6E"/>
    <w:rsid w:val="00D16719"/>
    <w:rsid w:val="00D175BA"/>
    <w:rsid w:val="00D2031B"/>
    <w:rsid w:val="00D20D65"/>
    <w:rsid w:val="00D22C96"/>
    <w:rsid w:val="00D23216"/>
    <w:rsid w:val="00D25302"/>
    <w:rsid w:val="00D25E17"/>
    <w:rsid w:val="00D25FE2"/>
    <w:rsid w:val="00D27AEC"/>
    <w:rsid w:val="00D317BB"/>
    <w:rsid w:val="00D32A5A"/>
    <w:rsid w:val="00D350A0"/>
    <w:rsid w:val="00D35D8F"/>
    <w:rsid w:val="00D36906"/>
    <w:rsid w:val="00D37411"/>
    <w:rsid w:val="00D40F32"/>
    <w:rsid w:val="00D426DB"/>
    <w:rsid w:val="00D43252"/>
    <w:rsid w:val="00D50D80"/>
    <w:rsid w:val="00D55E97"/>
    <w:rsid w:val="00D62155"/>
    <w:rsid w:val="00D63812"/>
    <w:rsid w:val="00D63881"/>
    <w:rsid w:val="00D639EB"/>
    <w:rsid w:val="00D63E78"/>
    <w:rsid w:val="00D64CC6"/>
    <w:rsid w:val="00D654C2"/>
    <w:rsid w:val="00D6703D"/>
    <w:rsid w:val="00D67677"/>
    <w:rsid w:val="00D67894"/>
    <w:rsid w:val="00D700AD"/>
    <w:rsid w:val="00D727A9"/>
    <w:rsid w:val="00D72DA4"/>
    <w:rsid w:val="00D7387D"/>
    <w:rsid w:val="00D7613C"/>
    <w:rsid w:val="00D80C88"/>
    <w:rsid w:val="00D833D0"/>
    <w:rsid w:val="00D87BB9"/>
    <w:rsid w:val="00D978C6"/>
    <w:rsid w:val="00D979F5"/>
    <w:rsid w:val="00D97A43"/>
    <w:rsid w:val="00DA0723"/>
    <w:rsid w:val="00DA1089"/>
    <w:rsid w:val="00DA284A"/>
    <w:rsid w:val="00DA3873"/>
    <w:rsid w:val="00DA3D30"/>
    <w:rsid w:val="00DA5706"/>
    <w:rsid w:val="00DA67AD"/>
    <w:rsid w:val="00DB2139"/>
    <w:rsid w:val="00DB4CDB"/>
    <w:rsid w:val="00DB5D0F"/>
    <w:rsid w:val="00DC0FBB"/>
    <w:rsid w:val="00DC1F4B"/>
    <w:rsid w:val="00DC2036"/>
    <w:rsid w:val="00DC229B"/>
    <w:rsid w:val="00DC3242"/>
    <w:rsid w:val="00DD2C3E"/>
    <w:rsid w:val="00DD3925"/>
    <w:rsid w:val="00DD525E"/>
    <w:rsid w:val="00DD70D1"/>
    <w:rsid w:val="00DE1167"/>
    <w:rsid w:val="00DE167F"/>
    <w:rsid w:val="00DE2EE7"/>
    <w:rsid w:val="00DE3781"/>
    <w:rsid w:val="00DE7F20"/>
    <w:rsid w:val="00DF03A4"/>
    <w:rsid w:val="00DF059F"/>
    <w:rsid w:val="00DF12F7"/>
    <w:rsid w:val="00DF1C69"/>
    <w:rsid w:val="00DF2C64"/>
    <w:rsid w:val="00DF42B4"/>
    <w:rsid w:val="00DF6FA5"/>
    <w:rsid w:val="00E024BA"/>
    <w:rsid w:val="00E02C27"/>
    <w:rsid w:val="00E02C81"/>
    <w:rsid w:val="00E0428F"/>
    <w:rsid w:val="00E04A75"/>
    <w:rsid w:val="00E06EAB"/>
    <w:rsid w:val="00E104A9"/>
    <w:rsid w:val="00E120AF"/>
    <w:rsid w:val="00E130AB"/>
    <w:rsid w:val="00E131DD"/>
    <w:rsid w:val="00E137B8"/>
    <w:rsid w:val="00E14501"/>
    <w:rsid w:val="00E21221"/>
    <w:rsid w:val="00E21963"/>
    <w:rsid w:val="00E21BBE"/>
    <w:rsid w:val="00E22E6E"/>
    <w:rsid w:val="00E2519A"/>
    <w:rsid w:val="00E25D0C"/>
    <w:rsid w:val="00E266F3"/>
    <w:rsid w:val="00E26C00"/>
    <w:rsid w:val="00E27E33"/>
    <w:rsid w:val="00E31C87"/>
    <w:rsid w:val="00E3393A"/>
    <w:rsid w:val="00E34740"/>
    <w:rsid w:val="00E36A82"/>
    <w:rsid w:val="00E40C85"/>
    <w:rsid w:val="00E40F55"/>
    <w:rsid w:val="00E421B7"/>
    <w:rsid w:val="00E458FC"/>
    <w:rsid w:val="00E46312"/>
    <w:rsid w:val="00E46DE6"/>
    <w:rsid w:val="00E54C89"/>
    <w:rsid w:val="00E55B0F"/>
    <w:rsid w:val="00E57CFD"/>
    <w:rsid w:val="00E6485D"/>
    <w:rsid w:val="00E6547F"/>
    <w:rsid w:val="00E665B1"/>
    <w:rsid w:val="00E66CF7"/>
    <w:rsid w:val="00E677EC"/>
    <w:rsid w:val="00E70DF5"/>
    <w:rsid w:val="00E7260F"/>
    <w:rsid w:val="00E72804"/>
    <w:rsid w:val="00E762B0"/>
    <w:rsid w:val="00E76FBF"/>
    <w:rsid w:val="00E77D00"/>
    <w:rsid w:val="00E804BE"/>
    <w:rsid w:val="00E80DD1"/>
    <w:rsid w:val="00E80F5F"/>
    <w:rsid w:val="00E81B89"/>
    <w:rsid w:val="00E82B4A"/>
    <w:rsid w:val="00E87921"/>
    <w:rsid w:val="00E9403F"/>
    <w:rsid w:val="00E95364"/>
    <w:rsid w:val="00E96630"/>
    <w:rsid w:val="00EA2115"/>
    <w:rsid w:val="00EA264E"/>
    <w:rsid w:val="00EA3A41"/>
    <w:rsid w:val="00EA612C"/>
    <w:rsid w:val="00EA678D"/>
    <w:rsid w:val="00EB0C6E"/>
    <w:rsid w:val="00EB30AB"/>
    <w:rsid w:val="00EB4B49"/>
    <w:rsid w:val="00EC1552"/>
    <w:rsid w:val="00EC28FF"/>
    <w:rsid w:val="00ED0B36"/>
    <w:rsid w:val="00ED1541"/>
    <w:rsid w:val="00ED344B"/>
    <w:rsid w:val="00ED499E"/>
    <w:rsid w:val="00ED6DFA"/>
    <w:rsid w:val="00ED71D9"/>
    <w:rsid w:val="00ED7A2A"/>
    <w:rsid w:val="00EE3ACE"/>
    <w:rsid w:val="00EE7E6D"/>
    <w:rsid w:val="00EF17EB"/>
    <w:rsid w:val="00EF1D7F"/>
    <w:rsid w:val="00EF358F"/>
    <w:rsid w:val="00EF5BC9"/>
    <w:rsid w:val="00F012BE"/>
    <w:rsid w:val="00F0166B"/>
    <w:rsid w:val="00F02CCD"/>
    <w:rsid w:val="00F02D44"/>
    <w:rsid w:val="00F05CA3"/>
    <w:rsid w:val="00F064BC"/>
    <w:rsid w:val="00F07968"/>
    <w:rsid w:val="00F124A0"/>
    <w:rsid w:val="00F127B1"/>
    <w:rsid w:val="00F24D6E"/>
    <w:rsid w:val="00F33F07"/>
    <w:rsid w:val="00F34A88"/>
    <w:rsid w:val="00F37663"/>
    <w:rsid w:val="00F40D25"/>
    <w:rsid w:val="00F415F9"/>
    <w:rsid w:val="00F41CFC"/>
    <w:rsid w:val="00F440DD"/>
    <w:rsid w:val="00F451D9"/>
    <w:rsid w:val="00F452A5"/>
    <w:rsid w:val="00F47732"/>
    <w:rsid w:val="00F50569"/>
    <w:rsid w:val="00F53EDA"/>
    <w:rsid w:val="00F57205"/>
    <w:rsid w:val="00F57837"/>
    <w:rsid w:val="00F600EF"/>
    <w:rsid w:val="00F61319"/>
    <w:rsid w:val="00F61CAA"/>
    <w:rsid w:val="00F64BCC"/>
    <w:rsid w:val="00F712FB"/>
    <w:rsid w:val="00F71C6C"/>
    <w:rsid w:val="00F726A8"/>
    <w:rsid w:val="00F73015"/>
    <w:rsid w:val="00F7753D"/>
    <w:rsid w:val="00F85F34"/>
    <w:rsid w:val="00F903D4"/>
    <w:rsid w:val="00F90657"/>
    <w:rsid w:val="00F911C3"/>
    <w:rsid w:val="00F92A9B"/>
    <w:rsid w:val="00F94D9D"/>
    <w:rsid w:val="00F95D52"/>
    <w:rsid w:val="00FA06F7"/>
    <w:rsid w:val="00FA0FC0"/>
    <w:rsid w:val="00FA13A2"/>
    <w:rsid w:val="00FA2ED9"/>
    <w:rsid w:val="00FA6214"/>
    <w:rsid w:val="00FA75C1"/>
    <w:rsid w:val="00FB171A"/>
    <w:rsid w:val="00FB4017"/>
    <w:rsid w:val="00FB7A7B"/>
    <w:rsid w:val="00FC09B8"/>
    <w:rsid w:val="00FC0D04"/>
    <w:rsid w:val="00FC0DEE"/>
    <w:rsid w:val="00FC2A48"/>
    <w:rsid w:val="00FC4E3B"/>
    <w:rsid w:val="00FC68B7"/>
    <w:rsid w:val="00FC6DFC"/>
    <w:rsid w:val="00FD10AB"/>
    <w:rsid w:val="00FD27F5"/>
    <w:rsid w:val="00FD4F7E"/>
    <w:rsid w:val="00FD5144"/>
    <w:rsid w:val="00FD7BF6"/>
    <w:rsid w:val="00FE6C64"/>
    <w:rsid w:val="00FF2251"/>
    <w:rsid w:val="00FF7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paragraph" w:customStyle="1" w:styleId="SingleTxt">
    <w:name w:val="__Single Txt"/>
    <w:basedOn w:val="Normal"/>
    <w:rsid w:val="00F016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styleId="UnresolvedMention">
    <w:name w:val="Unresolved Mention"/>
    <w:basedOn w:val="DefaultParagraphFont"/>
    <w:uiPriority w:val="99"/>
    <w:semiHidden/>
    <w:unhideWhenUsed/>
    <w:rsid w:val="006012AB"/>
    <w:rPr>
      <w:color w:val="605E5C"/>
      <w:shd w:val="clear" w:color="auto" w:fill="E1DFDD"/>
    </w:rPr>
  </w:style>
  <w:style w:type="character" w:styleId="Strong">
    <w:name w:val="Strong"/>
    <w:basedOn w:val="DefaultParagraphFont"/>
    <w:uiPriority w:val="22"/>
    <w:qFormat/>
    <w:rsid w:val="002E2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47106">
      <w:bodyDiv w:val="1"/>
      <w:marLeft w:val="0"/>
      <w:marRight w:val="0"/>
      <w:marTop w:val="0"/>
      <w:marBottom w:val="0"/>
      <w:divBdr>
        <w:top w:val="none" w:sz="0" w:space="0" w:color="auto"/>
        <w:left w:val="none" w:sz="0" w:space="0" w:color="auto"/>
        <w:bottom w:val="none" w:sz="0" w:space="0" w:color="auto"/>
        <w:right w:val="none" w:sz="0" w:space="0" w:color="auto"/>
      </w:divBdr>
    </w:div>
    <w:div w:id="563641561">
      <w:bodyDiv w:val="1"/>
      <w:marLeft w:val="0"/>
      <w:marRight w:val="0"/>
      <w:marTop w:val="0"/>
      <w:marBottom w:val="0"/>
      <w:divBdr>
        <w:top w:val="none" w:sz="0" w:space="0" w:color="auto"/>
        <w:left w:val="none" w:sz="0" w:space="0" w:color="auto"/>
        <w:bottom w:val="none" w:sz="0" w:space="0" w:color="auto"/>
        <w:right w:val="none" w:sz="0" w:space="0" w:color="auto"/>
      </w:divBdr>
    </w:div>
    <w:div w:id="810753647">
      <w:bodyDiv w:val="1"/>
      <w:marLeft w:val="0"/>
      <w:marRight w:val="0"/>
      <w:marTop w:val="0"/>
      <w:marBottom w:val="0"/>
      <w:divBdr>
        <w:top w:val="none" w:sz="0" w:space="0" w:color="auto"/>
        <w:left w:val="none" w:sz="0" w:space="0" w:color="auto"/>
        <w:bottom w:val="none" w:sz="0" w:space="0" w:color="auto"/>
        <w:right w:val="none" w:sz="0" w:space="0" w:color="auto"/>
      </w:divBdr>
    </w:div>
    <w:div w:id="1435974636">
      <w:bodyDiv w:val="1"/>
      <w:marLeft w:val="0"/>
      <w:marRight w:val="0"/>
      <w:marTop w:val="0"/>
      <w:marBottom w:val="0"/>
      <w:divBdr>
        <w:top w:val="none" w:sz="0" w:space="0" w:color="auto"/>
        <w:left w:val="none" w:sz="0" w:space="0" w:color="auto"/>
        <w:bottom w:val="none" w:sz="0" w:space="0" w:color="auto"/>
        <w:right w:val="none" w:sz="0" w:space="0" w:color="auto"/>
      </w:divBdr>
    </w:div>
    <w:div w:id="1801068081">
      <w:bodyDiv w:val="1"/>
      <w:marLeft w:val="0"/>
      <w:marRight w:val="0"/>
      <w:marTop w:val="0"/>
      <w:marBottom w:val="0"/>
      <w:divBdr>
        <w:top w:val="none" w:sz="0" w:space="0" w:color="auto"/>
        <w:left w:val="none" w:sz="0" w:space="0" w:color="auto"/>
        <w:bottom w:val="none" w:sz="0" w:space="0" w:color="auto"/>
        <w:right w:val="none" w:sz="0" w:space="0" w:color="auto"/>
      </w:divBdr>
    </w:div>
    <w:div w:id="19232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ée un document." ma:contentTypeScope="" ma:versionID="4c98e1731cdb18c236385bf9f2886f14">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766801eeed04e6a5522fa87adb5b290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62E50-250F-48E4-A135-623262EE97F8}">
  <ds:schemaRefs>
    <ds:schemaRef ds:uri="http://schemas.openxmlformats.org/officeDocument/2006/bibliography"/>
  </ds:schemaRefs>
</ds:datastoreItem>
</file>

<file path=customXml/itemProps2.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3.xml><?xml version="1.0" encoding="utf-8"?>
<ds:datastoreItem xmlns:ds="http://schemas.openxmlformats.org/officeDocument/2006/customXml" ds:itemID="{5D51B9DB-3491-4486-AF65-4C2163F69F5E}"/>
</file>

<file path=customXml/itemProps4.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1425</TotalTime>
  <Pages>2</Pages>
  <Words>612</Words>
  <Characters>3491</Characters>
  <Application>Microsoft Office Word</Application>
  <DocSecurity>0</DocSecurity>
  <Lines>29</Lines>
  <Paragraphs>8</Paragraphs>
  <ScaleCrop>false</ScaleCrop>
  <HeadingPairs>
    <vt:vector size="8" baseType="variant">
      <vt:variant>
        <vt:lpstr>Title</vt:lpstr>
      </vt:variant>
      <vt:variant>
        <vt:i4>1</vt:i4>
      </vt:variant>
      <vt:variant>
        <vt:lpstr>Headings</vt:lpstr>
      </vt:variant>
      <vt:variant>
        <vt:i4>2</vt:i4>
      </vt:variant>
      <vt:variant>
        <vt:lpstr>Otsikko</vt:lpstr>
      </vt:variant>
      <vt:variant>
        <vt:i4>1</vt:i4>
      </vt:variant>
      <vt:variant>
        <vt:lpstr>Titre</vt:lpstr>
      </vt:variant>
      <vt:variant>
        <vt:i4>1</vt:i4>
      </vt:variant>
    </vt:vector>
  </HeadingPairs>
  <TitlesOfParts>
    <vt:vector size="5" baseType="lpstr">
      <vt:lpstr>UN/SCEGHS/19/INF</vt:lpstr>
      <vt:lpstr>Implementation by country/region</vt:lpstr>
      <vt:lpstr>[to be completed]</vt:lpstr>
      <vt:lpstr>UN/SCEGHS/19/INF</vt:lpstr>
      <vt:lpstr>UN/SCEGHS/19/INF</vt:lpstr>
    </vt:vector>
  </TitlesOfParts>
  <Company>CSD</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 Couto</cp:lastModifiedBy>
  <cp:revision>645</cp:revision>
  <cp:lastPrinted>2020-12-02T09:57:00Z</cp:lastPrinted>
  <dcterms:created xsi:type="dcterms:W3CDTF">2020-10-21T05:53:00Z</dcterms:created>
  <dcterms:modified xsi:type="dcterms:W3CDTF">2021-07-04T08:14:00Z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