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wmf" ContentType="image/x-wmf"/>
  <Default Extension="vsdx" ContentType="application/vnd.ms-visio.drawing"/>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olors1.xml" ContentType="application/vnd.ms-office.chartcolorstyle+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6FA11EF4" w14:textId="77777777" w:rsidTr="000A118E">
        <w:trPr>
          <w:trHeight w:hRule="exact" w:val="851"/>
        </w:trPr>
        <w:tc>
          <w:tcPr>
            <w:tcW w:w="1276" w:type="dxa"/>
            <w:tcBorders>
              <w:bottom w:val="single" w:sz="4" w:space="0" w:color="auto"/>
            </w:tcBorders>
          </w:tcPr>
          <w:p w14:paraId="0793D397" w14:textId="77777777" w:rsidR="002D5AAC" w:rsidRDefault="002D5AAC" w:rsidP="009D3313">
            <w:pPr>
              <w:kinsoku w:val="0"/>
              <w:overflowPunct w:val="0"/>
              <w:autoSpaceDE w:val="0"/>
              <w:autoSpaceDN w:val="0"/>
              <w:adjustRightInd w:val="0"/>
              <w:snapToGrid w:val="0"/>
            </w:pPr>
          </w:p>
        </w:tc>
        <w:tc>
          <w:tcPr>
            <w:tcW w:w="2268" w:type="dxa"/>
            <w:tcBorders>
              <w:bottom w:val="single" w:sz="4" w:space="0" w:color="auto"/>
            </w:tcBorders>
            <w:vAlign w:val="bottom"/>
          </w:tcPr>
          <w:p w14:paraId="4D28FBC8" w14:textId="77777777" w:rsidR="002D5AAC" w:rsidRPr="00BD33EE" w:rsidRDefault="00BD33EE" w:rsidP="000A118E">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14:paraId="384FFCC7" w14:textId="7FC452D1" w:rsidR="002D5AAC" w:rsidRDefault="009D3313" w:rsidP="009D3313">
            <w:pPr>
              <w:jc w:val="right"/>
            </w:pPr>
            <w:r w:rsidRPr="009D3313">
              <w:rPr>
                <w:sz w:val="40"/>
              </w:rPr>
              <w:t>ST</w:t>
            </w:r>
            <w:r>
              <w:t>/SG/AC.10/48/Add.2</w:t>
            </w:r>
          </w:p>
        </w:tc>
      </w:tr>
      <w:tr w:rsidR="002D5AAC" w14:paraId="0F3AF842" w14:textId="77777777" w:rsidTr="000A118E">
        <w:trPr>
          <w:trHeight w:hRule="exact" w:val="2835"/>
        </w:trPr>
        <w:tc>
          <w:tcPr>
            <w:tcW w:w="1276" w:type="dxa"/>
            <w:tcBorders>
              <w:top w:val="single" w:sz="4" w:space="0" w:color="auto"/>
              <w:bottom w:val="single" w:sz="12" w:space="0" w:color="auto"/>
            </w:tcBorders>
          </w:tcPr>
          <w:p w14:paraId="132D6D7B" w14:textId="77777777" w:rsidR="002D5AAC" w:rsidRDefault="00AE3F83" w:rsidP="000A118E">
            <w:pPr>
              <w:spacing w:before="120"/>
              <w:jc w:val="center"/>
            </w:pPr>
            <w:r>
              <w:rPr>
                <w:noProof/>
              </w:rPr>
              <w:drawing>
                <wp:inline distT="0" distB="0" distL="0" distR="0" wp14:anchorId="53DCAC10" wp14:editId="53C1B641">
                  <wp:extent cx="714375" cy="590550"/>
                  <wp:effectExtent l="0" t="0" r="0" b="0"/>
                  <wp:docPr id="2" name="Imagen 1" descr="Naciones Un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0CDBE75" w14:textId="77777777" w:rsidR="002D5AAC" w:rsidRPr="00BD33EE" w:rsidRDefault="001E213E" w:rsidP="000A118E">
            <w:pPr>
              <w:spacing w:before="120" w:line="420" w:lineRule="exact"/>
              <w:rPr>
                <w:b/>
                <w:sz w:val="40"/>
                <w:szCs w:val="40"/>
              </w:rPr>
            </w:pPr>
            <w:r>
              <w:rPr>
                <w:b/>
                <w:sz w:val="40"/>
                <w:szCs w:val="40"/>
              </w:rPr>
              <w:t>Secretaría</w:t>
            </w:r>
          </w:p>
        </w:tc>
        <w:tc>
          <w:tcPr>
            <w:tcW w:w="2813" w:type="dxa"/>
            <w:tcBorders>
              <w:top w:val="single" w:sz="4" w:space="0" w:color="auto"/>
              <w:bottom w:val="single" w:sz="12" w:space="0" w:color="auto"/>
            </w:tcBorders>
          </w:tcPr>
          <w:p w14:paraId="5C16A985" w14:textId="77777777" w:rsidR="002D5AAC" w:rsidRDefault="009D3313" w:rsidP="000A118E">
            <w:pPr>
              <w:spacing w:before="240"/>
            </w:pPr>
            <w:r>
              <w:t>Distr. general</w:t>
            </w:r>
          </w:p>
          <w:p w14:paraId="06ADFEE7" w14:textId="77777777" w:rsidR="009D3313" w:rsidRDefault="009D3313" w:rsidP="009D3313">
            <w:pPr>
              <w:spacing w:line="240" w:lineRule="exact"/>
            </w:pPr>
            <w:r>
              <w:t>23 de marzo de 2021</w:t>
            </w:r>
          </w:p>
          <w:p w14:paraId="636BD495" w14:textId="77777777" w:rsidR="009D3313" w:rsidRDefault="009D3313" w:rsidP="009D3313">
            <w:pPr>
              <w:spacing w:line="240" w:lineRule="exact"/>
            </w:pPr>
            <w:r>
              <w:t>Español</w:t>
            </w:r>
          </w:p>
          <w:p w14:paraId="00105FE1" w14:textId="0B0AB846" w:rsidR="009D3313" w:rsidRDefault="009D3313" w:rsidP="009D3313">
            <w:pPr>
              <w:spacing w:line="240" w:lineRule="exact"/>
            </w:pPr>
            <w:r>
              <w:t>Original: francés e inglés</w:t>
            </w:r>
          </w:p>
        </w:tc>
      </w:tr>
    </w:tbl>
    <w:p w14:paraId="76B76EF1" w14:textId="77777777" w:rsidR="00AF1011" w:rsidRPr="0046137D" w:rsidRDefault="00AF1011" w:rsidP="0046137D">
      <w:pPr>
        <w:spacing w:before="120"/>
        <w:rPr>
          <w:b/>
          <w:bCs/>
          <w:sz w:val="24"/>
          <w:szCs w:val="24"/>
          <w:lang w:val="en-GB"/>
        </w:rPr>
      </w:pPr>
      <w:r w:rsidRPr="0046137D">
        <w:rPr>
          <w:b/>
          <w:bCs/>
          <w:sz w:val="24"/>
          <w:szCs w:val="24"/>
        </w:rPr>
        <w:t xml:space="preserve">Comité de Expertos en Transporte de Mercancías Peligrosas </w:t>
      </w:r>
      <w:r w:rsidRPr="0046137D">
        <w:rPr>
          <w:b/>
          <w:bCs/>
          <w:sz w:val="24"/>
          <w:szCs w:val="24"/>
        </w:rPr>
        <w:br/>
        <w:t xml:space="preserve">y en el Sistema Globalmente Armonizado de Clasificación </w:t>
      </w:r>
      <w:r w:rsidRPr="0046137D">
        <w:rPr>
          <w:b/>
          <w:bCs/>
          <w:sz w:val="24"/>
          <w:szCs w:val="24"/>
        </w:rPr>
        <w:br/>
        <w:t>y Etiquetado de Productos Químicos</w:t>
      </w:r>
    </w:p>
    <w:p w14:paraId="762810D4" w14:textId="77777777" w:rsidR="00AF1011" w:rsidRPr="0038269A" w:rsidRDefault="00AF1011" w:rsidP="0046137D">
      <w:pPr>
        <w:pStyle w:val="HChG"/>
        <w:rPr>
          <w:lang w:val="en-GB"/>
        </w:rPr>
      </w:pPr>
      <w:r w:rsidRPr="0038269A">
        <w:tab/>
      </w:r>
      <w:r w:rsidRPr="0038269A">
        <w:tab/>
      </w:r>
      <w:r w:rsidRPr="0038269A">
        <w:tab/>
        <w:t>Informe del Comité de Expertos en Transporte de Mercancías Peligrosas y en el Sistema Globalmente Armonizado de Clasificación y Etiquetado de Productos Químicos sobre su décimo período de sesiones</w:t>
      </w:r>
    </w:p>
    <w:p w14:paraId="7A1A89D3" w14:textId="573CB989" w:rsidR="00AF1011" w:rsidRPr="0038269A" w:rsidRDefault="00AF1011" w:rsidP="0046137D">
      <w:pPr>
        <w:pStyle w:val="SingleTxtG"/>
        <w:rPr>
          <w:lang w:val="en-GB"/>
        </w:rPr>
      </w:pPr>
      <w:r w:rsidRPr="0038269A">
        <w:t>Celebrado en Ginebra el 11 de diciembre de 2020</w:t>
      </w:r>
    </w:p>
    <w:p w14:paraId="67266ABF" w14:textId="4FA69795" w:rsidR="00AF1011" w:rsidRPr="0038269A" w:rsidRDefault="0046137D" w:rsidP="0046137D">
      <w:pPr>
        <w:pStyle w:val="H23G"/>
        <w:rPr>
          <w:lang w:val="en-GB"/>
        </w:rPr>
      </w:pPr>
      <w:r>
        <w:tab/>
      </w:r>
      <w:r w:rsidR="00AF1011" w:rsidRPr="0038269A">
        <w:tab/>
      </w:r>
      <w:r w:rsidR="00AF1011" w:rsidRPr="0038269A">
        <w:tab/>
        <w:t>Adición</w:t>
      </w:r>
    </w:p>
    <w:p w14:paraId="47DA0E68" w14:textId="77777777" w:rsidR="00AF1011" w:rsidRPr="0038269A" w:rsidRDefault="00AF1011" w:rsidP="0046137D">
      <w:pPr>
        <w:pStyle w:val="H1G"/>
        <w:rPr>
          <w:lang w:val="en-GB"/>
        </w:rPr>
      </w:pPr>
      <w:r w:rsidRPr="0038269A">
        <w:tab/>
      </w:r>
      <w:r w:rsidRPr="0038269A">
        <w:tab/>
        <w:t>Anexo II</w:t>
      </w:r>
    </w:p>
    <w:p w14:paraId="0724836D" w14:textId="74474BD5" w:rsidR="00AF1011" w:rsidRPr="0038269A" w:rsidRDefault="00AF1011" w:rsidP="00A13E34">
      <w:pPr>
        <w:pStyle w:val="H1G"/>
        <w:rPr>
          <w:lang w:val="en-GB"/>
        </w:rPr>
      </w:pPr>
      <w:r w:rsidRPr="0038269A">
        <w:tab/>
      </w:r>
      <w:r w:rsidRPr="0038269A">
        <w:tab/>
        <w:t>Enmiendas a la séptima edición revisada del Manual de Pruebas y</w:t>
      </w:r>
      <w:r w:rsidR="00A13E34">
        <w:t> </w:t>
      </w:r>
      <w:r w:rsidRPr="0038269A">
        <w:t>Criterios (ST/SG/AC.10/11/Rev.7)</w:t>
      </w:r>
    </w:p>
    <w:p w14:paraId="1ED2A7A5" w14:textId="77777777" w:rsidR="00AF1011" w:rsidRPr="0038269A" w:rsidRDefault="00AF1011" w:rsidP="00AF1011">
      <w:pPr>
        <w:pStyle w:val="SingleTxtG"/>
        <w:rPr>
          <w:lang w:val="en-GB"/>
        </w:rPr>
      </w:pPr>
      <w:r w:rsidRPr="0038269A">
        <w:rPr>
          <w:lang w:val="en-GB"/>
        </w:rPr>
        <w:br w:type="page"/>
      </w:r>
    </w:p>
    <w:p w14:paraId="12761D84" w14:textId="77777777" w:rsidR="00AF1011" w:rsidRPr="0038269A" w:rsidRDefault="00AF1011" w:rsidP="00A13E34">
      <w:pPr>
        <w:pStyle w:val="H1G"/>
        <w:rPr>
          <w:lang w:val="en-GB"/>
        </w:rPr>
      </w:pPr>
      <w:r w:rsidRPr="0038269A">
        <w:lastRenderedPageBreak/>
        <w:tab/>
      </w:r>
      <w:r w:rsidRPr="0038269A">
        <w:tab/>
        <w:t>Índice general</w:t>
      </w:r>
    </w:p>
    <w:p w14:paraId="585709BF" w14:textId="77777777" w:rsidR="00AF1011" w:rsidRPr="0038269A" w:rsidRDefault="00AF1011" w:rsidP="00015684">
      <w:pPr>
        <w:pStyle w:val="SingleTxtG"/>
        <w:tabs>
          <w:tab w:val="clear" w:pos="1701"/>
        </w:tabs>
        <w:rPr>
          <w:lang w:val="en-GB"/>
        </w:rPr>
      </w:pPr>
      <w:r w:rsidRPr="0038269A">
        <w:t>13</w:t>
      </w:r>
      <w:r w:rsidRPr="0038269A">
        <w:tab/>
        <w:t>Sustitúyase “para determinar si una sustancia es un explosivo inestable” por “para determinar si a una sustancia se le puede asignar una división”.</w:t>
      </w:r>
    </w:p>
    <w:p w14:paraId="1E1DD874" w14:textId="35C1A281" w:rsidR="00AF1011" w:rsidRPr="0038269A" w:rsidRDefault="00AF1011" w:rsidP="00015684">
      <w:pPr>
        <w:pStyle w:val="SingleTxtG"/>
        <w:tabs>
          <w:tab w:val="clear" w:pos="1701"/>
        </w:tabs>
        <w:rPr>
          <w:lang w:val="en-GB"/>
        </w:rPr>
      </w:pPr>
      <w:r w:rsidRPr="0038269A">
        <w:t>14</w:t>
      </w:r>
      <w:r w:rsidRPr="0038269A">
        <w:tab/>
        <w:t>Sustitúyase “para determinar si un objeto con o sin embalaje/envase o una sustancia embalada/envasada son demasiado peligrosos para el transporte y están clasificados como explosivos inestables con arreglo al SGA” por “para determinar si a un objeto con o sin embalaje/envase o a una sustancia embalada/envasada con arreglo al SGA se les puede asignar una división</w:t>
      </w:r>
      <w:r w:rsidR="00EB19DA">
        <w:t>”.</w:t>
      </w:r>
    </w:p>
    <w:p w14:paraId="7A059B7A" w14:textId="77777777" w:rsidR="00AF1011" w:rsidRPr="0038269A" w:rsidRDefault="00AF1011" w:rsidP="00A13E34">
      <w:pPr>
        <w:pStyle w:val="H1G"/>
        <w:rPr>
          <w:lang w:val="en-GB"/>
        </w:rPr>
      </w:pPr>
      <w:r w:rsidRPr="0038269A">
        <w:tab/>
      </w:r>
      <w:r w:rsidRPr="0038269A">
        <w:tab/>
      </w:r>
      <w:r w:rsidRPr="00A13E34">
        <w:t>Sección</w:t>
      </w:r>
      <w:r w:rsidRPr="0038269A">
        <w:t xml:space="preserve"> 10</w:t>
      </w:r>
    </w:p>
    <w:p w14:paraId="442A8025" w14:textId="49BB197D" w:rsidR="00AF1011" w:rsidRPr="0038269A" w:rsidRDefault="00AF1011" w:rsidP="00015684">
      <w:pPr>
        <w:pStyle w:val="SingleTxtG"/>
        <w:tabs>
          <w:tab w:val="clear" w:pos="1701"/>
        </w:tabs>
        <w:rPr>
          <w:lang w:val="en-GB"/>
        </w:rPr>
      </w:pPr>
      <w:r w:rsidRPr="0038269A">
        <w:t>10.1.2</w:t>
      </w:r>
      <w:r w:rsidR="00015684">
        <w:tab/>
      </w:r>
      <w:r w:rsidRPr="0038269A">
        <w:t>Modifíquese para que diga lo siguiente:</w:t>
      </w:r>
    </w:p>
    <w:p w14:paraId="2D82E9C7" w14:textId="20F1D090" w:rsidR="00AF1011" w:rsidRPr="0038269A" w:rsidRDefault="00AF1011" w:rsidP="00AF1011">
      <w:pPr>
        <w:pStyle w:val="SingleTxtG"/>
        <w:rPr>
          <w:lang w:val="en-GB"/>
        </w:rPr>
      </w:pPr>
      <w:r w:rsidRPr="0038269A">
        <w:t>“10.1.2</w:t>
      </w:r>
      <w:r w:rsidRPr="0038269A">
        <w:tab/>
        <w:t xml:space="preserve">La clase de las sustancias y objetos explosivos del SGA abarca todos los sectores. La clase 1 de la Reglamentación Modelo es un subconjunto de esta clase y comprende las sustancias y objetos explosivos en la forma en que se configuran para el transporte. </w:t>
      </w:r>
    </w:p>
    <w:p w14:paraId="124F4512" w14:textId="008AB65E" w:rsidR="00AF1011" w:rsidRPr="0038269A" w:rsidRDefault="00A13E34" w:rsidP="00AF1011">
      <w:pPr>
        <w:pStyle w:val="SingleTxtG"/>
        <w:rPr>
          <w:lang w:val="en-GB"/>
        </w:rPr>
      </w:pPr>
      <w:r>
        <w:tab/>
      </w:r>
      <w:r>
        <w:tab/>
      </w:r>
      <w:r w:rsidR="00AF1011" w:rsidRPr="0038269A">
        <w:t xml:space="preserve">Las mercancías de la clase 1 se asignan a </w:t>
      </w:r>
      <w:r w:rsidR="00EB19DA">
        <w:t>1</w:t>
      </w:r>
      <w:r w:rsidR="00AF1011" w:rsidRPr="0038269A">
        <w:t xml:space="preserve"> de las </w:t>
      </w:r>
      <w:r w:rsidR="00EB19DA">
        <w:t>6</w:t>
      </w:r>
      <w:r w:rsidR="00AF1011" w:rsidRPr="0038269A">
        <w:t xml:space="preserve"> divisiones, según el tipo de riesgo que presentan (véase el capítulo 2.1, párrafo 2.1.1.4 de la Reglamentación Modelo), y a </w:t>
      </w:r>
      <w:r w:rsidR="00EB19DA">
        <w:t>1</w:t>
      </w:r>
      <w:r w:rsidR="00AF1011" w:rsidRPr="0038269A">
        <w:t xml:space="preserve"> de los </w:t>
      </w:r>
      <w:r w:rsidR="00EB19DA">
        <w:t>13</w:t>
      </w:r>
      <w:r w:rsidR="00AF1011" w:rsidRPr="0038269A">
        <w:t xml:space="preserve"> grupos de compatibilidad que determinan las clases de sustancias y objetos explosivos que se consideran compatibles. La división, y ocasionalmente el grupo de compatibilidad, también se utiliza como base para la clasificación en la clase de peligro del SGA para las sustancias y objetos explosivos (véase el capítulo 2.1, sección 2.1.2, del SGA). Además, la clase de peligro del SGA comprende también las sustancias y objetos explosivos que no tienen asignada una división. </w:t>
      </w:r>
    </w:p>
    <w:p w14:paraId="06198BD9" w14:textId="0B7E6800" w:rsidR="00AF1011" w:rsidRPr="0038269A" w:rsidRDefault="00AF1011" w:rsidP="00EB19DA">
      <w:pPr>
        <w:pStyle w:val="SingleTxtG"/>
        <w:tabs>
          <w:tab w:val="clear" w:pos="1701"/>
        </w:tabs>
        <w:ind w:left="2268" w:hanging="1134"/>
        <w:rPr>
          <w:lang w:val="en-GB"/>
        </w:rPr>
      </w:pPr>
      <w:r w:rsidRPr="0038269A">
        <w:tab/>
        <w:t>Se prohíbe el transporte de las sustancias y objetos explosivos que no tienen asignada una división</w:t>
      </w:r>
      <w:r w:rsidR="00EB19DA">
        <w:t>.</w:t>
      </w:r>
      <w:r w:rsidRPr="0038269A">
        <w:t>”</w:t>
      </w:r>
    </w:p>
    <w:p w14:paraId="1D16C22D" w14:textId="1F12D39A" w:rsidR="00AF1011" w:rsidRPr="0038269A" w:rsidRDefault="00AF1011" w:rsidP="00A13E34">
      <w:pPr>
        <w:pStyle w:val="SingleTxtG"/>
        <w:tabs>
          <w:tab w:val="clear" w:pos="1701"/>
        </w:tabs>
        <w:ind w:left="2268" w:hanging="1134"/>
        <w:rPr>
          <w:lang w:val="en-GB"/>
        </w:rPr>
      </w:pPr>
      <w:r w:rsidRPr="0038269A">
        <w:tab/>
        <w:t>Trasládese el texto en 10.1.2 que comienza con “El esquema general del...” a un nuevo 10.1.3.</w:t>
      </w:r>
    </w:p>
    <w:p w14:paraId="0D23F09F" w14:textId="304C86D9" w:rsidR="00AF1011" w:rsidRPr="0038269A" w:rsidRDefault="00A13E34" w:rsidP="00A13E34">
      <w:pPr>
        <w:pStyle w:val="SingleTxtG"/>
        <w:tabs>
          <w:tab w:val="clear" w:pos="1701"/>
        </w:tabs>
        <w:rPr>
          <w:lang w:val="en-GB"/>
        </w:rPr>
      </w:pPr>
      <w:r>
        <w:tab/>
      </w:r>
      <w:r w:rsidR="00AF1011" w:rsidRPr="0038269A">
        <w:t>Renumérense los actuales párrafos 10.1.3 y 10.1.4 como 10.1.4 y 10.1.5.</w:t>
      </w:r>
    </w:p>
    <w:p w14:paraId="36D2C70C" w14:textId="77777777" w:rsidR="00AF1011" w:rsidRPr="0038269A" w:rsidRDefault="00AF1011" w:rsidP="00EB19DA">
      <w:pPr>
        <w:pStyle w:val="SingleTxtG"/>
        <w:ind w:left="2268" w:hanging="1134"/>
        <w:rPr>
          <w:lang w:val="en-GB"/>
        </w:rPr>
      </w:pPr>
      <w:r w:rsidRPr="0038269A">
        <w:t>10.1.4 (renumerado)</w:t>
      </w:r>
      <w:r w:rsidRPr="0038269A">
        <w:tab/>
      </w:r>
      <w:r w:rsidRPr="0038269A">
        <w:tab/>
        <w:t>En la primera frase, sustitúyase “se presenta” por “están configurados”. En la última frase, sustitúyase “clasificaciones del transporte” por “clasificaciones en la configuración de transporte”.</w:t>
      </w:r>
    </w:p>
    <w:p w14:paraId="4F2AF58B" w14:textId="77777777" w:rsidR="00AF1011" w:rsidRPr="0038269A" w:rsidRDefault="00AF1011" w:rsidP="00A13E34">
      <w:pPr>
        <w:pStyle w:val="SingleTxtG"/>
        <w:tabs>
          <w:tab w:val="clear" w:pos="1701"/>
          <w:tab w:val="clear" w:pos="2835"/>
          <w:tab w:val="left" w:pos="3119"/>
        </w:tabs>
        <w:suppressAutoHyphens/>
        <w:ind w:left="2268" w:hanging="1134"/>
        <w:rPr>
          <w:lang w:val="en-GB"/>
        </w:rPr>
      </w:pPr>
      <w:r w:rsidRPr="0038269A">
        <w:t>10.3.1.1</w:t>
      </w:r>
      <w:r w:rsidRPr="0038269A">
        <w:tab/>
        <w:t>Modifíquese para que diga lo siguiente:</w:t>
      </w:r>
    </w:p>
    <w:p w14:paraId="3E1ABBB3" w14:textId="77777777" w:rsidR="00AF1011" w:rsidRPr="0038269A" w:rsidRDefault="00AF1011" w:rsidP="00A13E34">
      <w:pPr>
        <w:pStyle w:val="SingleTxtG"/>
        <w:tabs>
          <w:tab w:val="clear" w:pos="1701"/>
          <w:tab w:val="clear" w:pos="2835"/>
          <w:tab w:val="left" w:pos="3119"/>
        </w:tabs>
        <w:suppressAutoHyphens/>
        <w:rPr>
          <w:lang w:val="en-GB"/>
        </w:rPr>
      </w:pPr>
      <w:r w:rsidRPr="0038269A">
        <w:t>“10.3.1.1</w:t>
      </w:r>
      <w:r w:rsidRPr="0038269A">
        <w:tab/>
        <w:t>El procedimiento de aceptación sirve para determinar si una sustancia u objeto, en la forma en que se presenta para su clasificación, debe o no incluirse en la clase de las sustancias y objetos explosivos. Para ello es preciso determinar si una sustancia es demasiado insensible para su inclusión en esta clase o se acepta como explosivo inestable, pero se considera demasiado sensible a los estímulos mecánicos, el calor o las llamas para asignarle una división; o si el objeto u objeto embalado/envasado se acepta como explosivo, pero se considera demasiado sensible al impacto o al calor para asignarle una división”.</w:t>
      </w:r>
    </w:p>
    <w:p w14:paraId="229F9294" w14:textId="0A3C8E7A" w:rsidR="00AF1011" w:rsidRPr="0038269A" w:rsidRDefault="00AF1011" w:rsidP="00A13E34">
      <w:pPr>
        <w:pStyle w:val="SingleTxtG"/>
        <w:tabs>
          <w:tab w:val="clear" w:pos="1701"/>
          <w:tab w:val="clear" w:pos="2835"/>
          <w:tab w:val="left" w:pos="3119"/>
        </w:tabs>
        <w:suppressAutoHyphens/>
        <w:ind w:left="2268" w:hanging="1134"/>
        <w:rPr>
          <w:lang w:val="en-GB"/>
        </w:rPr>
      </w:pPr>
      <w:r w:rsidRPr="0038269A">
        <w:t>Figura 10</w:t>
      </w:r>
      <w:r w:rsidR="00A13E34">
        <w:t>.</w:t>
      </w:r>
      <w:r w:rsidRPr="0038269A">
        <w:t>1</w:t>
      </w:r>
      <w:r w:rsidR="00A13E34">
        <w:tab/>
      </w:r>
      <w:r w:rsidRPr="0038269A">
        <w:t>En la casilla “CLASIFICAR COMO EXPLOSIVO INESTABLE”, suprímase “INESTABLE” y añádase una nueva línea que diga “Sin división asignada”.</w:t>
      </w:r>
    </w:p>
    <w:p w14:paraId="5EC6F55B" w14:textId="296EEC76" w:rsidR="00AF1011" w:rsidRPr="0038269A" w:rsidRDefault="00AF1011" w:rsidP="00E94142">
      <w:pPr>
        <w:pStyle w:val="SingleTxtG"/>
        <w:ind w:left="2268" w:hanging="1134"/>
        <w:rPr>
          <w:lang w:val="en-GB"/>
        </w:rPr>
      </w:pPr>
      <w:r w:rsidRPr="0038269A">
        <w:t>Figura 10</w:t>
      </w:r>
      <w:r w:rsidR="00E94142">
        <w:t>.</w:t>
      </w:r>
      <w:r w:rsidRPr="0038269A">
        <w:t>2</w:t>
      </w:r>
      <w:r w:rsidRPr="0038269A">
        <w:tab/>
        <w:t>En la casilla 13, sustitúyase “inestable” por “demasiado sensible para asignar una división”.</w:t>
      </w:r>
    </w:p>
    <w:p w14:paraId="11BF89BD" w14:textId="425E06A8" w:rsidR="00AF1011" w:rsidRPr="0038269A" w:rsidRDefault="00AF1011" w:rsidP="00E94142">
      <w:pPr>
        <w:pStyle w:val="SingleTxtG"/>
        <w:tabs>
          <w:tab w:val="clear" w:pos="1701"/>
        </w:tabs>
        <w:ind w:left="2268" w:hanging="1134"/>
        <w:rPr>
          <w:lang w:val="en-GB"/>
        </w:rPr>
      </w:pPr>
      <w:r w:rsidRPr="0038269A">
        <w:tab/>
        <w:t xml:space="preserve">En la </w:t>
      </w:r>
      <w:r w:rsidRPr="00E94142">
        <w:rPr>
          <w:lang w:val="en-GB"/>
        </w:rPr>
        <w:t>casilla</w:t>
      </w:r>
      <w:r w:rsidRPr="0038269A">
        <w:t xml:space="preserve"> 16, sustitúyase “un explosivo inestable” por “demasiado sensible para asignar una división”.</w:t>
      </w:r>
    </w:p>
    <w:p w14:paraId="7C13DDCA" w14:textId="448F23D2" w:rsidR="00AF1011" w:rsidRPr="0038269A" w:rsidRDefault="00AF1011" w:rsidP="00E94142">
      <w:pPr>
        <w:pStyle w:val="SingleTxtG"/>
        <w:tabs>
          <w:tab w:val="clear" w:pos="1701"/>
        </w:tabs>
        <w:ind w:left="2268" w:hanging="1134"/>
        <w:rPr>
          <w:lang w:val="en-GB"/>
        </w:rPr>
      </w:pPr>
      <w:r w:rsidRPr="0038269A">
        <w:tab/>
      </w:r>
      <w:r w:rsidRPr="009B111C">
        <w:rPr>
          <w:lang w:val="es-ES_tradnl"/>
        </w:rPr>
        <w:t>Modifíquese</w:t>
      </w:r>
      <w:r w:rsidRPr="0038269A">
        <w:t xml:space="preserve"> la casilla 17 para que diga:</w:t>
      </w:r>
    </w:p>
    <w:p w14:paraId="21308F30" w14:textId="77777777" w:rsidR="00AF1011" w:rsidRPr="0038269A" w:rsidRDefault="00AF1011" w:rsidP="00E94142">
      <w:pPr>
        <w:pStyle w:val="SingleTxtG"/>
        <w:jc w:val="center"/>
        <w:rPr>
          <w:lang w:val="en-GB"/>
        </w:rPr>
      </w:pPr>
      <w:r w:rsidRPr="0038269A">
        <w:t>“CLASIFICAR COMO EXPLOSIVO</w:t>
      </w:r>
    </w:p>
    <w:p w14:paraId="5EF1E134" w14:textId="334689C9" w:rsidR="00AF1011" w:rsidRPr="0038269A" w:rsidRDefault="00EB19DA" w:rsidP="00E94142">
      <w:pPr>
        <w:pStyle w:val="SingleTxtG"/>
        <w:jc w:val="center"/>
        <w:rPr>
          <w:lang w:val="en-GB"/>
        </w:rPr>
      </w:pPr>
      <w:r w:rsidRPr="0038269A">
        <w:t xml:space="preserve">Sin </w:t>
      </w:r>
      <w:r w:rsidR="00AF1011" w:rsidRPr="0038269A">
        <w:t>división asignada”</w:t>
      </w:r>
    </w:p>
    <w:p w14:paraId="00596DA6" w14:textId="77777777" w:rsidR="00AF1011" w:rsidRPr="0038269A" w:rsidRDefault="00AF1011" w:rsidP="00E94142">
      <w:pPr>
        <w:pStyle w:val="SingleTxtG"/>
        <w:tabs>
          <w:tab w:val="clear" w:pos="1701"/>
        </w:tabs>
        <w:ind w:left="2268" w:hanging="1134"/>
        <w:rPr>
          <w:lang w:val="en-GB"/>
        </w:rPr>
      </w:pPr>
      <w:r w:rsidRPr="0038269A">
        <w:lastRenderedPageBreak/>
        <w:tab/>
        <w:t>En la casilla 19, sustitúyase “ACEPTAR PROVISIONALMENTE EN ESTA CLASE” por “CLASIFICAR PROVISIONALMENTE COMO EXPLOSIVO”.</w:t>
      </w:r>
    </w:p>
    <w:p w14:paraId="01D0200C" w14:textId="77777777" w:rsidR="00AF1011" w:rsidRPr="0038269A" w:rsidRDefault="00AF1011" w:rsidP="00790FD2">
      <w:pPr>
        <w:pStyle w:val="SingleTxtG"/>
        <w:ind w:left="2268" w:hanging="1134"/>
        <w:rPr>
          <w:lang w:val="en-GB"/>
        </w:rPr>
      </w:pPr>
      <w:r w:rsidRPr="0038269A">
        <w:t>10.3.2.4</w:t>
      </w:r>
      <w:r w:rsidRPr="0038269A">
        <w:tab/>
        <w:t>En la primera frase, sustitúyase “inestable” por “demasiado sensible para asignar una división”.</w:t>
      </w:r>
    </w:p>
    <w:p w14:paraId="286A1C51" w14:textId="77777777" w:rsidR="00AF1011" w:rsidRPr="0038269A" w:rsidRDefault="00AF1011" w:rsidP="00790FD2">
      <w:pPr>
        <w:pStyle w:val="SingleTxtG"/>
        <w:ind w:left="2268" w:hanging="1134"/>
        <w:rPr>
          <w:lang w:val="en-GB"/>
        </w:rPr>
      </w:pPr>
      <w:r w:rsidRPr="0038269A">
        <w:t>10.3.2.5</w:t>
      </w:r>
      <w:r w:rsidRPr="0038269A">
        <w:tab/>
        <w:t>En la primera frase, sustitúyase “inestable” por “demasiado sensible para asignar una división”.</w:t>
      </w:r>
    </w:p>
    <w:p w14:paraId="09CD1ADF" w14:textId="77777777" w:rsidR="00AF1011" w:rsidRPr="0038269A" w:rsidRDefault="00AF1011" w:rsidP="00AF1011">
      <w:pPr>
        <w:pStyle w:val="SingleTxtG"/>
        <w:rPr>
          <w:lang w:val="en-GB"/>
        </w:rPr>
      </w:pPr>
      <w:r w:rsidRPr="0038269A">
        <w:t>10.4.1.1</w:t>
      </w:r>
      <w:r w:rsidRPr="0038269A">
        <w:tab/>
        <w:t>Modifíquense las dos primeras frases para que digan lo siguiente:</w:t>
      </w:r>
    </w:p>
    <w:p w14:paraId="1C8C8D3B" w14:textId="6593C470" w:rsidR="00AF1011" w:rsidRPr="0038269A" w:rsidRDefault="00AF1011" w:rsidP="00AF1011">
      <w:pPr>
        <w:pStyle w:val="SingleTxtG"/>
        <w:rPr>
          <w:lang w:val="en-GB"/>
        </w:rPr>
      </w:pPr>
      <w:r w:rsidRPr="0038269A">
        <w:t>“Salvo que estén clasificados como demasiado sensibles para asignar una división, las sustancias y objetos explosivos se asignan a una de las seis divisiones, según el tipo de peligro que presenten (véanse el párrafo 2.1.1.4 de la Reglamentación Modelo y la sección 2.1.2 del SGA). La asignación de una división es un requisito previo para el transporte de sustancias y objetos explosivos (véase el apartado 10.1.2). En el procedimiento de asignación (figuras 10.3 y 10.5) se describe cómo asignar la división a las sustancias y objetos explosivos. Las sustancias y objetos explosivos también pueden asignarse de oficio a la división 1.1</w:t>
      </w:r>
      <w:r w:rsidR="00EB19DA">
        <w:t>.</w:t>
      </w:r>
      <w:r w:rsidRPr="0038269A">
        <w:t>”</w:t>
      </w:r>
    </w:p>
    <w:p w14:paraId="5712D2B5" w14:textId="23825376" w:rsidR="00AF1011" w:rsidRPr="0038269A" w:rsidRDefault="00AF1011" w:rsidP="00790FD2">
      <w:pPr>
        <w:pStyle w:val="SingleTxtG"/>
        <w:tabs>
          <w:tab w:val="clear" w:pos="1701"/>
        </w:tabs>
        <w:ind w:left="2268" w:hanging="1134"/>
        <w:rPr>
          <w:lang w:val="en-GB"/>
        </w:rPr>
      </w:pPr>
      <w:r w:rsidRPr="0038269A">
        <w:tab/>
        <w:t>No se aplica al texto en español.</w:t>
      </w:r>
    </w:p>
    <w:p w14:paraId="082A49C7" w14:textId="1D583FDD" w:rsidR="00AF1011" w:rsidRPr="0038269A" w:rsidRDefault="00AF1011" w:rsidP="00EB19DA">
      <w:pPr>
        <w:pStyle w:val="SingleTxtG"/>
        <w:tabs>
          <w:tab w:val="clear" w:pos="1701"/>
        </w:tabs>
        <w:ind w:left="2268" w:hanging="1134"/>
        <w:rPr>
          <w:lang w:val="en-GB"/>
        </w:rPr>
      </w:pPr>
      <w:r w:rsidRPr="0038269A">
        <w:tab/>
        <w:t xml:space="preserve">En la penúltima frase, sustitúyase “2.1.1.2 b) del </w:t>
      </w:r>
      <w:r w:rsidR="001F2813">
        <w:t>SGA</w:t>
      </w:r>
      <w:r w:rsidRPr="0038269A">
        <w:t>” por “2.1.1.2.1 b) del S</w:t>
      </w:r>
      <w:r w:rsidR="001F2813">
        <w:t>GA</w:t>
      </w:r>
      <w:r w:rsidRPr="0038269A">
        <w:t>”.</w:t>
      </w:r>
    </w:p>
    <w:p w14:paraId="595D152F" w14:textId="77777777" w:rsidR="00AF1011" w:rsidRPr="0038269A" w:rsidRDefault="00AF1011" w:rsidP="0086509C">
      <w:pPr>
        <w:pStyle w:val="SingleTxtG"/>
        <w:tabs>
          <w:tab w:val="clear" w:pos="1701"/>
          <w:tab w:val="clear" w:pos="2835"/>
          <w:tab w:val="left" w:pos="3119"/>
        </w:tabs>
        <w:suppressAutoHyphens/>
        <w:ind w:left="2268" w:hanging="1134"/>
        <w:rPr>
          <w:lang w:val="en-GB"/>
        </w:rPr>
      </w:pPr>
      <w:r w:rsidRPr="0038269A">
        <w:t>Figura 10.4</w:t>
      </w:r>
      <w:r w:rsidRPr="0038269A">
        <w:tab/>
        <w:t>En la casilla 6, suprímase “inestable” y, al final, añádase un punto y “Sin división asignada”.</w:t>
      </w:r>
    </w:p>
    <w:p w14:paraId="63028743" w14:textId="77777777" w:rsidR="00AF1011" w:rsidRPr="0038269A" w:rsidRDefault="00AF1011" w:rsidP="00790FD2">
      <w:pPr>
        <w:pStyle w:val="SingleTxtG"/>
        <w:tabs>
          <w:tab w:val="clear" w:pos="1701"/>
        </w:tabs>
        <w:ind w:left="2268" w:hanging="1134"/>
        <w:rPr>
          <w:lang w:val="en-GB"/>
        </w:rPr>
      </w:pPr>
      <w:r w:rsidRPr="0038269A">
        <w:tab/>
        <w:t xml:space="preserve">En </w:t>
      </w:r>
      <w:r w:rsidRPr="00790FD2">
        <w:rPr>
          <w:lang w:val="en-GB"/>
        </w:rPr>
        <w:t>la</w:t>
      </w:r>
      <w:r w:rsidRPr="0038269A">
        <w:t xml:space="preserve"> casilla 7, suprímase “distinta de un explosivo inestable” y sustitúyase el punto y coma por un punto.</w:t>
      </w:r>
    </w:p>
    <w:p w14:paraId="730BF159" w14:textId="357807EA" w:rsidR="00AF1011" w:rsidRPr="0038269A" w:rsidRDefault="00AF1011" w:rsidP="0086509C">
      <w:pPr>
        <w:pStyle w:val="SingleTxtG"/>
        <w:tabs>
          <w:tab w:val="clear" w:pos="1701"/>
          <w:tab w:val="clear" w:pos="2835"/>
        </w:tabs>
        <w:suppressAutoHyphens/>
        <w:ind w:left="2268" w:hanging="1134"/>
        <w:rPr>
          <w:lang w:val="en-GB"/>
        </w:rPr>
      </w:pPr>
      <w:r w:rsidRPr="0038269A">
        <w:t>Figura 10.6 a)</w:t>
      </w:r>
      <w:r w:rsidRPr="0038269A">
        <w:tab/>
      </w:r>
      <w:r w:rsidRPr="0038269A">
        <w:tab/>
      </w:r>
      <w:r w:rsidR="0086509C">
        <w:tab/>
      </w:r>
      <w:r w:rsidRPr="0038269A">
        <w:t>En la fila correspondiente a la casilla 13, sustitúyase “inestable” por “demasiado sensible para asignar una división”.</w:t>
      </w:r>
    </w:p>
    <w:p w14:paraId="2C36E5A2" w14:textId="13581706" w:rsidR="00AF1011" w:rsidRPr="0038269A" w:rsidRDefault="00AF1011" w:rsidP="0086509C">
      <w:pPr>
        <w:pStyle w:val="SingleTxtG"/>
        <w:tabs>
          <w:tab w:val="clear" w:pos="1701"/>
          <w:tab w:val="clear" w:pos="2835"/>
        </w:tabs>
        <w:suppressAutoHyphens/>
        <w:ind w:left="2268" w:hanging="1134"/>
        <w:rPr>
          <w:lang w:val="en-GB"/>
        </w:rPr>
      </w:pPr>
      <w:r w:rsidRPr="0038269A">
        <w:t>Figura 10.6 b)</w:t>
      </w:r>
      <w:r w:rsidR="0086509C">
        <w:tab/>
      </w:r>
      <w:r w:rsidRPr="00790FD2">
        <w:rPr>
          <w:lang w:val="en-GB"/>
        </w:rPr>
        <w:t>En</w:t>
      </w:r>
      <w:r w:rsidRPr="0038269A">
        <w:t xml:space="preserve"> la casilla 13, sustitúyase “inestable” por “demasiado sensible para asignar una división”.</w:t>
      </w:r>
    </w:p>
    <w:p w14:paraId="51144CE5" w14:textId="77777777" w:rsidR="00AF1011" w:rsidRPr="0038269A" w:rsidRDefault="00AF1011" w:rsidP="00790FD2">
      <w:pPr>
        <w:pStyle w:val="SingleTxtG"/>
        <w:tabs>
          <w:tab w:val="clear" w:pos="1701"/>
        </w:tabs>
        <w:ind w:left="2268" w:hanging="1134"/>
        <w:rPr>
          <w:lang w:val="en-GB"/>
        </w:rPr>
      </w:pPr>
      <w:r w:rsidRPr="0038269A">
        <w:tab/>
        <w:t>En la casilla 16, sustitúyase “un explosivo inestable” por “demasiado sensible para asignar una división”.</w:t>
      </w:r>
    </w:p>
    <w:p w14:paraId="12D6CD41" w14:textId="77777777" w:rsidR="00AF1011" w:rsidRPr="0038269A" w:rsidRDefault="00AF1011" w:rsidP="00790FD2">
      <w:pPr>
        <w:pStyle w:val="SingleTxtG"/>
        <w:tabs>
          <w:tab w:val="clear" w:pos="1701"/>
        </w:tabs>
        <w:ind w:left="2268" w:hanging="1134"/>
        <w:rPr>
          <w:lang w:val="en-GB"/>
        </w:rPr>
      </w:pPr>
      <w:r w:rsidRPr="0038269A">
        <w:tab/>
        <w:t>Modifíquese la casilla 17 para que diga:</w:t>
      </w:r>
    </w:p>
    <w:p w14:paraId="558CE4D8" w14:textId="77777777" w:rsidR="00AF1011" w:rsidRPr="0038269A" w:rsidRDefault="00AF1011" w:rsidP="00790FD2">
      <w:pPr>
        <w:pStyle w:val="SingleTxtG"/>
        <w:jc w:val="center"/>
        <w:rPr>
          <w:lang w:val="en-GB"/>
        </w:rPr>
      </w:pPr>
      <w:r w:rsidRPr="0038269A">
        <w:t>“CLASIFICAR COMO EXPLOSIVO</w:t>
      </w:r>
    </w:p>
    <w:p w14:paraId="19340F15" w14:textId="745594EA" w:rsidR="00AF1011" w:rsidRPr="0038269A" w:rsidRDefault="00EB19DA" w:rsidP="00790FD2">
      <w:pPr>
        <w:pStyle w:val="SingleTxtG"/>
        <w:jc w:val="center"/>
        <w:rPr>
          <w:lang w:val="en-GB"/>
        </w:rPr>
      </w:pPr>
      <w:r w:rsidRPr="0038269A">
        <w:t xml:space="preserve">Sin </w:t>
      </w:r>
      <w:r w:rsidR="00AF1011" w:rsidRPr="0038269A">
        <w:t>división asignada”</w:t>
      </w:r>
    </w:p>
    <w:p w14:paraId="7D335F95" w14:textId="77777777" w:rsidR="00AF1011" w:rsidRPr="0038269A" w:rsidRDefault="00AF1011" w:rsidP="00790FD2">
      <w:pPr>
        <w:pStyle w:val="SingleTxtG"/>
        <w:tabs>
          <w:tab w:val="clear" w:pos="1701"/>
        </w:tabs>
        <w:ind w:left="2268" w:hanging="1134"/>
        <w:rPr>
          <w:lang w:val="en-GB"/>
        </w:rPr>
      </w:pPr>
      <w:r w:rsidRPr="0038269A">
        <w:tab/>
        <w:t>En la casilla 19, sustitúyase “ACEPTAR PROVISIONALMENTE EN ESTA CLASE” por “CLASIFICAR PROVISIONALMENTE COMO EXPLOSIVO”.</w:t>
      </w:r>
    </w:p>
    <w:p w14:paraId="36E6D7DB" w14:textId="7D5F4385" w:rsidR="00AF1011" w:rsidRPr="0038269A" w:rsidRDefault="00AF1011" w:rsidP="0086509C">
      <w:pPr>
        <w:pStyle w:val="SingleTxtG"/>
        <w:tabs>
          <w:tab w:val="clear" w:pos="1701"/>
          <w:tab w:val="clear" w:pos="2835"/>
        </w:tabs>
        <w:suppressAutoHyphens/>
        <w:ind w:left="2268" w:hanging="1134"/>
        <w:rPr>
          <w:lang w:val="en-GB"/>
        </w:rPr>
      </w:pPr>
      <w:r w:rsidRPr="0038269A">
        <w:t>Figura 10.7 a)</w:t>
      </w:r>
      <w:r w:rsidR="00790FD2">
        <w:tab/>
      </w:r>
      <w:r w:rsidR="0086509C">
        <w:tab/>
      </w:r>
      <w:r w:rsidR="0086509C">
        <w:tab/>
      </w:r>
      <w:r w:rsidR="00790FD2">
        <w:t>E</w:t>
      </w:r>
      <w:r w:rsidRPr="0038269A">
        <w:t>n la fila correspondiente a la casilla 13, sustitúyase “inestable” por “demasiado sensible para asignar una división”.</w:t>
      </w:r>
    </w:p>
    <w:p w14:paraId="50F3C8CB" w14:textId="77777777" w:rsidR="00AF1011" w:rsidRPr="0038269A" w:rsidRDefault="00AF1011" w:rsidP="0086509C">
      <w:pPr>
        <w:pStyle w:val="SingleTxtG"/>
        <w:tabs>
          <w:tab w:val="clear" w:pos="1701"/>
          <w:tab w:val="clear" w:pos="2835"/>
        </w:tabs>
        <w:suppressAutoHyphens/>
        <w:ind w:left="2268" w:hanging="1134"/>
        <w:rPr>
          <w:lang w:val="en-GB"/>
        </w:rPr>
      </w:pPr>
      <w:r w:rsidRPr="0038269A">
        <w:t>Figura 10.7 b)</w:t>
      </w:r>
      <w:r w:rsidRPr="0038269A">
        <w:tab/>
        <w:t xml:space="preserve">En la </w:t>
      </w:r>
      <w:r w:rsidRPr="0086509C">
        <w:rPr>
          <w:lang w:val="en-GB"/>
        </w:rPr>
        <w:t>casilla</w:t>
      </w:r>
      <w:r w:rsidRPr="0038269A">
        <w:t xml:space="preserve"> 13, sustitúyase “inestable” por “demasiado sensible para asignar una división”.</w:t>
      </w:r>
    </w:p>
    <w:p w14:paraId="336B0497" w14:textId="4A6DDAD8" w:rsidR="00AF1011" w:rsidRPr="0038269A" w:rsidRDefault="00AF1011" w:rsidP="0086509C">
      <w:pPr>
        <w:pStyle w:val="SingleTxtG"/>
        <w:tabs>
          <w:tab w:val="clear" w:pos="1701"/>
          <w:tab w:val="clear" w:pos="2835"/>
        </w:tabs>
        <w:suppressAutoHyphens/>
        <w:ind w:left="2268" w:hanging="1134"/>
        <w:rPr>
          <w:lang w:val="en-GB"/>
        </w:rPr>
      </w:pPr>
      <w:r w:rsidRPr="0038269A">
        <w:tab/>
      </w:r>
      <w:r w:rsidR="0086509C">
        <w:tab/>
      </w:r>
      <w:r w:rsidRPr="0038269A">
        <w:t>En la casilla 16, sustitúyase “un explosivo inestable” por “demasiado sensible para asignar una división”.</w:t>
      </w:r>
    </w:p>
    <w:p w14:paraId="2B9BDD76" w14:textId="77777777" w:rsidR="00AF1011" w:rsidRPr="0038269A" w:rsidRDefault="00AF1011" w:rsidP="000A3BDB">
      <w:pPr>
        <w:pStyle w:val="SingleTxtG"/>
        <w:tabs>
          <w:tab w:val="clear" w:pos="1701"/>
          <w:tab w:val="clear" w:pos="2835"/>
        </w:tabs>
        <w:suppressAutoHyphens/>
        <w:ind w:left="2268" w:hanging="1134"/>
        <w:rPr>
          <w:lang w:val="en-GB"/>
        </w:rPr>
      </w:pPr>
      <w:r w:rsidRPr="0038269A">
        <w:tab/>
        <w:t>Modifíquese la casilla 17 para que diga:</w:t>
      </w:r>
    </w:p>
    <w:p w14:paraId="158BD215" w14:textId="77777777" w:rsidR="00AF1011" w:rsidRPr="0038269A" w:rsidRDefault="00AF1011" w:rsidP="000A3BDB">
      <w:pPr>
        <w:pStyle w:val="SingleTxtG"/>
        <w:jc w:val="center"/>
        <w:rPr>
          <w:lang w:val="en-GB"/>
        </w:rPr>
      </w:pPr>
      <w:r w:rsidRPr="0038269A">
        <w:t>“CLASIFICAR COMO EXPLOSIVO</w:t>
      </w:r>
    </w:p>
    <w:p w14:paraId="30073DC8" w14:textId="5FC55565" w:rsidR="00AF1011" w:rsidRPr="0038269A" w:rsidRDefault="003B49AA" w:rsidP="000A3BDB">
      <w:pPr>
        <w:pStyle w:val="SingleTxtG"/>
        <w:jc w:val="center"/>
        <w:rPr>
          <w:lang w:val="en-GB"/>
        </w:rPr>
      </w:pPr>
      <w:r w:rsidRPr="0038269A">
        <w:t xml:space="preserve">Sin </w:t>
      </w:r>
      <w:r w:rsidR="00AF1011" w:rsidRPr="0038269A">
        <w:t>división asignada”</w:t>
      </w:r>
    </w:p>
    <w:p w14:paraId="20D9E671" w14:textId="177A8492" w:rsidR="00AF1011" w:rsidRPr="0038269A" w:rsidRDefault="00AF1011" w:rsidP="00015684">
      <w:pPr>
        <w:pStyle w:val="SingleTxtG"/>
        <w:tabs>
          <w:tab w:val="clear" w:pos="1701"/>
        </w:tabs>
        <w:ind w:left="2268" w:hanging="1134"/>
        <w:rPr>
          <w:lang w:val="en-GB"/>
        </w:rPr>
      </w:pPr>
      <w:r w:rsidRPr="0038269A">
        <w:tab/>
        <w:t>En la casilla 19, sustitúyase “ACEPTAR PROVISIONALMENTE EN ESTA</w:t>
      </w:r>
      <w:r w:rsidR="008B23B9">
        <w:t> </w:t>
      </w:r>
      <w:r w:rsidRPr="0038269A">
        <w:t>CLASE” por “CLASIFICAR PROVISIONALMENTE COMO EXPLOSIVO”.</w:t>
      </w:r>
    </w:p>
    <w:p w14:paraId="626A4D26" w14:textId="77777777" w:rsidR="00AF1011" w:rsidRPr="0038269A" w:rsidRDefault="00AF1011" w:rsidP="00015684">
      <w:pPr>
        <w:pStyle w:val="H1G"/>
        <w:rPr>
          <w:lang w:val="en-GB"/>
        </w:rPr>
      </w:pPr>
      <w:r w:rsidRPr="0038269A">
        <w:lastRenderedPageBreak/>
        <w:tab/>
      </w:r>
      <w:r w:rsidRPr="0038269A">
        <w:tab/>
        <w:t>Sección 13</w:t>
      </w:r>
    </w:p>
    <w:p w14:paraId="231E8B50"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38269A">
        <w:t>13.1</w:t>
      </w:r>
      <w:r w:rsidRPr="0038269A">
        <w:tab/>
        <w:t>Suprímase la nota y modifíquese el texto que figura debajo del encabezamiento para que diga lo siguiente:</w:t>
      </w:r>
    </w:p>
    <w:p w14:paraId="65D3541A" w14:textId="77777777" w:rsidR="00AF1011" w:rsidRPr="0038269A" w:rsidRDefault="00AF1011" w:rsidP="00AF1011">
      <w:pPr>
        <w:pStyle w:val="SingleTxtG"/>
        <w:rPr>
          <w:lang w:val="en-GB"/>
        </w:rPr>
      </w:pPr>
      <w:r w:rsidRPr="0038269A">
        <w:t>“Esta prueba se utiliza para dar respuesta a las preguntas que figuran en las casillas 12 y 13 de la figura 10.2 determinando la sensibilidad de la sustancia a los estímulos mecánicos (choque y fricción), al calor y a las llamas. La respuesta a la pregunta de la casilla 12 es “no” si se obtiene un resultado positivo (+) en la prueba del tipo 3 c) y la sustancia se considera demasiado sensible para asignar una división. La respuesta a la pregunta de la casilla 13 es “sí” si se obtiene un resultado positivo (+) en alguna de las pruebas 3 a), 3 b) o 3 d). Si se obtiene un resultado positivo (+), la sustancia se considera demasiado sensible para asignar una división en la forma en que fue sometida a las pruebas, pero se puede introducir en cápsulas o bien se puede desensibilizar o embalar/envasar de tal forma que se reduzca su sensibilidad a los estímulos externos”.</w:t>
      </w:r>
    </w:p>
    <w:p w14:paraId="774E53B1"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38269A">
        <w:t>13.4.1.1</w:t>
      </w:r>
      <w:r w:rsidRPr="0038269A">
        <w:tab/>
        <w:t xml:space="preserve">En la primera frase, sustitúyase “un explosivo inestable” por “demasiado </w:t>
      </w:r>
      <w:r w:rsidRPr="00015684">
        <w:rPr>
          <w:lang w:val="en-GB"/>
        </w:rPr>
        <w:t>sensible</w:t>
      </w:r>
      <w:r w:rsidRPr="0038269A">
        <w:t xml:space="preserve"> para asignar una división”.</w:t>
      </w:r>
    </w:p>
    <w:p w14:paraId="12ED9CDF" w14:textId="77777777" w:rsidR="00AF1011" w:rsidRPr="008B23B9" w:rsidRDefault="00AF1011" w:rsidP="00015684">
      <w:pPr>
        <w:pStyle w:val="SingleTxtG"/>
        <w:tabs>
          <w:tab w:val="clear" w:pos="1701"/>
          <w:tab w:val="clear" w:pos="2835"/>
          <w:tab w:val="left" w:pos="3119"/>
        </w:tabs>
        <w:suppressAutoHyphens/>
        <w:ind w:left="2268" w:hanging="1134"/>
      </w:pPr>
      <w:r w:rsidRPr="0038269A">
        <w:t>13.4.1.4.1</w:t>
      </w:r>
      <w:r w:rsidRPr="0038269A">
        <w:tab/>
        <w:t xml:space="preserve">En la </w:t>
      </w:r>
      <w:r w:rsidRPr="008B23B9">
        <w:t>primera frase, sustitúyase “un explosivo inestable” por “demasiado sensible para asignar una división”.</w:t>
      </w:r>
    </w:p>
    <w:p w14:paraId="40A7DC52" w14:textId="77777777" w:rsidR="00AF1011" w:rsidRPr="008B23B9" w:rsidRDefault="00AF1011" w:rsidP="00015684">
      <w:pPr>
        <w:pStyle w:val="SingleTxtG"/>
        <w:tabs>
          <w:tab w:val="clear" w:pos="1701"/>
          <w:tab w:val="clear" w:pos="2835"/>
          <w:tab w:val="left" w:pos="3119"/>
        </w:tabs>
        <w:suppressAutoHyphens/>
        <w:ind w:left="2268" w:hanging="1134"/>
      </w:pPr>
      <w:r w:rsidRPr="008B23B9">
        <w:t>13.4.1.4.2</w:t>
      </w:r>
      <w:r w:rsidRPr="008B23B9">
        <w:tab/>
        <w:t>En la primera frase, sustitúyase “un explosivo inestable” por “demasiado sensible para asignar una división”.</w:t>
      </w:r>
    </w:p>
    <w:p w14:paraId="02BC104E" w14:textId="77777777" w:rsidR="00AF1011" w:rsidRPr="008B23B9" w:rsidRDefault="00AF1011" w:rsidP="00015684">
      <w:pPr>
        <w:pStyle w:val="SingleTxtG"/>
        <w:tabs>
          <w:tab w:val="clear" w:pos="1701"/>
          <w:tab w:val="clear" w:pos="2835"/>
          <w:tab w:val="left" w:pos="3119"/>
        </w:tabs>
        <w:suppressAutoHyphens/>
        <w:ind w:left="2268" w:hanging="1134"/>
      </w:pPr>
      <w:r w:rsidRPr="008B23B9">
        <w:t>13.4.2.1</w:t>
      </w:r>
      <w:r w:rsidRPr="008B23B9">
        <w:tab/>
        <w:t>En la primera frase, sustitúyase “un explosivo inestable” por “demasiado sensible para asignar una división”.</w:t>
      </w:r>
    </w:p>
    <w:p w14:paraId="03CA4400" w14:textId="476A8765" w:rsidR="00AF1011" w:rsidRPr="008B23B9" w:rsidRDefault="00AF1011" w:rsidP="00015684">
      <w:pPr>
        <w:pStyle w:val="SingleTxtG"/>
        <w:tabs>
          <w:tab w:val="clear" w:pos="1701"/>
          <w:tab w:val="clear" w:pos="2835"/>
          <w:tab w:val="left" w:pos="3119"/>
        </w:tabs>
        <w:suppressAutoHyphens/>
        <w:ind w:left="2268" w:hanging="1134"/>
      </w:pPr>
      <w:r w:rsidRPr="008B23B9">
        <w:t>13.4.2.4</w:t>
      </w:r>
      <w:r w:rsidRPr="008B23B9">
        <w:tab/>
        <w:t xml:space="preserve">En la primera frase, </w:t>
      </w:r>
      <w:r w:rsidR="001F2813">
        <w:t xml:space="preserve">después de los apartados, </w:t>
      </w:r>
      <w:r w:rsidRPr="008B23B9">
        <w:t>sustitúyase “un explosivo inestable” por “demasiado sensible para asignar una división”.</w:t>
      </w:r>
    </w:p>
    <w:p w14:paraId="019F684E" w14:textId="77777777" w:rsidR="00AF1011" w:rsidRPr="008B23B9" w:rsidRDefault="00AF1011" w:rsidP="00015684">
      <w:pPr>
        <w:pStyle w:val="SingleTxtG"/>
        <w:tabs>
          <w:tab w:val="clear" w:pos="1701"/>
          <w:tab w:val="clear" w:pos="2835"/>
          <w:tab w:val="left" w:pos="3119"/>
        </w:tabs>
        <w:suppressAutoHyphens/>
        <w:ind w:left="2268" w:hanging="1134"/>
      </w:pPr>
      <w:r w:rsidRPr="008B23B9">
        <w:t>13.4.3.1</w:t>
      </w:r>
      <w:r w:rsidRPr="008B23B9">
        <w:tab/>
        <w:t>En la primera frase, sustitúyase “un explosivo inestable” por “demasiado sensible para asignar una división”.</w:t>
      </w:r>
    </w:p>
    <w:p w14:paraId="5B713A90"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8B23B9">
        <w:t>13.4.3.4.1</w:t>
      </w:r>
      <w:r w:rsidRPr="008B23B9">
        <w:tab/>
        <w:t>En el párrafo que sigue a</w:t>
      </w:r>
      <w:r w:rsidRPr="0038269A">
        <w:t xml:space="preserve"> los apartados, en las frases primera y última, sustitúyase “un explosivo inestable” por “demasiado sensible para asignar una división”.</w:t>
      </w:r>
    </w:p>
    <w:p w14:paraId="21E086C7"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38269A">
        <w:t>13.4.3.4.2</w:t>
      </w:r>
      <w:r w:rsidRPr="0038269A">
        <w:tab/>
        <w:t xml:space="preserve">En el párrafo que sigue a los apartados, en las frases tercera y penúltima, sustitúyase </w:t>
      </w:r>
      <w:r w:rsidRPr="008B23B9">
        <w:rPr>
          <w:lang w:val="es-ES_tradnl"/>
        </w:rPr>
        <w:t>“un explosivo inestable” por “demasiado sensible para asignar una división”.</w:t>
      </w:r>
    </w:p>
    <w:p w14:paraId="3D9F3DE2"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13.4.4.1</w:t>
      </w:r>
      <w:r w:rsidRPr="008B23B9">
        <w:rPr>
          <w:lang w:val="es-ES_tradnl"/>
        </w:rPr>
        <w:tab/>
        <w:t>Sustitúyase “un explosivo inestable” por “demasiado sensible para asignar una división”.</w:t>
      </w:r>
    </w:p>
    <w:p w14:paraId="2115ECC8"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13.4.4.4</w:t>
      </w:r>
      <w:r w:rsidRPr="008B23B9">
        <w:rPr>
          <w:lang w:val="es-ES_tradnl"/>
        </w:rPr>
        <w:tab/>
        <w:t>En el párrafo que sigue a los apartados, en la primera frase, sustitúyase “un explosivo inestable” por “demasiado sensible para asignar una división”.</w:t>
      </w:r>
    </w:p>
    <w:p w14:paraId="61297ACA"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13.4.5.1</w:t>
      </w:r>
      <w:r w:rsidRPr="008B23B9">
        <w:rPr>
          <w:lang w:val="es-ES_tradnl"/>
        </w:rPr>
        <w:tab/>
        <w:t>En la primera frase, sustitúyase “un explosivo inestable” por “demasiado sensible para asignar una división”.</w:t>
      </w:r>
    </w:p>
    <w:p w14:paraId="0F5871D3"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13.4.5.4.2</w:t>
      </w:r>
      <w:r w:rsidRPr="008B23B9">
        <w:rPr>
          <w:lang w:val="es-ES_tradnl"/>
        </w:rPr>
        <w:tab/>
        <w:t>En la primera frase, sustitúyase “un explosivo inestable” por “demasiado sensible para asignar una división”.</w:t>
      </w:r>
    </w:p>
    <w:p w14:paraId="4F136858"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13.4.5.4.3</w:t>
      </w:r>
      <w:r w:rsidRPr="008B23B9">
        <w:rPr>
          <w:lang w:val="es-ES_tradnl"/>
        </w:rPr>
        <w:tab/>
        <w:t>En la primera frase, sustitúyase “un explosivo inestable” por “demasiado sensible para asignar una división”.</w:t>
      </w:r>
    </w:p>
    <w:p w14:paraId="3696D6C1"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13.4.6.1</w:t>
      </w:r>
      <w:r w:rsidRPr="008B23B9">
        <w:rPr>
          <w:lang w:val="es-ES_tradnl"/>
        </w:rPr>
        <w:tab/>
        <w:t>Sustitúyase “un explosivo inestable” por “demasiado sensible para asignar una división”.</w:t>
      </w:r>
    </w:p>
    <w:p w14:paraId="53B97B56"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13.4.6.4.1</w:t>
      </w:r>
      <w:r w:rsidRPr="008B23B9">
        <w:rPr>
          <w:lang w:val="es-ES_tradnl"/>
        </w:rPr>
        <w:tab/>
        <w:t>En el párrafo que sigue a los apartados, en la primera frase, sustitúyase “un explosivo inestable” por “demasiado sensible para asignar una división”.</w:t>
      </w:r>
    </w:p>
    <w:p w14:paraId="0DBD6830"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13.4.6.4.2</w:t>
      </w:r>
      <w:r w:rsidRPr="008B23B9">
        <w:rPr>
          <w:lang w:val="es-ES_tradnl"/>
        </w:rPr>
        <w:tab/>
        <w:t>En el párrafo que sigue a los apartados, en la primera frase, sustitúyase “un explosivo inestable” por “demasiado sensible para asignar una división”.</w:t>
      </w:r>
    </w:p>
    <w:p w14:paraId="3652BA07"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8B23B9">
        <w:rPr>
          <w:lang w:val="es-ES_tradnl"/>
        </w:rPr>
        <w:t>13.4.7.1</w:t>
      </w:r>
      <w:r w:rsidRPr="008B23B9">
        <w:rPr>
          <w:lang w:val="es-ES_tradnl"/>
        </w:rPr>
        <w:tab/>
        <w:t>Sustitúyase “un explosivo inestable</w:t>
      </w:r>
      <w:r w:rsidRPr="0038269A">
        <w:t>” por “demasiado sensible para asignar una división”.</w:t>
      </w:r>
    </w:p>
    <w:p w14:paraId="1EB7680D"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38269A">
        <w:lastRenderedPageBreak/>
        <w:t>13.4.7.5.1</w:t>
      </w:r>
      <w:r w:rsidRPr="0038269A">
        <w:tab/>
        <w:t xml:space="preserve">En </w:t>
      </w:r>
      <w:r w:rsidRPr="008B23B9">
        <w:rPr>
          <w:lang w:val="es-ES_tradnl"/>
        </w:rPr>
        <w:t>la primera frase, sustitúyase “inestable” por “demasiado sensible para asignar una división”.</w:t>
      </w:r>
    </w:p>
    <w:p w14:paraId="7D1F7577"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13.4.7.5.2</w:t>
      </w:r>
      <w:r w:rsidRPr="008B23B9">
        <w:rPr>
          <w:lang w:val="es-ES_tradnl"/>
        </w:rPr>
        <w:tab/>
        <w:t>En la primera frase, sustitúyase “un explosivo inestable” por “demasiado sensible para asignar una división”.</w:t>
      </w:r>
    </w:p>
    <w:p w14:paraId="3AEA3FA8"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13.5.1.1</w:t>
      </w:r>
      <w:r w:rsidRPr="008B23B9">
        <w:rPr>
          <w:lang w:val="es-ES_tradnl"/>
        </w:rPr>
        <w:tab/>
        <w:t>Sustitúyase “un explosivo inestable” por “demasiado sensible para asignar una división”.</w:t>
      </w:r>
    </w:p>
    <w:p w14:paraId="4798D963"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13.5.1.4</w:t>
      </w:r>
      <w:r w:rsidRPr="008B23B9">
        <w:rPr>
          <w:lang w:val="es-ES_tradnl"/>
        </w:rPr>
        <w:tab/>
        <w:t>En el párrafo que sigue a los apartados, en la primera frase, sustitúyase “un explosivo inestable” por “demasiado sensible para asignar una división”.</w:t>
      </w:r>
    </w:p>
    <w:p w14:paraId="4DD87E22"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13.5.2.1</w:t>
      </w:r>
      <w:r w:rsidRPr="008B23B9">
        <w:rPr>
          <w:lang w:val="es-ES_tradnl"/>
        </w:rPr>
        <w:tab/>
        <w:t>Sustitúyase “un explosivo inestable” por “demasiado sensible para asignar una división”.</w:t>
      </w:r>
    </w:p>
    <w:p w14:paraId="056BD006"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13.5.2.4</w:t>
      </w:r>
      <w:r w:rsidRPr="008B23B9">
        <w:rPr>
          <w:lang w:val="es-ES_tradnl"/>
        </w:rPr>
        <w:tab/>
        <w:t>En el párrafo que sigue a los apartados, en las frases primera y última, sustitúyase “un explosivo inestable” por “demasiado sensible para asignar una división”.</w:t>
      </w:r>
    </w:p>
    <w:p w14:paraId="1418185A"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13.5.3.1</w:t>
      </w:r>
      <w:r w:rsidRPr="008B23B9">
        <w:rPr>
          <w:lang w:val="es-ES_tradnl"/>
        </w:rPr>
        <w:tab/>
        <w:t>Sustitúyase “un explosivo inestable” por “demasiado sensible para asignar una división”.</w:t>
      </w:r>
    </w:p>
    <w:p w14:paraId="7B6AE193"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13.5.3.4</w:t>
      </w:r>
      <w:r w:rsidRPr="008B23B9">
        <w:rPr>
          <w:lang w:val="es-ES_tradnl"/>
        </w:rPr>
        <w:tab/>
        <w:t>En el párrafo que sigue a los apartados, en la primera frase, sustitúyase “un explosivo inestable” por “demasiado sensible para asignar una división”.</w:t>
      </w:r>
    </w:p>
    <w:p w14:paraId="4E5CBD09"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13.5.4.1</w:t>
      </w:r>
      <w:r w:rsidRPr="008B23B9">
        <w:rPr>
          <w:lang w:val="es-ES_tradnl"/>
        </w:rPr>
        <w:tab/>
        <w:t>Sustitúyase “un explosivo inestable” por “demasiado sensible para asignar una división”.</w:t>
      </w:r>
    </w:p>
    <w:p w14:paraId="56CCED31"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13.5.4.5</w:t>
      </w:r>
      <w:r w:rsidRPr="008B23B9">
        <w:rPr>
          <w:lang w:val="es-ES_tradnl"/>
        </w:rPr>
        <w:tab/>
        <w:t>En la primera frase, sustitúyase “inestable” por “demasiado sensible para asignar una división”.</w:t>
      </w:r>
    </w:p>
    <w:p w14:paraId="0EB4525C"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13.6.1.3.1</w:t>
      </w:r>
      <w:r w:rsidRPr="008B23B9">
        <w:rPr>
          <w:lang w:val="es-ES_tradnl"/>
        </w:rPr>
        <w:tab/>
        <w:t>Sustitúyase “demasiado inestable térmicamente para el transporte y se clasifica como explosivo inestable” por “demasiado sensible para asignar una división”.</w:t>
      </w:r>
    </w:p>
    <w:p w14:paraId="36C859EE"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13.6.1.4.2</w:t>
      </w:r>
      <w:r w:rsidRPr="008B23B9">
        <w:rPr>
          <w:lang w:val="es-ES_tradnl"/>
        </w:rPr>
        <w:tab/>
        <w:t>Sustitúyase “y clasificarse como un explosivo inestable y no debe permitirse su transporte” por “y, por tanto, demasiado sensible para asignar una división”.</w:t>
      </w:r>
    </w:p>
    <w:p w14:paraId="3F2ED661" w14:textId="77777777" w:rsidR="00AF1011" w:rsidRPr="008B23B9" w:rsidRDefault="00AF1011" w:rsidP="00015684">
      <w:pPr>
        <w:pStyle w:val="SingleTxtG"/>
        <w:tabs>
          <w:tab w:val="clear" w:pos="1701"/>
          <w:tab w:val="clear" w:pos="2835"/>
          <w:tab w:val="left" w:pos="3119"/>
        </w:tabs>
        <w:suppressAutoHyphens/>
        <w:ind w:left="2268" w:hanging="1134"/>
        <w:rPr>
          <w:lang w:val="es-ES_tradnl"/>
        </w:rPr>
      </w:pPr>
      <w:r w:rsidRPr="008B23B9">
        <w:rPr>
          <w:lang w:val="es-ES_tradnl"/>
        </w:rPr>
        <w:t>13.6.2.4.2</w:t>
      </w:r>
      <w:r w:rsidRPr="008B23B9">
        <w:rPr>
          <w:lang w:val="es-ES_tradnl"/>
        </w:rPr>
        <w:tab/>
        <w:t>Sustitúyase “y clasificarse como un explosivo inestable y no debe permitirse su transporte” por “y, por tanto, demasiado sensible para asignar una división”.</w:t>
      </w:r>
    </w:p>
    <w:p w14:paraId="02E315B1"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8B23B9">
        <w:rPr>
          <w:lang w:val="es-ES_tradnl"/>
        </w:rPr>
        <w:t>13.7.1.3</w:t>
      </w:r>
      <w:r w:rsidRPr="008B23B9">
        <w:rPr>
          <w:lang w:val="es-ES_tradnl"/>
        </w:rPr>
        <w:tab/>
        <w:t>En el párrafo que sigue a los apartados, en la segunda frase, sustitúyase “un explosivo inestable” por</w:t>
      </w:r>
      <w:r w:rsidRPr="0038269A">
        <w:t xml:space="preserve"> “demasiado sensible para asignar una división”.</w:t>
      </w:r>
    </w:p>
    <w:p w14:paraId="5CC3E198" w14:textId="77777777" w:rsidR="00AF1011" w:rsidRPr="0038269A" w:rsidRDefault="00AF1011" w:rsidP="009B111C">
      <w:pPr>
        <w:pStyle w:val="H1G"/>
        <w:rPr>
          <w:lang w:val="en-GB"/>
        </w:rPr>
      </w:pPr>
      <w:r w:rsidRPr="0038269A">
        <w:tab/>
      </w:r>
      <w:r w:rsidRPr="0038269A">
        <w:tab/>
        <w:t>Sección 14</w:t>
      </w:r>
    </w:p>
    <w:p w14:paraId="61B26A32"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38269A">
        <w:t>14.1.1</w:t>
      </w:r>
      <w:r w:rsidRPr="0038269A">
        <w:tab/>
        <w:t>En la primera frase, sustitúyase “demasiado peligrosos para el transporte” por “demasiado sensibles para asignar una división”.</w:t>
      </w:r>
    </w:p>
    <w:p w14:paraId="14A0F92D" w14:textId="77777777" w:rsidR="00AF1011" w:rsidRPr="00175F0E" w:rsidRDefault="00AF1011" w:rsidP="00015684">
      <w:pPr>
        <w:pStyle w:val="SingleTxtG"/>
        <w:tabs>
          <w:tab w:val="clear" w:pos="1701"/>
          <w:tab w:val="clear" w:pos="2835"/>
          <w:tab w:val="left" w:pos="3119"/>
        </w:tabs>
        <w:suppressAutoHyphens/>
        <w:ind w:left="2268" w:hanging="1134"/>
        <w:rPr>
          <w:lang w:val="es-ES_tradnl"/>
        </w:rPr>
      </w:pPr>
      <w:r w:rsidRPr="0038269A">
        <w:t>14.4.1.1</w:t>
      </w:r>
      <w:r w:rsidRPr="0038269A">
        <w:tab/>
        <w:t>En la primera frase, sustitúyase “demasiado peligroso para el transporte” por “</w:t>
      </w:r>
      <w:r w:rsidRPr="00175F0E">
        <w:rPr>
          <w:lang w:val="es-ES_tradnl"/>
        </w:rPr>
        <w:t>demasiado sensible para asignar una división”.</w:t>
      </w:r>
    </w:p>
    <w:p w14:paraId="7E83F43B" w14:textId="77777777" w:rsidR="00AF1011" w:rsidRPr="00175F0E" w:rsidRDefault="00AF1011" w:rsidP="00015684">
      <w:pPr>
        <w:pStyle w:val="SingleTxtG"/>
        <w:tabs>
          <w:tab w:val="clear" w:pos="1701"/>
          <w:tab w:val="clear" w:pos="2835"/>
          <w:tab w:val="left" w:pos="3119"/>
        </w:tabs>
        <w:suppressAutoHyphens/>
        <w:ind w:left="2268" w:hanging="1134"/>
        <w:rPr>
          <w:lang w:val="es-ES_tradnl"/>
        </w:rPr>
      </w:pPr>
      <w:r w:rsidRPr="00175F0E">
        <w:rPr>
          <w:lang w:val="es-ES_tradnl"/>
        </w:rPr>
        <w:t>14.4.1.4</w:t>
      </w:r>
      <w:r w:rsidRPr="00175F0E">
        <w:rPr>
          <w:lang w:val="es-ES_tradnl"/>
        </w:rPr>
        <w:tab/>
        <w:t>En la primera frase, sustitúyase “demasiado peligroso para el transporte” por “demasiado sensible para asignar una división”.</w:t>
      </w:r>
    </w:p>
    <w:p w14:paraId="273D872D"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175F0E">
        <w:rPr>
          <w:lang w:val="es-ES_tradnl"/>
        </w:rPr>
        <w:t>14.5.1.4</w:t>
      </w:r>
      <w:r w:rsidRPr="00175F0E">
        <w:rPr>
          <w:lang w:val="es-ES_tradnl"/>
        </w:rPr>
        <w:tab/>
        <w:t>En la primera frase, sustitúyase “demasiado peligroso para el transporte” por “demasiado sensible</w:t>
      </w:r>
      <w:r w:rsidRPr="0038269A">
        <w:t xml:space="preserve"> para asignar una división”.</w:t>
      </w:r>
    </w:p>
    <w:p w14:paraId="7E779A0B" w14:textId="77777777" w:rsidR="00AF1011" w:rsidRPr="0038269A" w:rsidRDefault="00AF1011" w:rsidP="00015684">
      <w:pPr>
        <w:pStyle w:val="SingleTxtG"/>
        <w:tabs>
          <w:tab w:val="clear" w:pos="1701"/>
          <w:tab w:val="clear" w:pos="2835"/>
          <w:tab w:val="left" w:pos="3119"/>
        </w:tabs>
        <w:suppressAutoHyphens/>
        <w:ind w:left="2268" w:hanging="1134"/>
        <w:rPr>
          <w:lang w:val="en-GB"/>
        </w:rPr>
      </w:pPr>
      <w:r w:rsidRPr="0038269A">
        <w:t>14.5.2.4</w:t>
      </w:r>
      <w:r w:rsidRPr="0038269A">
        <w:tab/>
        <w:t>En la primera frase, sustitúyase “demasiado peligrosos para el transporte” por “demasiado sensibles para asignar una división”.</w:t>
      </w:r>
    </w:p>
    <w:p w14:paraId="4D5D89E3" w14:textId="77777777" w:rsidR="00AF1011" w:rsidRPr="0038269A" w:rsidRDefault="00AF1011" w:rsidP="00015684">
      <w:pPr>
        <w:pStyle w:val="H1G"/>
        <w:rPr>
          <w:lang w:val="en-GB"/>
        </w:rPr>
      </w:pPr>
      <w:r w:rsidRPr="0038269A">
        <w:tab/>
      </w:r>
      <w:r w:rsidRPr="0038269A">
        <w:tab/>
        <w:t>Sección 20</w:t>
      </w:r>
    </w:p>
    <w:p w14:paraId="187FA6E7" w14:textId="77777777" w:rsidR="00AF1011" w:rsidRPr="00EB19DA" w:rsidRDefault="00AF1011" w:rsidP="00015684">
      <w:pPr>
        <w:pStyle w:val="SingleTxtG"/>
        <w:tabs>
          <w:tab w:val="clear" w:pos="1701"/>
          <w:tab w:val="clear" w:pos="2835"/>
          <w:tab w:val="left" w:pos="3119"/>
        </w:tabs>
        <w:suppressAutoHyphens/>
        <w:ind w:left="2268" w:hanging="1134"/>
        <w:rPr>
          <w:lang w:val="es-ES_tradnl"/>
        </w:rPr>
      </w:pPr>
      <w:r w:rsidRPr="0038269A">
        <w:t>20.3.3.3</w:t>
      </w:r>
      <w:r w:rsidRPr="0038269A">
        <w:tab/>
      </w:r>
      <w:r w:rsidRPr="00EB19DA">
        <w:rPr>
          <w:lang w:val="es-ES_tradnl"/>
        </w:rPr>
        <w:t>En la primera frase, después de “calorimetría de exploración diferencial” añádase “(CED)”.</w:t>
      </w:r>
    </w:p>
    <w:p w14:paraId="7432B2CC" w14:textId="1324F628" w:rsidR="00AF1011" w:rsidRPr="0038269A" w:rsidRDefault="00AF1011" w:rsidP="00015684">
      <w:pPr>
        <w:pStyle w:val="SingleTxtG"/>
        <w:tabs>
          <w:tab w:val="clear" w:pos="1701"/>
          <w:tab w:val="clear" w:pos="2835"/>
          <w:tab w:val="left" w:pos="3119"/>
        </w:tabs>
        <w:suppressAutoHyphens/>
        <w:ind w:left="2268" w:hanging="1134"/>
        <w:rPr>
          <w:lang w:val="en-GB"/>
        </w:rPr>
      </w:pPr>
      <w:r w:rsidRPr="00EB19DA">
        <w:rPr>
          <w:lang w:val="es-ES_tradnl"/>
        </w:rPr>
        <w:tab/>
        <w:t>Modificar la última frase como sigue: “Si se utiliza la CED, se define la temperatura de comienzo como la temperatura a la que se produce</w:t>
      </w:r>
      <w:r w:rsidRPr="0038269A">
        <w:t xml:space="preserve"> el primer </w:t>
      </w:r>
      <w:r w:rsidRPr="0038269A">
        <w:lastRenderedPageBreak/>
        <w:t>efecto exotérmico perceptible (es decir, la señal de producción de calor se separa de la línea de base).”</w:t>
      </w:r>
    </w:p>
    <w:p w14:paraId="580235DE" w14:textId="77777777" w:rsidR="00AF1011" w:rsidRPr="0038269A" w:rsidRDefault="00AF1011" w:rsidP="00AF1011">
      <w:pPr>
        <w:pStyle w:val="SingleTxtG"/>
        <w:rPr>
          <w:lang w:val="en-GB"/>
        </w:rPr>
      </w:pPr>
      <w:r w:rsidRPr="0038269A">
        <w:t>Añádase una nueva sección 20.3.4 que diga lo siguiente:</w:t>
      </w:r>
    </w:p>
    <w:p w14:paraId="67D965EE" w14:textId="77777777" w:rsidR="00AF1011" w:rsidRPr="0038269A" w:rsidRDefault="00AF1011" w:rsidP="00015684">
      <w:pPr>
        <w:pStyle w:val="SingleTxtG"/>
        <w:tabs>
          <w:tab w:val="clear" w:pos="1701"/>
          <w:tab w:val="clear" w:pos="2835"/>
          <w:tab w:val="left" w:pos="3119"/>
        </w:tabs>
        <w:suppressAutoHyphens/>
        <w:rPr>
          <w:b/>
          <w:bCs/>
          <w:lang w:val="en-GB"/>
        </w:rPr>
      </w:pPr>
      <w:r w:rsidRPr="0038269A">
        <w:t>“</w:t>
      </w:r>
      <w:r w:rsidRPr="0038269A">
        <w:rPr>
          <w:b/>
          <w:bCs/>
        </w:rPr>
        <w:t xml:space="preserve">20.3.4 </w:t>
      </w:r>
      <w:r w:rsidRPr="0038269A">
        <w:rPr>
          <w:b/>
          <w:bCs/>
        </w:rPr>
        <w:tab/>
        <w:t>Estabilidad térmica de las muestras y evaluación del control de la temperatura para el transporte</w:t>
      </w:r>
    </w:p>
    <w:p w14:paraId="1A2844F6" w14:textId="53F47111" w:rsidR="00AF1011" w:rsidRPr="0038269A" w:rsidRDefault="00AF1011" w:rsidP="00015684">
      <w:pPr>
        <w:pStyle w:val="SingleTxtG"/>
        <w:tabs>
          <w:tab w:val="clear" w:pos="1701"/>
          <w:tab w:val="clear" w:pos="2835"/>
          <w:tab w:val="left" w:pos="3119"/>
        </w:tabs>
        <w:suppressAutoHyphens/>
        <w:rPr>
          <w:lang w:val="en-GB"/>
        </w:rPr>
      </w:pPr>
      <w:r w:rsidRPr="0038269A">
        <w:t>20.3.4.1</w:t>
      </w:r>
      <w:r w:rsidRPr="0038269A">
        <w:tab/>
        <w:t>Las disposiciones de la presente sección s</w:t>
      </w:r>
      <w:r w:rsidR="00EB19DA">
        <w:t>o</w:t>
      </w:r>
      <w:r w:rsidRPr="0038269A">
        <w:t>lo son aplicables a las muestras de las secciones 2.4.2.3.2.4 b) y 2.5.3.2.5.1 en los casos en que no se conozca la TDAA.</w:t>
      </w:r>
    </w:p>
    <w:p w14:paraId="15EA619E" w14:textId="327CB193" w:rsidR="00AF1011" w:rsidRPr="0038269A" w:rsidRDefault="00AF1011" w:rsidP="00015684">
      <w:pPr>
        <w:pStyle w:val="SingleTxtG"/>
        <w:tabs>
          <w:tab w:val="clear" w:pos="1701"/>
          <w:tab w:val="clear" w:pos="2835"/>
          <w:tab w:val="left" w:pos="3119"/>
        </w:tabs>
        <w:suppressAutoHyphens/>
        <w:rPr>
          <w:lang w:val="en-GB"/>
        </w:rPr>
      </w:pPr>
      <w:r w:rsidRPr="0038269A">
        <w:t xml:space="preserve">20.3.4.2 </w:t>
      </w:r>
      <w:r w:rsidRPr="0038269A">
        <w:tab/>
        <w:t xml:space="preserve">Si el inicio de la descomposición en una CED medida de acuerdo con 20.3.3.3 se sitúa en 160 </w:t>
      </w:r>
      <w:r w:rsidR="00EB19DA">
        <w:t>º</w:t>
      </w:r>
      <w:r w:rsidRPr="0038269A">
        <w:t xml:space="preserve">C o más, se puede suponer que la TDAA estimada de la muestra es superior a 55 </w:t>
      </w:r>
      <w:r w:rsidR="00EB19DA">
        <w:t>º</w:t>
      </w:r>
      <w:r w:rsidRPr="0038269A">
        <w:t xml:space="preserve">C. De acuerdo con el párrafo 2.4.2.3.4 de la Reglamentación Modelo, en esos casos no es necesario el control de la temperatura. Los pequeños episodios </w:t>
      </w:r>
      <w:r w:rsidRPr="00015684">
        <w:rPr>
          <w:lang w:val="en-GB"/>
        </w:rPr>
        <w:t>exotérmicos</w:t>
      </w:r>
      <w:r w:rsidRPr="0038269A">
        <w:t xml:space="preserve"> aislados inferiores a 20</w:t>
      </w:r>
      <w:r w:rsidR="00EB19DA">
        <w:t xml:space="preserve"> </w:t>
      </w:r>
      <w:r w:rsidRPr="0038269A">
        <w:t>J/g que preceden a la descomposición principal pueden despreciarse.</w:t>
      </w:r>
    </w:p>
    <w:p w14:paraId="5BAFB27A" w14:textId="0414600D" w:rsidR="00AF1011" w:rsidRPr="0038269A" w:rsidRDefault="00AF1011" w:rsidP="00015684">
      <w:pPr>
        <w:pStyle w:val="SingleTxtG"/>
        <w:tabs>
          <w:tab w:val="clear" w:pos="1701"/>
          <w:tab w:val="clear" w:pos="2835"/>
          <w:tab w:val="left" w:pos="3119"/>
        </w:tabs>
        <w:suppressAutoHyphens/>
        <w:rPr>
          <w:lang w:val="en-GB"/>
        </w:rPr>
      </w:pPr>
      <w:r w:rsidRPr="0038269A">
        <w:t>20.3.4.3</w:t>
      </w:r>
      <w:r w:rsidRPr="0038269A">
        <w:tab/>
        <w:t xml:space="preserve">A los fines de determinar la necesidad del control de la temperatura, puede aplicarse una prueba de estrés térmico basada en las mediciones de la CED como sigue: Se mide una CED como se indica en 20.3.3.3 para la muestra tal como se ofrece para el transporte. Se toma una segunda </w:t>
      </w:r>
      <w:r w:rsidRPr="00EB19DA">
        <w:rPr>
          <w:lang w:val="es-ES_tradnl"/>
        </w:rPr>
        <w:t>muestra</w:t>
      </w:r>
      <w:r w:rsidRPr="0038269A">
        <w:t xml:space="preserve"> y se aplica un estrés térmico templando la muestra en el crisol CED cerrado a una temperatura constante definida durante un per</w:t>
      </w:r>
      <w:r w:rsidR="00EB19DA">
        <w:t>í</w:t>
      </w:r>
      <w:r w:rsidRPr="0038269A">
        <w:t xml:space="preserve">odo de tiempo determinado. En los casos estándar, se considera suficiente un tiempo de tensión de 24 horas. A continuación, la muestra sometida a tensión se enfría hasta la temperatura ambiente antes de someterla a una medición CED con la misma velocidad de calentamiento que antes. Si el comportamiento de la descomposición no cambia al comparar los dos CED en términos de inicio de la descomposición, forma de la curva y energía, dentro de una incertidumbre de medición del 10 %, la muestra se considera estable a la temperatura de tensión aplicada. Para los picos planos con una producción de calor máxima de 0,2 W/g puede tolerarse una desviación del 25 % en rangos de temperatura inferiores a 250 </w:t>
      </w:r>
      <w:r w:rsidR="00EB19DA">
        <w:t>º</w:t>
      </w:r>
      <w:r w:rsidRPr="0038269A">
        <w:t xml:space="preserve">C y del 40 % por encima de ese límite. Si se supera la prueba de estrés según esos criterios a 60 </w:t>
      </w:r>
      <w:r w:rsidR="00EB19DA">
        <w:t>º</w:t>
      </w:r>
      <w:r w:rsidRPr="0038269A">
        <w:t>C, no es necesario controlar la temperatura.</w:t>
      </w:r>
    </w:p>
    <w:p w14:paraId="7E5EE87B" w14:textId="794C36D2" w:rsidR="00AF1011" w:rsidRPr="00EB19DA" w:rsidRDefault="00AF1011" w:rsidP="00015684">
      <w:pPr>
        <w:pStyle w:val="SingleTxtG"/>
        <w:tabs>
          <w:tab w:val="clear" w:pos="1701"/>
          <w:tab w:val="clear" w:pos="2835"/>
          <w:tab w:val="left" w:pos="3119"/>
        </w:tabs>
        <w:suppressAutoHyphens/>
        <w:rPr>
          <w:lang w:val="es-ES_tradnl"/>
        </w:rPr>
      </w:pPr>
      <w:r w:rsidRPr="0038269A">
        <w:t>20.3.4.4</w:t>
      </w:r>
      <w:r w:rsidRPr="0038269A">
        <w:tab/>
        <w:t xml:space="preserve">Si la muestra no supera la prueba de estrés a 60 </w:t>
      </w:r>
      <w:r w:rsidR="00EB19DA">
        <w:t>º</w:t>
      </w:r>
      <w:r w:rsidRPr="0038269A">
        <w:t xml:space="preserve">C, se debe aplicar el mismo procedimiento a temperaturas decrecientes en pasos de 10 K hasta que el comportamiento de descomposición no cambie. </w:t>
      </w:r>
      <w:r w:rsidRPr="00EB19DA">
        <w:rPr>
          <w:lang w:val="es-ES_tradnl"/>
        </w:rPr>
        <w:t>Esa temperatura debe considerarse como la TDAA estimada de la muestra, y las temperaturas de control y de emergencia pueden entonces derivarse de acuerdo con la sección 28.2.3 y el cuadro 28.2.</w:t>
      </w:r>
    </w:p>
    <w:p w14:paraId="1A09A1AF" w14:textId="77777777" w:rsidR="00AF1011" w:rsidRPr="0038269A" w:rsidRDefault="00AF1011" w:rsidP="00015684">
      <w:pPr>
        <w:pStyle w:val="SingleTxtG"/>
        <w:tabs>
          <w:tab w:val="clear" w:pos="1701"/>
          <w:tab w:val="clear" w:pos="2835"/>
          <w:tab w:val="left" w:pos="3119"/>
        </w:tabs>
        <w:suppressAutoHyphens/>
        <w:rPr>
          <w:lang w:val="en-GB"/>
        </w:rPr>
      </w:pPr>
      <w:r w:rsidRPr="00EB19DA">
        <w:rPr>
          <w:lang w:val="es-ES_tradnl"/>
        </w:rPr>
        <w:t>20.3.4.5</w:t>
      </w:r>
      <w:r w:rsidRPr="00EB19DA">
        <w:rPr>
          <w:lang w:val="es-ES_tradnl"/>
        </w:rPr>
        <w:tab/>
        <w:t>En la figura 20.2 se muestran ejemplos de superación de la prueba de estrés térmico. La figura 20.3 contiene ejemplos de muestras que no han superado la prueba de estrés. En la figura 20.4 se muestra un diagrama de</w:t>
      </w:r>
      <w:r w:rsidRPr="0038269A">
        <w:t xml:space="preserve"> flujo del procedimiento.</w:t>
      </w:r>
    </w:p>
    <w:p w14:paraId="681A6393" w14:textId="30938178" w:rsidR="00AF1011" w:rsidRDefault="00AF1011">
      <w:pPr>
        <w:spacing w:line="240" w:lineRule="auto"/>
      </w:pPr>
      <w:r>
        <w:br w:type="page"/>
      </w:r>
    </w:p>
    <w:p w14:paraId="28A144E6" w14:textId="35E6DA2A" w:rsidR="00AF1011" w:rsidRPr="0038269A" w:rsidRDefault="00AF1011" w:rsidP="00AE1EAB">
      <w:pPr>
        <w:pStyle w:val="SingleTxtG"/>
        <w:tabs>
          <w:tab w:val="clear" w:pos="1701"/>
          <w:tab w:val="clear" w:pos="2268"/>
          <w:tab w:val="clear" w:pos="2835"/>
        </w:tabs>
        <w:suppressAutoHyphens/>
        <w:spacing w:after="240"/>
        <w:ind w:left="2835" w:hanging="1701"/>
        <w:jc w:val="left"/>
        <w:rPr>
          <w:b/>
          <w:bCs/>
          <w:lang w:val="en-GB"/>
        </w:rPr>
      </w:pPr>
      <w:r w:rsidRPr="0038269A">
        <w:rPr>
          <w:b/>
          <w:bCs/>
        </w:rPr>
        <w:lastRenderedPageBreak/>
        <w:t>Figura 20.2:</w:t>
      </w:r>
      <w:r w:rsidR="00AE1EAB">
        <w:rPr>
          <w:b/>
          <w:bCs/>
        </w:rPr>
        <w:tab/>
      </w:r>
      <w:r w:rsidRPr="0038269A">
        <w:rPr>
          <w:b/>
          <w:bCs/>
        </w:rPr>
        <w:t>Ejemplos de muestras que han superado la prueba de estrés</w:t>
      </w:r>
      <w:r w:rsidR="00AE1EAB">
        <w:rPr>
          <w:b/>
          <w:bCs/>
        </w:rPr>
        <w:t> </w:t>
      </w:r>
      <w:r w:rsidRPr="0038269A">
        <w:rPr>
          <w:b/>
          <w:bCs/>
        </w:rPr>
        <w:t>térmico</w:t>
      </w:r>
    </w:p>
    <w:p w14:paraId="4DDCE313" w14:textId="0B25A5F8" w:rsidR="00AF1011" w:rsidRDefault="00AF1011" w:rsidP="00EB19DA">
      <w:pPr>
        <w:pStyle w:val="SingleTxtG"/>
        <w:spacing w:after="360"/>
        <w:jc w:val="center"/>
        <w:rPr>
          <w:b/>
          <w:bCs/>
          <w:lang w:val="en-GB"/>
        </w:rPr>
      </w:pPr>
      <w:r w:rsidRPr="0038269A">
        <w:rPr>
          <w:noProof/>
          <w:lang w:val="en-GB"/>
        </w:rPr>
        <w:drawing>
          <wp:inline distT="0" distB="0" distL="0" distR="0" wp14:anchorId="5881F3E2" wp14:editId="2EA013A3">
            <wp:extent cx="5382833" cy="6332088"/>
            <wp:effectExtent l="0" t="0" r="0" b="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8">
                      <a:extLst>
                        <a:ext uri="{96DAC541-7B7A-43D3-8B79-37D633B846F1}">
                          <asvg:svgBlip xmlns:asvg="http://schemas.microsoft.com/office/drawing/2016/SVG/main" r:embed="rId9"/>
                        </a:ext>
                      </a:extLst>
                    </a:blip>
                    <a:stretch>
                      <a:fillRect/>
                    </a:stretch>
                  </pic:blipFill>
                  <pic:spPr>
                    <a:xfrm>
                      <a:off x="0" y="0"/>
                      <a:ext cx="5428425" cy="6385720"/>
                    </a:xfrm>
                    <a:prstGeom prst="rect">
                      <a:avLst/>
                    </a:prstGeom>
                  </pic:spPr>
                </pic:pic>
              </a:graphicData>
            </a:graphic>
          </wp:inline>
        </w:drawing>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
        <w:gridCol w:w="3743"/>
        <w:gridCol w:w="508"/>
        <w:gridCol w:w="3743"/>
      </w:tblGrid>
      <w:tr w:rsidR="00AF1011" w:rsidRPr="00AE1EAB" w14:paraId="0BA26C5D" w14:textId="77777777" w:rsidTr="00204EC9">
        <w:trPr>
          <w:trHeight w:val="240"/>
          <w:tblHeader/>
        </w:trPr>
        <w:tc>
          <w:tcPr>
            <w:tcW w:w="442" w:type="dxa"/>
            <w:shd w:val="clear" w:color="auto" w:fill="auto"/>
            <w:vAlign w:val="bottom"/>
          </w:tcPr>
          <w:p w14:paraId="2E004099" w14:textId="77777777" w:rsidR="00AF1011" w:rsidRPr="00AE1EAB" w:rsidRDefault="00AF1011" w:rsidP="00AE1EAB">
            <w:pPr>
              <w:pStyle w:val="SingleTxtG"/>
              <w:tabs>
                <w:tab w:val="clear" w:pos="1701"/>
                <w:tab w:val="clear" w:pos="2268"/>
                <w:tab w:val="clear" w:pos="2835"/>
              </w:tabs>
              <w:spacing w:before="80" w:after="80" w:line="200" w:lineRule="exact"/>
              <w:ind w:left="0" w:right="0"/>
              <w:jc w:val="left"/>
              <w:rPr>
                <w:iCs/>
                <w:szCs w:val="24"/>
                <w:lang w:val="en-US"/>
              </w:rPr>
            </w:pPr>
            <w:r w:rsidRPr="00AE1EAB">
              <w:rPr>
                <w:iCs/>
                <w:szCs w:val="24"/>
              </w:rPr>
              <w:t>(A)</w:t>
            </w:r>
          </w:p>
        </w:tc>
        <w:tc>
          <w:tcPr>
            <w:tcW w:w="3244" w:type="dxa"/>
            <w:shd w:val="clear" w:color="auto" w:fill="auto"/>
            <w:vAlign w:val="bottom"/>
          </w:tcPr>
          <w:p w14:paraId="5ABAE840" w14:textId="77777777" w:rsidR="00AF1011" w:rsidRPr="00AE1EAB" w:rsidRDefault="00AF1011" w:rsidP="00AE1EAB">
            <w:pPr>
              <w:pStyle w:val="SingleTxtG"/>
              <w:tabs>
                <w:tab w:val="clear" w:pos="1701"/>
                <w:tab w:val="clear" w:pos="2268"/>
                <w:tab w:val="clear" w:pos="2835"/>
              </w:tabs>
              <w:spacing w:before="80" w:after="80" w:line="200" w:lineRule="exact"/>
              <w:ind w:left="0" w:right="0"/>
              <w:jc w:val="left"/>
              <w:rPr>
                <w:iCs/>
                <w:szCs w:val="24"/>
                <w:lang w:val="en-US"/>
              </w:rPr>
            </w:pPr>
            <w:r w:rsidRPr="00AE1EAB">
              <w:rPr>
                <w:iCs/>
                <w:szCs w:val="24"/>
              </w:rPr>
              <w:t>Muestra después del estrés térmico</w:t>
            </w:r>
          </w:p>
        </w:tc>
        <w:tc>
          <w:tcPr>
            <w:tcW w:w="440" w:type="dxa"/>
            <w:shd w:val="clear" w:color="auto" w:fill="auto"/>
            <w:vAlign w:val="bottom"/>
          </w:tcPr>
          <w:p w14:paraId="4F6CC1B5" w14:textId="77777777" w:rsidR="00AF1011" w:rsidRPr="00AE1EAB" w:rsidRDefault="00AF1011" w:rsidP="00AE1EAB">
            <w:pPr>
              <w:pStyle w:val="SingleTxtG"/>
              <w:tabs>
                <w:tab w:val="clear" w:pos="1701"/>
                <w:tab w:val="clear" w:pos="2268"/>
                <w:tab w:val="clear" w:pos="2835"/>
              </w:tabs>
              <w:spacing w:before="80" w:after="80" w:line="200" w:lineRule="exact"/>
              <w:ind w:left="0" w:right="0"/>
              <w:jc w:val="left"/>
              <w:rPr>
                <w:iCs/>
                <w:szCs w:val="24"/>
                <w:lang w:val="en-US"/>
              </w:rPr>
            </w:pPr>
            <w:r w:rsidRPr="00AE1EAB">
              <w:rPr>
                <w:iCs/>
                <w:szCs w:val="24"/>
              </w:rPr>
              <w:t>(B)</w:t>
            </w:r>
          </w:p>
        </w:tc>
        <w:tc>
          <w:tcPr>
            <w:tcW w:w="3244" w:type="dxa"/>
            <w:shd w:val="clear" w:color="auto" w:fill="auto"/>
            <w:vAlign w:val="bottom"/>
          </w:tcPr>
          <w:p w14:paraId="1A500A28" w14:textId="77777777" w:rsidR="00AF1011" w:rsidRPr="00AE1EAB" w:rsidRDefault="00AF1011" w:rsidP="00AE1EAB">
            <w:pPr>
              <w:pStyle w:val="SingleTxtG"/>
              <w:tabs>
                <w:tab w:val="clear" w:pos="1701"/>
                <w:tab w:val="clear" w:pos="2268"/>
                <w:tab w:val="clear" w:pos="2835"/>
              </w:tabs>
              <w:spacing w:before="80" w:after="80" w:line="200" w:lineRule="exact"/>
              <w:ind w:left="0" w:right="0"/>
              <w:jc w:val="left"/>
              <w:rPr>
                <w:iCs/>
                <w:szCs w:val="24"/>
                <w:lang w:val="en-US"/>
              </w:rPr>
            </w:pPr>
            <w:r w:rsidRPr="00AE1EAB">
              <w:rPr>
                <w:iCs/>
                <w:szCs w:val="24"/>
              </w:rPr>
              <w:t>Muestra original</w:t>
            </w:r>
          </w:p>
        </w:tc>
      </w:tr>
    </w:tbl>
    <w:p w14:paraId="7123D85D" w14:textId="77777777" w:rsidR="00AF1011" w:rsidRPr="0038269A" w:rsidRDefault="00AF1011" w:rsidP="00AF1011">
      <w:pPr>
        <w:pStyle w:val="SingleTxtG"/>
        <w:rPr>
          <w:b/>
          <w:bCs/>
          <w:lang w:val="en-GB"/>
        </w:rPr>
      </w:pPr>
      <w:r w:rsidRPr="0038269A">
        <w:rPr>
          <w:b/>
          <w:bCs/>
          <w:lang w:val="en-GB"/>
        </w:rPr>
        <w:br w:type="page"/>
      </w:r>
    </w:p>
    <w:p w14:paraId="07306AEA" w14:textId="50E26025" w:rsidR="00AF1011" w:rsidRPr="0038269A" w:rsidRDefault="00AF1011" w:rsidP="00AE1EAB">
      <w:pPr>
        <w:pStyle w:val="SingleTxtG"/>
        <w:tabs>
          <w:tab w:val="clear" w:pos="1701"/>
          <w:tab w:val="clear" w:pos="2268"/>
          <w:tab w:val="clear" w:pos="2835"/>
        </w:tabs>
        <w:suppressAutoHyphens/>
        <w:spacing w:after="240"/>
        <w:ind w:left="2835" w:hanging="1701"/>
        <w:jc w:val="left"/>
        <w:rPr>
          <w:b/>
          <w:bCs/>
          <w:lang w:val="en-GB"/>
        </w:rPr>
      </w:pPr>
      <w:r w:rsidRPr="0038269A">
        <w:rPr>
          <w:b/>
          <w:bCs/>
        </w:rPr>
        <w:lastRenderedPageBreak/>
        <w:t>Figura 20.2:</w:t>
      </w:r>
      <w:r w:rsidR="000A439C">
        <w:rPr>
          <w:b/>
          <w:bCs/>
        </w:rPr>
        <w:tab/>
        <w:t>E</w:t>
      </w:r>
      <w:r w:rsidRPr="0038269A">
        <w:rPr>
          <w:b/>
          <w:bCs/>
        </w:rPr>
        <w:t>jemplos de muestras que han superado la prueba de estrés térmico (continuación)</w:t>
      </w:r>
    </w:p>
    <w:p w14:paraId="678241B0" w14:textId="0BDDC4C3" w:rsidR="00AF1011" w:rsidRDefault="00AF1011" w:rsidP="00AF1011">
      <w:pPr>
        <w:pStyle w:val="SingleTxtG"/>
        <w:rPr>
          <w:b/>
          <w:bCs/>
          <w:lang w:val="en-GB"/>
        </w:rPr>
      </w:pPr>
      <w:r w:rsidRPr="0038269A">
        <w:rPr>
          <w:noProof/>
          <w:lang w:val="en-GB"/>
        </w:rPr>
        <w:drawing>
          <wp:inline distT="0" distB="0" distL="0" distR="0" wp14:anchorId="25FBB2A3" wp14:editId="414F5183">
            <wp:extent cx="5503428" cy="6473952"/>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10">
                      <a:extLst>
                        <a:ext uri="{96DAC541-7B7A-43D3-8B79-37D633B846F1}">
                          <asvg:svgBlip xmlns:asvg="http://schemas.microsoft.com/office/drawing/2016/SVG/main" r:embed="rId11"/>
                        </a:ext>
                      </a:extLst>
                    </a:blip>
                    <a:stretch>
                      <a:fillRect/>
                    </a:stretch>
                  </pic:blipFill>
                  <pic:spPr>
                    <a:xfrm>
                      <a:off x="0" y="0"/>
                      <a:ext cx="5543756" cy="6521392"/>
                    </a:xfrm>
                    <a:prstGeom prst="rect">
                      <a:avLst/>
                    </a:prstGeom>
                  </pic:spPr>
                </pic:pic>
              </a:graphicData>
            </a:graphic>
          </wp:inline>
        </w:drawing>
      </w:r>
    </w:p>
    <w:tbl>
      <w:tblPr>
        <w:tblStyle w:val="TableGrid"/>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
        <w:gridCol w:w="3743"/>
        <w:gridCol w:w="508"/>
        <w:gridCol w:w="3743"/>
      </w:tblGrid>
      <w:tr w:rsidR="00AF1011" w:rsidRPr="000A439C" w14:paraId="27718BCB" w14:textId="77777777" w:rsidTr="00204EC9">
        <w:trPr>
          <w:trHeight w:val="240"/>
          <w:tblHeader/>
        </w:trPr>
        <w:tc>
          <w:tcPr>
            <w:tcW w:w="442" w:type="dxa"/>
            <w:shd w:val="clear" w:color="auto" w:fill="auto"/>
            <w:vAlign w:val="bottom"/>
          </w:tcPr>
          <w:p w14:paraId="0B1EDD00" w14:textId="77777777" w:rsidR="00AF1011" w:rsidRPr="000A439C" w:rsidRDefault="00AF1011" w:rsidP="000A439C">
            <w:pPr>
              <w:pStyle w:val="SingleTxtG"/>
              <w:tabs>
                <w:tab w:val="clear" w:pos="1701"/>
                <w:tab w:val="clear" w:pos="2268"/>
                <w:tab w:val="clear" w:pos="2835"/>
              </w:tabs>
              <w:spacing w:before="80" w:after="80" w:line="200" w:lineRule="exact"/>
              <w:ind w:left="0" w:right="0"/>
              <w:jc w:val="left"/>
              <w:rPr>
                <w:iCs/>
                <w:szCs w:val="24"/>
                <w:lang w:val="en-US"/>
              </w:rPr>
            </w:pPr>
            <w:r w:rsidRPr="000A439C">
              <w:rPr>
                <w:iCs/>
                <w:szCs w:val="24"/>
              </w:rPr>
              <w:t>(A)</w:t>
            </w:r>
          </w:p>
        </w:tc>
        <w:tc>
          <w:tcPr>
            <w:tcW w:w="3244" w:type="dxa"/>
            <w:shd w:val="clear" w:color="auto" w:fill="auto"/>
            <w:vAlign w:val="bottom"/>
          </w:tcPr>
          <w:p w14:paraId="3A10F73B" w14:textId="77777777" w:rsidR="00AF1011" w:rsidRPr="000A439C" w:rsidRDefault="00AF1011" w:rsidP="000A439C">
            <w:pPr>
              <w:pStyle w:val="SingleTxtG"/>
              <w:tabs>
                <w:tab w:val="clear" w:pos="1701"/>
                <w:tab w:val="clear" w:pos="2268"/>
                <w:tab w:val="clear" w:pos="2835"/>
              </w:tabs>
              <w:spacing w:before="80" w:after="80" w:line="200" w:lineRule="exact"/>
              <w:ind w:left="0" w:right="0"/>
              <w:jc w:val="left"/>
              <w:rPr>
                <w:iCs/>
                <w:szCs w:val="24"/>
                <w:lang w:val="en-US"/>
              </w:rPr>
            </w:pPr>
            <w:r w:rsidRPr="000A439C">
              <w:rPr>
                <w:iCs/>
                <w:szCs w:val="24"/>
              </w:rPr>
              <w:t>Muestra después del estrés térmico</w:t>
            </w:r>
          </w:p>
        </w:tc>
        <w:tc>
          <w:tcPr>
            <w:tcW w:w="440" w:type="dxa"/>
            <w:shd w:val="clear" w:color="auto" w:fill="auto"/>
            <w:vAlign w:val="bottom"/>
          </w:tcPr>
          <w:p w14:paraId="37E96F0C" w14:textId="77777777" w:rsidR="00AF1011" w:rsidRPr="000A439C" w:rsidRDefault="00AF1011" w:rsidP="000A439C">
            <w:pPr>
              <w:pStyle w:val="SingleTxtG"/>
              <w:tabs>
                <w:tab w:val="clear" w:pos="1701"/>
                <w:tab w:val="clear" w:pos="2268"/>
                <w:tab w:val="clear" w:pos="2835"/>
              </w:tabs>
              <w:spacing w:before="80" w:after="80" w:line="200" w:lineRule="exact"/>
              <w:ind w:left="0" w:right="0"/>
              <w:jc w:val="left"/>
              <w:rPr>
                <w:iCs/>
                <w:szCs w:val="24"/>
                <w:lang w:val="en-US"/>
              </w:rPr>
            </w:pPr>
            <w:r w:rsidRPr="000A439C">
              <w:rPr>
                <w:iCs/>
                <w:szCs w:val="24"/>
              </w:rPr>
              <w:t>(B)</w:t>
            </w:r>
          </w:p>
        </w:tc>
        <w:tc>
          <w:tcPr>
            <w:tcW w:w="3244" w:type="dxa"/>
            <w:shd w:val="clear" w:color="auto" w:fill="auto"/>
            <w:vAlign w:val="bottom"/>
          </w:tcPr>
          <w:p w14:paraId="1155E652" w14:textId="77777777" w:rsidR="00AF1011" w:rsidRPr="000A439C" w:rsidRDefault="00AF1011" w:rsidP="000A439C">
            <w:pPr>
              <w:pStyle w:val="SingleTxtG"/>
              <w:tabs>
                <w:tab w:val="clear" w:pos="1701"/>
                <w:tab w:val="clear" w:pos="2268"/>
                <w:tab w:val="clear" w:pos="2835"/>
              </w:tabs>
              <w:spacing w:before="80" w:after="80" w:line="200" w:lineRule="exact"/>
              <w:ind w:left="0" w:right="0"/>
              <w:jc w:val="left"/>
              <w:rPr>
                <w:iCs/>
                <w:szCs w:val="24"/>
                <w:lang w:val="en-US"/>
              </w:rPr>
            </w:pPr>
            <w:r w:rsidRPr="000A439C">
              <w:rPr>
                <w:iCs/>
                <w:szCs w:val="24"/>
              </w:rPr>
              <w:t>Muestra original</w:t>
            </w:r>
          </w:p>
        </w:tc>
      </w:tr>
    </w:tbl>
    <w:p w14:paraId="4A0CA078" w14:textId="77777777" w:rsidR="00AF1011" w:rsidRPr="0038269A" w:rsidRDefault="00AF1011" w:rsidP="00AF1011">
      <w:pPr>
        <w:pStyle w:val="SingleTxtG"/>
        <w:rPr>
          <w:b/>
          <w:bCs/>
          <w:lang w:val="en-GB"/>
        </w:rPr>
      </w:pPr>
      <w:r w:rsidRPr="0038269A">
        <w:rPr>
          <w:b/>
          <w:bCs/>
          <w:lang w:val="en-GB"/>
        </w:rPr>
        <w:br w:type="page"/>
      </w:r>
    </w:p>
    <w:p w14:paraId="6174FE7F" w14:textId="0021BD41" w:rsidR="00AF1011" w:rsidRPr="0038269A" w:rsidRDefault="00AF1011" w:rsidP="000A439C">
      <w:pPr>
        <w:pStyle w:val="SingleTxtG"/>
        <w:tabs>
          <w:tab w:val="clear" w:pos="1701"/>
          <w:tab w:val="clear" w:pos="2268"/>
          <w:tab w:val="clear" w:pos="2835"/>
        </w:tabs>
        <w:suppressAutoHyphens/>
        <w:spacing w:after="240"/>
        <w:ind w:left="2835" w:hanging="1701"/>
        <w:jc w:val="left"/>
        <w:rPr>
          <w:b/>
          <w:bCs/>
          <w:lang w:val="en-GB"/>
        </w:rPr>
      </w:pPr>
      <w:r w:rsidRPr="0038269A">
        <w:rPr>
          <w:b/>
          <w:bCs/>
        </w:rPr>
        <w:lastRenderedPageBreak/>
        <w:t>Figura 20.3:</w:t>
      </w:r>
      <w:r w:rsidR="000A439C">
        <w:rPr>
          <w:b/>
          <w:bCs/>
        </w:rPr>
        <w:tab/>
      </w:r>
      <w:r w:rsidRPr="0038269A">
        <w:rPr>
          <w:b/>
          <w:bCs/>
        </w:rPr>
        <w:t>Ejemplos de muestras que no han superado la prueba de estrés</w:t>
      </w:r>
      <w:r w:rsidR="000A439C">
        <w:rPr>
          <w:b/>
          <w:bCs/>
        </w:rPr>
        <w:t> </w:t>
      </w:r>
      <w:r w:rsidRPr="0038269A">
        <w:rPr>
          <w:b/>
          <w:bCs/>
        </w:rPr>
        <w:t>térmico</w:t>
      </w:r>
    </w:p>
    <w:p w14:paraId="60544559" w14:textId="77777777" w:rsidR="00AF1011" w:rsidRPr="0038269A" w:rsidRDefault="00AF1011" w:rsidP="00AF1011">
      <w:pPr>
        <w:pStyle w:val="SingleTxtG"/>
        <w:rPr>
          <w:lang w:val="en-GB"/>
        </w:rPr>
      </w:pPr>
      <w:r w:rsidRPr="0038269A">
        <w:rPr>
          <w:noProof/>
          <w:lang w:val="en-GB"/>
        </w:rPr>
        <w:drawing>
          <wp:inline distT="0" distB="0" distL="0" distR="0" wp14:anchorId="7240C25C" wp14:editId="60151619">
            <wp:extent cx="5371979" cy="6319319"/>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2">
                      <a:extLst>
                        <a:ext uri="{96DAC541-7B7A-43D3-8B79-37D633B846F1}">
                          <asvg:svgBlip xmlns:asvg="http://schemas.microsoft.com/office/drawing/2016/SVG/main" r:embed="rId13"/>
                        </a:ext>
                      </a:extLst>
                    </a:blip>
                    <a:stretch>
                      <a:fillRect/>
                    </a:stretch>
                  </pic:blipFill>
                  <pic:spPr>
                    <a:xfrm>
                      <a:off x="0" y="0"/>
                      <a:ext cx="5388226" cy="6338431"/>
                    </a:xfrm>
                    <a:prstGeom prst="rect">
                      <a:avLst/>
                    </a:prstGeom>
                  </pic:spPr>
                </pic:pic>
              </a:graphicData>
            </a:graphic>
          </wp:inline>
        </w:drawing>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
        <w:gridCol w:w="4454"/>
        <w:gridCol w:w="425"/>
        <w:gridCol w:w="3117"/>
      </w:tblGrid>
      <w:tr w:rsidR="000A439C" w:rsidRPr="000A439C" w14:paraId="5B2302C6" w14:textId="77777777" w:rsidTr="00EF57B7">
        <w:trPr>
          <w:trHeight w:hRule="exact" w:val="113"/>
          <w:tblHeader/>
        </w:trPr>
        <w:tc>
          <w:tcPr>
            <w:tcW w:w="508" w:type="dxa"/>
            <w:tcBorders>
              <w:top w:val="single" w:sz="12" w:space="0" w:color="auto"/>
            </w:tcBorders>
            <w:shd w:val="clear" w:color="auto" w:fill="auto"/>
            <w:vAlign w:val="bottom"/>
          </w:tcPr>
          <w:p w14:paraId="1BF540CD" w14:textId="690D74B4" w:rsidR="00AF1011" w:rsidRPr="000A439C" w:rsidRDefault="00AF1011" w:rsidP="000A439C">
            <w:pPr>
              <w:pStyle w:val="SingleTxtG"/>
              <w:tabs>
                <w:tab w:val="clear" w:pos="1701"/>
                <w:tab w:val="clear" w:pos="2268"/>
                <w:tab w:val="clear" w:pos="2835"/>
              </w:tabs>
              <w:spacing w:before="40"/>
              <w:ind w:left="0" w:right="0"/>
              <w:jc w:val="left"/>
              <w:rPr>
                <w:lang w:val="en-US"/>
              </w:rPr>
            </w:pPr>
          </w:p>
        </w:tc>
        <w:tc>
          <w:tcPr>
            <w:tcW w:w="4454" w:type="dxa"/>
            <w:tcBorders>
              <w:top w:val="single" w:sz="12" w:space="0" w:color="auto"/>
            </w:tcBorders>
            <w:shd w:val="clear" w:color="auto" w:fill="auto"/>
            <w:vAlign w:val="bottom"/>
          </w:tcPr>
          <w:p w14:paraId="2AC3A74E" w14:textId="0405AEBE" w:rsidR="00AF1011" w:rsidRPr="00BC12E0" w:rsidRDefault="00AF1011" w:rsidP="000A439C">
            <w:pPr>
              <w:pStyle w:val="SingleTxtG"/>
              <w:tabs>
                <w:tab w:val="clear" w:pos="1701"/>
                <w:tab w:val="clear" w:pos="2268"/>
                <w:tab w:val="clear" w:pos="2835"/>
              </w:tabs>
              <w:spacing w:before="40"/>
              <w:ind w:left="0" w:right="0"/>
              <w:jc w:val="left"/>
              <w:rPr>
                <w:lang w:val="es-ES_tradnl"/>
              </w:rPr>
            </w:pPr>
          </w:p>
        </w:tc>
        <w:tc>
          <w:tcPr>
            <w:tcW w:w="425" w:type="dxa"/>
            <w:tcBorders>
              <w:top w:val="single" w:sz="12" w:space="0" w:color="auto"/>
            </w:tcBorders>
            <w:shd w:val="clear" w:color="auto" w:fill="auto"/>
            <w:vAlign w:val="bottom"/>
          </w:tcPr>
          <w:p w14:paraId="2EF622F8" w14:textId="4FBF96B6" w:rsidR="00AF1011" w:rsidRPr="00BC12E0" w:rsidRDefault="00AF1011" w:rsidP="000A439C">
            <w:pPr>
              <w:pStyle w:val="SingleTxtG"/>
              <w:tabs>
                <w:tab w:val="clear" w:pos="1701"/>
                <w:tab w:val="clear" w:pos="2268"/>
                <w:tab w:val="clear" w:pos="2835"/>
              </w:tabs>
              <w:spacing w:before="40"/>
              <w:ind w:left="0" w:right="0"/>
              <w:jc w:val="left"/>
              <w:rPr>
                <w:lang w:val="es-ES_tradnl"/>
              </w:rPr>
            </w:pPr>
          </w:p>
        </w:tc>
        <w:tc>
          <w:tcPr>
            <w:tcW w:w="3117" w:type="dxa"/>
            <w:tcBorders>
              <w:top w:val="single" w:sz="12" w:space="0" w:color="auto"/>
            </w:tcBorders>
            <w:shd w:val="clear" w:color="auto" w:fill="auto"/>
            <w:vAlign w:val="bottom"/>
          </w:tcPr>
          <w:p w14:paraId="33A85072" w14:textId="1B5CBCB1" w:rsidR="00AF1011" w:rsidRPr="00BC12E0" w:rsidRDefault="00AF1011" w:rsidP="000A439C">
            <w:pPr>
              <w:pStyle w:val="SingleTxtG"/>
              <w:tabs>
                <w:tab w:val="clear" w:pos="1701"/>
                <w:tab w:val="clear" w:pos="2268"/>
                <w:tab w:val="clear" w:pos="2835"/>
              </w:tabs>
              <w:spacing w:before="40"/>
              <w:ind w:left="0" w:right="0"/>
              <w:jc w:val="left"/>
              <w:rPr>
                <w:lang w:val="es-ES_tradnl"/>
              </w:rPr>
            </w:pPr>
          </w:p>
        </w:tc>
      </w:tr>
      <w:tr w:rsidR="00EF57B7" w:rsidRPr="000A439C" w14:paraId="738A6DEF" w14:textId="77777777" w:rsidTr="001F2813">
        <w:trPr>
          <w:trHeight w:val="240"/>
        </w:trPr>
        <w:tc>
          <w:tcPr>
            <w:tcW w:w="508" w:type="dxa"/>
            <w:shd w:val="clear" w:color="auto" w:fill="auto"/>
            <w:vAlign w:val="bottom"/>
          </w:tcPr>
          <w:p w14:paraId="7F6E06C3" w14:textId="1F27A7C6" w:rsidR="00EF57B7" w:rsidRPr="000A439C" w:rsidRDefault="00EF57B7" w:rsidP="00EF57B7">
            <w:pPr>
              <w:pStyle w:val="SingleTxtG"/>
              <w:tabs>
                <w:tab w:val="clear" w:pos="1701"/>
                <w:tab w:val="clear" w:pos="2268"/>
                <w:tab w:val="clear" w:pos="2835"/>
              </w:tabs>
              <w:spacing w:before="40"/>
              <w:ind w:left="0" w:right="0"/>
              <w:jc w:val="left"/>
            </w:pPr>
            <w:r w:rsidRPr="000A439C">
              <w:rPr>
                <w:lang w:val="en-US"/>
              </w:rPr>
              <w:t>(A)</w:t>
            </w:r>
          </w:p>
        </w:tc>
        <w:tc>
          <w:tcPr>
            <w:tcW w:w="4454" w:type="dxa"/>
            <w:shd w:val="clear" w:color="auto" w:fill="auto"/>
            <w:vAlign w:val="bottom"/>
          </w:tcPr>
          <w:p w14:paraId="3B06567C" w14:textId="4F5C0C4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Muestra después del estrés térmico</w:t>
            </w:r>
          </w:p>
        </w:tc>
        <w:tc>
          <w:tcPr>
            <w:tcW w:w="425" w:type="dxa"/>
            <w:shd w:val="clear" w:color="auto" w:fill="auto"/>
            <w:vAlign w:val="bottom"/>
          </w:tcPr>
          <w:p w14:paraId="7D309F65" w14:textId="194FE639"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(B)</w:t>
            </w:r>
          </w:p>
        </w:tc>
        <w:tc>
          <w:tcPr>
            <w:tcW w:w="3117" w:type="dxa"/>
            <w:shd w:val="clear" w:color="auto" w:fill="auto"/>
            <w:vAlign w:val="bottom"/>
          </w:tcPr>
          <w:p w14:paraId="4D5FE96A" w14:textId="293FD7CC"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Muestra original</w:t>
            </w:r>
          </w:p>
        </w:tc>
      </w:tr>
      <w:tr w:rsidR="00EF57B7" w:rsidRPr="000A439C" w14:paraId="3A2A48EF" w14:textId="77777777" w:rsidTr="000A439C">
        <w:trPr>
          <w:trHeight w:val="240"/>
        </w:trPr>
        <w:tc>
          <w:tcPr>
            <w:tcW w:w="508" w:type="dxa"/>
            <w:shd w:val="clear" w:color="auto" w:fill="auto"/>
          </w:tcPr>
          <w:p w14:paraId="692E4C34" w14:textId="77777777" w:rsidR="00EF57B7" w:rsidRPr="000A439C" w:rsidRDefault="00EF57B7" w:rsidP="00EF57B7">
            <w:pPr>
              <w:pStyle w:val="SingleTxtG"/>
              <w:tabs>
                <w:tab w:val="clear" w:pos="1701"/>
                <w:tab w:val="clear" w:pos="2268"/>
                <w:tab w:val="clear" w:pos="2835"/>
              </w:tabs>
              <w:spacing w:before="40"/>
              <w:ind w:left="0" w:right="0"/>
              <w:jc w:val="left"/>
              <w:rPr>
                <w:lang w:val="en-US"/>
              </w:rPr>
            </w:pPr>
            <w:r w:rsidRPr="000A439C">
              <w:t>(C)</w:t>
            </w:r>
          </w:p>
        </w:tc>
        <w:tc>
          <w:tcPr>
            <w:tcW w:w="4454" w:type="dxa"/>
            <w:shd w:val="clear" w:color="auto" w:fill="auto"/>
          </w:tcPr>
          <w:p w14:paraId="302E64C5"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Fallo debido a la forma diferente de los picos</w:t>
            </w:r>
          </w:p>
        </w:tc>
        <w:tc>
          <w:tcPr>
            <w:tcW w:w="425" w:type="dxa"/>
            <w:shd w:val="clear" w:color="auto" w:fill="auto"/>
          </w:tcPr>
          <w:p w14:paraId="7EDCB965"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(D)</w:t>
            </w:r>
          </w:p>
        </w:tc>
        <w:tc>
          <w:tcPr>
            <w:tcW w:w="3117" w:type="dxa"/>
            <w:shd w:val="clear" w:color="auto" w:fill="auto"/>
          </w:tcPr>
          <w:p w14:paraId="74C1641B" w14:textId="62FE6C38"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Fallo por degradación</w:t>
            </w:r>
            <w:r w:rsidRPr="00BC12E0">
              <w:rPr>
                <w:lang w:val="es-ES_tradnl"/>
              </w:rPr>
              <w:br/>
              <w:t>(pérdida de energía &gt; 10 %)</w:t>
            </w:r>
          </w:p>
        </w:tc>
      </w:tr>
      <w:tr w:rsidR="00EF57B7" w:rsidRPr="000A439C" w14:paraId="492DDC44" w14:textId="77777777" w:rsidTr="000A439C">
        <w:trPr>
          <w:trHeight w:val="240"/>
        </w:trPr>
        <w:tc>
          <w:tcPr>
            <w:tcW w:w="508" w:type="dxa"/>
            <w:shd w:val="clear" w:color="auto" w:fill="auto"/>
          </w:tcPr>
          <w:p w14:paraId="033CCCAC" w14:textId="77777777" w:rsidR="00EF57B7" w:rsidRPr="000A439C" w:rsidRDefault="00EF57B7" w:rsidP="00EF57B7">
            <w:pPr>
              <w:pStyle w:val="SingleTxtG"/>
              <w:tabs>
                <w:tab w:val="clear" w:pos="1701"/>
                <w:tab w:val="clear" w:pos="2268"/>
                <w:tab w:val="clear" w:pos="2835"/>
              </w:tabs>
              <w:spacing w:before="40"/>
              <w:ind w:left="0" w:right="0"/>
              <w:jc w:val="left"/>
              <w:rPr>
                <w:lang w:val="en-US"/>
              </w:rPr>
            </w:pPr>
            <w:r w:rsidRPr="000A439C">
              <w:t>(E)</w:t>
            </w:r>
          </w:p>
        </w:tc>
        <w:tc>
          <w:tcPr>
            <w:tcW w:w="4454" w:type="dxa"/>
            <w:shd w:val="clear" w:color="auto" w:fill="auto"/>
          </w:tcPr>
          <w:p w14:paraId="4E849FC6" w14:textId="595DADD4"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Fallo debido a la forma diferente de los picos a</w:t>
            </w:r>
            <w:r>
              <w:rPr>
                <w:lang w:val="es-ES_tradnl"/>
              </w:rPr>
              <w:br/>
            </w:r>
            <w:r w:rsidRPr="00BC12E0">
              <w:rPr>
                <w:lang w:val="es-ES_tradnl"/>
              </w:rPr>
              <w:t>pesar de que la energía es tolerable</w:t>
            </w:r>
          </w:p>
        </w:tc>
        <w:tc>
          <w:tcPr>
            <w:tcW w:w="425" w:type="dxa"/>
            <w:shd w:val="clear" w:color="auto" w:fill="auto"/>
          </w:tcPr>
          <w:p w14:paraId="50F25F19"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(F)</w:t>
            </w:r>
          </w:p>
        </w:tc>
        <w:tc>
          <w:tcPr>
            <w:tcW w:w="3117" w:type="dxa"/>
            <w:shd w:val="clear" w:color="auto" w:fill="auto"/>
          </w:tcPr>
          <w:p w14:paraId="7D372FB3"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Superposición de gráficos</w:t>
            </w:r>
          </w:p>
        </w:tc>
      </w:tr>
      <w:tr w:rsidR="00EF57B7" w:rsidRPr="000A439C" w14:paraId="15B52D97" w14:textId="77777777" w:rsidTr="000A439C">
        <w:trPr>
          <w:trHeight w:val="240"/>
        </w:trPr>
        <w:tc>
          <w:tcPr>
            <w:tcW w:w="508" w:type="dxa"/>
            <w:tcBorders>
              <w:bottom w:val="single" w:sz="12" w:space="0" w:color="auto"/>
            </w:tcBorders>
            <w:shd w:val="clear" w:color="auto" w:fill="auto"/>
          </w:tcPr>
          <w:p w14:paraId="7F67E874" w14:textId="77777777" w:rsidR="00EF57B7" w:rsidRPr="000A439C" w:rsidRDefault="00EF57B7" w:rsidP="00EF57B7">
            <w:pPr>
              <w:pStyle w:val="SingleTxtG"/>
              <w:tabs>
                <w:tab w:val="clear" w:pos="1701"/>
                <w:tab w:val="clear" w:pos="2268"/>
                <w:tab w:val="clear" w:pos="2835"/>
              </w:tabs>
              <w:spacing w:before="40"/>
              <w:ind w:left="0" w:right="0"/>
              <w:jc w:val="left"/>
              <w:rPr>
                <w:lang w:val="en-US"/>
              </w:rPr>
            </w:pPr>
            <w:r w:rsidRPr="000A439C">
              <w:t>(G)</w:t>
            </w:r>
          </w:p>
        </w:tc>
        <w:tc>
          <w:tcPr>
            <w:tcW w:w="4454" w:type="dxa"/>
            <w:tcBorders>
              <w:bottom w:val="single" w:sz="12" w:space="0" w:color="auto"/>
            </w:tcBorders>
            <w:shd w:val="clear" w:color="auto" w:fill="auto"/>
          </w:tcPr>
          <w:p w14:paraId="504D9C7B"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r w:rsidRPr="00BC12E0">
              <w:rPr>
                <w:lang w:val="es-ES_tradnl"/>
              </w:rPr>
              <w:t>Falta el hombro del pico después del estrés térmico</w:t>
            </w:r>
          </w:p>
        </w:tc>
        <w:tc>
          <w:tcPr>
            <w:tcW w:w="425" w:type="dxa"/>
            <w:tcBorders>
              <w:bottom w:val="single" w:sz="12" w:space="0" w:color="auto"/>
            </w:tcBorders>
            <w:shd w:val="clear" w:color="auto" w:fill="auto"/>
          </w:tcPr>
          <w:p w14:paraId="4C78FBB7"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p>
        </w:tc>
        <w:tc>
          <w:tcPr>
            <w:tcW w:w="3117" w:type="dxa"/>
            <w:tcBorders>
              <w:bottom w:val="single" w:sz="12" w:space="0" w:color="auto"/>
            </w:tcBorders>
            <w:shd w:val="clear" w:color="auto" w:fill="auto"/>
          </w:tcPr>
          <w:p w14:paraId="585D7DEF" w14:textId="77777777" w:rsidR="00EF57B7" w:rsidRPr="00BC12E0" w:rsidRDefault="00EF57B7" w:rsidP="00EF57B7">
            <w:pPr>
              <w:pStyle w:val="SingleTxtG"/>
              <w:tabs>
                <w:tab w:val="clear" w:pos="1701"/>
                <w:tab w:val="clear" w:pos="2268"/>
                <w:tab w:val="clear" w:pos="2835"/>
              </w:tabs>
              <w:spacing w:before="40"/>
              <w:ind w:left="0" w:right="0"/>
              <w:jc w:val="left"/>
              <w:rPr>
                <w:lang w:val="es-ES_tradnl"/>
              </w:rPr>
            </w:pPr>
          </w:p>
        </w:tc>
      </w:tr>
    </w:tbl>
    <w:p w14:paraId="7CBC0BF7" w14:textId="77777777" w:rsidR="000A439C" w:rsidRDefault="000A439C">
      <w:pPr>
        <w:spacing w:line="240" w:lineRule="auto"/>
        <w:rPr>
          <w:b/>
          <w:bCs/>
        </w:rPr>
      </w:pPr>
      <w:r>
        <w:rPr>
          <w:b/>
          <w:bCs/>
        </w:rPr>
        <w:br w:type="page"/>
      </w:r>
    </w:p>
    <w:p w14:paraId="19869D86" w14:textId="286B6DF8" w:rsidR="00AF1011" w:rsidRDefault="00AF1011" w:rsidP="000A439C">
      <w:pPr>
        <w:pStyle w:val="SingleTxtG"/>
        <w:tabs>
          <w:tab w:val="clear" w:pos="1701"/>
          <w:tab w:val="clear" w:pos="2268"/>
          <w:tab w:val="clear" w:pos="2835"/>
        </w:tabs>
        <w:suppressAutoHyphens/>
        <w:spacing w:after="240"/>
        <w:ind w:left="2835" w:hanging="1701"/>
        <w:jc w:val="left"/>
        <w:rPr>
          <w:b/>
          <w:bCs/>
        </w:rPr>
      </w:pPr>
      <w:r w:rsidRPr="0038269A">
        <w:rPr>
          <w:b/>
          <w:bCs/>
        </w:rPr>
        <w:lastRenderedPageBreak/>
        <w:t>Figura 20.4:</w:t>
      </w:r>
      <w:r w:rsidR="000A439C">
        <w:rPr>
          <w:b/>
          <w:bCs/>
        </w:rPr>
        <w:tab/>
      </w:r>
      <w:r w:rsidRPr="0038269A">
        <w:rPr>
          <w:b/>
          <w:bCs/>
        </w:rPr>
        <w:t>Esquema del diagrama de flujo para la evaluación de la estabilidad térmica de las muestras según 20.3.4</w:t>
      </w:r>
    </w:p>
    <w:p w14:paraId="3C668D80" w14:textId="129AC2F5" w:rsidR="00766F71" w:rsidRDefault="007D6ED2" w:rsidP="00BC12E0">
      <w:pPr>
        <w:pStyle w:val="SingleTxtG"/>
        <w:tabs>
          <w:tab w:val="clear" w:pos="1701"/>
          <w:tab w:val="clear" w:pos="2268"/>
          <w:tab w:val="clear" w:pos="2835"/>
        </w:tabs>
        <w:suppressAutoHyphens/>
        <w:spacing w:after="240"/>
        <w:ind w:left="2835" w:hanging="1701"/>
        <w:rPr>
          <w:b/>
          <w:bCs/>
        </w:rPr>
      </w:pPr>
      <w:r>
        <w:object w:dxaOrig="8626" w:dyaOrig="10455" w14:anchorId="13871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448.55pt" o:ole="">
            <v:imagedata r:id="rId14" o:title=""/>
          </v:shape>
          <o:OLEObject Type="Embed" ProgID="Visio.Drawing.15" ShapeID="_x0000_i1025" DrawAspect="Content" ObjectID="_1687869834" r:id="rId15"/>
        </w:object>
      </w:r>
    </w:p>
    <w:p w14:paraId="41DE183E" w14:textId="77777777" w:rsidR="00AF1011" w:rsidRPr="0038269A" w:rsidRDefault="00AF1011" w:rsidP="00AF1011">
      <w:pPr>
        <w:pStyle w:val="SingleTxtG"/>
        <w:rPr>
          <w:i/>
          <w:iCs/>
          <w:lang w:val="en-GB"/>
        </w:rPr>
      </w:pPr>
      <w:r w:rsidRPr="0038269A">
        <w:rPr>
          <w:b/>
          <w:bCs/>
          <w:i/>
          <w:iCs/>
        </w:rPr>
        <w:t>NOTA 1:</w:t>
      </w:r>
      <w:r w:rsidRPr="0038269A">
        <w:tab/>
      </w:r>
      <w:r w:rsidRPr="0038269A">
        <w:rPr>
          <w:i/>
          <w:iCs/>
        </w:rPr>
        <w:t>Los pequeños episodios exotérmicos aislados (&lt; 20 J/g) anteriores a la descomposición principal pueden despreciarse.</w:t>
      </w:r>
    </w:p>
    <w:p w14:paraId="0054D15A" w14:textId="7FDE1362" w:rsidR="00AF1011" w:rsidRPr="0038269A" w:rsidRDefault="00AF1011" w:rsidP="00AF1011">
      <w:pPr>
        <w:pStyle w:val="SingleTxtG"/>
        <w:rPr>
          <w:i/>
          <w:iCs/>
          <w:lang w:val="en-GB"/>
        </w:rPr>
      </w:pPr>
      <w:r w:rsidRPr="0038269A">
        <w:rPr>
          <w:b/>
          <w:bCs/>
          <w:i/>
          <w:iCs/>
        </w:rPr>
        <w:t>NOTA 2:</w:t>
      </w:r>
      <w:r w:rsidRPr="0038269A">
        <w:tab/>
      </w:r>
      <w:r w:rsidRPr="0038269A">
        <w:rPr>
          <w:i/>
          <w:iCs/>
        </w:rPr>
        <w:t>Tolerancia general para la comparación de la energía debida a la incertidumbre de la medición: 10 %.</w:t>
      </w:r>
      <w:r w:rsidRPr="0038269A">
        <w:t xml:space="preserve"> </w:t>
      </w:r>
      <w:r w:rsidRPr="0038269A">
        <w:rPr>
          <w:i/>
          <w:iCs/>
        </w:rPr>
        <w:t xml:space="preserve">Para los picos planos con una producción de calor máxima de 0,2 W/g puede tolerarse una desviación del 25 % en rangos de temperatura inferiores a 250 </w:t>
      </w:r>
      <w:r w:rsidR="00EF57B7">
        <w:rPr>
          <w:i/>
          <w:iCs/>
        </w:rPr>
        <w:t>º</w:t>
      </w:r>
      <w:r w:rsidRPr="0038269A">
        <w:rPr>
          <w:i/>
          <w:iCs/>
        </w:rPr>
        <w:t>C y del 40 % por encima de ese límite.</w:t>
      </w:r>
    </w:p>
    <w:p w14:paraId="50F02078" w14:textId="77777777" w:rsidR="00AF1011" w:rsidRPr="0038269A" w:rsidRDefault="00AF1011" w:rsidP="00AF1011">
      <w:pPr>
        <w:pStyle w:val="SingleTxtG"/>
        <w:rPr>
          <w:lang w:val="en-GB"/>
        </w:rPr>
      </w:pPr>
      <w:r w:rsidRPr="0038269A">
        <w:t>Renumérense las figuras 20.2 y 20.3 como 20.5 y 20.6 respectivamente y actualícense las referencias cruzadas que aparecen en el párrafo 20.5.1.</w:t>
      </w:r>
    </w:p>
    <w:p w14:paraId="271A6CF8" w14:textId="77777777" w:rsidR="00AF1011" w:rsidRPr="0038269A" w:rsidRDefault="00AF1011" w:rsidP="00E0442F">
      <w:pPr>
        <w:pStyle w:val="H1G"/>
        <w:rPr>
          <w:lang w:val="en-GB"/>
        </w:rPr>
      </w:pPr>
      <w:r w:rsidRPr="0038269A">
        <w:tab/>
      </w:r>
      <w:r w:rsidRPr="0038269A">
        <w:tab/>
        <w:t>Sección 28</w:t>
      </w:r>
    </w:p>
    <w:p w14:paraId="3BD331FF" w14:textId="77777777" w:rsidR="00AF1011" w:rsidRPr="0038269A" w:rsidRDefault="00AF1011" w:rsidP="00E0442F">
      <w:pPr>
        <w:pStyle w:val="SingleTxtG"/>
        <w:tabs>
          <w:tab w:val="clear" w:pos="1701"/>
          <w:tab w:val="clear" w:pos="2835"/>
          <w:tab w:val="left" w:pos="3119"/>
        </w:tabs>
        <w:suppressAutoHyphens/>
        <w:rPr>
          <w:lang w:val="en-GB"/>
        </w:rPr>
      </w:pPr>
      <w:r w:rsidRPr="0038269A">
        <w:t>28.1</w:t>
      </w:r>
      <w:r w:rsidRPr="0038269A">
        <w:tab/>
        <w:t>Renumérese el primer párrafo de la sección 28.1 como 28.1.1 y modifíquese como sigue:</w:t>
      </w:r>
    </w:p>
    <w:p w14:paraId="3031DD8D" w14:textId="77777777" w:rsidR="00AF1011" w:rsidRPr="0038269A" w:rsidRDefault="00AF1011" w:rsidP="00E0442F">
      <w:pPr>
        <w:pStyle w:val="SingleTxtG"/>
        <w:tabs>
          <w:tab w:val="clear" w:pos="1701"/>
          <w:tab w:val="clear" w:pos="2835"/>
          <w:tab w:val="left" w:pos="3119"/>
        </w:tabs>
        <w:suppressAutoHyphens/>
        <w:rPr>
          <w:lang w:val="en-GB"/>
        </w:rPr>
      </w:pPr>
      <w:r w:rsidRPr="0038269A">
        <w:tab/>
        <w:t>La primera modificación no se aplica al texto en español.</w:t>
      </w:r>
    </w:p>
    <w:p w14:paraId="040D42DE" w14:textId="77777777" w:rsidR="00AF1011" w:rsidRPr="00EF57B7" w:rsidRDefault="00AF1011" w:rsidP="00C54B12">
      <w:pPr>
        <w:pStyle w:val="SingleTxtG"/>
        <w:tabs>
          <w:tab w:val="clear" w:pos="1701"/>
          <w:tab w:val="clear" w:pos="2835"/>
          <w:tab w:val="left" w:pos="3119"/>
        </w:tabs>
        <w:suppressAutoHyphens/>
        <w:ind w:left="2268" w:hanging="1134"/>
      </w:pPr>
      <w:r w:rsidRPr="0038269A">
        <w:lastRenderedPageBreak/>
        <w:tab/>
        <w:t xml:space="preserve">Modifíquese la última frase antes de los actuales apartados a) a c) para que </w:t>
      </w:r>
      <w:r w:rsidRPr="00EF57B7">
        <w:t>diga “Para interpretar los resultados, pueden utilizarse los siguientes modelos</w:t>
      </w:r>
      <w:r w:rsidRPr="00EF57B7">
        <w:rPr>
          <w:sz w:val="18"/>
          <w:szCs w:val="18"/>
          <w:vertAlign w:val="superscript"/>
        </w:rPr>
        <w:t>1</w:t>
      </w:r>
      <w:r w:rsidRPr="00EF57B7">
        <w:t>:”</w:t>
      </w:r>
    </w:p>
    <w:p w14:paraId="0BCAED8F" w14:textId="67E278FD" w:rsidR="00AF1011" w:rsidRPr="00EF57B7" w:rsidRDefault="00C54B12" w:rsidP="00AF1011">
      <w:pPr>
        <w:pStyle w:val="SingleTxtG"/>
      </w:pPr>
      <w:r w:rsidRPr="00EF57B7">
        <w:tab/>
      </w:r>
      <w:r w:rsidRPr="00EF57B7">
        <w:tab/>
      </w:r>
      <w:r w:rsidR="00AF1011" w:rsidRPr="00EF57B7">
        <w:t>Sustitúyanse los apartados a) a c) por los siguientes:</w:t>
      </w:r>
    </w:p>
    <w:p w14:paraId="03082F31" w14:textId="320BFCD7" w:rsidR="00AF1011" w:rsidRPr="00EF57B7" w:rsidRDefault="00C54B12" w:rsidP="00C54B12">
      <w:pPr>
        <w:pStyle w:val="SingleTxtG"/>
        <w:suppressAutoHyphens/>
        <w:ind w:left="2268" w:hanging="1134"/>
      </w:pPr>
      <w:r w:rsidRPr="00EF57B7">
        <w:tab/>
      </w:r>
      <w:r w:rsidR="00AF1011" w:rsidRPr="00EF57B7">
        <w:t>“a)</w:t>
      </w:r>
      <w:r w:rsidR="00AF1011" w:rsidRPr="00EF57B7">
        <w:tab/>
        <w:t>El modelo Semenov, en el que la principal resistencia al flujo de calor se encuentra en el límite (es decir, el envase/embalaje). Este modelo es generalmente aplicable a los líquidos homogéneos, pero también puede aplicarse a los sólidos contenidos en envases/embalajes (excluyendo los RIG);</w:t>
      </w:r>
    </w:p>
    <w:p w14:paraId="6C070CAA" w14:textId="16B2BD8C" w:rsidR="00AF1011" w:rsidRPr="00EF57B7" w:rsidRDefault="00E0442F" w:rsidP="00C54B12">
      <w:pPr>
        <w:pStyle w:val="SingleTxtG"/>
        <w:suppressAutoHyphens/>
        <w:ind w:left="2268" w:hanging="1134"/>
      </w:pPr>
      <w:r w:rsidRPr="00EF57B7">
        <w:tab/>
      </w:r>
      <w:r w:rsidR="00AF1011" w:rsidRPr="00EF57B7">
        <w:t>b)</w:t>
      </w:r>
      <w:r w:rsidR="00AF1011" w:rsidRPr="00EF57B7">
        <w:tab/>
        <w:t>El modelo Frank-Kamenetskii, en el que la principal resistencia al flujo de calor tiene lugar dentro de la sustancia. Este modelo es generalmente aplicable a los sólidos contenidos en envases/embalajes más grandes, RIG o cisternas;</w:t>
      </w:r>
    </w:p>
    <w:p w14:paraId="657DD9DB" w14:textId="621E5E14" w:rsidR="00AF1011" w:rsidRPr="00EF57B7" w:rsidRDefault="00E0442F" w:rsidP="00C54B12">
      <w:pPr>
        <w:pStyle w:val="SingleTxtG"/>
        <w:suppressAutoHyphens/>
        <w:ind w:left="2268" w:hanging="1134"/>
      </w:pPr>
      <w:r w:rsidRPr="00EF57B7">
        <w:tab/>
      </w:r>
      <w:r w:rsidR="00AF1011" w:rsidRPr="00EF57B7">
        <w:t>c)</w:t>
      </w:r>
      <w:r w:rsidR="00AF1011" w:rsidRPr="00EF57B7">
        <w:tab/>
        <w:t>El modelo Thomas, en el que la resistencia al flujo de calor tiene lugar tanto en el límite como dentro de la sustancia;</w:t>
      </w:r>
    </w:p>
    <w:p w14:paraId="281BA052" w14:textId="21FD7D34" w:rsidR="00AF1011" w:rsidRPr="0038269A" w:rsidRDefault="00E0442F" w:rsidP="00C54B12">
      <w:pPr>
        <w:pStyle w:val="SingleTxtG"/>
        <w:suppressAutoHyphens/>
        <w:ind w:left="2268" w:hanging="1134"/>
        <w:rPr>
          <w:lang w:val="en-GB"/>
        </w:rPr>
      </w:pPr>
      <w:r w:rsidRPr="00EF57B7">
        <w:tab/>
      </w:r>
      <w:r w:rsidR="00AF1011" w:rsidRPr="00EF57B7">
        <w:t>d)</w:t>
      </w:r>
      <w:r w:rsidR="00AF1011" w:rsidRPr="00EF57B7">
        <w:tab/>
        <w:t>Modelos no estacionarios, por ejemplo, métodos de elementos finitos (MEF), o dinámica de fluidos computacional (DFC), todos ellos combinados con métodos cinéticos térmicos</w:t>
      </w:r>
      <w:r w:rsidRPr="00EF57B7">
        <w:t>.</w:t>
      </w:r>
      <w:r w:rsidR="00AF1011" w:rsidRPr="00EF57B7">
        <w:t>”</w:t>
      </w:r>
    </w:p>
    <w:p w14:paraId="46E223A2" w14:textId="7FFB4E05" w:rsidR="00AF1011" w:rsidRPr="0038269A" w:rsidRDefault="00E0442F" w:rsidP="00C54B12">
      <w:pPr>
        <w:pStyle w:val="SingleTxtG"/>
        <w:suppressAutoHyphens/>
        <w:ind w:left="2268" w:hanging="1134"/>
        <w:rPr>
          <w:lang w:val="en-GB"/>
        </w:rPr>
      </w:pPr>
      <w:r>
        <w:tab/>
      </w:r>
      <w:r>
        <w:tab/>
      </w:r>
      <w:r w:rsidR="00AF1011" w:rsidRPr="0038269A">
        <w:t xml:space="preserve">Las referencias que actualmente se encuentran al final del párrafo se </w:t>
      </w:r>
      <w:r w:rsidR="00AF1011" w:rsidRPr="00C54B12">
        <w:rPr>
          <w:lang w:val="en-GB"/>
        </w:rPr>
        <w:t>convierten</w:t>
      </w:r>
      <w:r w:rsidR="00AF1011" w:rsidRPr="0038269A">
        <w:t xml:space="preserve"> en la nota “1”, que queda como sigue:</w:t>
      </w:r>
    </w:p>
    <w:p w14:paraId="6C7DE061" w14:textId="43CCBE45" w:rsidR="00AF1011" w:rsidRPr="0038269A" w:rsidRDefault="00AF1011" w:rsidP="00AF1011">
      <w:pPr>
        <w:pStyle w:val="SingleTxtG"/>
        <w:rPr>
          <w:lang w:val="en-GB"/>
        </w:rPr>
      </w:pPr>
      <w:r w:rsidRPr="0038269A">
        <w:t>“</w:t>
      </w:r>
      <w:r w:rsidRPr="00E0442F">
        <w:rPr>
          <w:sz w:val="18"/>
          <w:szCs w:val="18"/>
          <w:vertAlign w:val="superscript"/>
        </w:rPr>
        <w:t>1</w:t>
      </w:r>
      <w:r w:rsidRPr="0038269A">
        <w:t xml:space="preserve"> </w:t>
      </w:r>
      <w:r w:rsidRPr="0038269A">
        <w:rPr>
          <w:i/>
          <w:iCs/>
        </w:rPr>
        <w:t>Referencias: N.</w:t>
      </w:r>
      <w:r w:rsidR="00EF57B7">
        <w:rPr>
          <w:i/>
          <w:iCs/>
        </w:rPr>
        <w:t xml:space="preserve"> </w:t>
      </w:r>
      <w:r w:rsidRPr="0038269A">
        <w:rPr>
          <w:i/>
          <w:iCs/>
        </w:rPr>
        <w:t>N. Semenov, Z. Physik, 48, 1928, 571;</w:t>
      </w:r>
      <w:r w:rsidRPr="0038269A">
        <w:t xml:space="preserve"> </w:t>
      </w:r>
      <w:r w:rsidRPr="0038269A">
        <w:rPr>
          <w:i/>
          <w:iCs/>
        </w:rPr>
        <w:t>D.</w:t>
      </w:r>
      <w:r w:rsidR="00EF57B7">
        <w:rPr>
          <w:i/>
          <w:iCs/>
        </w:rPr>
        <w:t xml:space="preserve"> </w:t>
      </w:r>
      <w:r w:rsidRPr="0038269A">
        <w:rPr>
          <w:i/>
          <w:iCs/>
        </w:rPr>
        <w:t>A. Frank-Kamenetskii, Zhur.</w:t>
      </w:r>
      <w:r w:rsidRPr="0038269A">
        <w:t xml:space="preserve"> </w:t>
      </w:r>
      <w:r w:rsidRPr="0038269A">
        <w:rPr>
          <w:i/>
          <w:iCs/>
        </w:rPr>
        <w:t>Fiz.</w:t>
      </w:r>
      <w:r w:rsidRPr="0038269A">
        <w:t xml:space="preserve"> </w:t>
      </w:r>
      <w:r w:rsidRPr="0038269A">
        <w:rPr>
          <w:i/>
          <w:iCs/>
        </w:rPr>
        <w:t>Khim, 13, 1939, 738.</w:t>
      </w:r>
      <w:r w:rsidRPr="0038269A">
        <w:t xml:space="preserve"> </w:t>
      </w:r>
      <w:r w:rsidRPr="0038269A">
        <w:rPr>
          <w:i/>
          <w:iCs/>
        </w:rPr>
        <w:t>P.</w:t>
      </w:r>
      <w:r w:rsidR="00EF57B7">
        <w:rPr>
          <w:i/>
          <w:iCs/>
        </w:rPr>
        <w:t xml:space="preserve"> </w:t>
      </w:r>
      <w:r w:rsidRPr="0038269A">
        <w:rPr>
          <w:i/>
          <w:iCs/>
        </w:rPr>
        <w:t>H. Thomas, Trans.</w:t>
      </w:r>
      <w:r w:rsidRPr="0038269A">
        <w:t xml:space="preserve"> </w:t>
      </w:r>
      <w:r w:rsidRPr="0038269A">
        <w:rPr>
          <w:i/>
          <w:iCs/>
        </w:rPr>
        <w:t>Faraday Soc., 54, 1958, 60.”</w:t>
      </w:r>
    </w:p>
    <w:p w14:paraId="3415E3F9" w14:textId="6650284C" w:rsidR="00AF1011" w:rsidRPr="0038269A" w:rsidRDefault="00AF1011" w:rsidP="00C54B12">
      <w:pPr>
        <w:pStyle w:val="SingleTxtG"/>
        <w:suppressAutoHyphens/>
        <w:ind w:left="2268" w:hanging="1134"/>
        <w:rPr>
          <w:lang w:val="en-GB"/>
        </w:rPr>
      </w:pPr>
      <w:r w:rsidRPr="0038269A">
        <w:tab/>
      </w:r>
      <w:r w:rsidR="00E0442F">
        <w:tab/>
      </w:r>
      <w:r w:rsidRPr="0038269A">
        <w:t>Renumérese la frase “Debe utilizarse este texto... 2.5.3.4 del Reglamento Modelo” como 28.1.2.</w:t>
      </w:r>
    </w:p>
    <w:p w14:paraId="46D78F50" w14:textId="77777777" w:rsidR="00AF1011" w:rsidRPr="0038269A" w:rsidRDefault="00AF1011" w:rsidP="00AF1011">
      <w:pPr>
        <w:pStyle w:val="SingleTxtG"/>
        <w:rPr>
          <w:lang w:val="en-GB"/>
        </w:rPr>
      </w:pPr>
      <w:r w:rsidRPr="0038269A">
        <w:t>Insértese un nuevo párrafo 28.1.3 con el texto siguiente:</w:t>
      </w:r>
    </w:p>
    <w:p w14:paraId="56A1D152" w14:textId="77777777" w:rsidR="00AF1011" w:rsidRPr="0038269A" w:rsidRDefault="00AF1011" w:rsidP="00E0442F">
      <w:pPr>
        <w:pStyle w:val="SingleTxtG"/>
        <w:tabs>
          <w:tab w:val="clear" w:pos="1701"/>
          <w:tab w:val="clear" w:pos="2835"/>
          <w:tab w:val="left" w:pos="3119"/>
        </w:tabs>
        <w:suppressAutoHyphens/>
        <w:rPr>
          <w:lang w:val="en-GB"/>
        </w:rPr>
      </w:pPr>
      <w:r w:rsidRPr="0038269A">
        <w:t>“28.1.3</w:t>
      </w:r>
      <w:r w:rsidRPr="0038269A">
        <w:tab/>
        <w:t xml:space="preserve">Tanto la TDAA como la TPAA pueden verse influidas por factores como el envejecimiento de la muestra o la presencia en esta de estabilizadores o impurezas (incluidos los materiales del envase/embalaje en contacto con la sustancia). Esos factores que pueden tener influencia deben tenerse en cuenta a la hora de evaluar los resultados de una determinación de la TDAA o de la TPAA.” </w:t>
      </w:r>
    </w:p>
    <w:p w14:paraId="18E807CA" w14:textId="77777777" w:rsidR="00AF1011" w:rsidRPr="0038269A" w:rsidRDefault="00AF1011" w:rsidP="00E0442F">
      <w:pPr>
        <w:pStyle w:val="SingleTxtG"/>
        <w:tabs>
          <w:tab w:val="clear" w:pos="1701"/>
          <w:tab w:val="clear" w:pos="2835"/>
          <w:tab w:val="left" w:pos="3119"/>
        </w:tabs>
        <w:suppressAutoHyphens/>
        <w:rPr>
          <w:lang w:val="en-GB"/>
        </w:rPr>
      </w:pPr>
      <w:r w:rsidRPr="0038269A">
        <w:t>28.2.2</w:t>
      </w:r>
      <w:r w:rsidRPr="0038269A">
        <w:tab/>
        <w:t>En el cuadro 28.1, modifíquese el nombre de la prueba H.1 como sigue: “Prueba de determinación de la TDAA/</w:t>
      </w:r>
      <w:r w:rsidRPr="00E0442F">
        <w:rPr>
          <w:lang w:val="en-GB"/>
        </w:rPr>
        <w:t>TPAA</w:t>
      </w:r>
      <w:r w:rsidRPr="0038269A">
        <w:t xml:space="preserve"> (Estados Unidos)” y sustitúyase “(PAI)” por “(PAI)</w:t>
      </w:r>
      <w:r w:rsidRPr="0038269A">
        <w:rPr>
          <w:vertAlign w:val="superscript"/>
        </w:rPr>
        <w:t>b</w:t>
      </w:r>
      <w:r w:rsidRPr="0038269A">
        <w:t>”.</w:t>
      </w:r>
    </w:p>
    <w:p w14:paraId="187F916C" w14:textId="10247ED8" w:rsidR="00AF1011" w:rsidRPr="0038269A" w:rsidRDefault="00AF1011" w:rsidP="00E0442F">
      <w:pPr>
        <w:pStyle w:val="SingleTxtG"/>
        <w:tabs>
          <w:tab w:val="clear" w:pos="1701"/>
          <w:tab w:val="clear" w:pos="2835"/>
          <w:tab w:val="left" w:pos="3119"/>
        </w:tabs>
        <w:suppressAutoHyphens/>
        <w:rPr>
          <w:lang w:val="en-GB"/>
        </w:rPr>
      </w:pPr>
      <w:r w:rsidRPr="0038269A">
        <w:t>28.2.6</w:t>
      </w:r>
      <w:r w:rsidRPr="0038269A">
        <w:tab/>
        <w:t>Sustitúyase “Los resultados obtenidos con el mayor bulto comercial” por “Los resultados obtenidos con los mayores bultos comerciales”.</w:t>
      </w:r>
    </w:p>
    <w:p w14:paraId="70FAA92F" w14:textId="6322EAF9" w:rsidR="00AF1011" w:rsidRPr="00EF57B7" w:rsidRDefault="00AF1011" w:rsidP="00E0442F">
      <w:pPr>
        <w:pStyle w:val="SingleTxtG"/>
        <w:tabs>
          <w:tab w:val="clear" w:pos="1701"/>
          <w:tab w:val="clear" w:pos="2835"/>
          <w:tab w:val="left" w:pos="3119"/>
        </w:tabs>
        <w:suppressAutoHyphens/>
        <w:rPr>
          <w:lang w:val="es-ES_tradnl"/>
        </w:rPr>
      </w:pPr>
      <w:r w:rsidRPr="0038269A">
        <w:t>28.3.4</w:t>
      </w:r>
      <w:r w:rsidRPr="0038269A">
        <w:tab/>
      </w:r>
      <w:r w:rsidRPr="00EF57B7">
        <w:rPr>
          <w:lang w:val="es-ES_tradnl"/>
        </w:rPr>
        <w:t>Sustitúyase “deben emplearse para la determinación real” por “deben emplearse para la determinación definitiva”.</w:t>
      </w:r>
    </w:p>
    <w:p w14:paraId="5B395ED1" w14:textId="4D9D4FBD" w:rsidR="00AF1011" w:rsidRPr="00EF57B7" w:rsidRDefault="00AF1011" w:rsidP="00E0442F">
      <w:pPr>
        <w:pStyle w:val="SingleTxtG"/>
        <w:tabs>
          <w:tab w:val="clear" w:pos="1701"/>
          <w:tab w:val="clear" w:pos="2835"/>
          <w:tab w:val="left" w:pos="3119"/>
        </w:tabs>
        <w:suppressAutoHyphens/>
        <w:rPr>
          <w:lang w:val="es-ES_tradnl"/>
        </w:rPr>
      </w:pPr>
      <w:r w:rsidRPr="00EF57B7">
        <w:rPr>
          <w:lang w:val="es-ES_tradnl"/>
        </w:rPr>
        <w:t>28.3.5</w:t>
      </w:r>
      <w:r w:rsidRPr="00EF57B7">
        <w:rPr>
          <w:lang w:val="es-ES_tradnl"/>
        </w:rPr>
        <w:tab/>
        <w:t>Al final de la primera frase, añádase las nuevas frases siguientes:</w:t>
      </w:r>
    </w:p>
    <w:p w14:paraId="42F763BF" w14:textId="3EE8E480" w:rsidR="00AF1011" w:rsidRPr="0038269A" w:rsidRDefault="00AF1011" w:rsidP="00AF1011">
      <w:pPr>
        <w:pStyle w:val="SingleTxtG"/>
        <w:rPr>
          <w:lang w:val="en-GB"/>
        </w:rPr>
      </w:pPr>
      <w:r w:rsidRPr="00EF57B7">
        <w:rPr>
          <w:lang w:val="es-ES_tradnl"/>
        </w:rPr>
        <w:t>“En el cuadro 28.4 se indica una pérdida de calor estándar por unidad de masa para todos los tipos de embalajes de hasta 50 kg para sólidos o 200 kg</w:t>
      </w:r>
      <w:r w:rsidRPr="0038269A">
        <w:t>/225 litros para líquidos y para los RIG de hasta 1</w:t>
      </w:r>
      <w:r w:rsidR="00EF57B7">
        <w:t>.</w:t>
      </w:r>
      <w:r w:rsidRPr="0038269A">
        <w:t>250 litros para líquidos. En el caso de otros embalajes, RIG o cisternas, o cuando sea necesario un valor de pérdida de calor que se desvíe del indicado en el cuadro</w:t>
      </w:r>
      <w:r w:rsidR="00FB5A89">
        <w:t> </w:t>
      </w:r>
      <w:r w:rsidRPr="0038269A">
        <w:t>28.4, deberá determinarse el valor real de la pérdida de calor por unidad de masa.”</w:t>
      </w:r>
    </w:p>
    <w:p w14:paraId="27BA7ED7" w14:textId="7E7C2390" w:rsidR="00AF1011" w:rsidRPr="0038269A" w:rsidRDefault="00AF1011" w:rsidP="00FB5A89">
      <w:pPr>
        <w:pStyle w:val="SingleTxtG"/>
        <w:tabs>
          <w:tab w:val="clear" w:pos="1701"/>
          <w:tab w:val="clear" w:pos="2835"/>
          <w:tab w:val="left" w:pos="3119"/>
        </w:tabs>
        <w:suppressAutoHyphens/>
        <w:ind w:left="2268"/>
        <w:rPr>
          <w:lang w:val="en-GB"/>
        </w:rPr>
      </w:pPr>
      <w:r w:rsidRPr="0038269A">
        <w:t xml:space="preserve">En la frase que comienza con “La pérdida térmica por unidad de masa”, modifíquese el comienzo para que diga “En este caso, la pérdida térmica por unidad de </w:t>
      </w:r>
      <w:r w:rsidRPr="00FB5A89">
        <w:rPr>
          <w:lang w:val="en-GB"/>
        </w:rPr>
        <w:t>masa</w:t>
      </w:r>
      <w:r w:rsidRPr="0038269A">
        <w:t xml:space="preserve"> del bulto...” y sustitúyase “... la transmisión del calor en la sustancia y de la transferencia del calor al medio ambiente a través del embalaje/envase)” por “... la transmisión del calor en la sustancia, la transferencia del calor al medio ambiente a través del embalaje/envase y desde la pared exterior del embalaje/envase) (véase la nota))...”.</w:t>
      </w:r>
    </w:p>
    <w:p w14:paraId="38A0B986" w14:textId="77777777" w:rsidR="00AF1011" w:rsidRPr="0038269A" w:rsidRDefault="00AF1011" w:rsidP="00FB5A89">
      <w:pPr>
        <w:pStyle w:val="SingleTxtG"/>
        <w:tabs>
          <w:tab w:val="clear" w:pos="1701"/>
          <w:tab w:val="clear" w:pos="2835"/>
          <w:tab w:val="left" w:pos="3119"/>
        </w:tabs>
        <w:suppressAutoHyphens/>
        <w:ind w:left="2268"/>
        <w:rPr>
          <w:lang w:val="en-GB"/>
        </w:rPr>
      </w:pPr>
      <w:r w:rsidRPr="0038269A">
        <w:t>Insértese la nueva nota siguiente:</w:t>
      </w:r>
    </w:p>
    <w:p w14:paraId="08FA2519" w14:textId="77777777" w:rsidR="00AF1011" w:rsidRPr="0038269A" w:rsidRDefault="00AF1011" w:rsidP="00AF1011">
      <w:pPr>
        <w:pStyle w:val="SingleTxtG"/>
        <w:rPr>
          <w:i/>
          <w:iCs/>
          <w:lang w:val="en-GB"/>
        </w:rPr>
      </w:pPr>
      <w:r w:rsidRPr="000E36EC">
        <w:rPr>
          <w:i/>
          <w:iCs/>
        </w:rPr>
        <w:lastRenderedPageBreak/>
        <w:t>“</w:t>
      </w:r>
      <w:r w:rsidRPr="0038269A">
        <w:rPr>
          <w:b/>
          <w:bCs/>
          <w:i/>
          <w:iCs/>
        </w:rPr>
        <w:t>NOTA:</w:t>
      </w:r>
      <w:r w:rsidRPr="0038269A">
        <w:tab/>
      </w:r>
      <w:r w:rsidRPr="0038269A">
        <w:rPr>
          <w:i/>
          <w:iCs/>
        </w:rPr>
        <w:t>Para los cálculos, se puede utilizar un coeficiente de transferencia de calor externo (es decir, la transferencia de calor de la pared exterior del envase/embalaje al medio ambiente) de 5 W/m</w:t>
      </w:r>
      <w:r w:rsidRPr="0038269A">
        <w:rPr>
          <w:i/>
          <w:iCs/>
          <w:vertAlign w:val="superscript"/>
        </w:rPr>
        <w:t>2</w:t>
      </w:r>
      <w:r w:rsidRPr="0038269A">
        <w:rPr>
          <w:i/>
          <w:iCs/>
        </w:rPr>
        <w:t>.K”.</w:t>
      </w:r>
    </w:p>
    <w:p w14:paraId="7F6DD445" w14:textId="77777777" w:rsidR="00AF1011" w:rsidRPr="0038269A" w:rsidRDefault="00AF1011" w:rsidP="00FB5A89">
      <w:pPr>
        <w:pStyle w:val="SingleTxtG"/>
        <w:tabs>
          <w:tab w:val="clear" w:pos="1701"/>
          <w:tab w:val="clear" w:pos="2835"/>
          <w:tab w:val="left" w:pos="3119"/>
        </w:tabs>
        <w:suppressAutoHyphens/>
        <w:rPr>
          <w:lang w:val="en-GB"/>
        </w:rPr>
      </w:pPr>
      <w:r w:rsidRPr="0038269A">
        <w:t>28.3.6</w:t>
      </w:r>
      <w:r w:rsidRPr="0038269A">
        <w:tab/>
        <w:t>No se aplica al texto en español.</w:t>
      </w:r>
    </w:p>
    <w:p w14:paraId="33755101" w14:textId="1A482D81" w:rsidR="00AF1011" w:rsidRPr="0038269A" w:rsidRDefault="00AF1011" w:rsidP="00FB5A89">
      <w:pPr>
        <w:pStyle w:val="SingleTxtG"/>
        <w:tabs>
          <w:tab w:val="clear" w:pos="1701"/>
          <w:tab w:val="clear" w:pos="2835"/>
          <w:tab w:val="left" w:pos="3119"/>
        </w:tabs>
        <w:suppressAutoHyphens/>
        <w:ind w:left="2268"/>
        <w:rPr>
          <w:lang w:val="en-GB"/>
        </w:rPr>
      </w:pPr>
      <w:r w:rsidRPr="0038269A">
        <w:t xml:space="preserve">Insértese la siguiente cuarta frase nueva: “En el caso de los sólidos, por ejemplo, el embalaje/envase puede </w:t>
      </w:r>
      <w:r w:rsidRPr="00FB5A89">
        <w:rPr>
          <w:lang w:val="en-GB"/>
        </w:rPr>
        <w:t>llenarse</w:t>
      </w:r>
      <w:r w:rsidRPr="0038269A">
        <w:t xml:space="preserve"> con carbonato de sodio anhidro denso (densidad aparente superior a 1 g/cm</w:t>
      </w:r>
      <w:r w:rsidRPr="00EF57B7">
        <w:rPr>
          <w:sz w:val="18"/>
          <w:szCs w:val="18"/>
          <w:vertAlign w:val="superscript"/>
        </w:rPr>
        <w:t>3</w:t>
      </w:r>
      <w:r w:rsidRPr="0038269A">
        <w:t xml:space="preserve">) y calentarse a unos 80 </w:t>
      </w:r>
      <w:r w:rsidR="00EF57B7">
        <w:t>º</w:t>
      </w:r>
      <w:r w:rsidRPr="0038269A">
        <w:t>C</w:t>
      </w:r>
      <w:r w:rsidR="00EF57B7">
        <w:t>.</w:t>
      </w:r>
      <w:r w:rsidRPr="0038269A">
        <w:t>”</w:t>
      </w:r>
      <w:r w:rsidR="00EF57B7">
        <w:t>.</w:t>
      </w:r>
    </w:p>
    <w:p w14:paraId="36B1699B" w14:textId="07186D3F" w:rsidR="00AF1011" w:rsidRPr="0038269A" w:rsidRDefault="00AF1011" w:rsidP="00FB5A89">
      <w:pPr>
        <w:pStyle w:val="SingleTxtG"/>
        <w:tabs>
          <w:tab w:val="clear" w:pos="1701"/>
          <w:tab w:val="clear" w:pos="2835"/>
          <w:tab w:val="left" w:pos="3119"/>
        </w:tabs>
        <w:suppressAutoHyphens/>
        <w:rPr>
          <w:i/>
          <w:iCs/>
          <w:lang w:val="en-GB"/>
        </w:rPr>
      </w:pPr>
      <w:r w:rsidRPr="0038269A">
        <w:t>28.3.7</w:t>
      </w:r>
      <w:r w:rsidRPr="0038269A">
        <w:tab/>
        <w:t xml:space="preserve">Modifíquese el comienzo de la primera frase como sigue: “Las características estándar de pérdida de calor de </w:t>
      </w:r>
      <w:r w:rsidRPr="00FB5A89">
        <w:rPr>
          <w:lang w:val="en-GB"/>
        </w:rPr>
        <w:t>los</w:t>
      </w:r>
      <w:r w:rsidRPr="0038269A">
        <w:t xml:space="preserve"> embalajes, los RIG y las cisternas se indican en el cuadro</w:t>
      </w:r>
      <w:r w:rsidR="000E36EC">
        <w:t> </w:t>
      </w:r>
      <w:r w:rsidRPr="0038269A">
        <w:t>28.4”.</w:t>
      </w:r>
    </w:p>
    <w:p w14:paraId="4F2D3BC5" w14:textId="64EEC56A" w:rsidR="00AF1011" w:rsidRPr="0038269A" w:rsidRDefault="00AF1011" w:rsidP="00FB5A89">
      <w:pPr>
        <w:pStyle w:val="SingleTxtG"/>
        <w:tabs>
          <w:tab w:val="clear" w:pos="1701"/>
          <w:tab w:val="clear" w:pos="2835"/>
          <w:tab w:val="left" w:pos="3119"/>
        </w:tabs>
        <w:suppressAutoHyphens/>
        <w:ind w:left="2268"/>
        <w:rPr>
          <w:lang w:val="en-GB"/>
        </w:rPr>
      </w:pPr>
      <w:r w:rsidRPr="0038269A">
        <w:t xml:space="preserve">Sustitúyanse el actual cuadro 28.4 y sus notas por el siguiente: </w:t>
      </w:r>
    </w:p>
    <w:p w14:paraId="155AD3F4" w14:textId="7929F821" w:rsidR="00AF1011" w:rsidRPr="0038269A" w:rsidRDefault="00FB5A89" w:rsidP="00FB5A89">
      <w:pPr>
        <w:pStyle w:val="SingleTxtG"/>
        <w:tabs>
          <w:tab w:val="clear" w:pos="1701"/>
          <w:tab w:val="clear" w:pos="2268"/>
          <w:tab w:val="clear" w:pos="2835"/>
        </w:tabs>
        <w:jc w:val="center"/>
        <w:rPr>
          <w:b/>
          <w:bCs/>
          <w:lang w:val="en-GB"/>
        </w:rPr>
      </w:pPr>
      <w:r>
        <w:rPr>
          <w:b/>
          <w:bCs/>
        </w:rPr>
        <w:t>“</w:t>
      </w:r>
      <w:r w:rsidR="00AF1011" w:rsidRPr="0038269A">
        <w:rPr>
          <w:b/>
          <w:bCs/>
        </w:rPr>
        <w:t xml:space="preserve">Cuadro 28.4: </w:t>
      </w:r>
      <w:r w:rsidRPr="0038269A">
        <w:rPr>
          <w:b/>
          <w:bCs/>
        </w:rPr>
        <w:t>Pérdida de calor por unidad de masa en bultos</w:t>
      </w:r>
      <w:r w:rsidR="00AF1011" w:rsidRPr="0038269A">
        <w:rPr>
          <w:b/>
          <w:bCs/>
        </w:rPr>
        <w:t>,</w:t>
      </w:r>
      <w:r>
        <w:rPr>
          <w:b/>
          <w:bCs/>
        </w:rPr>
        <w:br/>
      </w:r>
      <w:r w:rsidRPr="0038269A">
        <w:rPr>
          <w:b/>
          <w:bCs/>
        </w:rPr>
        <w:t>RIG y cisternas</w:t>
      </w:r>
    </w:p>
    <w:tbl>
      <w:tblPr>
        <w:tblW w:w="7370" w:type="dxa"/>
        <w:tblInd w:w="1134" w:type="dxa"/>
        <w:tblBorders>
          <w:top w:val="single" w:sz="4" w:space="0" w:color="auto"/>
        </w:tblBorders>
        <w:tblCellMar>
          <w:left w:w="119" w:type="dxa"/>
          <w:right w:w="119" w:type="dxa"/>
        </w:tblCellMar>
        <w:tblLook w:val="0000" w:firstRow="0" w:lastRow="0" w:firstColumn="0" w:lastColumn="0" w:noHBand="0" w:noVBand="0"/>
      </w:tblPr>
      <w:tblGrid>
        <w:gridCol w:w="2190"/>
        <w:gridCol w:w="2326"/>
        <w:gridCol w:w="2854"/>
      </w:tblGrid>
      <w:tr w:rsidR="00AF1011" w:rsidRPr="0038269A" w14:paraId="5B50A040" w14:textId="77777777" w:rsidTr="00FB5A89">
        <w:trPr>
          <w:cantSplit/>
          <w:trHeight w:val="240"/>
          <w:tblHeader/>
        </w:trPr>
        <w:tc>
          <w:tcPr>
            <w:tcW w:w="1486" w:type="pct"/>
            <w:tcBorders>
              <w:top w:val="single" w:sz="4" w:space="0" w:color="auto"/>
              <w:bottom w:val="single" w:sz="12" w:space="0" w:color="auto"/>
            </w:tcBorders>
            <w:shd w:val="clear" w:color="auto" w:fill="auto"/>
            <w:vAlign w:val="bottom"/>
          </w:tcPr>
          <w:p w14:paraId="05D0D798" w14:textId="3A7743B6" w:rsidR="00AF1011" w:rsidRPr="00FB5A89" w:rsidRDefault="00AF1011" w:rsidP="00FB5A89">
            <w:pPr>
              <w:spacing w:before="40" w:after="40"/>
              <w:rPr>
                <w:b/>
                <w:iCs/>
                <w:sz w:val="18"/>
                <w:szCs w:val="22"/>
                <w:lang w:val="en-GB"/>
              </w:rPr>
            </w:pPr>
            <w:r w:rsidRPr="00FB5A89">
              <w:rPr>
                <w:rFonts w:eastAsia="Calibri"/>
                <w:b/>
              </w:rPr>
              <w:t>Tipo de recipiente</w:t>
            </w:r>
          </w:p>
        </w:tc>
        <w:tc>
          <w:tcPr>
            <w:tcW w:w="1578" w:type="pct"/>
            <w:tcBorders>
              <w:top w:val="single" w:sz="4" w:space="0" w:color="auto"/>
              <w:bottom w:val="single" w:sz="12" w:space="0" w:color="auto"/>
            </w:tcBorders>
            <w:shd w:val="clear" w:color="auto" w:fill="auto"/>
            <w:vAlign w:val="bottom"/>
          </w:tcPr>
          <w:p w14:paraId="37EB8A4E" w14:textId="0C6D7623" w:rsidR="00AF1011" w:rsidRPr="00FB5A89" w:rsidRDefault="00AF1011" w:rsidP="00FB5A89">
            <w:pPr>
              <w:spacing w:before="40" w:after="40"/>
              <w:rPr>
                <w:rFonts w:eastAsia="Calibri"/>
                <w:b/>
              </w:rPr>
            </w:pPr>
            <w:r w:rsidRPr="00FB5A89">
              <w:rPr>
                <w:rFonts w:eastAsia="Calibri"/>
                <w:b/>
              </w:rPr>
              <w:t>Capacidad nominal</w:t>
            </w:r>
          </w:p>
        </w:tc>
        <w:tc>
          <w:tcPr>
            <w:tcW w:w="1936" w:type="pct"/>
            <w:tcBorders>
              <w:top w:val="single" w:sz="4" w:space="0" w:color="auto"/>
              <w:bottom w:val="single" w:sz="12" w:space="0" w:color="auto"/>
            </w:tcBorders>
            <w:shd w:val="clear" w:color="auto" w:fill="auto"/>
            <w:vAlign w:val="bottom"/>
          </w:tcPr>
          <w:p w14:paraId="6225B2FE" w14:textId="5E59C819" w:rsidR="00AF1011" w:rsidRPr="00FB5A89" w:rsidRDefault="00AF1011" w:rsidP="00FB5A89">
            <w:pPr>
              <w:spacing w:before="40" w:after="40"/>
              <w:jc w:val="right"/>
              <w:rPr>
                <w:rFonts w:eastAsia="Calibri"/>
                <w:b/>
              </w:rPr>
            </w:pPr>
            <w:r w:rsidRPr="00FB5A89">
              <w:rPr>
                <w:rFonts w:eastAsia="Calibri"/>
                <w:b/>
              </w:rPr>
              <w:t>Pérdida de calor por unidad de masa (L) (mW/K.kg)</w:t>
            </w:r>
            <w:r w:rsidRPr="005C2C77">
              <w:rPr>
                <w:rFonts w:eastAsia="Calibri"/>
                <w:b/>
                <w:vertAlign w:val="superscript"/>
              </w:rPr>
              <w:t>a</w:t>
            </w:r>
          </w:p>
        </w:tc>
      </w:tr>
      <w:tr w:rsidR="00AF1011" w:rsidRPr="0038269A" w14:paraId="149D2F27" w14:textId="77777777" w:rsidTr="00EF57B7">
        <w:trPr>
          <w:cantSplit/>
          <w:trHeight w:hRule="exact" w:val="113"/>
        </w:trPr>
        <w:tc>
          <w:tcPr>
            <w:tcW w:w="1486" w:type="pct"/>
            <w:tcBorders>
              <w:top w:val="single" w:sz="12" w:space="0" w:color="auto"/>
            </w:tcBorders>
            <w:shd w:val="clear" w:color="auto" w:fill="auto"/>
          </w:tcPr>
          <w:p w14:paraId="3F209942" w14:textId="672C4F65" w:rsidR="00AF1011" w:rsidRPr="00BC12E0" w:rsidRDefault="00AF1011" w:rsidP="0046137D">
            <w:pPr>
              <w:pStyle w:val="SingleTxtG"/>
              <w:tabs>
                <w:tab w:val="clear" w:pos="1701"/>
                <w:tab w:val="clear" w:pos="2268"/>
                <w:tab w:val="clear" w:pos="2835"/>
              </w:tabs>
              <w:spacing w:before="40"/>
              <w:ind w:left="0" w:right="0"/>
              <w:jc w:val="left"/>
              <w:rPr>
                <w:b/>
                <w:bCs/>
                <w:lang w:val="en-GB"/>
              </w:rPr>
            </w:pPr>
          </w:p>
        </w:tc>
        <w:tc>
          <w:tcPr>
            <w:tcW w:w="1578" w:type="pct"/>
            <w:tcBorders>
              <w:top w:val="single" w:sz="12" w:space="0" w:color="auto"/>
            </w:tcBorders>
            <w:shd w:val="clear" w:color="auto" w:fill="auto"/>
          </w:tcPr>
          <w:p w14:paraId="60A442EE" w14:textId="59B3D323" w:rsidR="00AF1011" w:rsidRPr="0038269A" w:rsidRDefault="00AF1011" w:rsidP="0046137D">
            <w:pPr>
              <w:pStyle w:val="SingleTxtG"/>
              <w:tabs>
                <w:tab w:val="clear" w:pos="1701"/>
                <w:tab w:val="clear" w:pos="2268"/>
                <w:tab w:val="clear" w:pos="2835"/>
              </w:tabs>
              <w:spacing w:before="40"/>
              <w:ind w:left="0" w:right="0"/>
              <w:jc w:val="left"/>
              <w:rPr>
                <w:lang w:val="en-GB"/>
              </w:rPr>
            </w:pPr>
          </w:p>
        </w:tc>
        <w:tc>
          <w:tcPr>
            <w:tcW w:w="1936" w:type="pct"/>
            <w:tcBorders>
              <w:top w:val="single" w:sz="12" w:space="0" w:color="auto"/>
            </w:tcBorders>
            <w:shd w:val="clear" w:color="auto" w:fill="auto"/>
          </w:tcPr>
          <w:p w14:paraId="18A88904" w14:textId="44D8892C" w:rsidR="00AF1011" w:rsidRPr="0038269A" w:rsidRDefault="00AF1011" w:rsidP="00FB5A89">
            <w:pPr>
              <w:pStyle w:val="SingleTxtG"/>
              <w:tabs>
                <w:tab w:val="clear" w:pos="1701"/>
                <w:tab w:val="clear" w:pos="2268"/>
                <w:tab w:val="clear" w:pos="2835"/>
              </w:tabs>
              <w:spacing w:before="40"/>
              <w:ind w:left="0" w:right="0"/>
              <w:jc w:val="right"/>
              <w:rPr>
                <w:lang w:val="en-GB"/>
              </w:rPr>
            </w:pPr>
          </w:p>
        </w:tc>
      </w:tr>
      <w:tr w:rsidR="00EF57B7" w:rsidRPr="0038269A" w14:paraId="4E97AB03" w14:textId="77777777" w:rsidTr="00FB5A89">
        <w:trPr>
          <w:cantSplit/>
          <w:trHeight w:val="240"/>
        </w:trPr>
        <w:tc>
          <w:tcPr>
            <w:tcW w:w="1486" w:type="pct"/>
            <w:shd w:val="clear" w:color="auto" w:fill="auto"/>
          </w:tcPr>
          <w:p w14:paraId="13260AFC" w14:textId="008BE8EE" w:rsidR="00EF57B7" w:rsidRPr="0038269A" w:rsidRDefault="00EF57B7" w:rsidP="00EF57B7">
            <w:pPr>
              <w:pStyle w:val="SingleTxtG"/>
              <w:tabs>
                <w:tab w:val="clear" w:pos="1701"/>
                <w:tab w:val="clear" w:pos="2268"/>
                <w:tab w:val="clear" w:pos="2835"/>
              </w:tabs>
              <w:spacing w:before="40"/>
              <w:ind w:left="0" w:right="0"/>
              <w:jc w:val="left"/>
            </w:pPr>
            <w:r w:rsidRPr="00BC12E0">
              <w:rPr>
                <w:b/>
                <w:bCs/>
                <w:iCs/>
              </w:rPr>
              <w:t>Para líquidos:</w:t>
            </w:r>
          </w:p>
        </w:tc>
        <w:tc>
          <w:tcPr>
            <w:tcW w:w="1578" w:type="pct"/>
            <w:shd w:val="clear" w:color="auto" w:fill="auto"/>
          </w:tcPr>
          <w:p w14:paraId="35802670" w14:textId="77777777" w:rsidR="00EF57B7" w:rsidRPr="0038269A" w:rsidRDefault="00EF57B7" w:rsidP="00EF57B7">
            <w:pPr>
              <w:pStyle w:val="SingleTxtG"/>
              <w:tabs>
                <w:tab w:val="clear" w:pos="1701"/>
                <w:tab w:val="clear" w:pos="2268"/>
                <w:tab w:val="clear" w:pos="2835"/>
              </w:tabs>
              <w:spacing w:before="40"/>
              <w:ind w:left="0" w:right="0"/>
              <w:jc w:val="left"/>
            </w:pPr>
          </w:p>
        </w:tc>
        <w:tc>
          <w:tcPr>
            <w:tcW w:w="1936" w:type="pct"/>
            <w:shd w:val="clear" w:color="auto" w:fill="auto"/>
          </w:tcPr>
          <w:p w14:paraId="104F55B5" w14:textId="77777777" w:rsidR="00EF57B7" w:rsidRPr="0038269A" w:rsidRDefault="00EF57B7" w:rsidP="00EF57B7">
            <w:pPr>
              <w:pStyle w:val="SingleTxtG"/>
              <w:tabs>
                <w:tab w:val="clear" w:pos="1701"/>
                <w:tab w:val="clear" w:pos="2268"/>
                <w:tab w:val="clear" w:pos="2835"/>
              </w:tabs>
              <w:spacing w:before="40"/>
              <w:ind w:left="0" w:right="0"/>
              <w:jc w:val="right"/>
            </w:pPr>
          </w:p>
        </w:tc>
      </w:tr>
      <w:tr w:rsidR="00EF57B7" w:rsidRPr="0038269A" w14:paraId="4491ADC8" w14:textId="77777777" w:rsidTr="00FB5A89">
        <w:trPr>
          <w:cantSplit/>
          <w:trHeight w:val="240"/>
        </w:trPr>
        <w:tc>
          <w:tcPr>
            <w:tcW w:w="1486" w:type="pct"/>
            <w:shd w:val="clear" w:color="auto" w:fill="auto"/>
          </w:tcPr>
          <w:p w14:paraId="6D26B6B1" w14:textId="7266399E"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Embalajes/envases</w:t>
            </w:r>
          </w:p>
        </w:tc>
        <w:tc>
          <w:tcPr>
            <w:tcW w:w="1578" w:type="pct"/>
            <w:shd w:val="clear" w:color="auto" w:fill="auto"/>
          </w:tcPr>
          <w:p w14:paraId="013BA81B" w14:textId="46D44DA7"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hasta 200 kg/225 l</w:t>
            </w:r>
          </w:p>
        </w:tc>
        <w:tc>
          <w:tcPr>
            <w:tcW w:w="1936" w:type="pct"/>
            <w:shd w:val="clear" w:color="auto" w:fill="auto"/>
          </w:tcPr>
          <w:p w14:paraId="68ACB466" w14:textId="4213376C"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40</w:t>
            </w:r>
            <w:r w:rsidRPr="005C2C77">
              <w:rPr>
                <w:vertAlign w:val="superscript"/>
              </w:rPr>
              <w:t>b</w:t>
            </w:r>
          </w:p>
        </w:tc>
      </w:tr>
      <w:tr w:rsidR="00EF57B7" w:rsidRPr="0038269A" w14:paraId="583A2230" w14:textId="77777777" w:rsidTr="00FB5A89">
        <w:trPr>
          <w:cantSplit/>
          <w:trHeight w:val="240"/>
        </w:trPr>
        <w:tc>
          <w:tcPr>
            <w:tcW w:w="1486" w:type="pct"/>
            <w:shd w:val="clear" w:color="auto" w:fill="auto"/>
          </w:tcPr>
          <w:p w14:paraId="23C4B936" w14:textId="56BD5E07"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Embalajes/envases</w:t>
            </w:r>
          </w:p>
        </w:tc>
        <w:tc>
          <w:tcPr>
            <w:tcW w:w="1578" w:type="pct"/>
            <w:shd w:val="clear" w:color="auto" w:fill="auto"/>
          </w:tcPr>
          <w:p w14:paraId="4D020124" w14:textId="62B7CCE4"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más de 200 kg/225 l</w:t>
            </w:r>
          </w:p>
        </w:tc>
        <w:tc>
          <w:tcPr>
            <w:tcW w:w="1936" w:type="pct"/>
            <w:shd w:val="clear" w:color="auto" w:fill="auto"/>
          </w:tcPr>
          <w:p w14:paraId="60F2A894" w14:textId="76420D49"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no hay valor estándar</w:t>
            </w:r>
            <w:r w:rsidRPr="005C2C77">
              <w:rPr>
                <w:vertAlign w:val="superscript"/>
              </w:rPr>
              <w:t>c</w:t>
            </w:r>
          </w:p>
        </w:tc>
      </w:tr>
      <w:tr w:rsidR="00EF57B7" w:rsidRPr="0038269A" w14:paraId="38B30CC1" w14:textId="77777777" w:rsidTr="00FB5A89">
        <w:trPr>
          <w:cantSplit/>
          <w:trHeight w:val="240"/>
        </w:trPr>
        <w:tc>
          <w:tcPr>
            <w:tcW w:w="1486" w:type="pct"/>
            <w:shd w:val="clear" w:color="auto" w:fill="auto"/>
          </w:tcPr>
          <w:p w14:paraId="493E5EE8" w14:textId="39CD27A8"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RIG</w:t>
            </w:r>
          </w:p>
        </w:tc>
        <w:tc>
          <w:tcPr>
            <w:tcW w:w="1578" w:type="pct"/>
            <w:shd w:val="clear" w:color="auto" w:fill="auto"/>
          </w:tcPr>
          <w:p w14:paraId="78CBD174" w14:textId="1273B1A1"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hasta 1</w:t>
            </w:r>
            <w:r>
              <w:t xml:space="preserve"> </w:t>
            </w:r>
            <w:r w:rsidRPr="0038269A">
              <w:t>250 l</w:t>
            </w:r>
          </w:p>
        </w:tc>
        <w:tc>
          <w:tcPr>
            <w:tcW w:w="1936" w:type="pct"/>
            <w:shd w:val="clear" w:color="auto" w:fill="auto"/>
          </w:tcPr>
          <w:p w14:paraId="3E2F53EA" w14:textId="5F04AEAA"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30</w:t>
            </w:r>
          </w:p>
        </w:tc>
      </w:tr>
      <w:tr w:rsidR="00EF57B7" w:rsidRPr="0038269A" w14:paraId="339AFAC4" w14:textId="77777777" w:rsidTr="00FB5A89">
        <w:trPr>
          <w:cantSplit/>
          <w:trHeight w:val="240"/>
        </w:trPr>
        <w:tc>
          <w:tcPr>
            <w:tcW w:w="1486" w:type="pct"/>
            <w:shd w:val="clear" w:color="auto" w:fill="auto"/>
          </w:tcPr>
          <w:p w14:paraId="47FD0C4C" w14:textId="0E772E34"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RIG</w:t>
            </w:r>
          </w:p>
        </w:tc>
        <w:tc>
          <w:tcPr>
            <w:tcW w:w="1578" w:type="pct"/>
            <w:shd w:val="clear" w:color="auto" w:fill="auto"/>
          </w:tcPr>
          <w:p w14:paraId="51CDA4B0" w14:textId="7B7225AF"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más de 1</w:t>
            </w:r>
            <w:r>
              <w:t xml:space="preserve"> </w:t>
            </w:r>
            <w:r w:rsidRPr="0038269A">
              <w:t>250 l</w:t>
            </w:r>
          </w:p>
        </w:tc>
        <w:tc>
          <w:tcPr>
            <w:tcW w:w="1936" w:type="pct"/>
            <w:shd w:val="clear" w:color="auto" w:fill="auto"/>
          </w:tcPr>
          <w:p w14:paraId="5933CF0D" w14:textId="51ADA76B"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no hay valor estándar</w:t>
            </w:r>
            <w:r w:rsidRPr="005C2C77">
              <w:rPr>
                <w:vertAlign w:val="superscript"/>
              </w:rPr>
              <w:t>c</w:t>
            </w:r>
          </w:p>
        </w:tc>
      </w:tr>
      <w:tr w:rsidR="00EF57B7" w:rsidRPr="0038269A" w14:paraId="307C0BA5" w14:textId="77777777" w:rsidTr="00FB5A89">
        <w:trPr>
          <w:cantSplit/>
          <w:trHeight w:val="240"/>
        </w:trPr>
        <w:tc>
          <w:tcPr>
            <w:tcW w:w="1486" w:type="pct"/>
            <w:shd w:val="clear" w:color="auto" w:fill="auto"/>
          </w:tcPr>
          <w:p w14:paraId="5B931143" w14:textId="0D343006"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Cisternas</w:t>
            </w:r>
          </w:p>
        </w:tc>
        <w:tc>
          <w:tcPr>
            <w:tcW w:w="1578" w:type="pct"/>
            <w:shd w:val="clear" w:color="auto" w:fill="auto"/>
          </w:tcPr>
          <w:p w14:paraId="340A0BEF" w14:textId="2684AD78"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w:t>
            </w:r>
          </w:p>
        </w:tc>
        <w:tc>
          <w:tcPr>
            <w:tcW w:w="1936" w:type="pct"/>
            <w:shd w:val="clear" w:color="auto" w:fill="auto"/>
          </w:tcPr>
          <w:p w14:paraId="0078AC71" w14:textId="0DFC90C9"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no hay valor estándar</w:t>
            </w:r>
            <w:r w:rsidRPr="005C2C77">
              <w:rPr>
                <w:vertAlign w:val="superscript"/>
              </w:rPr>
              <w:t>c</w:t>
            </w:r>
          </w:p>
        </w:tc>
      </w:tr>
      <w:tr w:rsidR="00EF57B7" w:rsidRPr="0038269A" w14:paraId="7B36091A" w14:textId="77777777" w:rsidTr="00FB5A89">
        <w:trPr>
          <w:cantSplit/>
          <w:trHeight w:val="240"/>
        </w:trPr>
        <w:tc>
          <w:tcPr>
            <w:tcW w:w="1486" w:type="pct"/>
            <w:shd w:val="clear" w:color="auto" w:fill="auto"/>
          </w:tcPr>
          <w:p w14:paraId="21D7934F" w14:textId="26231353" w:rsidR="00EF57B7" w:rsidRPr="0038269A" w:rsidRDefault="00EF57B7" w:rsidP="00EF57B7">
            <w:pPr>
              <w:pStyle w:val="SingleTxtG"/>
              <w:tabs>
                <w:tab w:val="clear" w:pos="1701"/>
                <w:tab w:val="clear" w:pos="2268"/>
                <w:tab w:val="clear" w:pos="2835"/>
              </w:tabs>
              <w:spacing w:before="40" w:after="40"/>
              <w:ind w:left="0" w:right="0"/>
              <w:jc w:val="left"/>
              <w:rPr>
                <w:lang w:val="en-GB"/>
              </w:rPr>
            </w:pPr>
          </w:p>
        </w:tc>
        <w:tc>
          <w:tcPr>
            <w:tcW w:w="1578" w:type="pct"/>
            <w:shd w:val="clear" w:color="auto" w:fill="auto"/>
          </w:tcPr>
          <w:p w14:paraId="663AFEEC" w14:textId="4AFF934F" w:rsidR="00EF57B7" w:rsidRPr="0038269A" w:rsidRDefault="00EF57B7" w:rsidP="00EF57B7">
            <w:pPr>
              <w:pStyle w:val="SingleTxtG"/>
              <w:tabs>
                <w:tab w:val="clear" w:pos="1701"/>
                <w:tab w:val="clear" w:pos="2268"/>
                <w:tab w:val="clear" w:pos="2835"/>
              </w:tabs>
              <w:spacing w:before="40" w:after="40"/>
              <w:ind w:left="0" w:right="0"/>
              <w:jc w:val="left"/>
              <w:rPr>
                <w:lang w:val="en-GB"/>
              </w:rPr>
            </w:pPr>
          </w:p>
        </w:tc>
        <w:tc>
          <w:tcPr>
            <w:tcW w:w="1936" w:type="pct"/>
            <w:shd w:val="clear" w:color="auto" w:fill="auto"/>
          </w:tcPr>
          <w:p w14:paraId="0052954B" w14:textId="2D4B2B7D" w:rsidR="00EF57B7" w:rsidRPr="0038269A" w:rsidRDefault="00EF57B7" w:rsidP="00EF57B7">
            <w:pPr>
              <w:pStyle w:val="SingleTxtG"/>
              <w:tabs>
                <w:tab w:val="clear" w:pos="1701"/>
                <w:tab w:val="clear" w:pos="2268"/>
                <w:tab w:val="clear" w:pos="2835"/>
              </w:tabs>
              <w:spacing w:before="40" w:after="40"/>
              <w:ind w:left="0" w:right="0"/>
              <w:jc w:val="right"/>
              <w:rPr>
                <w:lang w:val="en-GB"/>
              </w:rPr>
            </w:pPr>
          </w:p>
        </w:tc>
      </w:tr>
      <w:tr w:rsidR="00EF57B7" w:rsidRPr="0038269A" w14:paraId="0D0F4B33" w14:textId="77777777" w:rsidTr="00FB5A89">
        <w:trPr>
          <w:cantSplit/>
          <w:trHeight w:val="240"/>
        </w:trPr>
        <w:tc>
          <w:tcPr>
            <w:tcW w:w="1486" w:type="pct"/>
            <w:shd w:val="clear" w:color="auto" w:fill="auto"/>
          </w:tcPr>
          <w:p w14:paraId="630826C0" w14:textId="2AA91306" w:rsidR="00EF57B7" w:rsidRPr="00BC12E0" w:rsidRDefault="00EF57B7" w:rsidP="00EF57B7">
            <w:pPr>
              <w:pStyle w:val="SingleTxtG"/>
              <w:tabs>
                <w:tab w:val="clear" w:pos="1701"/>
                <w:tab w:val="clear" w:pos="2268"/>
                <w:tab w:val="clear" w:pos="2835"/>
              </w:tabs>
              <w:spacing w:before="40"/>
              <w:ind w:left="0" w:right="0"/>
              <w:jc w:val="left"/>
              <w:rPr>
                <w:b/>
                <w:bCs/>
                <w:lang w:val="en-GB"/>
              </w:rPr>
            </w:pPr>
            <w:r w:rsidRPr="00BC12E0">
              <w:rPr>
                <w:b/>
                <w:bCs/>
                <w:iCs/>
              </w:rPr>
              <w:t>Para sólidos:</w:t>
            </w:r>
          </w:p>
        </w:tc>
        <w:tc>
          <w:tcPr>
            <w:tcW w:w="1578" w:type="pct"/>
            <w:shd w:val="clear" w:color="auto" w:fill="auto"/>
          </w:tcPr>
          <w:p w14:paraId="4AC3892A" w14:textId="49C318D0" w:rsidR="00EF57B7" w:rsidRPr="0038269A" w:rsidRDefault="00EF57B7" w:rsidP="00EF57B7">
            <w:pPr>
              <w:pStyle w:val="SingleTxtG"/>
              <w:tabs>
                <w:tab w:val="clear" w:pos="1701"/>
                <w:tab w:val="clear" w:pos="2268"/>
                <w:tab w:val="clear" w:pos="2835"/>
              </w:tabs>
              <w:spacing w:before="40"/>
              <w:ind w:left="0" w:right="0"/>
              <w:jc w:val="left"/>
              <w:rPr>
                <w:lang w:val="en-GB"/>
              </w:rPr>
            </w:pPr>
          </w:p>
        </w:tc>
        <w:tc>
          <w:tcPr>
            <w:tcW w:w="1936" w:type="pct"/>
            <w:shd w:val="clear" w:color="auto" w:fill="auto"/>
          </w:tcPr>
          <w:p w14:paraId="4A71DBEF" w14:textId="37D0244A" w:rsidR="00EF57B7" w:rsidRPr="0038269A" w:rsidRDefault="00EF57B7" w:rsidP="00EF57B7">
            <w:pPr>
              <w:pStyle w:val="SingleTxtG"/>
              <w:tabs>
                <w:tab w:val="clear" w:pos="1701"/>
                <w:tab w:val="clear" w:pos="2268"/>
                <w:tab w:val="clear" w:pos="2835"/>
              </w:tabs>
              <w:spacing w:before="40"/>
              <w:ind w:left="0" w:right="0"/>
              <w:jc w:val="right"/>
              <w:rPr>
                <w:lang w:val="en-GB"/>
              </w:rPr>
            </w:pPr>
          </w:p>
        </w:tc>
      </w:tr>
      <w:tr w:rsidR="00EF57B7" w:rsidRPr="0038269A" w14:paraId="733AA4FB" w14:textId="77777777" w:rsidTr="00FB5A89">
        <w:trPr>
          <w:cantSplit/>
          <w:trHeight w:val="240"/>
        </w:trPr>
        <w:tc>
          <w:tcPr>
            <w:tcW w:w="1486" w:type="pct"/>
            <w:shd w:val="clear" w:color="auto" w:fill="auto"/>
          </w:tcPr>
          <w:p w14:paraId="1EC4A22B" w14:textId="334B85AD"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Embalajes/envases</w:t>
            </w:r>
          </w:p>
        </w:tc>
        <w:tc>
          <w:tcPr>
            <w:tcW w:w="1578" w:type="pct"/>
            <w:shd w:val="clear" w:color="auto" w:fill="auto"/>
          </w:tcPr>
          <w:p w14:paraId="788E1FC3" w14:textId="5C9BB89B"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hasta 50 kg</w:t>
            </w:r>
          </w:p>
        </w:tc>
        <w:tc>
          <w:tcPr>
            <w:tcW w:w="1936" w:type="pct"/>
            <w:shd w:val="clear" w:color="auto" w:fill="auto"/>
          </w:tcPr>
          <w:p w14:paraId="7F657B5D" w14:textId="470D0878"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30</w:t>
            </w:r>
            <w:r w:rsidRPr="005C2C77">
              <w:rPr>
                <w:vertAlign w:val="superscript"/>
              </w:rPr>
              <w:t>b</w:t>
            </w:r>
          </w:p>
        </w:tc>
      </w:tr>
      <w:tr w:rsidR="00EF57B7" w:rsidRPr="0038269A" w14:paraId="631DEDDC" w14:textId="77777777" w:rsidTr="00FB5A89">
        <w:trPr>
          <w:cantSplit/>
          <w:trHeight w:val="240"/>
        </w:trPr>
        <w:tc>
          <w:tcPr>
            <w:tcW w:w="1486" w:type="pct"/>
            <w:shd w:val="clear" w:color="auto" w:fill="auto"/>
          </w:tcPr>
          <w:p w14:paraId="2BD81750" w14:textId="73541609"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Embalajes/envases</w:t>
            </w:r>
          </w:p>
        </w:tc>
        <w:tc>
          <w:tcPr>
            <w:tcW w:w="1578" w:type="pct"/>
            <w:shd w:val="clear" w:color="auto" w:fill="auto"/>
          </w:tcPr>
          <w:p w14:paraId="1C0321B8" w14:textId="5D05F25D"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más de 50 kg</w:t>
            </w:r>
          </w:p>
        </w:tc>
        <w:tc>
          <w:tcPr>
            <w:tcW w:w="1936" w:type="pct"/>
            <w:shd w:val="clear" w:color="auto" w:fill="auto"/>
          </w:tcPr>
          <w:p w14:paraId="3F315886" w14:textId="5A0AB869"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no hay valor estándar</w:t>
            </w:r>
            <w:r w:rsidRPr="005C2C77">
              <w:rPr>
                <w:vertAlign w:val="superscript"/>
              </w:rPr>
              <w:t>c</w:t>
            </w:r>
          </w:p>
        </w:tc>
      </w:tr>
      <w:tr w:rsidR="00EF57B7" w:rsidRPr="0038269A" w14:paraId="282F7671" w14:textId="77777777" w:rsidTr="00FB5A89">
        <w:trPr>
          <w:cantSplit/>
          <w:trHeight w:val="240"/>
        </w:trPr>
        <w:tc>
          <w:tcPr>
            <w:tcW w:w="1486" w:type="pct"/>
            <w:shd w:val="clear" w:color="auto" w:fill="auto"/>
          </w:tcPr>
          <w:p w14:paraId="0E3B0151" w14:textId="7BDE4F74"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RIG</w:t>
            </w:r>
          </w:p>
        </w:tc>
        <w:tc>
          <w:tcPr>
            <w:tcW w:w="1578" w:type="pct"/>
            <w:shd w:val="clear" w:color="auto" w:fill="auto"/>
          </w:tcPr>
          <w:p w14:paraId="08AE4597" w14:textId="482FD4BE" w:rsidR="00EF57B7" w:rsidRPr="0038269A" w:rsidRDefault="00EF57B7" w:rsidP="00EF57B7">
            <w:pPr>
              <w:pStyle w:val="SingleTxtG"/>
              <w:tabs>
                <w:tab w:val="clear" w:pos="1701"/>
                <w:tab w:val="clear" w:pos="2268"/>
                <w:tab w:val="clear" w:pos="2835"/>
              </w:tabs>
              <w:spacing w:before="40"/>
              <w:ind w:left="0" w:right="0"/>
              <w:jc w:val="left"/>
              <w:rPr>
                <w:lang w:val="en-GB"/>
              </w:rPr>
            </w:pPr>
            <w:r w:rsidRPr="0038269A">
              <w:t>-</w:t>
            </w:r>
          </w:p>
        </w:tc>
        <w:tc>
          <w:tcPr>
            <w:tcW w:w="1936" w:type="pct"/>
            <w:shd w:val="clear" w:color="auto" w:fill="auto"/>
          </w:tcPr>
          <w:p w14:paraId="20B05812" w14:textId="685185A9" w:rsidR="00EF57B7" w:rsidRPr="0038269A" w:rsidRDefault="00EF57B7" w:rsidP="00EF57B7">
            <w:pPr>
              <w:pStyle w:val="SingleTxtG"/>
              <w:tabs>
                <w:tab w:val="clear" w:pos="1701"/>
                <w:tab w:val="clear" w:pos="2268"/>
                <w:tab w:val="clear" w:pos="2835"/>
              </w:tabs>
              <w:spacing w:before="40"/>
              <w:ind w:left="0" w:right="0"/>
              <w:jc w:val="right"/>
              <w:rPr>
                <w:lang w:val="en-GB"/>
              </w:rPr>
            </w:pPr>
            <w:r w:rsidRPr="0038269A">
              <w:t>no hay valor estándar</w:t>
            </w:r>
            <w:r w:rsidRPr="005C2C77">
              <w:rPr>
                <w:vertAlign w:val="superscript"/>
              </w:rPr>
              <w:t>c</w:t>
            </w:r>
          </w:p>
        </w:tc>
      </w:tr>
      <w:tr w:rsidR="00EF57B7" w:rsidRPr="0038269A" w14:paraId="68BDD36D" w14:textId="77777777" w:rsidTr="005C2C77">
        <w:trPr>
          <w:cantSplit/>
          <w:trHeight w:val="240"/>
        </w:trPr>
        <w:tc>
          <w:tcPr>
            <w:tcW w:w="1486" w:type="pct"/>
            <w:tcBorders>
              <w:top w:val="nil"/>
              <w:bottom w:val="single" w:sz="12" w:space="0" w:color="auto"/>
            </w:tcBorders>
            <w:shd w:val="clear" w:color="auto" w:fill="auto"/>
          </w:tcPr>
          <w:p w14:paraId="0BDE46A1" w14:textId="3EAAB84F" w:rsidR="00EF57B7" w:rsidRPr="0038269A" w:rsidRDefault="00EF57B7" w:rsidP="00EF57B7">
            <w:pPr>
              <w:pStyle w:val="SingleTxtG"/>
              <w:tabs>
                <w:tab w:val="clear" w:pos="1701"/>
                <w:tab w:val="clear" w:pos="2268"/>
                <w:tab w:val="clear" w:pos="2835"/>
              </w:tabs>
              <w:spacing w:before="40"/>
              <w:ind w:left="0" w:right="0"/>
              <w:jc w:val="left"/>
            </w:pPr>
            <w:r w:rsidRPr="0038269A">
              <w:t>Cisternas</w:t>
            </w:r>
          </w:p>
        </w:tc>
        <w:tc>
          <w:tcPr>
            <w:tcW w:w="1578" w:type="pct"/>
            <w:tcBorders>
              <w:top w:val="nil"/>
              <w:bottom w:val="single" w:sz="12" w:space="0" w:color="auto"/>
            </w:tcBorders>
            <w:shd w:val="clear" w:color="auto" w:fill="auto"/>
          </w:tcPr>
          <w:p w14:paraId="69483693" w14:textId="366D87B7" w:rsidR="00EF57B7" w:rsidRPr="0038269A" w:rsidRDefault="00EF57B7" w:rsidP="00EF57B7">
            <w:pPr>
              <w:pStyle w:val="SingleTxtG"/>
              <w:tabs>
                <w:tab w:val="clear" w:pos="1701"/>
                <w:tab w:val="clear" w:pos="2268"/>
                <w:tab w:val="clear" w:pos="2835"/>
              </w:tabs>
              <w:spacing w:before="40"/>
              <w:ind w:left="0" w:right="0"/>
              <w:jc w:val="left"/>
            </w:pPr>
            <w:r w:rsidRPr="0038269A">
              <w:t>-</w:t>
            </w:r>
          </w:p>
        </w:tc>
        <w:tc>
          <w:tcPr>
            <w:tcW w:w="1936" w:type="pct"/>
            <w:tcBorders>
              <w:top w:val="nil"/>
              <w:bottom w:val="single" w:sz="12" w:space="0" w:color="auto"/>
            </w:tcBorders>
            <w:shd w:val="clear" w:color="auto" w:fill="auto"/>
          </w:tcPr>
          <w:p w14:paraId="12628610" w14:textId="22FC493B" w:rsidR="00EF57B7" w:rsidRPr="0038269A" w:rsidRDefault="00EF57B7" w:rsidP="00EF57B7">
            <w:pPr>
              <w:pStyle w:val="SingleTxtG"/>
              <w:tabs>
                <w:tab w:val="clear" w:pos="1701"/>
                <w:tab w:val="clear" w:pos="2268"/>
                <w:tab w:val="clear" w:pos="2835"/>
              </w:tabs>
              <w:spacing w:before="40"/>
              <w:ind w:left="0" w:right="0"/>
              <w:jc w:val="right"/>
            </w:pPr>
            <w:r w:rsidRPr="0038269A">
              <w:t>no hay valor estándar</w:t>
            </w:r>
            <w:r w:rsidRPr="005C2C77">
              <w:rPr>
                <w:vertAlign w:val="superscript"/>
              </w:rPr>
              <w:t>c</w:t>
            </w:r>
          </w:p>
        </w:tc>
      </w:tr>
    </w:tbl>
    <w:p w14:paraId="6156B1C9" w14:textId="7F199708" w:rsidR="00FB5A89" w:rsidRPr="00175F0E" w:rsidRDefault="00FB5A89" w:rsidP="00FB5A89">
      <w:pPr>
        <w:pStyle w:val="SingleTxtG"/>
        <w:tabs>
          <w:tab w:val="clear" w:pos="1701"/>
          <w:tab w:val="clear" w:pos="2268"/>
          <w:tab w:val="clear" w:pos="2835"/>
        </w:tabs>
        <w:spacing w:before="120" w:after="0"/>
        <w:ind w:firstLine="170"/>
        <w:rPr>
          <w:i/>
          <w:sz w:val="18"/>
          <w:szCs w:val="18"/>
          <w:lang w:val="en-GB"/>
        </w:rPr>
      </w:pPr>
      <w:r w:rsidRPr="00175F0E">
        <w:rPr>
          <w:sz w:val="18"/>
          <w:szCs w:val="18"/>
          <w:vertAlign w:val="superscript"/>
        </w:rPr>
        <w:t xml:space="preserve">a </w:t>
      </w:r>
      <w:r w:rsidRPr="00175F0E">
        <w:rPr>
          <w:i/>
          <w:sz w:val="18"/>
          <w:szCs w:val="18"/>
        </w:rPr>
        <w:t>Para la serie de pruebas H.4, la pérdida de calor del frasco de Dewar que se vaya a utilizar debe ser lo más parecida posible al valor indicado en el cuadro.</w:t>
      </w:r>
    </w:p>
    <w:p w14:paraId="476FBF4F" w14:textId="151D152F" w:rsidR="00FB5A89" w:rsidRPr="00175F0E" w:rsidRDefault="00FB5A89" w:rsidP="00FB5A89">
      <w:pPr>
        <w:pStyle w:val="SingleTxtG"/>
        <w:tabs>
          <w:tab w:val="clear" w:pos="1701"/>
          <w:tab w:val="clear" w:pos="2268"/>
          <w:tab w:val="clear" w:pos="2835"/>
        </w:tabs>
        <w:spacing w:after="0"/>
        <w:ind w:firstLine="170"/>
        <w:rPr>
          <w:i/>
          <w:sz w:val="18"/>
          <w:szCs w:val="18"/>
        </w:rPr>
      </w:pPr>
      <w:r w:rsidRPr="00175F0E">
        <w:rPr>
          <w:sz w:val="18"/>
          <w:szCs w:val="18"/>
          <w:vertAlign w:val="superscript"/>
        </w:rPr>
        <w:t>b</w:t>
      </w:r>
      <w:r w:rsidRPr="00175F0E">
        <w:rPr>
          <w:sz w:val="18"/>
          <w:szCs w:val="18"/>
        </w:rPr>
        <w:t xml:space="preserve"> </w:t>
      </w:r>
      <w:r w:rsidRPr="00175F0E">
        <w:rPr>
          <w:i/>
          <w:sz w:val="18"/>
          <w:szCs w:val="18"/>
        </w:rPr>
        <w:t>Al determinar la TDAA para fines de exención o clasificación, cuando la definición de la TDAA esté relacionada con un embalaje/envase de 50 kg, deberá utilizarse un valor de 60</w:t>
      </w:r>
      <w:r w:rsidR="00EF57B7" w:rsidRPr="00175F0E">
        <w:rPr>
          <w:i/>
          <w:sz w:val="18"/>
          <w:szCs w:val="18"/>
        </w:rPr>
        <w:t> </w:t>
      </w:r>
      <w:r w:rsidRPr="00175F0E">
        <w:rPr>
          <w:i/>
          <w:sz w:val="18"/>
          <w:szCs w:val="18"/>
        </w:rPr>
        <w:t>mW/K.kg para los líquidos y de 30 mW/K.kg para los sólidos. Tal es el caso cuando la TDAA se utiliza para excluir una nueva sustancia de la División 4.1 como sustancia autorreactiva (véase 20.2.1 e)), o para clasificarla en el Tipo G como sustancia autorreactiva (véase 20.4.2 g)), o peróxido orgánico (véase 20.4.3 g)).</w:t>
      </w:r>
    </w:p>
    <w:p w14:paraId="28AF2BFF" w14:textId="1564676E" w:rsidR="00FB5A89" w:rsidRPr="00175F0E" w:rsidRDefault="00FB5A89" w:rsidP="00FB5A89">
      <w:pPr>
        <w:pStyle w:val="SingleTxtG"/>
        <w:tabs>
          <w:tab w:val="clear" w:pos="1701"/>
          <w:tab w:val="clear" w:pos="2268"/>
          <w:tab w:val="clear" w:pos="2835"/>
        </w:tabs>
        <w:spacing w:after="240"/>
        <w:ind w:firstLine="170"/>
        <w:rPr>
          <w:sz w:val="18"/>
          <w:szCs w:val="18"/>
          <w:lang w:val="es-ES_tradnl"/>
        </w:rPr>
      </w:pPr>
      <w:r w:rsidRPr="00175F0E">
        <w:rPr>
          <w:sz w:val="18"/>
          <w:szCs w:val="18"/>
          <w:vertAlign w:val="superscript"/>
          <w:lang w:val="es-ES_tradnl"/>
        </w:rPr>
        <w:t xml:space="preserve">c </w:t>
      </w:r>
      <w:r w:rsidRPr="00175F0E">
        <w:rPr>
          <w:i/>
          <w:sz w:val="18"/>
          <w:szCs w:val="18"/>
          <w:lang w:val="es-ES_tradnl"/>
        </w:rPr>
        <w:t>El valor deberá determinarse para la configuración real.</w:t>
      </w:r>
    </w:p>
    <w:p w14:paraId="3DF9D4F2" w14:textId="7F804D72" w:rsidR="00AF1011" w:rsidRPr="00EF57B7" w:rsidRDefault="00AF1011" w:rsidP="00066C6E">
      <w:pPr>
        <w:pStyle w:val="SingleTxtG"/>
        <w:tabs>
          <w:tab w:val="clear" w:pos="1701"/>
          <w:tab w:val="clear" w:pos="2835"/>
          <w:tab w:val="left" w:pos="3119"/>
        </w:tabs>
        <w:suppressAutoHyphens/>
        <w:rPr>
          <w:lang w:val="es-ES_tradnl"/>
        </w:rPr>
      </w:pPr>
      <w:r w:rsidRPr="00EF57B7">
        <w:rPr>
          <w:lang w:val="es-ES_tradnl"/>
        </w:rPr>
        <w:t>28.4.1</w:t>
      </w:r>
      <w:r w:rsidR="00066C6E" w:rsidRPr="00EF57B7">
        <w:rPr>
          <w:lang w:val="es-ES_tradnl"/>
        </w:rPr>
        <w:tab/>
      </w:r>
      <w:r w:rsidRPr="00EF57B7">
        <w:rPr>
          <w:lang w:val="es-ES_tradnl"/>
        </w:rPr>
        <w:t>Modifíquese el nombre de la prueba para que diga: “Prueba de determinación de la TDAA/TPAA (Estados Unidos)”.</w:t>
      </w:r>
    </w:p>
    <w:p w14:paraId="346B22A7" w14:textId="77777777" w:rsidR="00AF1011" w:rsidRPr="00EF57B7" w:rsidRDefault="00AF1011" w:rsidP="00066C6E">
      <w:pPr>
        <w:pStyle w:val="SingleTxtG"/>
        <w:tabs>
          <w:tab w:val="clear" w:pos="1701"/>
          <w:tab w:val="clear" w:pos="2835"/>
          <w:tab w:val="left" w:pos="3119"/>
        </w:tabs>
        <w:suppressAutoHyphens/>
        <w:rPr>
          <w:lang w:val="es-ES_tradnl"/>
        </w:rPr>
      </w:pPr>
      <w:r w:rsidRPr="00EF57B7">
        <w:rPr>
          <w:lang w:val="es-ES_tradnl"/>
        </w:rPr>
        <w:t>28.4.1.1</w:t>
      </w:r>
      <w:r w:rsidRPr="00EF57B7">
        <w:rPr>
          <w:lang w:val="es-ES_tradnl"/>
        </w:rPr>
        <w:tab/>
        <w:t>En la primera frase, sustitúyase “descomposición autoacelerada” por “descomposición o polimerización autoacelerada” y en la última frase suprímase “o polimerización”.</w:t>
      </w:r>
    </w:p>
    <w:p w14:paraId="0D1D393D" w14:textId="77777777" w:rsidR="00AF1011" w:rsidRPr="0038269A" w:rsidRDefault="00AF1011" w:rsidP="00066C6E">
      <w:pPr>
        <w:pStyle w:val="SingleTxtG"/>
        <w:tabs>
          <w:tab w:val="clear" w:pos="1701"/>
          <w:tab w:val="clear" w:pos="2835"/>
          <w:tab w:val="left" w:pos="3119"/>
        </w:tabs>
        <w:suppressAutoHyphens/>
        <w:rPr>
          <w:lang w:val="en-GB"/>
        </w:rPr>
      </w:pPr>
      <w:r w:rsidRPr="00EF57B7">
        <w:rPr>
          <w:lang w:val="es-ES_tradnl"/>
        </w:rPr>
        <w:t>28.4.1.2.3</w:t>
      </w:r>
      <w:r w:rsidRPr="00EF57B7">
        <w:rPr>
          <w:lang w:val="es-ES_tradnl"/>
        </w:rPr>
        <w:tab/>
        <w:t>En el apartado c), insértese “hacia todos los lados” después de “mínima</w:t>
      </w:r>
      <w:r w:rsidRPr="0038269A">
        <w:t>”.</w:t>
      </w:r>
    </w:p>
    <w:p w14:paraId="35298119" w14:textId="204428E6" w:rsidR="00AF1011" w:rsidRPr="0038269A" w:rsidRDefault="00AF1011" w:rsidP="00066C6E">
      <w:pPr>
        <w:pStyle w:val="SingleTxtG"/>
        <w:tabs>
          <w:tab w:val="clear" w:pos="1701"/>
          <w:tab w:val="clear" w:pos="2835"/>
          <w:tab w:val="left" w:pos="3119"/>
        </w:tabs>
        <w:suppressAutoHyphens/>
        <w:ind w:left="2268"/>
        <w:rPr>
          <w:lang w:val="en-GB"/>
        </w:rPr>
      </w:pPr>
      <w:r w:rsidRPr="0038269A">
        <w:t>En el párrafo que sigue al apartado c), modifíquese la última frase para que diga lo siguiente: “A continuación se describen ejemplos de hornos adecuados para bultos pequeños y grandes”.</w:t>
      </w:r>
    </w:p>
    <w:p w14:paraId="144A6ECE" w14:textId="77777777" w:rsidR="00AF1011" w:rsidRPr="0038269A" w:rsidRDefault="00AF1011" w:rsidP="00BC12E0">
      <w:pPr>
        <w:pStyle w:val="SingleTxtG"/>
        <w:ind w:left="3402" w:hanging="2268"/>
        <w:rPr>
          <w:lang w:val="en-GB"/>
        </w:rPr>
      </w:pPr>
      <w:r w:rsidRPr="0038269A">
        <w:lastRenderedPageBreak/>
        <w:t>28.4.1.2.4 y 28.4.1.2.5</w:t>
      </w:r>
      <w:r w:rsidRPr="0038269A">
        <w:tab/>
        <w:t>Modifíquense los actuales párrafos 28.4.1.2.4 y 28.4.1.2.5 como sigue:</w:t>
      </w:r>
    </w:p>
    <w:p w14:paraId="06899CB2" w14:textId="7F6C5439" w:rsidR="00AF1011" w:rsidRPr="0038269A" w:rsidRDefault="00AF1011" w:rsidP="00066C6E">
      <w:pPr>
        <w:pStyle w:val="Bullet1G"/>
        <w:ind w:left="2438"/>
        <w:rPr>
          <w:i/>
          <w:iCs/>
          <w:lang w:val="en-GB"/>
        </w:rPr>
      </w:pPr>
      <w:r w:rsidRPr="0038269A">
        <w:t xml:space="preserve">El actual párrafo 28.4.1.2.4 pasa a ser 28.4.1.2.3.1 con el siguiente encabezamiento: “28.4.1.2.3.1 Ejemplo 1”. </w:t>
      </w:r>
      <w:r w:rsidRPr="00EF57B7">
        <w:rPr>
          <w:i/>
          <w:iCs/>
        </w:rPr>
        <w:t>(El texto del actual párrafo 28.4.1.2.4 se mantiene)</w:t>
      </w:r>
      <w:r w:rsidRPr="0038269A">
        <w:t>.</w:t>
      </w:r>
    </w:p>
    <w:p w14:paraId="684D138E" w14:textId="055FEA17" w:rsidR="00AF1011" w:rsidRPr="0038269A" w:rsidRDefault="00AF1011" w:rsidP="00066C6E">
      <w:pPr>
        <w:pStyle w:val="Bullet1G"/>
        <w:ind w:left="2438"/>
        <w:rPr>
          <w:i/>
          <w:iCs/>
          <w:lang w:val="en-GB"/>
        </w:rPr>
      </w:pPr>
      <w:r w:rsidRPr="0038269A">
        <w:t xml:space="preserve">El actual párrafo 28.4.1.2.5 pasa a ser 28.4.1.2.3.2 con el siguiente encabezamiento: “28.4.1.2.3.2 Ejemplo 2”. </w:t>
      </w:r>
      <w:r w:rsidRPr="00EF57B7">
        <w:rPr>
          <w:i/>
          <w:iCs/>
        </w:rPr>
        <w:t>(El texto del actual párrafo 28.4.1.2.5 permanece igual)</w:t>
      </w:r>
      <w:r w:rsidRPr="0038269A">
        <w:t>.</w:t>
      </w:r>
    </w:p>
    <w:p w14:paraId="6FF425F2" w14:textId="77777777" w:rsidR="00AF1011" w:rsidRPr="0038269A" w:rsidRDefault="00AF1011" w:rsidP="00AF1011">
      <w:pPr>
        <w:pStyle w:val="SingleTxtG"/>
        <w:rPr>
          <w:lang w:val="en-GB"/>
        </w:rPr>
      </w:pPr>
      <w:r w:rsidRPr="0038269A">
        <w:t>Insértese un nuevo párrafo 28.4.1.2.3.3 que diga lo siguiente:</w:t>
      </w:r>
    </w:p>
    <w:p w14:paraId="04609C52" w14:textId="701EAB31" w:rsidR="00AF1011" w:rsidRPr="0038269A" w:rsidRDefault="00AF1011" w:rsidP="00066C6E">
      <w:pPr>
        <w:pStyle w:val="SingleTxtG"/>
        <w:tabs>
          <w:tab w:val="clear" w:pos="1701"/>
          <w:tab w:val="clear" w:pos="2835"/>
          <w:tab w:val="left" w:pos="3119"/>
        </w:tabs>
        <w:suppressAutoHyphens/>
        <w:rPr>
          <w:lang w:val="en-GB"/>
        </w:rPr>
      </w:pPr>
      <w:r w:rsidRPr="0038269A">
        <w:t xml:space="preserve">“28.4.1.2.3.3 </w:t>
      </w:r>
      <w:r w:rsidR="00066C6E">
        <w:tab/>
      </w:r>
      <w:r w:rsidRPr="0038269A">
        <w:t>Ejemplo 3</w:t>
      </w:r>
    </w:p>
    <w:p w14:paraId="09599C61" w14:textId="17C26339" w:rsidR="00AF1011" w:rsidRPr="0038269A" w:rsidRDefault="00AF1011" w:rsidP="00AF1011">
      <w:pPr>
        <w:pStyle w:val="SingleTxtG"/>
        <w:rPr>
          <w:lang w:val="en-GB"/>
        </w:rPr>
      </w:pPr>
      <w:r w:rsidRPr="0038269A">
        <w:tab/>
      </w:r>
      <w:r w:rsidRPr="0038269A">
        <w:tab/>
        <w:t>Para las pruebas que se efectúan a temperaturas inferiores a 75 ºC, se utiliza una cámara metálica de dos paredes (la separación mínima entre el embalaje/envase y la pared será de 100 mm) entre las que pasa el fluido de un baño de circulación de temperatura regulada a la temperatura deseada. La cámara se cierra con una tapa no hermética, con aislamiento (por ejemplo, de cloruro de polivinilo de 10 mm de espesor). La temperatura debe regularse de manera que se pueda mantener la temperatura deseada para una muestra inerte líquida con un margen de no más de ± 2 K, durante diez días.”</w:t>
      </w:r>
      <w:r w:rsidR="00EF57B7">
        <w:t>.</w:t>
      </w:r>
    </w:p>
    <w:p w14:paraId="4DD0FD9E" w14:textId="77777777" w:rsidR="00AF1011" w:rsidRPr="0038269A" w:rsidRDefault="00AF1011" w:rsidP="00AF1011">
      <w:pPr>
        <w:pStyle w:val="SingleTxtG"/>
        <w:rPr>
          <w:lang w:val="en-GB"/>
        </w:rPr>
      </w:pPr>
      <w:r w:rsidRPr="0038269A">
        <w:t>Renumérense los actuales párrafos 28.4.1.2.6 a 28.4.1.2.8 como 28.4.1.2.4 a 28.4.1.2.6.</w:t>
      </w:r>
    </w:p>
    <w:p w14:paraId="659E8212" w14:textId="338FE441" w:rsidR="00AF1011" w:rsidRPr="0038269A" w:rsidRDefault="00AF1011" w:rsidP="00066C6E">
      <w:pPr>
        <w:pStyle w:val="SingleTxtG"/>
        <w:tabs>
          <w:tab w:val="clear" w:pos="1701"/>
          <w:tab w:val="clear" w:pos="2835"/>
          <w:tab w:val="left" w:pos="3119"/>
        </w:tabs>
        <w:suppressAutoHyphens/>
        <w:rPr>
          <w:lang w:val="en-GB"/>
        </w:rPr>
      </w:pPr>
      <w:r w:rsidRPr="0038269A">
        <w:t>28.4.1.2.4</w:t>
      </w:r>
      <w:r w:rsidR="00066C6E">
        <w:tab/>
      </w:r>
      <w:r w:rsidRPr="0038269A">
        <w:t xml:space="preserve">(nuevo, antiguo 28.4.1.2.6), en la primera frase, después de “termopar”, añádase “o detector de temperatura de resistencia (DTR)”. </w:t>
      </w:r>
    </w:p>
    <w:p w14:paraId="0CF0C70E" w14:textId="77777777" w:rsidR="00AF1011" w:rsidRPr="0038269A" w:rsidRDefault="00AF1011" w:rsidP="00066C6E">
      <w:pPr>
        <w:pStyle w:val="SingleTxtG"/>
        <w:tabs>
          <w:tab w:val="clear" w:pos="1701"/>
          <w:tab w:val="clear" w:pos="2835"/>
          <w:tab w:val="left" w:pos="3119"/>
        </w:tabs>
        <w:suppressAutoHyphens/>
        <w:rPr>
          <w:lang w:val="en-GB"/>
        </w:rPr>
      </w:pPr>
      <w:r w:rsidRPr="0038269A">
        <w:t>28.4.1.3.1</w:t>
      </w:r>
      <w:r w:rsidRPr="0038269A">
        <w:tab/>
        <w:t>Al principio de la segunda frase, después de “termopar”,</w:t>
      </w:r>
      <w:r w:rsidRPr="0038269A">
        <w:rPr>
          <w:lang w:val="en-GB"/>
        </w:rPr>
        <w:t xml:space="preserve"> </w:t>
      </w:r>
      <w:r w:rsidRPr="0038269A">
        <w:t>añádase “o DTR”.</w:t>
      </w:r>
    </w:p>
    <w:p w14:paraId="0C1127C0" w14:textId="77777777" w:rsidR="00AF1011" w:rsidRPr="00175F0E" w:rsidRDefault="00AF1011" w:rsidP="00066C6E">
      <w:pPr>
        <w:pStyle w:val="SingleTxtG"/>
        <w:tabs>
          <w:tab w:val="clear" w:pos="1701"/>
          <w:tab w:val="clear" w:pos="2835"/>
          <w:tab w:val="left" w:pos="3119"/>
        </w:tabs>
        <w:suppressAutoHyphens/>
        <w:rPr>
          <w:lang w:val="es-ES_tradnl"/>
        </w:rPr>
      </w:pPr>
      <w:r w:rsidRPr="0038269A">
        <w:t>28.4.1.3.2</w:t>
      </w:r>
      <w:r w:rsidRPr="0038269A">
        <w:tab/>
      </w:r>
      <w:r w:rsidRPr="00175F0E">
        <w:rPr>
          <w:lang w:val="es-ES_tradnl"/>
        </w:rPr>
        <w:t>Suprímase la última frase (“Se anota el tiempo.... Temperatura máxima.”).</w:t>
      </w:r>
    </w:p>
    <w:p w14:paraId="092EA50E" w14:textId="4FF91D79" w:rsidR="00AF1011" w:rsidRPr="0038269A" w:rsidRDefault="00AF1011" w:rsidP="00C95327">
      <w:pPr>
        <w:pStyle w:val="SingleTxtG"/>
        <w:tabs>
          <w:tab w:val="clear" w:pos="1701"/>
          <w:tab w:val="clear" w:pos="2835"/>
          <w:tab w:val="left" w:pos="3119"/>
        </w:tabs>
        <w:suppressAutoHyphens/>
        <w:ind w:left="2268" w:hanging="1134"/>
        <w:rPr>
          <w:lang w:val="en-GB"/>
        </w:rPr>
      </w:pPr>
      <w:r w:rsidRPr="00175F0E">
        <w:rPr>
          <w:lang w:val="es-ES_tradnl"/>
        </w:rPr>
        <w:t>28.4.1.3.4</w:t>
      </w:r>
      <w:r w:rsidRPr="00175F0E">
        <w:rPr>
          <w:lang w:val="es-ES_tradnl"/>
        </w:rPr>
        <w:tab/>
        <w:t>Modifíquese el final de la tercera frase como sigue: “...para determinar si la TDAA o la TPAA es superior</w:t>
      </w:r>
      <w:r w:rsidRPr="0038269A">
        <w:t xml:space="preserve"> a la temperatura aplicable especificada en el cuadro 28.2.”</w:t>
      </w:r>
      <w:r w:rsidR="00C95327">
        <w:t>.</w:t>
      </w:r>
    </w:p>
    <w:p w14:paraId="5D7EB551" w14:textId="77777777" w:rsidR="00AF1011" w:rsidRPr="0038269A" w:rsidRDefault="00AF1011" w:rsidP="00AF1011">
      <w:pPr>
        <w:pStyle w:val="SingleTxtG"/>
        <w:rPr>
          <w:lang w:val="en-GB"/>
        </w:rPr>
      </w:pPr>
      <w:r w:rsidRPr="0038269A">
        <w:t>28.4.1.5</w:t>
      </w:r>
      <w:r w:rsidRPr="0038269A">
        <w:tab/>
        <w:t>Al final del cuadro, insértense las siguientes filas:</w:t>
      </w:r>
    </w:p>
    <w:tbl>
      <w:tblPr>
        <w:tblW w:w="7370" w:type="dxa"/>
        <w:tblInd w:w="1134" w:type="dxa"/>
        <w:tblBorders>
          <w:top w:val="single" w:sz="4" w:space="0" w:color="auto"/>
        </w:tblBorders>
        <w:tblCellMar>
          <w:left w:w="119" w:type="dxa"/>
          <w:right w:w="119" w:type="dxa"/>
        </w:tblCellMar>
        <w:tblLook w:val="0000" w:firstRow="0" w:lastRow="0" w:firstColumn="0" w:lastColumn="0" w:noHBand="0" w:noVBand="0"/>
      </w:tblPr>
      <w:tblGrid>
        <w:gridCol w:w="2551"/>
        <w:gridCol w:w="1635"/>
        <w:gridCol w:w="1692"/>
        <w:gridCol w:w="1492"/>
      </w:tblGrid>
      <w:tr w:rsidR="00AF1011" w:rsidRPr="0038269A" w14:paraId="4AD6739C" w14:textId="77777777" w:rsidTr="00C95327">
        <w:trPr>
          <w:cantSplit/>
          <w:trHeight w:val="240"/>
          <w:tblHeader/>
        </w:trPr>
        <w:tc>
          <w:tcPr>
            <w:tcW w:w="1731" w:type="pct"/>
            <w:tcBorders>
              <w:top w:val="single" w:sz="4" w:space="0" w:color="auto"/>
              <w:bottom w:val="single" w:sz="12" w:space="0" w:color="auto"/>
            </w:tcBorders>
            <w:shd w:val="clear" w:color="auto" w:fill="auto"/>
            <w:vAlign w:val="bottom"/>
          </w:tcPr>
          <w:p w14:paraId="60FEDD35" w14:textId="292FBB64" w:rsidR="00AF1011" w:rsidRPr="00D87C99" w:rsidRDefault="00AF1011" w:rsidP="00066C6E">
            <w:pPr>
              <w:pStyle w:val="SingleTxtG"/>
              <w:tabs>
                <w:tab w:val="clear" w:pos="1701"/>
                <w:tab w:val="clear" w:pos="2268"/>
                <w:tab w:val="clear" w:pos="2835"/>
              </w:tabs>
              <w:spacing w:before="80" w:after="80" w:line="200" w:lineRule="exact"/>
              <w:ind w:left="0" w:right="0"/>
              <w:jc w:val="left"/>
              <w:rPr>
                <w:b/>
                <w:iCs/>
                <w:szCs w:val="24"/>
                <w:lang w:val="en-GB"/>
              </w:rPr>
            </w:pPr>
            <w:r w:rsidRPr="00D87C99">
              <w:rPr>
                <w:b/>
                <w:iCs/>
                <w:szCs w:val="24"/>
              </w:rPr>
              <w:t>Sustancia</w:t>
            </w:r>
          </w:p>
        </w:tc>
        <w:tc>
          <w:tcPr>
            <w:tcW w:w="1109" w:type="pct"/>
            <w:tcBorders>
              <w:top w:val="single" w:sz="4" w:space="0" w:color="auto"/>
              <w:bottom w:val="single" w:sz="12" w:space="0" w:color="auto"/>
            </w:tcBorders>
            <w:shd w:val="clear" w:color="auto" w:fill="auto"/>
            <w:vAlign w:val="bottom"/>
          </w:tcPr>
          <w:p w14:paraId="2C7932F7" w14:textId="65AF834A" w:rsidR="00AF1011" w:rsidRPr="00D87C99" w:rsidRDefault="00AF1011" w:rsidP="00C51D68">
            <w:pPr>
              <w:pStyle w:val="SingleTxtG"/>
              <w:tabs>
                <w:tab w:val="clear" w:pos="1701"/>
                <w:tab w:val="clear" w:pos="2268"/>
                <w:tab w:val="clear" w:pos="2835"/>
              </w:tabs>
              <w:spacing w:before="80" w:after="80" w:line="200" w:lineRule="exact"/>
              <w:ind w:left="0" w:right="0"/>
              <w:jc w:val="right"/>
              <w:rPr>
                <w:b/>
                <w:iCs/>
                <w:szCs w:val="24"/>
                <w:lang w:val="en-GB"/>
              </w:rPr>
            </w:pPr>
            <w:r w:rsidRPr="00D87C99">
              <w:rPr>
                <w:b/>
                <w:iCs/>
                <w:szCs w:val="24"/>
              </w:rPr>
              <w:t>Masa de la</w:t>
            </w:r>
            <w:r w:rsidR="00C95327">
              <w:rPr>
                <w:b/>
                <w:iCs/>
                <w:szCs w:val="24"/>
              </w:rPr>
              <w:t xml:space="preserve"> </w:t>
            </w:r>
            <w:r w:rsidRPr="00D87C99">
              <w:rPr>
                <w:b/>
                <w:iCs/>
                <w:szCs w:val="24"/>
              </w:rPr>
              <w:t>muestra (kg)</w:t>
            </w:r>
          </w:p>
        </w:tc>
        <w:tc>
          <w:tcPr>
            <w:tcW w:w="1148" w:type="pct"/>
            <w:tcBorders>
              <w:top w:val="single" w:sz="4" w:space="0" w:color="auto"/>
              <w:bottom w:val="single" w:sz="12" w:space="0" w:color="auto"/>
            </w:tcBorders>
            <w:shd w:val="clear" w:color="auto" w:fill="auto"/>
            <w:vAlign w:val="bottom"/>
          </w:tcPr>
          <w:p w14:paraId="40A4F91C" w14:textId="2B077C20" w:rsidR="00AF1011" w:rsidRPr="00D87C99" w:rsidRDefault="00AF1011" w:rsidP="00066C6E">
            <w:pPr>
              <w:pStyle w:val="SingleTxtG"/>
              <w:tabs>
                <w:tab w:val="clear" w:pos="1701"/>
                <w:tab w:val="clear" w:pos="2268"/>
                <w:tab w:val="clear" w:pos="2835"/>
              </w:tabs>
              <w:spacing w:before="80" w:after="80" w:line="200" w:lineRule="exact"/>
              <w:ind w:left="0" w:right="0"/>
              <w:jc w:val="left"/>
              <w:rPr>
                <w:b/>
                <w:iCs/>
                <w:szCs w:val="24"/>
                <w:lang w:val="en-GB"/>
              </w:rPr>
            </w:pPr>
            <w:r w:rsidRPr="00D87C99">
              <w:rPr>
                <w:b/>
                <w:iCs/>
                <w:szCs w:val="24"/>
              </w:rPr>
              <w:t>Embalaje/envase</w:t>
            </w:r>
          </w:p>
        </w:tc>
        <w:tc>
          <w:tcPr>
            <w:tcW w:w="1012" w:type="pct"/>
            <w:tcBorders>
              <w:top w:val="single" w:sz="4" w:space="0" w:color="auto"/>
              <w:bottom w:val="single" w:sz="12" w:space="0" w:color="auto"/>
            </w:tcBorders>
            <w:shd w:val="clear" w:color="auto" w:fill="auto"/>
            <w:vAlign w:val="bottom"/>
          </w:tcPr>
          <w:p w14:paraId="13F576AC" w14:textId="5931B44F" w:rsidR="00AF1011" w:rsidRPr="00D87C99" w:rsidRDefault="00AF1011" w:rsidP="00C95327">
            <w:pPr>
              <w:pStyle w:val="SingleTxtG"/>
              <w:tabs>
                <w:tab w:val="clear" w:pos="1701"/>
                <w:tab w:val="clear" w:pos="2268"/>
                <w:tab w:val="clear" w:pos="2835"/>
              </w:tabs>
              <w:spacing w:before="80" w:after="80" w:line="200" w:lineRule="exact"/>
              <w:ind w:left="0" w:right="0"/>
              <w:jc w:val="right"/>
              <w:rPr>
                <w:b/>
                <w:iCs/>
                <w:szCs w:val="24"/>
                <w:lang w:val="en-GB"/>
              </w:rPr>
            </w:pPr>
            <w:r w:rsidRPr="00D87C99">
              <w:rPr>
                <w:b/>
                <w:iCs/>
                <w:szCs w:val="24"/>
              </w:rPr>
              <w:t>TDAA/TPAA (ºC)</w:t>
            </w:r>
          </w:p>
        </w:tc>
      </w:tr>
      <w:tr w:rsidR="00AF1011" w:rsidRPr="0038269A" w14:paraId="28FE7C3A" w14:textId="77777777" w:rsidTr="00C95327">
        <w:trPr>
          <w:cantSplit/>
          <w:trHeight w:val="240"/>
        </w:trPr>
        <w:tc>
          <w:tcPr>
            <w:tcW w:w="1731" w:type="pct"/>
            <w:tcBorders>
              <w:top w:val="single" w:sz="12" w:space="0" w:color="auto"/>
            </w:tcBorders>
            <w:shd w:val="clear" w:color="auto" w:fill="auto"/>
          </w:tcPr>
          <w:p w14:paraId="201DFA52" w14:textId="099280D4" w:rsidR="00AF1011" w:rsidRPr="0038269A" w:rsidRDefault="00AF1011" w:rsidP="0046137D">
            <w:pPr>
              <w:pStyle w:val="SingleTxtG"/>
              <w:tabs>
                <w:tab w:val="clear" w:pos="1701"/>
                <w:tab w:val="clear" w:pos="2268"/>
                <w:tab w:val="clear" w:pos="2835"/>
              </w:tabs>
              <w:spacing w:before="40"/>
              <w:ind w:left="0" w:right="0"/>
              <w:jc w:val="left"/>
              <w:rPr>
                <w:lang w:val="en-GB"/>
              </w:rPr>
            </w:pPr>
            <w:r w:rsidRPr="00066C6E">
              <w:rPr>
                <w:lang w:val="en-GB"/>
              </w:rPr>
              <w:t>Didecanoilperóxido, técnicamente puro</w:t>
            </w:r>
          </w:p>
        </w:tc>
        <w:tc>
          <w:tcPr>
            <w:tcW w:w="1109" w:type="pct"/>
            <w:tcBorders>
              <w:top w:val="single" w:sz="12" w:space="0" w:color="auto"/>
            </w:tcBorders>
            <w:shd w:val="clear" w:color="auto" w:fill="auto"/>
          </w:tcPr>
          <w:p w14:paraId="3918DCAD" w14:textId="77777777" w:rsidR="00AF1011" w:rsidRPr="0038269A" w:rsidRDefault="00AF1011" w:rsidP="00066C6E">
            <w:pPr>
              <w:pStyle w:val="SingleTxtG"/>
              <w:tabs>
                <w:tab w:val="clear" w:pos="1701"/>
                <w:tab w:val="clear" w:pos="2268"/>
                <w:tab w:val="clear" w:pos="2835"/>
              </w:tabs>
              <w:spacing w:before="40"/>
              <w:ind w:left="0" w:right="0"/>
              <w:jc w:val="right"/>
              <w:rPr>
                <w:lang w:val="en-GB"/>
              </w:rPr>
            </w:pPr>
            <w:r w:rsidRPr="0038269A">
              <w:t>20</w:t>
            </w:r>
          </w:p>
        </w:tc>
        <w:tc>
          <w:tcPr>
            <w:tcW w:w="1148" w:type="pct"/>
            <w:tcBorders>
              <w:top w:val="single" w:sz="12" w:space="0" w:color="auto"/>
            </w:tcBorders>
            <w:shd w:val="clear" w:color="auto" w:fill="auto"/>
          </w:tcPr>
          <w:p w14:paraId="09D6BE3B" w14:textId="21F57F8B" w:rsidR="00AF1011" w:rsidRPr="0038269A" w:rsidRDefault="00AF1011" w:rsidP="00066C6E">
            <w:pPr>
              <w:pStyle w:val="SingleTxtG"/>
              <w:tabs>
                <w:tab w:val="clear" w:pos="1701"/>
                <w:tab w:val="clear" w:pos="2268"/>
                <w:tab w:val="clear" w:pos="2835"/>
              </w:tabs>
              <w:spacing w:before="40"/>
              <w:ind w:left="0" w:right="0"/>
              <w:rPr>
                <w:lang w:val="en-GB"/>
              </w:rPr>
            </w:pPr>
            <w:r w:rsidRPr="0038269A">
              <w:t>1G</w:t>
            </w:r>
          </w:p>
        </w:tc>
        <w:tc>
          <w:tcPr>
            <w:tcW w:w="1012" w:type="pct"/>
            <w:tcBorders>
              <w:top w:val="single" w:sz="12" w:space="0" w:color="auto"/>
            </w:tcBorders>
            <w:shd w:val="clear" w:color="auto" w:fill="auto"/>
          </w:tcPr>
          <w:p w14:paraId="0E4C87B2" w14:textId="1D29BEE3" w:rsidR="00AF1011" w:rsidRPr="0038269A" w:rsidRDefault="00AF1011" w:rsidP="00066C6E">
            <w:pPr>
              <w:pStyle w:val="SingleTxtG"/>
              <w:tabs>
                <w:tab w:val="clear" w:pos="1701"/>
                <w:tab w:val="clear" w:pos="2268"/>
                <w:tab w:val="clear" w:pos="2835"/>
              </w:tabs>
              <w:spacing w:before="40"/>
              <w:ind w:left="0" w:right="0"/>
              <w:jc w:val="right"/>
              <w:rPr>
                <w:lang w:val="en-GB"/>
              </w:rPr>
            </w:pPr>
            <w:r w:rsidRPr="0038269A">
              <w:t>40</w:t>
            </w:r>
          </w:p>
        </w:tc>
      </w:tr>
      <w:tr w:rsidR="00AF1011" w:rsidRPr="0038269A" w14:paraId="191F2C01" w14:textId="77777777" w:rsidTr="00C95327">
        <w:trPr>
          <w:cantSplit/>
          <w:trHeight w:val="240"/>
        </w:trPr>
        <w:tc>
          <w:tcPr>
            <w:tcW w:w="1731" w:type="pct"/>
            <w:tcBorders>
              <w:bottom w:val="single" w:sz="12" w:space="0" w:color="auto"/>
            </w:tcBorders>
            <w:shd w:val="clear" w:color="auto" w:fill="auto"/>
          </w:tcPr>
          <w:p w14:paraId="45F07843" w14:textId="2DDEE7FC" w:rsidR="00AF1011" w:rsidRPr="0038269A" w:rsidRDefault="00AF1011" w:rsidP="0046137D">
            <w:pPr>
              <w:pStyle w:val="SingleTxtG"/>
              <w:tabs>
                <w:tab w:val="clear" w:pos="1701"/>
                <w:tab w:val="clear" w:pos="2268"/>
                <w:tab w:val="clear" w:pos="2835"/>
              </w:tabs>
              <w:spacing w:before="40"/>
              <w:ind w:left="0" w:right="0"/>
              <w:jc w:val="left"/>
              <w:rPr>
                <w:bCs/>
                <w:lang w:val="en-GB"/>
              </w:rPr>
            </w:pPr>
            <w:r w:rsidRPr="0038269A">
              <w:t>2,2</w:t>
            </w:r>
            <w:r w:rsidR="00C95327">
              <w:t>’</w:t>
            </w:r>
            <w:r w:rsidRPr="0038269A">
              <w:t>-Azodi-(isobutironitrilo)</w:t>
            </w:r>
          </w:p>
        </w:tc>
        <w:tc>
          <w:tcPr>
            <w:tcW w:w="1109" w:type="pct"/>
            <w:tcBorders>
              <w:bottom w:val="single" w:sz="12" w:space="0" w:color="auto"/>
            </w:tcBorders>
            <w:shd w:val="clear" w:color="auto" w:fill="auto"/>
          </w:tcPr>
          <w:p w14:paraId="35428F36" w14:textId="439A690B" w:rsidR="00AF1011" w:rsidRPr="0038269A" w:rsidRDefault="00AF1011" w:rsidP="00066C6E">
            <w:pPr>
              <w:pStyle w:val="SingleTxtG"/>
              <w:tabs>
                <w:tab w:val="clear" w:pos="1701"/>
                <w:tab w:val="clear" w:pos="2268"/>
                <w:tab w:val="clear" w:pos="2835"/>
              </w:tabs>
              <w:spacing w:before="40"/>
              <w:ind w:left="0" w:right="0"/>
              <w:jc w:val="right"/>
              <w:rPr>
                <w:bCs/>
                <w:lang w:val="en-GB"/>
              </w:rPr>
            </w:pPr>
            <w:r w:rsidRPr="0038269A">
              <w:t>50</w:t>
            </w:r>
          </w:p>
        </w:tc>
        <w:tc>
          <w:tcPr>
            <w:tcW w:w="1148" w:type="pct"/>
            <w:tcBorders>
              <w:bottom w:val="single" w:sz="12" w:space="0" w:color="auto"/>
            </w:tcBorders>
            <w:shd w:val="clear" w:color="auto" w:fill="auto"/>
          </w:tcPr>
          <w:p w14:paraId="557CE188" w14:textId="622AC08D" w:rsidR="00AF1011" w:rsidRPr="0038269A" w:rsidRDefault="00AF1011" w:rsidP="00066C6E">
            <w:pPr>
              <w:pStyle w:val="SingleTxtG"/>
              <w:tabs>
                <w:tab w:val="clear" w:pos="1701"/>
                <w:tab w:val="clear" w:pos="2268"/>
                <w:tab w:val="clear" w:pos="2835"/>
              </w:tabs>
              <w:spacing w:before="40"/>
              <w:ind w:left="0" w:right="0"/>
              <w:rPr>
                <w:bCs/>
                <w:lang w:val="en-GB"/>
              </w:rPr>
            </w:pPr>
            <w:r w:rsidRPr="0038269A">
              <w:t>1G</w:t>
            </w:r>
          </w:p>
        </w:tc>
        <w:tc>
          <w:tcPr>
            <w:tcW w:w="1012" w:type="pct"/>
            <w:tcBorders>
              <w:bottom w:val="single" w:sz="12" w:space="0" w:color="auto"/>
            </w:tcBorders>
            <w:shd w:val="clear" w:color="auto" w:fill="auto"/>
          </w:tcPr>
          <w:p w14:paraId="32E51338" w14:textId="658CBFE3" w:rsidR="00AF1011" w:rsidRPr="0038269A" w:rsidRDefault="00AF1011" w:rsidP="00066C6E">
            <w:pPr>
              <w:pStyle w:val="SingleTxtG"/>
              <w:tabs>
                <w:tab w:val="clear" w:pos="1701"/>
                <w:tab w:val="clear" w:pos="2268"/>
                <w:tab w:val="clear" w:pos="2835"/>
              </w:tabs>
              <w:spacing w:before="40"/>
              <w:ind w:left="0" w:right="0"/>
              <w:jc w:val="right"/>
              <w:rPr>
                <w:bCs/>
                <w:lang w:val="en-GB"/>
              </w:rPr>
            </w:pPr>
            <w:r w:rsidRPr="0038269A">
              <w:t>50</w:t>
            </w:r>
          </w:p>
        </w:tc>
      </w:tr>
    </w:tbl>
    <w:p w14:paraId="5BE7E1FA" w14:textId="77777777" w:rsidR="00AF1011" w:rsidRPr="0038269A" w:rsidRDefault="00AF1011" w:rsidP="00294F0C">
      <w:pPr>
        <w:pStyle w:val="SingleTxtG"/>
        <w:tabs>
          <w:tab w:val="clear" w:pos="1701"/>
          <w:tab w:val="clear" w:pos="2835"/>
          <w:tab w:val="left" w:pos="3119"/>
        </w:tabs>
        <w:suppressAutoHyphens/>
        <w:spacing w:before="240"/>
        <w:rPr>
          <w:lang w:val="en-GB"/>
        </w:rPr>
      </w:pPr>
      <w:r w:rsidRPr="0038269A">
        <w:t>Figura 28.4.1.1</w:t>
      </w:r>
      <w:r w:rsidRPr="0038269A">
        <w:tab/>
        <w:t xml:space="preserve">Modifíquese el título para que diga: “HORNO PARA BULTOS DE PEQUEÑO TAMAÑO (Ejemplo 1)” </w:t>
      </w:r>
    </w:p>
    <w:p w14:paraId="69D515D3" w14:textId="63123262" w:rsidR="00AF1011" w:rsidRPr="0038269A" w:rsidRDefault="00AF1011" w:rsidP="00294F0C">
      <w:pPr>
        <w:pStyle w:val="SingleTxtG"/>
        <w:tabs>
          <w:tab w:val="clear" w:pos="1701"/>
          <w:tab w:val="clear" w:pos="2835"/>
          <w:tab w:val="left" w:pos="3119"/>
        </w:tabs>
        <w:suppressAutoHyphens/>
        <w:rPr>
          <w:lang w:val="en-GB"/>
        </w:rPr>
      </w:pPr>
      <w:r w:rsidRPr="0038269A">
        <w:t>Figura 28.4.1.2</w:t>
      </w:r>
      <w:r w:rsidRPr="0038269A">
        <w:tab/>
        <w:t xml:space="preserve">Modifíquese el título para que diga: “HORNO PARA BULTOS DE GRAN TAMAÑO (vista superior y vista lateral) (Ejemplo 2)” </w:t>
      </w:r>
    </w:p>
    <w:p w14:paraId="2EB32FF9" w14:textId="77777777" w:rsidR="00AF1011" w:rsidRPr="0038269A" w:rsidRDefault="00AF1011" w:rsidP="00C95327">
      <w:pPr>
        <w:pStyle w:val="SingleTxtG"/>
        <w:tabs>
          <w:tab w:val="clear" w:pos="1701"/>
          <w:tab w:val="clear" w:pos="2835"/>
          <w:tab w:val="left" w:pos="3119"/>
        </w:tabs>
        <w:suppressAutoHyphens/>
        <w:ind w:left="2268" w:hanging="1134"/>
        <w:rPr>
          <w:lang w:val="en-GB"/>
        </w:rPr>
      </w:pPr>
      <w:r w:rsidRPr="0038269A">
        <w:t>28.4.2.1.1</w:t>
      </w:r>
      <w:r w:rsidRPr="0038269A">
        <w:tab/>
        <w:t>En la segunda frase, sustitúyase “datos sobre pérdida de calor relativos al bulto” por “datos sobre pérdida de calor del bulto”. Añádase al final la siguiente frase y sus correspondientes apartados a) y b):</w:t>
      </w:r>
    </w:p>
    <w:p w14:paraId="2B4421A6" w14:textId="77777777" w:rsidR="00AF1011" w:rsidRPr="0038269A" w:rsidRDefault="00AF1011" w:rsidP="00AF1011">
      <w:pPr>
        <w:pStyle w:val="SingleTxtG"/>
        <w:rPr>
          <w:lang w:val="en-GB"/>
        </w:rPr>
      </w:pPr>
      <w:r w:rsidRPr="0038269A">
        <w:t>“Hay dos versiones de la prueba de almacenamiento adiabático:</w:t>
      </w:r>
    </w:p>
    <w:p w14:paraId="6FCBAE00" w14:textId="2538DDEF" w:rsidR="00AF1011" w:rsidRPr="0038269A" w:rsidRDefault="00C95327" w:rsidP="00C95327">
      <w:pPr>
        <w:pStyle w:val="SingleTxtG"/>
        <w:tabs>
          <w:tab w:val="clear" w:pos="2835"/>
        </w:tabs>
        <w:suppressAutoHyphens/>
        <w:ind w:left="2268" w:hanging="1701"/>
        <w:rPr>
          <w:lang w:val="en-GB"/>
        </w:rPr>
      </w:pPr>
      <w:r>
        <w:tab/>
      </w:r>
      <w:r w:rsidR="00AF1011" w:rsidRPr="0038269A">
        <w:t>a)</w:t>
      </w:r>
      <w:r w:rsidR="00AF1011" w:rsidRPr="0038269A">
        <w:tab/>
        <w:t xml:space="preserve">Versión abierta: Se utiliza un frasco de Dewar dentro de un horno. En este montaje se utiliza un capilar para evitar un aumento excesivo de la presión y un sistema de refrigeración para limitar el aumento de la temperatura debido a una reacción exotérmica incontrolada; </w:t>
      </w:r>
    </w:p>
    <w:p w14:paraId="73DF27E3" w14:textId="3BD31033" w:rsidR="00AF1011" w:rsidRPr="0038269A" w:rsidRDefault="00294F0C" w:rsidP="00C95327">
      <w:pPr>
        <w:pStyle w:val="SingleTxtG"/>
        <w:tabs>
          <w:tab w:val="clear" w:pos="2835"/>
        </w:tabs>
        <w:suppressAutoHyphens/>
        <w:ind w:left="2268" w:hanging="1701"/>
        <w:rPr>
          <w:lang w:val="en-GB"/>
        </w:rPr>
      </w:pPr>
      <w:r>
        <w:tab/>
      </w:r>
      <w:r w:rsidR="00AF1011" w:rsidRPr="0038269A">
        <w:t>b)</w:t>
      </w:r>
      <w:r w:rsidR="00AF1011" w:rsidRPr="0038269A">
        <w:tab/>
        <w:t xml:space="preserve">Versión cerrada: Se coloca un recipiente de prueba (por ejemplo, un frasco de Dewar o un recipiente de </w:t>
      </w:r>
      <w:r w:rsidR="00AF1011" w:rsidRPr="00294F0C">
        <w:rPr>
          <w:lang w:val="en-GB"/>
        </w:rPr>
        <w:t>paredes</w:t>
      </w:r>
      <w:r w:rsidR="00AF1011" w:rsidRPr="0038269A">
        <w:t xml:space="preserve"> finas) dentro de un autoclave en un horno. En este caso, el autoclave evita la liberación de presión al entorno durante la prueba</w:t>
      </w:r>
      <w:r w:rsidR="00C95327">
        <w:t>.</w:t>
      </w:r>
      <w:r w:rsidR="00AF1011" w:rsidRPr="0038269A">
        <w:t>”</w:t>
      </w:r>
    </w:p>
    <w:p w14:paraId="530A3343" w14:textId="77777777" w:rsidR="00AF1011" w:rsidRPr="0038269A" w:rsidRDefault="00AF1011" w:rsidP="00294F0C">
      <w:pPr>
        <w:pStyle w:val="SingleTxtG"/>
        <w:tabs>
          <w:tab w:val="clear" w:pos="1701"/>
          <w:tab w:val="clear" w:pos="2835"/>
          <w:tab w:val="left" w:pos="3119"/>
        </w:tabs>
        <w:suppressAutoHyphens/>
        <w:rPr>
          <w:lang w:val="en-GB"/>
        </w:rPr>
      </w:pPr>
      <w:r w:rsidRPr="0038269A">
        <w:lastRenderedPageBreak/>
        <w:t xml:space="preserve">28.4.2.1.2 </w:t>
      </w:r>
      <w:r w:rsidRPr="0038269A">
        <w:tab/>
        <w:t>Modifíquese para que diga lo siguiente:</w:t>
      </w:r>
    </w:p>
    <w:p w14:paraId="495D7EA9" w14:textId="2C38CFC9" w:rsidR="00AF1011" w:rsidRPr="00175F0E" w:rsidRDefault="00AF1011" w:rsidP="00294F0C">
      <w:pPr>
        <w:pStyle w:val="SingleTxtG"/>
        <w:tabs>
          <w:tab w:val="clear" w:pos="1701"/>
          <w:tab w:val="clear" w:pos="2835"/>
          <w:tab w:val="left" w:pos="3119"/>
        </w:tabs>
        <w:suppressAutoHyphens/>
        <w:rPr>
          <w:lang w:val="es-ES_tradnl"/>
        </w:rPr>
      </w:pPr>
      <w:r w:rsidRPr="0038269A">
        <w:t>“28.4.2.1.2</w:t>
      </w:r>
      <w:r w:rsidRPr="0038269A">
        <w:tab/>
        <w:t xml:space="preserve">El aumento de </w:t>
      </w:r>
      <w:r w:rsidRPr="00175F0E">
        <w:rPr>
          <w:lang w:val="es-ES_tradnl"/>
        </w:rPr>
        <w:t>temperatura</w:t>
      </w:r>
      <w:r w:rsidRPr="0038269A">
        <w:t xml:space="preserve"> más pequeño que puede detectarse con este método depende de las propiedades de la muestra, pero generalmente corresponde a una tasa de generación de calor de 15 mW/kg. El límite superior de la versión abierta está determinado por la capacidad del sistema de enfriamiento para enfriar con seguridad la sustancia (hasta 500 W/kg si se utiliza agua como líquido refrigerante). En la versión cerrada se puede ignorar este límite si el ensayo se realiza en un autoclave de alta presión. El error máximo permisible en la generación de calor es del 30</w:t>
      </w:r>
      <w:r w:rsidR="00294F0C">
        <w:t xml:space="preserve"> </w:t>
      </w:r>
      <w:r w:rsidRPr="0038269A">
        <w:t>% a 15 mW/kg y del 10</w:t>
      </w:r>
      <w:r w:rsidR="00294F0C">
        <w:t xml:space="preserve"> </w:t>
      </w:r>
      <w:r w:rsidRPr="0038269A">
        <w:t>% de 100 mW/kg a 10 W/kg. El límite de detección del ensayo adiabático debería ser adecuado para evaluar la pérdida de calor del envase/embalaje considerado (por ejemplo, de 100 a 500 mW/kg para L</w:t>
      </w:r>
      <w:r w:rsidR="00C95327">
        <w:t> </w:t>
      </w:r>
      <w:r w:rsidRPr="0038269A">
        <w:t>=</w:t>
      </w:r>
      <w:r w:rsidR="00C95327">
        <w:t> </w:t>
      </w:r>
      <w:r w:rsidRPr="0038269A">
        <w:t>60</w:t>
      </w:r>
      <w:r w:rsidR="00C95327">
        <w:t> </w:t>
      </w:r>
      <w:r w:rsidRPr="0038269A">
        <w:t xml:space="preserve">mW/K.kg). Si se requiere una extrapolación significativa de las tasas de producción de calor derivadas de los datos de las pruebas adiabáticas, se recomienda realizar una validación con </w:t>
      </w:r>
      <w:r w:rsidRPr="00175F0E">
        <w:rPr>
          <w:lang w:val="es-ES_tradnl"/>
        </w:rPr>
        <w:t>pruebas isotérmicas adicionales.”</w:t>
      </w:r>
    </w:p>
    <w:p w14:paraId="22D0F3C3" w14:textId="77777777" w:rsidR="00AF1011" w:rsidRPr="00175F0E" w:rsidRDefault="00AF1011" w:rsidP="00294F0C">
      <w:pPr>
        <w:pStyle w:val="SingleTxtG"/>
        <w:tabs>
          <w:tab w:val="clear" w:pos="1701"/>
          <w:tab w:val="clear" w:pos="2835"/>
          <w:tab w:val="left" w:pos="3119"/>
        </w:tabs>
        <w:suppressAutoHyphens/>
        <w:rPr>
          <w:lang w:val="es-ES_tradnl"/>
        </w:rPr>
      </w:pPr>
      <w:r w:rsidRPr="00175F0E">
        <w:rPr>
          <w:lang w:val="es-ES_tradnl"/>
        </w:rPr>
        <w:t xml:space="preserve">28.4.2.1.3 </w:t>
      </w:r>
      <w:r w:rsidRPr="00175F0E">
        <w:rPr>
          <w:lang w:val="es-ES_tradnl"/>
        </w:rPr>
        <w:tab/>
        <w:t>Sustitúyase el texto de la primera oración por el siguiente:</w:t>
      </w:r>
    </w:p>
    <w:p w14:paraId="45243590" w14:textId="77777777" w:rsidR="00AF1011" w:rsidRPr="00175F0E" w:rsidRDefault="00AF1011" w:rsidP="00AF1011">
      <w:pPr>
        <w:pStyle w:val="SingleTxtG"/>
        <w:rPr>
          <w:lang w:val="es-ES_tradnl"/>
        </w:rPr>
      </w:pPr>
      <w:r w:rsidRPr="00175F0E">
        <w:rPr>
          <w:lang w:val="es-ES_tradnl"/>
        </w:rPr>
        <w:t>“Puede producirse una explosión en la versión abierta de la prueba si el sistema de refrigeración se activa en una fase en la que la tasa de generación de calor sobrepasa la capacidad de refrigeración del aparato. En el caso de la versión cerrada, una explosión podría provocar la ruptura del autoclave o de sus accesorios”.</w:t>
      </w:r>
    </w:p>
    <w:p w14:paraId="1927B838" w14:textId="77777777" w:rsidR="00AF1011" w:rsidRPr="00175F0E" w:rsidRDefault="00AF1011" w:rsidP="00C95327">
      <w:pPr>
        <w:pStyle w:val="SingleTxtG"/>
        <w:tabs>
          <w:tab w:val="clear" w:pos="1701"/>
          <w:tab w:val="clear" w:pos="2835"/>
          <w:tab w:val="left" w:pos="3119"/>
        </w:tabs>
        <w:suppressAutoHyphens/>
        <w:ind w:left="2268" w:hanging="1134"/>
        <w:rPr>
          <w:lang w:val="es-ES_tradnl"/>
        </w:rPr>
      </w:pPr>
      <w:r w:rsidRPr="00175F0E">
        <w:rPr>
          <w:lang w:val="es-ES_tradnl"/>
        </w:rPr>
        <w:t xml:space="preserve">28.4.2.2.1 </w:t>
      </w:r>
      <w:r w:rsidRPr="00175F0E">
        <w:rPr>
          <w:lang w:val="es-ES_tradnl"/>
        </w:rPr>
        <w:tab/>
        <w:t>Insértese un encabezamiento que diga: “Versión abierta” y modifíquese el párrafo actual como sigue:</w:t>
      </w:r>
    </w:p>
    <w:p w14:paraId="23D30D32" w14:textId="790A3A19" w:rsidR="00AF1011" w:rsidRPr="0038269A" w:rsidRDefault="00AF1011" w:rsidP="00294F0C">
      <w:pPr>
        <w:pStyle w:val="Bullet1G"/>
        <w:ind w:left="2438"/>
        <w:rPr>
          <w:lang w:val="en-GB"/>
        </w:rPr>
      </w:pPr>
      <w:r w:rsidRPr="00175F0E">
        <w:rPr>
          <w:lang w:val="es-ES_tradnl"/>
        </w:rPr>
        <w:t>En la primera frase, sustitúyase “(1,</w:t>
      </w:r>
      <w:r w:rsidRPr="0038269A">
        <w:t>0 a 1,5 litros)” por “(máx. 3 litros);</w:t>
      </w:r>
    </w:p>
    <w:p w14:paraId="72ADEA43" w14:textId="74C54B91" w:rsidR="00AF1011" w:rsidRPr="0038269A" w:rsidRDefault="00AF1011" w:rsidP="00294F0C">
      <w:pPr>
        <w:pStyle w:val="Bullet1G"/>
        <w:ind w:left="2438"/>
        <w:rPr>
          <w:lang w:val="en-GB"/>
        </w:rPr>
      </w:pPr>
      <w:r w:rsidRPr="0038269A">
        <w:t>Modifíquese la cuarta frase como sigue: “El aumento de presión en el frasco de Dewar se evita mediante un tubo capilar suficientemente largo hecho de una sustancia inerte (por ejemplo, un tubo de PTFE de 2 m de longitud) a través de la tapa aislada”</w:t>
      </w:r>
      <w:r w:rsidR="00C95327">
        <w:t>.</w:t>
      </w:r>
    </w:p>
    <w:p w14:paraId="150107E6" w14:textId="3A18AA3B" w:rsidR="00AF1011" w:rsidRPr="00175F0E" w:rsidRDefault="00AF1011" w:rsidP="00294F0C">
      <w:pPr>
        <w:pStyle w:val="Bullet1G"/>
        <w:ind w:left="2438"/>
        <w:rPr>
          <w:lang w:val="es-ES_tradnl"/>
        </w:rPr>
      </w:pPr>
      <w:r w:rsidRPr="0038269A">
        <w:t xml:space="preserve">En la séptima frase, </w:t>
      </w:r>
      <w:r w:rsidRPr="00175F0E">
        <w:rPr>
          <w:lang w:val="es-ES_tradnl"/>
        </w:rPr>
        <w:t xml:space="preserve">sustitúyase “se instala un dispositivo secundario de seguridad que desconecta el suministro de energía” por “se utiliza un dispositivo de seguridad secundario para </w:t>
      </w:r>
      <w:r w:rsidRPr="00175F0E">
        <w:rPr>
          <w:i/>
          <w:iCs/>
          <w:lang w:val="es-ES_tradnl"/>
        </w:rPr>
        <w:t>desconectar</w:t>
      </w:r>
      <w:r w:rsidRPr="00175F0E">
        <w:rPr>
          <w:lang w:val="es-ES_tradnl"/>
        </w:rPr>
        <w:t xml:space="preserve"> el suministro de energía”.</w:t>
      </w:r>
    </w:p>
    <w:p w14:paraId="6398CA42" w14:textId="507A947E" w:rsidR="00AF1011" w:rsidRPr="00175F0E" w:rsidRDefault="00AF1011" w:rsidP="00294F0C">
      <w:pPr>
        <w:pStyle w:val="Bullet1G"/>
        <w:ind w:left="2438"/>
        <w:rPr>
          <w:lang w:val="es-ES_tradnl"/>
        </w:rPr>
      </w:pPr>
      <w:r w:rsidRPr="00175F0E">
        <w:rPr>
          <w:lang w:val="es-ES_tradnl"/>
        </w:rPr>
        <w:t xml:space="preserve">Modifíquese la última frase para que diga lo siguiente: “En la figura 28.4.2.1 se representa </w:t>
      </w:r>
      <w:r w:rsidRPr="00175F0E">
        <w:rPr>
          <w:i/>
          <w:iCs/>
          <w:lang w:val="es-ES_tradnl"/>
        </w:rPr>
        <w:t>esquemáticamente</w:t>
      </w:r>
      <w:r w:rsidRPr="00175F0E">
        <w:rPr>
          <w:lang w:val="es-ES_tradnl"/>
        </w:rPr>
        <w:t xml:space="preserve"> un montaje abierto para el ensayo de almacenamiento adiabático”.</w:t>
      </w:r>
    </w:p>
    <w:p w14:paraId="77943FA8" w14:textId="6792C262" w:rsidR="00AF1011" w:rsidRPr="00C95327" w:rsidRDefault="00AF1011" w:rsidP="00294F0C">
      <w:pPr>
        <w:pStyle w:val="SingleTxtG"/>
        <w:tabs>
          <w:tab w:val="clear" w:pos="1701"/>
          <w:tab w:val="clear" w:pos="2835"/>
          <w:tab w:val="left" w:pos="3119"/>
        </w:tabs>
        <w:suppressAutoHyphens/>
      </w:pPr>
      <w:r w:rsidRPr="00C95327">
        <w:t>28.4.2.2.2</w:t>
      </w:r>
      <w:r w:rsidRPr="00C95327">
        <w:tab/>
        <w:t>Insértense los siguientes nuevos párrafos (el actual 28.4.2.2.2 pasa a ser</w:t>
      </w:r>
      <w:r w:rsidR="00C95327" w:rsidRPr="00C95327">
        <w:t> </w:t>
      </w:r>
      <w:r w:rsidRPr="00C95327">
        <w:t>28.4.2.2.3):</w:t>
      </w:r>
    </w:p>
    <w:p w14:paraId="0D5B0FA3" w14:textId="77777777" w:rsidR="00AF1011" w:rsidRPr="00C95327" w:rsidRDefault="00AF1011" w:rsidP="00294F0C">
      <w:pPr>
        <w:pStyle w:val="SingleTxtG"/>
        <w:tabs>
          <w:tab w:val="clear" w:pos="1701"/>
          <w:tab w:val="clear" w:pos="2835"/>
          <w:tab w:val="left" w:pos="3119"/>
        </w:tabs>
        <w:suppressAutoHyphens/>
      </w:pPr>
      <w:r w:rsidRPr="00C95327">
        <w:t>“28.4.2.2.2</w:t>
      </w:r>
      <w:r w:rsidRPr="00C95327">
        <w:tab/>
        <w:t>Versión cerrada</w:t>
      </w:r>
    </w:p>
    <w:p w14:paraId="7973A093" w14:textId="77777777" w:rsidR="00AF1011" w:rsidRPr="00C95327" w:rsidRDefault="00AF1011" w:rsidP="00294F0C">
      <w:pPr>
        <w:pStyle w:val="SingleTxtG"/>
        <w:tabs>
          <w:tab w:val="clear" w:pos="1701"/>
          <w:tab w:val="clear" w:pos="2835"/>
          <w:tab w:val="left" w:pos="3119"/>
        </w:tabs>
        <w:suppressAutoHyphens/>
      </w:pPr>
      <w:r w:rsidRPr="00C95327">
        <w:t>28.4.2.2.2.1</w:t>
      </w:r>
      <w:r w:rsidRPr="00C95327">
        <w:tab/>
        <w:t>El aparato consta de un recipiente inerte adecuado (por ejemplo, un frasco de Dewar o una celda de ensayo de paredes finas) que contiene la muestra, un autoclave de alta presión y un horno aislado con un sistema de control de la temperatura diferencial. Las celdas de ensayo de paredes finas requieren el uso de un sistema de control de la presión para equilibrar las presiones interna y externa de la celda.</w:t>
      </w:r>
    </w:p>
    <w:p w14:paraId="63E428BA" w14:textId="77777777" w:rsidR="00AF1011" w:rsidRPr="0038269A" w:rsidRDefault="00AF1011" w:rsidP="00294F0C">
      <w:pPr>
        <w:pStyle w:val="SingleTxtG"/>
        <w:tabs>
          <w:tab w:val="clear" w:pos="1701"/>
          <w:tab w:val="clear" w:pos="2835"/>
          <w:tab w:val="left" w:pos="3119"/>
        </w:tabs>
        <w:suppressAutoHyphens/>
        <w:rPr>
          <w:lang w:val="en-GB"/>
        </w:rPr>
      </w:pPr>
      <w:r w:rsidRPr="00C95327">
        <w:t>28.4.2.2.2.2</w:t>
      </w:r>
      <w:r w:rsidRPr="00C95327">
        <w:tab/>
        <w:t xml:space="preserve">El factor </w:t>
      </w:r>
      <w:r w:rsidRPr="00C95327">
        <w:rPr>
          <w:i/>
          <w:iCs/>
        </w:rPr>
        <w:t>phi</w:t>
      </w:r>
      <w:r w:rsidRPr="00C95327">
        <w:t xml:space="preserve"> (capacidad térmica del montaje y de la muestra dividida por la capacidad térmica de la muestra) del sistema debe conocerse y tenerse en cuenta al evaluar los resultados de las pruebas. Por tanto, debe elegirse una combinación adecuada de factor </w:t>
      </w:r>
      <w:r w:rsidRPr="00C95327">
        <w:rPr>
          <w:i/>
          <w:iCs/>
        </w:rPr>
        <w:t>phi</w:t>
      </w:r>
      <w:r w:rsidRPr="00C95327">
        <w:t>, aislamiento y cantidad de sustancia. También hay que tener en cuenta las pérdidas de calor del aparato y el límite</w:t>
      </w:r>
      <w:r w:rsidRPr="0038269A">
        <w:t xml:space="preserve"> de detección del sistema. Se puede introducir una bobina de calentamiento inerte en la muestra. Además del autoclave de alta presión, se utiliza un dispositivo secundario de seguridad que desconecta el suministro de energía al horno a una temperatura establecida.</w:t>
      </w:r>
    </w:p>
    <w:p w14:paraId="42FB5531" w14:textId="77C96D94" w:rsidR="00AF1011" w:rsidRPr="0038269A" w:rsidRDefault="00AF1011" w:rsidP="00294F0C">
      <w:pPr>
        <w:pStyle w:val="SingleTxtG"/>
        <w:tabs>
          <w:tab w:val="clear" w:pos="1701"/>
          <w:tab w:val="clear" w:pos="2835"/>
          <w:tab w:val="left" w:pos="3119"/>
        </w:tabs>
        <w:suppressAutoHyphens/>
        <w:rPr>
          <w:lang w:val="en-GB"/>
        </w:rPr>
      </w:pPr>
      <w:bookmarkStart w:id="0" w:name="_Hlk35357983"/>
      <w:r w:rsidRPr="0038269A">
        <w:t>28.4.2.2.2.3</w:t>
      </w:r>
      <w:r w:rsidRPr="0038269A">
        <w:tab/>
        <w:t xml:space="preserve">La versión cerrada de la prueba es preferible para las sustancias con una alta presión de vapor a la </w:t>
      </w:r>
      <w:r w:rsidRPr="00C95327">
        <w:t xml:space="preserve">temperatura del ensayo para evitar la pérdida de masa por evaporación, o para las sustancias que se descomponen con fuertes aumentos de presión (que en el caso de una versión abierta de la prueba podrían levantar la tapa aislada o expulsar la muestra de la celda de ensayo). Debe determinarse el peso de la muestra después de la medición para </w:t>
      </w:r>
      <w:r w:rsidRPr="00C95327">
        <w:lastRenderedPageBreak/>
        <w:t>detectar la pérdida de masa durante</w:t>
      </w:r>
      <w:r w:rsidRPr="0038269A">
        <w:t xml:space="preserve"> la prueba. Las fugas del sistema y el consiguiente enfriamiento por evaporación pueden provocar una importante pérdida de sensibilidad de la prueba y dar lugar a un gran margen de error en los resultados. La idoneidad de una prueba realizada en la versión abierta puede evaluarse determinando la pérdida de masa de la muestra después del ensayo</w:t>
      </w:r>
      <w:r w:rsidR="00C95327">
        <w:t>.</w:t>
      </w:r>
      <w:r w:rsidRPr="0038269A">
        <w:t>”</w:t>
      </w:r>
      <w:bookmarkEnd w:id="0"/>
      <w:r w:rsidR="00C95327">
        <w:t>.</w:t>
      </w:r>
    </w:p>
    <w:p w14:paraId="3F0008AD" w14:textId="77777777" w:rsidR="00AF1011" w:rsidRPr="0038269A" w:rsidRDefault="00AF1011" w:rsidP="00AF1011">
      <w:pPr>
        <w:pStyle w:val="SingleTxtG"/>
        <w:rPr>
          <w:lang w:val="en-GB"/>
        </w:rPr>
      </w:pPr>
      <w:r w:rsidRPr="0038269A">
        <w:t>28.4.2.2.3 (nuevo, antiguo párrafo 28.4.2.2.2)</w:t>
      </w:r>
      <w:r w:rsidRPr="0038269A">
        <w:tab/>
        <w:t>Modifíquese de la forma siguiente:</w:t>
      </w:r>
    </w:p>
    <w:p w14:paraId="7F59A072" w14:textId="6FBD3A44" w:rsidR="00AF1011" w:rsidRPr="0038269A" w:rsidRDefault="00AF1011" w:rsidP="001F2A9E">
      <w:pPr>
        <w:pStyle w:val="Bullet1G"/>
        <w:ind w:left="2438"/>
        <w:rPr>
          <w:lang w:val="en-GB"/>
        </w:rPr>
      </w:pPr>
      <w:r w:rsidRPr="0038269A">
        <w:t>En la primera frase, después de “sensores de resistencia de platino” añádase “(DTR)”;</w:t>
      </w:r>
    </w:p>
    <w:p w14:paraId="2C6D402F" w14:textId="0848E671" w:rsidR="00AF1011" w:rsidRPr="0038269A" w:rsidRDefault="00AF1011" w:rsidP="001F2A9E">
      <w:pPr>
        <w:pStyle w:val="Bullet1G"/>
        <w:ind w:left="2438"/>
        <w:rPr>
          <w:lang w:val="en-GB"/>
        </w:rPr>
      </w:pPr>
      <w:r w:rsidRPr="0038269A">
        <w:t>En la segunda frase, sustitúyase “aire circundante” por “entorno”;</w:t>
      </w:r>
    </w:p>
    <w:p w14:paraId="76440DD5" w14:textId="49712BE7" w:rsidR="00AF1011" w:rsidRPr="0038269A" w:rsidRDefault="00AF1011" w:rsidP="001F2A9E">
      <w:pPr>
        <w:pStyle w:val="Bullet1G"/>
        <w:ind w:left="2438"/>
        <w:rPr>
          <w:lang w:val="en-GB"/>
        </w:rPr>
      </w:pPr>
      <w:r w:rsidRPr="0038269A">
        <w:t>Modifíquese el final de la tercera frase como sigue: “...para controlar la temperatura de la sustancia, así como (del aire) del horno”.</w:t>
      </w:r>
    </w:p>
    <w:p w14:paraId="2BD39E83" w14:textId="52CE6098" w:rsidR="00AF1011" w:rsidRPr="0038269A" w:rsidRDefault="00AF1011" w:rsidP="001F2A9E">
      <w:pPr>
        <w:pStyle w:val="Bullet1G"/>
        <w:ind w:left="2438"/>
        <w:rPr>
          <w:lang w:val="en-GB"/>
        </w:rPr>
      </w:pPr>
      <w:r w:rsidRPr="0038269A">
        <w:t>Modifíquese la última frase para que diga lo siguiente: “Para las sustancias con una TDAA o TPAA inferior a la temperatura ambiente, la prueba debe efectuarse con suficiente refrigeración”.</w:t>
      </w:r>
    </w:p>
    <w:p w14:paraId="7074E46C" w14:textId="77777777" w:rsidR="00AF1011" w:rsidRPr="0038269A" w:rsidRDefault="00AF1011" w:rsidP="00AF1011">
      <w:pPr>
        <w:pStyle w:val="SingleTxtG"/>
        <w:rPr>
          <w:lang w:val="en-GB"/>
        </w:rPr>
      </w:pPr>
      <w:r w:rsidRPr="0038269A">
        <w:t>28.4.2.3.1</w:t>
      </w:r>
      <w:r w:rsidRPr="0038269A">
        <w:tab/>
        <w:t xml:space="preserve">Modifíquese para que diga lo siguiente: </w:t>
      </w:r>
    </w:p>
    <w:p w14:paraId="4F6C0576" w14:textId="1FB62657" w:rsidR="00AF1011" w:rsidRPr="0038269A" w:rsidRDefault="00AF1011" w:rsidP="00AF1011">
      <w:pPr>
        <w:pStyle w:val="SingleTxtG"/>
        <w:rPr>
          <w:lang w:val="en-GB"/>
        </w:rPr>
      </w:pPr>
      <w:r w:rsidRPr="0038269A">
        <w:t>“28.4.2.3.1</w:t>
      </w:r>
      <w:r w:rsidRPr="0038269A">
        <w:tab/>
      </w:r>
      <w:r w:rsidR="00C95327" w:rsidRPr="0038269A">
        <w:t xml:space="preserve">Procedimientos </w:t>
      </w:r>
      <w:r w:rsidRPr="0038269A">
        <w:t>de validación</w:t>
      </w:r>
      <w:bookmarkStart w:id="1" w:name="_Hlk35358385"/>
      <w:bookmarkEnd w:id="1"/>
    </w:p>
    <w:p w14:paraId="7E1A4E04" w14:textId="6B039C24" w:rsidR="00AF1011" w:rsidRPr="0038269A" w:rsidRDefault="006666E3" w:rsidP="00C95327">
      <w:pPr>
        <w:pStyle w:val="SingleTxtG"/>
        <w:tabs>
          <w:tab w:val="clear" w:pos="2835"/>
        </w:tabs>
        <w:suppressAutoHyphens/>
        <w:ind w:left="2268" w:hanging="1701"/>
        <w:rPr>
          <w:lang w:val="en-GB"/>
        </w:rPr>
      </w:pPr>
      <w:r>
        <w:tab/>
      </w:r>
      <w:r w:rsidR="00AF1011" w:rsidRPr="0038269A">
        <w:t>a)</w:t>
      </w:r>
      <w:r w:rsidR="00AF1011" w:rsidRPr="0038269A">
        <w:tab/>
        <w:t>El procedimiento de validación A es el siguiente:</w:t>
      </w:r>
    </w:p>
    <w:p w14:paraId="522FDA9A" w14:textId="1361E206" w:rsidR="00AF1011" w:rsidRPr="0038269A" w:rsidRDefault="006666E3" w:rsidP="00C95327">
      <w:pPr>
        <w:pStyle w:val="SingleTxtG"/>
        <w:tabs>
          <w:tab w:val="clear" w:pos="1701"/>
        </w:tabs>
        <w:suppressAutoHyphens/>
        <w:ind w:left="2835" w:hanging="1701"/>
        <w:rPr>
          <w:lang w:val="en-GB"/>
        </w:rPr>
      </w:pPr>
      <w:r>
        <w:tab/>
      </w:r>
      <w:r w:rsidR="00AF1011" w:rsidRPr="0038269A">
        <w:t>i)</w:t>
      </w:r>
      <w:r w:rsidR="00AF1011" w:rsidRPr="0038269A">
        <w:tab/>
        <w:t xml:space="preserve">Llenar el frasco de Dewar con una sal inorgánica adecuada, preferiblemente con propiedades físicas similares a las de la sustancia </w:t>
      </w:r>
      <w:r w:rsidR="00AF1011" w:rsidRPr="006666E3">
        <w:rPr>
          <w:lang w:val="en-GB"/>
        </w:rPr>
        <w:t>objeto</w:t>
      </w:r>
      <w:r w:rsidR="00AF1011" w:rsidRPr="0038269A">
        <w:t xml:space="preserve"> del ensayo (por ejemplo, cloruro de sodio o carbonato de sodio anhidro denso). Alternativamente, puede utilizarse un aceite de calor específico conocido a la temperatura de interés (por ejemplo, aceite de silicona de densidad aparente 0,96 ± 0,02 a 20 </w:t>
      </w:r>
      <w:r w:rsidR="00432466">
        <w:t>º</w:t>
      </w:r>
      <w:r w:rsidR="00AF1011" w:rsidRPr="0038269A">
        <w:t xml:space="preserve">C y calor específico 1,46 ± 0,02 J/g a 25 </w:t>
      </w:r>
      <w:r w:rsidR="00432466">
        <w:t>º</w:t>
      </w:r>
      <w:r w:rsidR="00AF1011" w:rsidRPr="0038269A">
        <w:t>C);</w:t>
      </w:r>
    </w:p>
    <w:p w14:paraId="10E21632" w14:textId="790DECC9" w:rsidR="00AF1011" w:rsidRPr="0038269A" w:rsidRDefault="006666E3" w:rsidP="00C95327">
      <w:pPr>
        <w:pStyle w:val="SingleTxtG"/>
        <w:tabs>
          <w:tab w:val="clear" w:pos="1701"/>
        </w:tabs>
        <w:suppressAutoHyphens/>
        <w:ind w:left="2835" w:hanging="1701"/>
        <w:rPr>
          <w:lang w:val="en-GB"/>
        </w:rPr>
      </w:pPr>
      <w:r>
        <w:tab/>
      </w:r>
      <w:r w:rsidR="00AF1011" w:rsidRPr="0038269A">
        <w:t>ii)</w:t>
      </w:r>
      <w:r w:rsidR="00AF1011" w:rsidRPr="0038269A">
        <w:tab/>
        <w:t xml:space="preserve">Colocar el frasco de Dewar en el soporte del horno y calentar la sustancia de validación en pasos de 20 </w:t>
      </w:r>
      <w:r w:rsidR="00432466">
        <w:t>º</w:t>
      </w:r>
      <w:r w:rsidR="00AF1011" w:rsidRPr="0038269A">
        <w:t xml:space="preserve">C utilizando el sistema de calentamiento interno a una potencia conocida (por ejemplo, 0,333 W o 1.000 W) y determinar las pérdidas de calor a 40 </w:t>
      </w:r>
      <w:r w:rsidR="00432466">
        <w:t>º</w:t>
      </w:r>
      <w:r w:rsidR="00AF1011" w:rsidRPr="0038269A">
        <w:t xml:space="preserve">C, 60 </w:t>
      </w:r>
      <w:r w:rsidR="00432466">
        <w:t>º</w:t>
      </w:r>
      <w:r w:rsidR="00AF1011" w:rsidRPr="0038269A">
        <w:t xml:space="preserve">C, 80 </w:t>
      </w:r>
      <w:r w:rsidR="00432466">
        <w:t>º</w:t>
      </w:r>
      <w:r w:rsidR="00AF1011" w:rsidRPr="0038269A">
        <w:t xml:space="preserve">C y 100 </w:t>
      </w:r>
      <w:r w:rsidR="00432466">
        <w:t>º</w:t>
      </w:r>
      <w:r w:rsidR="00AF1011" w:rsidRPr="0038269A">
        <w:t>C;</w:t>
      </w:r>
    </w:p>
    <w:p w14:paraId="4C7A443F" w14:textId="2641DE39" w:rsidR="00AF1011" w:rsidRPr="0038269A" w:rsidRDefault="006666E3" w:rsidP="00C95327">
      <w:pPr>
        <w:pStyle w:val="SingleTxtG"/>
        <w:tabs>
          <w:tab w:val="clear" w:pos="1701"/>
        </w:tabs>
        <w:suppressAutoHyphens/>
        <w:ind w:left="2835" w:hanging="1701"/>
        <w:rPr>
          <w:lang w:val="en-GB"/>
        </w:rPr>
      </w:pPr>
      <w:r>
        <w:tab/>
      </w:r>
      <w:r w:rsidR="00AF1011" w:rsidRPr="0038269A">
        <w:t>iii)</w:t>
      </w:r>
      <w:r w:rsidR="00AF1011" w:rsidRPr="0038269A">
        <w:tab/>
        <w:t>Utilizar los datos para determinar el calor específico del frasco de Dewar y el montaje de la prueba empleando el método descrito en el párrafo 28.4.2.4.</w:t>
      </w:r>
    </w:p>
    <w:p w14:paraId="0998F4B0" w14:textId="2D98FA77" w:rsidR="00AF1011" w:rsidRPr="0038269A" w:rsidRDefault="006666E3" w:rsidP="00C95327">
      <w:pPr>
        <w:pStyle w:val="SingleTxtG"/>
        <w:tabs>
          <w:tab w:val="clear" w:pos="2835"/>
        </w:tabs>
        <w:suppressAutoHyphens/>
        <w:ind w:left="2268" w:hanging="1701"/>
        <w:rPr>
          <w:lang w:val="en-GB"/>
        </w:rPr>
      </w:pPr>
      <w:r>
        <w:tab/>
      </w:r>
      <w:r w:rsidR="00AF1011" w:rsidRPr="0038269A">
        <w:t>b)</w:t>
      </w:r>
      <w:r w:rsidR="00AF1011" w:rsidRPr="0038269A">
        <w:tab/>
        <w:t>El procedimiento de validación B es el siguiente:</w:t>
      </w:r>
    </w:p>
    <w:p w14:paraId="4BEFC892" w14:textId="6FCCC583" w:rsidR="00AF1011" w:rsidRPr="0038269A" w:rsidRDefault="006666E3" w:rsidP="00C95327">
      <w:pPr>
        <w:pStyle w:val="SingleTxtG"/>
        <w:tabs>
          <w:tab w:val="clear" w:pos="1701"/>
        </w:tabs>
        <w:suppressAutoHyphens/>
        <w:ind w:left="2835" w:hanging="1701"/>
        <w:rPr>
          <w:lang w:val="en-GB"/>
        </w:rPr>
      </w:pPr>
      <w:r>
        <w:tab/>
      </w:r>
      <w:r w:rsidR="00AF1011" w:rsidRPr="0038269A">
        <w:t>i)</w:t>
      </w:r>
      <w:r w:rsidR="00AF1011" w:rsidRPr="0038269A">
        <w:tab/>
        <w:t>Para llevar a cabo el procedimiento de validación B, el montaje de la prueba debe estar bien caracterizado (por ejemplo, realizando primero el procedimiento de validación A);</w:t>
      </w:r>
    </w:p>
    <w:p w14:paraId="48EE7190" w14:textId="6DE18A33" w:rsidR="00AF1011" w:rsidRPr="0038269A" w:rsidRDefault="006666E3" w:rsidP="00C95327">
      <w:pPr>
        <w:pStyle w:val="SingleTxtG"/>
        <w:tabs>
          <w:tab w:val="clear" w:pos="1701"/>
        </w:tabs>
        <w:suppressAutoHyphens/>
        <w:ind w:left="2835" w:hanging="1701"/>
        <w:rPr>
          <w:lang w:val="en-GB"/>
        </w:rPr>
      </w:pPr>
      <w:bookmarkStart w:id="2" w:name="_Hlk20254433"/>
      <w:r>
        <w:tab/>
      </w:r>
      <w:r w:rsidR="00AF1011" w:rsidRPr="0038269A">
        <w:t>ii)</w:t>
      </w:r>
      <w:r w:rsidR="00AF1011" w:rsidRPr="0038269A">
        <w:tab/>
        <w:t xml:space="preserve">El montaje de la prueba debe validarse mediante el método descrito en el párrafo 28.4.2.4 con al menos dos sustancias o mezclas patrón. Pueden considerarse opciones adecuadas como </w:t>
      </w:r>
      <w:r w:rsidR="00AF1011" w:rsidRPr="006666E3">
        <w:rPr>
          <w:lang w:val="en-GB"/>
        </w:rPr>
        <w:t>patrón</w:t>
      </w:r>
      <w:r w:rsidR="00AF1011" w:rsidRPr="0038269A">
        <w:t xml:space="preserve"> el dicumilperóxido en etilbenceno</w:t>
      </w:r>
      <w:r w:rsidR="00AF1011" w:rsidRPr="00175F0E">
        <w:rPr>
          <w:sz w:val="18"/>
          <w:szCs w:val="18"/>
          <w:vertAlign w:val="superscript"/>
        </w:rPr>
        <w:t>2</w:t>
      </w:r>
      <w:r w:rsidR="00AF1011" w:rsidRPr="00175F0E">
        <w:rPr>
          <w:sz w:val="18"/>
          <w:szCs w:val="18"/>
        </w:rPr>
        <w:t xml:space="preserve"> </w:t>
      </w:r>
      <w:r w:rsidR="00AF1011" w:rsidRPr="0038269A">
        <w:t>(40:60 % en peso, la TDAA para una pérdida de calor de 60 mW/K</w:t>
      </w:r>
      <w:r w:rsidR="00432466">
        <w:t>.</w:t>
      </w:r>
      <w:r w:rsidR="00AF1011" w:rsidRPr="0038269A">
        <w:t>kg debe ser de 90</w:t>
      </w:r>
      <w:r w:rsidR="00432466">
        <w:t> º</w:t>
      </w:r>
      <w:r w:rsidR="00AF1011" w:rsidRPr="0038269A">
        <w:t>C), o cualquiera de las sustancias que se mencionan en los cuadros de ejemplos de resultados del capítulo 28.”</w:t>
      </w:r>
    </w:p>
    <w:p w14:paraId="7E878A0F" w14:textId="5D06B61C" w:rsidR="00AF1011" w:rsidRPr="0038269A" w:rsidRDefault="002A5779" w:rsidP="00AF1011">
      <w:pPr>
        <w:pStyle w:val="SingleTxtG"/>
        <w:rPr>
          <w:lang w:val="en-GB"/>
        </w:rPr>
      </w:pPr>
      <w:r>
        <w:tab/>
      </w:r>
      <w:r>
        <w:tab/>
      </w:r>
      <w:r w:rsidR="00AF1011" w:rsidRPr="0038269A">
        <w:t>Al final, añádase una nueva nota 2 con el texto siguiente:</w:t>
      </w:r>
    </w:p>
    <w:p w14:paraId="30C85F1B" w14:textId="7A1D31EC" w:rsidR="00AF1011" w:rsidRPr="0038269A" w:rsidRDefault="006666E3" w:rsidP="002A5779">
      <w:pPr>
        <w:pStyle w:val="SingleTxtG"/>
        <w:tabs>
          <w:tab w:val="clear" w:pos="1701"/>
        </w:tabs>
        <w:suppressAutoHyphens/>
        <w:ind w:left="2268" w:hanging="567"/>
        <w:rPr>
          <w:i/>
          <w:iCs/>
          <w:lang w:val="en-GB"/>
        </w:rPr>
      </w:pPr>
      <w:r>
        <w:rPr>
          <w:vertAlign w:val="superscript"/>
        </w:rPr>
        <w:tab/>
      </w:r>
      <w:r w:rsidR="00AF1011" w:rsidRPr="0038269A">
        <w:rPr>
          <w:vertAlign w:val="superscript"/>
        </w:rPr>
        <w:t>“</w:t>
      </w:r>
      <w:r w:rsidR="00AF1011" w:rsidRPr="006666E3">
        <w:rPr>
          <w:sz w:val="18"/>
          <w:szCs w:val="18"/>
          <w:vertAlign w:val="superscript"/>
        </w:rPr>
        <w:t>2</w:t>
      </w:r>
      <w:r>
        <w:rPr>
          <w:sz w:val="18"/>
          <w:szCs w:val="18"/>
          <w:vertAlign w:val="superscript"/>
        </w:rPr>
        <w:t xml:space="preserve"> </w:t>
      </w:r>
      <w:r w:rsidR="00AF1011" w:rsidRPr="0038269A">
        <w:rPr>
          <w:i/>
          <w:iCs/>
        </w:rPr>
        <w:t>Referencia: Dürrstein S., Kappler C., Neuhaus I., Malow M., Michael-Schulz H., Gödde M., 2016, Modell-based prediction of the adiabatic induction period and SADT of dicumyl peroxide solution and comparison to large-scale experiments performed using 216.5-liter barrels in the H.1 test, Chemical Engineering Transactions, 48, 475-480.”</w:t>
      </w:r>
      <w:r w:rsidR="002A5779">
        <w:rPr>
          <w:i/>
          <w:iCs/>
        </w:rPr>
        <w:t>.</w:t>
      </w:r>
    </w:p>
    <w:bookmarkEnd w:id="2"/>
    <w:p w14:paraId="11F559D1" w14:textId="77777777" w:rsidR="00AF1011" w:rsidRPr="0038269A" w:rsidRDefault="00AF1011" w:rsidP="00AF1011">
      <w:pPr>
        <w:pStyle w:val="SingleTxtG"/>
        <w:rPr>
          <w:lang w:val="en-GB"/>
        </w:rPr>
      </w:pPr>
      <w:r w:rsidRPr="0038269A">
        <w:t>28.4.2.3.2</w:t>
      </w:r>
      <w:r w:rsidRPr="0038269A">
        <w:tab/>
        <w:t>Modifíquese para que diga lo siguiente:</w:t>
      </w:r>
    </w:p>
    <w:p w14:paraId="0C835396" w14:textId="77777777" w:rsidR="00AF1011" w:rsidRPr="0038269A" w:rsidRDefault="00AF1011" w:rsidP="00AF1011">
      <w:pPr>
        <w:pStyle w:val="SingleTxtG"/>
        <w:rPr>
          <w:lang w:val="en-GB"/>
        </w:rPr>
      </w:pPr>
      <w:r w:rsidRPr="0038269A">
        <w:lastRenderedPageBreak/>
        <w:t>“28.4.2.3.2</w:t>
      </w:r>
      <w:r w:rsidRPr="0038269A">
        <w:tab/>
        <w:t>Procedimiento de prueba</w:t>
      </w:r>
    </w:p>
    <w:p w14:paraId="252A5EDC" w14:textId="4D112431" w:rsidR="00AF1011" w:rsidRPr="0038269A" w:rsidRDefault="002A5779" w:rsidP="00AF1011">
      <w:pPr>
        <w:pStyle w:val="SingleTxtG"/>
        <w:rPr>
          <w:lang w:val="en-GB"/>
        </w:rPr>
      </w:pPr>
      <w:r>
        <w:tab/>
      </w:r>
      <w:r w:rsidR="00AF1011" w:rsidRPr="0038269A">
        <w:t>Se aplica el procedimiento siguiente:</w:t>
      </w:r>
    </w:p>
    <w:p w14:paraId="6585EEB1" w14:textId="055DB291" w:rsidR="00AF1011" w:rsidRPr="0038269A" w:rsidRDefault="006666E3" w:rsidP="00C95327">
      <w:pPr>
        <w:pStyle w:val="SingleTxtG"/>
        <w:tabs>
          <w:tab w:val="clear" w:pos="2835"/>
        </w:tabs>
        <w:suppressAutoHyphens/>
        <w:ind w:left="2268" w:hanging="1701"/>
        <w:rPr>
          <w:lang w:val="en-GB"/>
        </w:rPr>
      </w:pPr>
      <w:r>
        <w:tab/>
      </w:r>
      <w:r w:rsidR="00AF1011" w:rsidRPr="0038269A">
        <w:t>a)</w:t>
      </w:r>
      <w:r w:rsidR="00AF1011" w:rsidRPr="0038269A">
        <w:tab/>
        <w:t>Echar en el frasco de Dewar/celda de ensayo la muestra pesada, incluida una cantidad representativa del material de embalaje/envase (si es metal), y colocarlo en el portarrecipientes del horno;</w:t>
      </w:r>
    </w:p>
    <w:p w14:paraId="5E22F529" w14:textId="0981C0A9" w:rsidR="00AF1011" w:rsidRPr="0038269A" w:rsidRDefault="006666E3" w:rsidP="002A5779">
      <w:pPr>
        <w:pStyle w:val="SingleTxtG"/>
        <w:tabs>
          <w:tab w:val="clear" w:pos="2835"/>
        </w:tabs>
        <w:suppressAutoHyphens/>
        <w:ind w:left="2268" w:hanging="1701"/>
        <w:rPr>
          <w:lang w:val="en-GB"/>
        </w:rPr>
      </w:pPr>
      <w:r>
        <w:tab/>
      </w:r>
      <w:r w:rsidR="00AF1011" w:rsidRPr="0038269A">
        <w:t>b)</w:t>
      </w:r>
      <w:r w:rsidR="00AF1011" w:rsidRPr="0038269A">
        <w:tab/>
        <w:t>Iniciar el control de la temperatura y, a continuación, elevar la temperatura de la muestra hasta alcanzar una temperatura establecida en la que pueda haber calentamiento espontáneo. El calor específico de la sustancia puede calcularse a partir del aumento de temperatura, el tiempo de calentamiento y la potencia calorífica, o bien determinarse previamente mediante cualquier método de ensayo calorimétrico adecuado;</w:t>
      </w:r>
    </w:p>
    <w:p w14:paraId="7E23FF35" w14:textId="077B9763" w:rsidR="00AF1011" w:rsidRPr="0038269A" w:rsidRDefault="006666E3" w:rsidP="002A5779">
      <w:pPr>
        <w:pStyle w:val="SingleTxtG"/>
        <w:tabs>
          <w:tab w:val="clear" w:pos="2835"/>
        </w:tabs>
        <w:suppressAutoHyphens/>
        <w:ind w:left="2268" w:hanging="1701"/>
        <w:rPr>
          <w:lang w:val="en-GB"/>
        </w:rPr>
      </w:pPr>
      <w:r>
        <w:tab/>
      </w:r>
      <w:r w:rsidR="00AF1011" w:rsidRPr="0038269A">
        <w:t>c)</w:t>
      </w:r>
      <w:r w:rsidR="00AF1011" w:rsidRPr="0038269A">
        <w:tab/>
        <w:t xml:space="preserve">Calentar la muestra hasta la temperatura establecida, mantener la temperatura del horno y controlar la temperatura de la muestra. Si no se observa un aumento de la temperatura debido al autocalentamiento después de equilibrar la temperatura del sistema (por ejemplo, 24 h para el sistema abierto), se aumenta la temperatura del horno en 5 </w:t>
      </w:r>
      <w:r w:rsidR="00977B28">
        <w:t>º</w:t>
      </w:r>
      <w:r w:rsidR="00AF1011" w:rsidRPr="0038269A">
        <w:t>C. Se repite este procedimiento hasta que se detecte el autocalentamiento;</w:t>
      </w:r>
    </w:p>
    <w:p w14:paraId="460281E0" w14:textId="77777777" w:rsidR="00AF1011" w:rsidRPr="0038269A" w:rsidRDefault="00AF1011" w:rsidP="002A5779">
      <w:pPr>
        <w:pStyle w:val="SingleTxtG"/>
        <w:tabs>
          <w:tab w:val="clear" w:pos="2835"/>
        </w:tabs>
        <w:suppressAutoHyphens/>
        <w:ind w:left="2268" w:hanging="1701"/>
        <w:rPr>
          <w:lang w:val="en-GB"/>
        </w:rPr>
      </w:pPr>
      <w:r w:rsidRPr="0038269A">
        <w:tab/>
      </w:r>
      <w:r w:rsidRPr="0038269A">
        <w:tab/>
        <w:t>En la versión cerrada, el aparato puede calentarse con una potencia de calentamiento &lt; 0,5 W/kg hasta que se detecte el autocalentamiento. La potencia de calentamiento por unidad de masa debe permanecer por debajo de la sensibilidad de detección de autocalentamiento del equipo de ensayo o del autoclave;</w:t>
      </w:r>
    </w:p>
    <w:p w14:paraId="693D3E52" w14:textId="3132FA20" w:rsidR="00AF1011" w:rsidRPr="0038269A" w:rsidRDefault="006666E3" w:rsidP="002A5779">
      <w:pPr>
        <w:pStyle w:val="SingleTxtG"/>
        <w:tabs>
          <w:tab w:val="clear" w:pos="2835"/>
        </w:tabs>
        <w:suppressAutoHyphens/>
        <w:ind w:left="2268" w:hanging="1701"/>
        <w:rPr>
          <w:lang w:val="en-GB"/>
        </w:rPr>
      </w:pPr>
      <w:r>
        <w:tab/>
      </w:r>
      <w:r w:rsidR="00AF1011" w:rsidRPr="0038269A">
        <w:t>d)</w:t>
      </w:r>
      <w:r w:rsidR="00AF1011" w:rsidRPr="0038269A">
        <w:tab/>
        <w:t>Cuando se detecta el autocalentamiento, se deja que la muestra se caliente en condiciones adiabáticas hasta una temperatura establecida, momento en el que se activa el sistema de refrigeración o la temperatura del horno ha alcanzado su límite;</w:t>
      </w:r>
    </w:p>
    <w:p w14:paraId="6D8CC8B9" w14:textId="37DCA30B" w:rsidR="00AF1011" w:rsidRPr="0038269A" w:rsidRDefault="00AF1011" w:rsidP="002A5779">
      <w:pPr>
        <w:pStyle w:val="SingleTxtG"/>
        <w:tabs>
          <w:tab w:val="clear" w:pos="2835"/>
        </w:tabs>
        <w:suppressAutoHyphens/>
        <w:ind w:left="2268" w:hanging="1701"/>
        <w:rPr>
          <w:lang w:val="en-GB"/>
        </w:rPr>
      </w:pPr>
      <w:r w:rsidRPr="0038269A">
        <w:tab/>
      </w:r>
      <w:r w:rsidR="006666E3">
        <w:tab/>
      </w:r>
      <w:r w:rsidRPr="0038269A">
        <w:t>En el caso de la versión abierta, esa temperatura debe ajustarse de manera que la tasa de generación de calor no supere la capacidad de refrigeración del sistema;</w:t>
      </w:r>
    </w:p>
    <w:p w14:paraId="4CFD417D" w14:textId="5D619049" w:rsidR="00AF1011" w:rsidRPr="0038269A" w:rsidRDefault="00AF1011" w:rsidP="002A5779">
      <w:pPr>
        <w:pStyle w:val="SingleTxtG"/>
        <w:tabs>
          <w:tab w:val="clear" w:pos="2835"/>
        </w:tabs>
        <w:suppressAutoHyphens/>
        <w:ind w:left="2268" w:hanging="1701"/>
        <w:rPr>
          <w:lang w:val="en-GB"/>
        </w:rPr>
      </w:pPr>
      <w:r w:rsidRPr="0038269A">
        <w:tab/>
      </w:r>
      <w:r w:rsidR="006666E3">
        <w:tab/>
      </w:r>
      <w:r w:rsidRPr="0038269A">
        <w:t>En la versión cerrada, esa temperatura suele ser una temperatura máxima preestablecida del horno. La muestra puede superar esa temperatura en condiciones no adiabáticas</w:t>
      </w:r>
      <w:r w:rsidR="001E10EC">
        <w:t>.</w:t>
      </w:r>
      <w:r w:rsidRPr="0038269A">
        <w:t>”.</w:t>
      </w:r>
    </w:p>
    <w:p w14:paraId="2AC641FC" w14:textId="6D5C9197" w:rsidR="00AF1011" w:rsidRPr="0038269A" w:rsidRDefault="00AF1011" w:rsidP="00AF1011">
      <w:pPr>
        <w:pStyle w:val="SingleTxtG"/>
        <w:rPr>
          <w:lang w:val="en-GB"/>
        </w:rPr>
      </w:pPr>
      <w:r w:rsidRPr="0038269A">
        <w:t>28.4.2.4.1</w:t>
      </w:r>
      <w:r w:rsidRPr="0038269A">
        <w:tab/>
        <w:t>Sustitúyase “</w:t>
      </w:r>
      <w:r w:rsidR="00432466">
        <w:t>º</w:t>
      </w:r>
      <w:r w:rsidRPr="0038269A">
        <w:t>C/h” por “K/h”.</w:t>
      </w:r>
    </w:p>
    <w:p w14:paraId="12DE37C4" w14:textId="22AE70B9" w:rsidR="00AF1011" w:rsidRPr="0038269A" w:rsidRDefault="00AF1011" w:rsidP="00BC12E0">
      <w:pPr>
        <w:pStyle w:val="SingleTxtG"/>
        <w:ind w:left="2268" w:hanging="1134"/>
        <w:rPr>
          <w:lang w:val="en-GB"/>
        </w:rPr>
      </w:pPr>
      <w:r w:rsidRPr="0038269A">
        <w:t>28.4.2.4.2</w:t>
      </w:r>
      <w:r w:rsidRPr="0038269A">
        <w:tab/>
        <w:t>En la primera frase, sustitúyase “J/</w:t>
      </w:r>
      <w:r w:rsidR="00432466">
        <w:t>º</w:t>
      </w:r>
      <w:r w:rsidRPr="0038269A">
        <w:t xml:space="preserve">C” por “J/K”. Para “A” y “B”, sustitúyanse las unidades por “K/h” y para </w:t>
      </w:r>
      <w:r w:rsidRPr="006666E3">
        <w:rPr>
          <w:lang w:val="en-GB"/>
        </w:rPr>
        <w:t>Cp</w:t>
      </w:r>
      <w:r w:rsidRPr="0038269A">
        <w:t>₁ por “J/K.kg”. Para “B”, “M₁” y “Cp₁”, sustitúyase “calibración” por “validación”.</w:t>
      </w:r>
    </w:p>
    <w:p w14:paraId="720E1E29" w14:textId="22FDBA14" w:rsidR="00AF1011" w:rsidRPr="0038269A" w:rsidRDefault="00AF1011" w:rsidP="00BC12E0">
      <w:pPr>
        <w:pStyle w:val="SingleTxtG"/>
        <w:ind w:left="2268" w:hanging="1134"/>
        <w:rPr>
          <w:lang w:val="en-GB"/>
        </w:rPr>
      </w:pPr>
      <w:r w:rsidRPr="0038269A">
        <w:t>28.4.2.4.4</w:t>
      </w:r>
      <w:r w:rsidRPr="0038269A">
        <w:tab/>
        <w:t xml:space="preserve">En la primera </w:t>
      </w:r>
      <w:r w:rsidRPr="006666E3">
        <w:rPr>
          <w:lang w:val="en-GB"/>
        </w:rPr>
        <w:t>frase</w:t>
      </w:r>
      <w:r w:rsidRPr="0038269A">
        <w:t>, sustitúyase “J/kg.</w:t>
      </w:r>
      <w:r w:rsidR="00432466">
        <w:t>º</w:t>
      </w:r>
      <w:r w:rsidRPr="0038269A">
        <w:t>C” por “J/K.kg”. Para “C”, sustitúyase “</w:t>
      </w:r>
      <w:r w:rsidR="00432466">
        <w:t>º</w:t>
      </w:r>
      <w:r w:rsidRPr="0038269A">
        <w:t>C/h” por “K/h”.</w:t>
      </w:r>
    </w:p>
    <w:p w14:paraId="22A8016F" w14:textId="77777777" w:rsidR="00AF1011" w:rsidRPr="0038269A" w:rsidRDefault="00AF1011" w:rsidP="00AF1011">
      <w:pPr>
        <w:pStyle w:val="SingleTxtG"/>
        <w:rPr>
          <w:lang w:val="en-GB"/>
        </w:rPr>
      </w:pPr>
      <w:r w:rsidRPr="0038269A">
        <w:t>28.4.2.4.5</w:t>
      </w:r>
      <w:r w:rsidRPr="0038269A">
        <w:tab/>
        <w:t xml:space="preserve">Sustitúyase la </w:t>
      </w:r>
      <w:r w:rsidRPr="006666E3">
        <w:rPr>
          <w:lang w:val="en-GB"/>
        </w:rPr>
        <w:t>unidad</w:t>
      </w:r>
      <w:r w:rsidRPr="0038269A">
        <w:t xml:space="preserve"> para “D” por “K/h”.</w:t>
      </w:r>
    </w:p>
    <w:p w14:paraId="224BC097" w14:textId="77777777" w:rsidR="00AF1011" w:rsidRPr="0038269A" w:rsidRDefault="00AF1011" w:rsidP="00BC12E0">
      <w:pPr>
        <w:pStyle w:val="SingleTxtG"/>
        <w:ind w:left="2268" w:hanging="1134"/>
        <w:rPr>
          <w:lang w:val="en-GB"/>
        </w:rPr>
      </w:pPr>
      <w:r w:rsidRPr="0038269A">
        <w:t>28.4.2.4.6</w:t>
      </w:r>
      <w:r w:rsidRPr="0038269A">
        <w:tab/>
        <w:t>En la primera frase, después de “por unidad de masa”,</w:t>
      </w:r>
      <w:r w:rsidRPr="0038269A">
        <w:rPr>
          <w:lang w:val="en-GB"/>
        </w:rPr>
        <w:t xml:space="preserve"> </w:t>
      </w:r>
      <w:r w:rsidRPr="0038269A">
        <w:t xml:space="preserve">añádase “(QT)”. En la segunda frase, sustitúyase la </w:t>
      </w:r>
      <w:r w:rsidRPr="006666E3">
        <w:rPr>
          <w:lang w:val="en-GB"/>
        </w:rPr>
        <w:t>unidad</w:t>
      </w:r>
      <w:r w:rsidRPr="0038269A">
        <w:t xml:space="preserve"> para “L” por “W/K.kg”.</w:t>
      </w:r>
    </w:p>
    <w:p w14:paraId="4F281C59" w14:textId="77777777" w:rsidR="00AF1011" w:rsidRPr="0038269A" w:rsidRDefault="00AF1011" w:rsidP="00BC12E0">
      <w:pPr>
        <w:pStyle w:val="SingleTxtG"/>
        <w:ind w:left="2268" w:hanging="1134"/>
        <w:rPr>
          <w:lang w:val="en-GB"/>
        </w:rPr>
      </w:pPr>
      <w:r w:rsidRPr="0038269A">
        <w:t>28.4.2.5</w:t>
      </w:r>
      <w:r w:rsidRPr="0038269A">
        <w:tab/>
        <w:t>En el encabezamiento del cuadro, en la cuarta columna, sustitúyase “mW/kg.K” por “mW/K.kg”.</w:t>
      </w:r>
    </w:p>
    <w:p w14:paraId="0C28EBDE" w14:textId="136F8579" w:rsidR="00381C24" w:rsidRDefault="00BC12E0" w:rsidP="00BC12E0">
      <w:pPr>
        <w:pStyle w:val="SingleTxtG"/>
        <w:ind w:left="2268" w:hanging="567"/>
      </w:pPr>
      <w:r>
        <w:rPr>
          <w:lang w:val="en-GB"/>
        </w:rPr>
        <w:tab/>
      </w:r>
      <w:r>
        <w:rPr>
          <w:lang w:val="en-GB"/>
        </w:rPr>
        <w:tab/>
      </w:r>
      <w:r w:rsidR="00AF1011" w:rsidRPr="006666E3">
        <w:rPr>
          <w:lang w:val="en-GB"/>
        </w:rPr>
        <w:t>Insértese</w:t>
      </w:r>
      <w:r w:rsidR="00AF1011" w:rsidRPr="0038269A">
        <w:t xml:space="preserve"> una referencia a la nota “a” junto al nombre de las sustancias que figuran actualmente en el cuadro y </w:t>
      </w:r>
      <w:r w:rsidR="00AF1011" w:rsidRPr="00432466">
        <w:rPr>
          <w:lang w:val="es-ES_tradnl"/>
        </w:rPr>
        <w:t>añádase</w:t>
      </w:r>
      <w:r w:rsidR="00AF1011" w:rsidRPr="0038269A">
        <w:t xml:space="preserve"> una nueva fila al final como se indica a continuación:</w:t>
      </w:r>
    </w:p>
    <w:tbl>
      <w:tblPr>
        <w:tblW w:w="7370" w:type="dxa"/>
        <w:tblInd w:w="1134" w:type="dxa"/>
        <w:tblBorders>
          <w:top w:val="single" w:sz="4" w:space="0" w:color="auto"/>
          <w:bottom w:val="single" w:sz="12" w:space="0" w:color="auto"/>
          <w:insideH w:val="single" w:sz="12" w:space="0" w:color="auto"/>
        </w:tblBorders>
        <w:tblCellMar>
          <w:left w:w="119" w:type="dxa"/>
          <w:right w:w="119" w:type="dxa"/>
        </w:tblCellMar>
        <w:tblLook w:val="0000" w:firstRow="0" w:lastRow="0" w:firstColumn="0" w:lastColumn="0" w:noHBand="0" w:noVBand="0"/>
      </w:tblPr>
      <w:tblGrid>
        <w:gridCol w:w="1793"/>
        <w:gridCol w:w="1120"/>
        <w:gridCol w:w="1220"/>
        <w:gridCol w:w="1791"/>
        <w:gridCol w:w="1446"/>
      </w:tblGrid>
      <w:tr w:rsidR="00D87C99" w:rsidRPr="0038269A" w14:paraId="024EA9A3" w14:textId="77777777" w:rsidTr="00977B28">
        <w:trPr>
          <w:cantSplit/>
          <w:trHeight w:val="240"/>
          <w:tblHeader/>
        </w:trPr>
        <w:tc>
          <w:tcPr>
            <w:tcW w:w="1216" w:type="pct"/>
            <w:tcBorders>
              <w:top w:val="single" w:sz="12" w:space="0" w:color="auto"/>
            </w:tcBorders>
            <w:shd w:val="clear" w:color="auto" w:fill="auto"/>
            <w:vAlign w:val="bottom"/>
          </w:tcPr>
          <w:p w14:paraId="13545365" w14:textId="4A54B05C" w:rsidR="00AF1011" w:rsidRPr="00D87C99" w:rsidRDefault="00AF1011" w:rsidP="0046137D">
            <w:pPr>
              <w:pStyle w:val="SingleTxtG"/>
              <w:tabs>
                <w:tab w:val="clear" w:pos="1701"/>
                <w:tab w:val="clear" w:pos="2268"/>
                <w:tab w:val="clear" w:pos="2835"/>
              </w:tabs>
              <w:spacing w:before="80" w:after="80" w:line="200" w:lineRule="exact"/>
              <w:ind w:left="0" w:right="0"/>
              <w:jc w:val="left"/>
              <w:rPr>
                <w:b/>
                <w:iCs/>
                <w:szCs w:val="24"/>
              </w:rPr>
            </w:pPr>
            <w:r w:rsidRPr="00D87C99">
              <w:rPr>
                <w:b/>
                <w:iCs/>
                <w:szCs w:val="24"/>
              </w:rPr>
              <w:t>Sustancia</w:t>
            </w:r>
          </w:p>
        </w:tc>
        <w:tc>
          <w:tcPr>
            <w:tcW w:w="760" w:type="pct"/>
            <w:tcBorders>
              <w:top w:val="single" w:sz="12" w:space="0" w:color="auto"/>
            </w:tcBorders>
            <w:shd w:val="clear" w:color="auto" w:fill="auto"/>
            <w:vAlign w:val="bottom"/>
          </w:tcPr>
          <w:p w14:paraId="250FFB85" w14:textId="2DFE9C1B" w:rsidR="00AF1011" w:rsidRPr="00D87C99" w:rsidRDefault="00AF1011" w:rsidP="00977B28">
            <w:pPr>
              <w:pStyle w:val="SingleTxtG"/>
              <w:tabs>
                <w:tab w:val="clear" w:pos="1701"/>
                <w:tab w:val="clear" w:pos="2268"/>
                <w:tab w:val="clear" w:pos="2835"/>
              </w:tabs>
              <w:spacing w:before="80" w:after="80" w:line="200" w:lineRule="exact"/>
              <w:ind w:left="0" w:right="0"/>
              <w:jc w:val="right"/>
              <w:rPr>
                <w:b/>
                <w:iCs/>
                <w:szCs w:val="24"/>
              </w:rPr>
            </w:pPr>
            <w:r w:rsidRPr="00D87C99">
              <w:rPr>
                <w:b/>
                <w:iCs/>
                <w:szCs w:val="24"/>
              </w:rPr>
              <w:t>Masa (kg)</w:t>
            </w:r>
          </w:p>
        </w:tc>
        <w:tc>
          <w:tcPr>
            <w:tcW w:w="828" w:type="pct"/>
            <w:tcBorders>
              <w:top w:val="single" w:sz="12" w:space="0" w:color="auto"/>
            </w:tcBorders>
            <w:shd w:val="clear" w:color="auto" w:fill="auto"/>
            <w:vAlign w:val="bottom"/>
          </w:tcPr>
          <w:p w14:paraId="7130EF23" w14:textId="1BB773C1" w:rsidR="00AF1011" w:rsidRPr="00D87C99" w:rsidRDefault="00AF1011" w:rsidP="0046137D">
            <w:pPr>
              <w:pStyle w:val="SingleTxtG"/>
              <w:tabs>
                <w:tab w:val="clear" w:pos="1701"/>
                <w:tab w:val="clear" w:pos="2268"/>
                <w:tab w:val="clear" w:pos="2835"/>
              </w:tabs>
              <w:spacing w:before="80" w:after="80" w:line="200" w:lineRule="exact"/>
              <w:ind w:left="0" w:right="0"/>
              <w:jc w:val="left"/>
              <w:rPr>
                <w:b/>
                <w:iCs/>
                <w:szCs w:val="24"/>
              </w:rPr>
            </w:pPr>
            <w:r w:rsidRPr="00D87C99">
              <w:rPr>
                <w:b/>
                <w:iCs/>
                <w:szCs w:val="24"/>
              </w:rPr>
              <w:t>Envasado</w:t>
            </w:r>
          </w:p>
        </w:tc>
        <w:tc>
          <w:tcPr>
            <w:tcW w:w="1215" w:type="pct"/>
            <w:tcBorders>
              <w:top w:val="single" w:sz="12" w:space="0" w:color="auto"/>
            </w:tcBorders>
            <w:shd w:val="clear" w:color="auto" w:fill="auto"/>
            <w:vAlign w:val="bottom"/>
          </w:tcPr>
          <w:p w14:paraId="7D52F90A" w14:textId="67E07293" w:rsidR="00AF1011" w:rsidRPr="00D87C99" w:rsidRDefault="00AF1011" w:rsidP="00D87C99">
            <w:pPr>
              <w:pStyle w:val="SingleTxtG"/>
              <w:tabs>
                <w:tab w:val="clear" w:pos="1701"/>
                <w:tab w:val="clear" w:pos="2268"/>
                <w:tab w:val="clear" w:pos="2835"/>
              </w:tabs>
              <w:spacing w:before="80" w:after="80" w:line="200" w:lineRule="exact"/>
              <w:ind w:left="0" w:right="0"/>
              <w:jc w:val="right"/>
              <w:rPr>
                <w:b/>
                <w:iCs/>
                <w:szCs w:val="24"/>
              </w:rPr>
            </w:pPr>
            <w:r w:rsidRPr="00D87C99">
              <w:rPr>
                <w:b/>
                <w:iCs/>
                <w:szCs w:val="24"/>
              </w:rPr>
              <w:t>Pérdida de calor por unidad de masa (mW/K.kg)</w:t>
            </w:r>
          </w:p>
        </w:tc>
        <w:tc>
          <w:tcPr>
            <w:tcW w:w="981" w:type="pct"/>
            <w:tcBorders>
              <w:top w:val="single" w:sz="12" w:space="0" w:color="auto"/>
            </w:tcBorders>
            <w:shd w:val="clear" w:color="auto" w:fill="auto"/>
            <w:vAlign w:val="bottom"/>
          </w:tcPr>
          <w:p w14:paraId="7328E10D" w14:textId="28986BD6" w:rsidR="00AF1011" w:rsidRPr="00D87C99" w:rsidRDefault="00AF1011" w:rsidP="00D87C99">
            <w:pPr>
              <w:pStyle w:val="SingleTxtG"/>
              <w:tabs>
                <w:tab w:val="clear" w:pos="1701"/>
                <w:tab w:val="clear" w:pos="2268"/>
                <w:tab w:val="clear" w:pos="2835"/>
              </w:tabs>
              <w:spacing w:before="80" w:after="80" w:line="200" w:lineRule="exact"/>
              <w:ind w:left="0" w:right="0"/>
              <w:jc w:val="right"/>
              <w:rPr>
                <w:b/>
                <w:iCs/>
                <w:szCs w:val="24"/>
              </w:rPr>
            </w:pPr>
            <w:r w:rsidRPr="00D87C99">
              <w:rPr>
                <w:b/>
                <w:iCs/>
                <w:szCs w:val="24"/>
              </w:rPr>
              <w:t>TDAA/TPAA (ºC)</w:t>
            </w:r>
          </w:p>
        </w:tc>
      </w:tr>
      <w:tr w:rsidR="00D87C99" w:rsidRPr="0038269A" w14:paraId="70AF2A92" w14:textId="77777777" w:rsidTr="00977B28">
        <w:trPr>
          <w:cantSplit/>
          <w:trHeight w:val="240"/>
        </w:trPr>
        <w:tc>
          <w:tcPr>
            <w:tcW w:w="1216" w:type="pct"/>
            <w:shd w:val="clear" w:color="auto" w:fill="auto"/>
          </w:tcPr>
          <w:p w14:paraId="1ECE73B6" w14:textId="7A6DC2EF" w:rsidR="00AF1011" w:rsidRPr="0038269A" w:rsidRDefault="00AF1011" w:rsidP="0046137D">
            <w:pPr>
              <w:pStyle w:val="SingleTxtG"/>
              <w:tabs>
                <w:tab w:val="clear" w:pos="1701"/>
                <w:tab w:val="clear" w:pos="2268"/>
                <w:tab w:val="clear" w:pos="2835"/>
              </w:tabs>
              <w:spacing w:before="40"/>
              <w:ind w:left="0" w:right="0"/>
              <w:jc w:val="left"/>
              <w:rPr>
                <w:bCs/>
                <w:lang w:val="en-GB"/>
              </w:rPr>
            </w:pPr>
            <w:r w:rsidRPr="0038269A">
              <w:t>N-Vinilformamida</w:t>
            </w:r>
          </w:p>
        </w:tc>
        <w:tc>
          <w:tcPr>
            <w:tcW w:w="760" w:type="pct"/>
            <w:shd w:val="clear" w:color="auto" w:fill="auto"/>
          </w:tcPr>
          <w:p w14:paraId="7139C803" w14:textId="02E9315E" w:rsidR="00AF1011" w:rsidRPr="0038269A" w:rsidRDefault="00AF1011" w:rsidP="00977B28">
            <w:pPr>
              <w:pStyle w:val="SingleTxtG"/>
              <w:tabs>
                <w:tab w:val="clear" w:pos="1701"/>
                <w:tab w:val="clear" w:pos="2268"/>
                <w:tab w:val="clear" w:pos="2835"/>
              </w:tabs>
              <w:spacing w:before="40"/>
              <w:ind w:left="0" w:right="0"/>
              <w:jc w:val="right"/>
              <w:rPr>
                <w:bCs/>
                <w:lang w:val="en-GB"/>
              </w:rPr>
            </w:pPr>
            <w:r w:rsidRPr="0038269A">
              <w:t>1</w:t>
            </w:r>
            <w:r w:rsidR="001E10EC">
              <w:t xml:space="preserve"> </w:t>
            </w:r>
            <w:r w:rsidRPr="0038269A">
              <w:t>000</w:t>
            </w:r>
          </w:p>
        </w:tc>
        <w:tc>
          <w:tcPr>
            <w:tcW w:w="828" w:type="pct"/>
            <w:shd w:val="clear" w:color="auto" w:fill="auto"/>
          </w:tcPr>
          <w:p w14:paraId="50BB0317" w14:textId="22B56C04" w:rsidR="00AF1011" w:rsidRPr="0038269A" w:rsidRDefault="00AF1011" w:rsidP="0046137D">
            <w:pPr>
              <w:pStyle w:val="SingleTxtG"/>
              <w:tabs>
                <w:tab w:val="clear" w:pos="1701"/>
                <w:tab w:val="clear" w:pos="2268"/>
                <w:tab w:val="clear" w:pos="2835"/>
              </w:tabs>
              <w:spacing w:before="40"/>
              <w:ind w:left="0" w:right="0"/>
              <w:jc w:val="left"/>
              <w:rPr>
                <w:bCs/>
                <w:lang w:val="en-GB"/>
              </w:rPr>
            </w:pPr>
            <w:r w:rsidRPr="0038269A">
              <w:t>31H1</w:t>
            </w:r>
          </w:p>
        </w:tc>
        <w:tc>
          <w:tcPr>
            <w:tcW w:w="1215" w:type="pct"/>
            <w:shd w:val="clear" w:color="auto" w:fill="auto"/>
          </w:tcPr>
          <w:p w14:paraId="317267B1" w14:textId="24FDA3D5" w:rsidR="00AF1011" w:rsidRPr="0038269A" w:rsidRDefault="00AF1011" w:rsidP="00D87C99">
            <w:pPr>
              <w:pStyle w:val="SingleTxtG"/>
              <w:tabs>
                <w:tab w:val="clear" w:pos="1701"/>
                <w:tab w:val="clear" w:pos="2268"/>
                <w:tab w:val="clear" w:pos="2835"/>
              </w:tabs>
              <w:spacing w:before="40"/>
              <w:ind w:left="0" w:right="0"/>
              <w:jc w:val="right"/>
              <w:rPr>
                <w:bCs/>
                <w:lang w:val="en-GB"/>
              </w:rPr>
            </w:pPr>
            <w:r w:rsidRPr="0038269A">
              <w:t>33</w:t>
            </w:r>
          </w:p>
        </w:tc>
        <w:tc>
          <w:tcPr>
            <w:tcW w:w="981" w:type="pct"/>
            <w:shd w:val="clear" w:color="auto" w:fill="auto"/>
          </w:tcPr>
          <w:p w14:paraId="0D00BF14" w14:textId="3182D5B5" w:rsidR="00AF1011" w:rsidRPr="0038269A" w:rsidRDefault="00AF1011" w:rsidP="00D87C99">
            <w:pPr>
              <w:pStyle w:val="SingleTxtG"/>
              <w:tabs>
                <w:tab w:val="clear" w:pos="1701"/>
                <w:tab w:val="clear" w:pos="2268"/>
                <w:tab w:val="clear" w:pos="2835"/>
              </w:tabs>
              <w:spacing w:before="40"/>
              <w:ind w:left="0" w:right="0"/>
              <w:jc w:val="right"/>
              <w:rPr>
                <w:bCs/>
                <w:lang w:val="en-GB"/>
              </w:rPr>
            </w:pPr>
            <w:r w:rsidRPr="0038269A">
              <w:t>55</w:t>
            </w:r>
          </w:p>
        </w:tc>
      </w:tr>
    </w:tbl>
    <w:p w14:paraId="4192E2A8" w14:textId="77777777" w:rsidR="00AF1011" w:rsidRPr="0038269A" w:rsidRDefault="00AF1011" w:rsidP="00D87C99">
      <w:pPr>
        <w:pStyle w:val="SingleTxtG"/>
        <w:spacing w:before="240"/>
        <w:ind w:left="1701"/>
        <w:rPr>
          <w:lang w:val="en-GB"/>
        </w:rPr>
      </w:pPr>
      <w:r w:rsidRPr="0038269A">
        <w:lastRenderedPageBreak/>
        <w:tab/>
        <w:t xml:space="preserve">Añádase la siguiente nota “a” debajo del cuadro: </w:t>
      </w:r>
    </w:p>
    <w:p w14:paraId="3B0E30AE" w14:textId="20F46EB7" w:rsidR="00AF1011" w:rsidRPr="0038269A" w:rsidRDefault="00AF1011" w:rsidP="00AF1011">
      <w:pPr>
        <w:pStyle w:val="SingleTxtG"/>
        <w:rPr>
          <w:i/>
          <w:iCs/>
          <w:lang w:val="en-GB"/>
        </w:rPr>
      </w:pPr>
      <w:r w:rsidRPr="0038269A">
        <w:rPr>
          <w:i/>
          <w:iCs/>
          <w:vertAlign w:val="superscript"/>
        </w:rPr>
        <w:t>“</w:t>
      </w:r>
      <w:r w:rsidRPr="007F3232">
        <w:rPr>
          <w:vertAlign w:val="superscript"/>
        </w:rPr>
        <w:t>a</w:t>
      </w:r>
      <w:r w:rsidRPr="0038269A">
        <w:rPr>
          <w:i/>
          <w:iCs/>
          <w:vertAlign w:val="superscript"/>
        </w:rPr>
        <w:t>.</w:t>
      </w:r>
      <w:r w:rsidRPr="0038269A">
        <w:t xml:space="preserve"> </w:t>
      </w:r>
      <w:r w:rsidRPr="0038269A">
        <w:rPr>
          <w:i/>
          <w:iCs/>
        </w:rPr>
        <w:t>Estos ejemplos históricos se determinaron utilizando pérdidas de calor superiores a las recomendadas actualmente a efectos de clasificación (véase el cuadro 28.4).”</w:t>
      </w:r>
    </w:p>
    <w:p w14:paraId="2A6E6166" w14:textId="77777777" w:rsidR="00AF1011" w:rsidRPr="0038269A" w:rsidRDefault="00AF1011" w:rsidP="00AF1011">
      <w:pPr>
        <w:pStyle w:val="SingleTxtG"/>
        <w:rPr>
          <w:lang w:val="en-GB"/>
        </w:rPr>
      </w:pPr>
      <w:r w:rsidRPr="0038269A">
        <w:t>Figura 28.4.2.2</w:t>
      </w:r>
      <w:r w:rsidRPr="0038269A">
        <w:tab/>
        <w:t>Sustitúyase por la siguiente</w:t>
      </w:r>
    </w:p>
    <w:p w14:paraId="679B45E4" w14:textId="27AB1EE1" w:rsidR="00AF1011" w:rsidRPr="00644628" w:rsidRDefault="00AF1011" w:rsidP="00644628">
      <w:pPr>
        <w:pStyle w:val="SingleTxtG"/>
        <w:jc w:val="center"/>
        <w:rPr>
          <w:b/>
          <w:bCs/>
          <w:lang w:val="en-GB"/>
        </w:rPr>
      </w:pPr>
      <w:r w:rsidRPr="00644628">
        <w:rPr>
          <w:b/>
          <w:bCs/>
        </w:rPr>
        <w:t xml:space="preserve">“Figura 28.4.2.2: </w:t>
      </w:r>
      <w:r w:rsidR="00644628" w:rsidRPr="00644628">
        <w:rPr>
          <w:b/>
          <w:bCs/>
        </w:rPr>
        <w:t xml:space="preserve">Ejemplo de determinación de la </w:t>
      </w:r>
      <w:r w:rsidRPr="00644628">
        <w:rPr>
          <w:b/>
          <w:bCs/>
        </w:rPr>
        <w:t>TDAA o TPAA</w:t>
      </w:r>
    </w:p>
    <w:bookmarkStart w:id="3" w:name="_Hlk35359022"/>
    <w:p w14:paraId="4AD532BD" w14:textId="620E6459" w:rsidR="00AF1011" w:rsidRPr="0038269A" w:rsidRDefault="007D6ED2" w:rsidP="001E10EC">
      <w:pPr>
        <w:pStyle w:val="SingleTxtG"/>
        <w:spacing w:after="240"/>
        <w:rPr>
          <w:b/>
          <w:bCs/>
          <w:lang w:val="en-GB"/>
        </w:rPr>
      </w:pPr>
      <w:r w:rsidRPr="0038269A">
        <w:rPr>
          <w:lang w:val="en-GB"/>
        </w:rPr>
        <w:object w:dxaOrig="6001" w:dyaOrig="5145" w14:anchorId="4D8702D1">
          <v:shape id="_x0000_i1026" type="#_x0000_t75" style="width:367.7pt;height:313.4pt" o:ole="">
            <v:imagedata r:id="rId16" o:title=""/>
          </v:shape>
          <o:OLEObject Type="Embed" ProgID="Visio.Drawing.15" ShapeID="_x0000_i1026" DrawAspect="Content" ObjectID="_1687869835" r:id="rId17"/>
        </w:object>
      </w:r>
      <w:bookmarkEnd w:id="3"/>
    </w:p>
    <w:tbl>
      <w:tblPr>
        <w:tblStyle w:val="TableGrid"/>
        <w:tblW w:w="7370"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93"/>
        <w:gridCol w:w="2796"/>
        <w:gridCol w:w="621"/>
        <w:gridCol w:w="2960"/>
      </w:tblGrid>
      <w:tr w:rsidR="00AF1011" w:rsidRPr="0038269A" w14:paraId="279DB2B0" w14:textId="77777777" w:rsidTr="00BC12E0">
        <w:trPr>
          <w:trHeight w:val="240"/>
        </w:trPr>
        <w:tc>
          <w:tcPr>
            <w:tcW w:w="993" w:type="dxa"/>
            <w:shd w:val="clear" w:color="auto" w:fill="auto"/>
          </w:tcPr>
          <w:bookmarkStart w:id="4" w:name="_Hlk35359044"/>
          <w:p w14:paraId="30D3A214" w14:textId="3309CEAA" w:rsidR="00AF1011" w:rsidRPr="0038269A" w:rsidRDefault="00BC12E0" w:rsidP="0046137D">
            <w:pPr>
              <w:pStyle w:val="SingleTxtG"/>
              <w:tabs>
                <w:tab w:val="clear" w:pos="1701"/>
                <w:tab w:val="clear" w:pos="2268"/>
                <w:tab w:val="clear" w:pos="2835"/>
              </w:tabs>
              <w:spacing w:before="40"/>
              <w:ind w:left="0" w:right="0"/>
              <w:jc w:val="left"/>
              <w:rPr>
                <w:lang w:val="en-US"/>
              </w:rPr>
            </w:pPr>
            <w:r w:rsidRPr="0038269A">
              <w:rPr>
                <w:noProof/>
                <w:lang w:val="en-US"/>
              </w:rPr>
              <mc:AlternateContent>
                <mc:Choice Requires="wps">
                  <w:drawing>
                    <wp:anchor distT="0" distB="0" distL="114300" distR="114300" simplePos="0" relativeHeight="251659264" behindDoc="0" locked="0" layoutInCell="1" allowOverlap="1" wp14:anchorId="39EC2313" wp14:editId="0494D55A">
                      <wp:simplePos x="0" y="0"/>
                      <wp:positionH relativeFrom="column">
                        <wp:posOffset>51193</wp:posOffset>
                      </wp:positionH>
                      <wp:positionV relativeFrom="paragraph">
                        <wp:posOffset>176831</wp:posOffset>
                      </wp:positionV>
                      <wp:extent cx="52133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213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C4EDC"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9pt" to="45.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" strokecolor="black [3213]" strokeweight="1.5pt">
                      <v:stroke dashstyle="longDashDot"/>
                    </v:line>
                  </w:pict>
                </mc:Fallback>
              </mc:AlternateContent>
            </w:r>
          </w:p>
        </w:tc>
        <w:tc>
          <w:tcPr>
            <w:tcW w:w="2796" w:type="dxa"/>
            <w:shd w:val="clear" w:color="auto" w:fill="auto"/>
          </w:tcPr>
          <w:p w14:paraId="41FDA71E"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Curva de generación de calor</w:t>
            </w:r>
          </w:p>
        </w:tc>
        <w:tc>
          <w:tcPr>
            <w:tcW w:w="621" w:type="dxa"/>
            <w:shd w:val="clear" w:color="auto" w:fill="auto"/>
          </w:tcPr>
          <w:p w14:paraId="3B00F92C"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rPr>
                <w:noProof/>
                <w:lang w:val="en-US"/>
              </w:rPr>
              <mc:AlternateContent>
                <mc:Choice Requires="wps">
                  <w:drawing>
                    <wp:anchor distT="0" distB="0" distL="114300" distR="114300" simplePos="0" relativeHeight="251660288" behindDoc="0" locked="0" layoutInCell="1" allowOverlap="1" wp14:anchorId="2FA1A58D" wp14:editId="5B6F5B59">
                      <wp:simplePos x="0" y="0"/>
                      <wp:positionH relativeFrom="column">
                        <wp:posOffset>66451</wp:posOffset>
                      </wp:positionH>
                      <wp:positionV relativeFrom="paragraph">
                        <wp:posOffset>149768</wp:posOffset>
                      </wp:positionV>
                      <wp:extent cx="2418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823EB"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8pt" to="2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" strokecolor="black [3213]" strokeweight="1.5pt"/>
                  </w:pict>
                </mc:Fallback>
              </mc:AlternateContent>
            </w:r>
          </w:p>
        </w:tc>
        <w:tc>
          <w:tcPr>
            <w:tcW w:w="2960" w:type="dxa"/>
            <w:shd w:val="clear" w:color="auto" w:fill="auto"/>
          </w:tcPr>
          <w:p w14:paraId="2F63ED91" w14:textId="54ABEB55"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 xml:space="preserve">Curva de pérdida de calor L = 0,06 </w:t>
            </w:r>
            <w:r w:rsidR="00432466" w:rsidRPr="0038269A">
              <w:t>W</w:t>
            </w:r>
            <w:r w:rsidRPr="0038269A">
              <w:t>/K.kg</w:t>
            </w:r>
          </w:p>
        </w:tc>
      </w:tr>
      <w:tr w:rsidR="00AF1011" w:rsidRPr="0038269A" w14:paraId="4D0A90C0" w14:textId="77777777" w:rsidTr="00BC12E0">
        <w:trPr>
          <w:trHeight w:val="240"/>
        </w:trPr>
        <w:tc>
          <w:tcPr>
            <w:tcW w:w="993" w:type="dxa"/>
            <w:shd w:val="clear" w:color="auto" w:fill="auto"/>
          </w:tcPr>
          <w:p w14:paraId="67DCC9B3"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(A)</w:t>
            </w:r>
          </w:p>
        </w:tc>
        <w:tc>
          <w:tcPr>
            <w:tcW w:w="2796" w:type="dxa"/>
            <w:shd w:val="clear" w:color="auto" w:fill="auto"/>
          </w:tcPr>
          <w:p w14:paraId="1C32C7F9"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Temperatura ambiente crítica (intersección de la línea de pérdida de calor y el eje de abscisas)</w:t>
            </w:r>
          </w:p>
        </w:tc>
        <w:tc>
          <w:tcPr>
            <w:tcW w:w="621" w:type="dxa"/>
            <w:shd w:val="clear" w:color="auto" w:fill="auto"/>
          </w:tcPr>
          <w:p w14:paraId="632E5D2B"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(B)</w:t>
            </w:r>
          </w:p>
        </w:tc>
        <w:tc>
          <w:tcPr>
            <w:tcW w:w="2960" w:type="dxa"/>
            <w:shd w:val="clear" w:color="auto" w:fill="auto"/>
          </w:tcPr>
          <w:p w14:paraId="04B91FEE" w14:textId="3F484AA5"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 xml:space="preserve">TDAA o TPAA (igual a la temperatura ambiente crítica redondeada hacia arriba hasta el múltiplo de 5 </w:t>
            </w:r>
            <w:r w:rsidR="00432466">
              <w:t>º</w:t>
            </w:r>
            <w:r w:rsidRPr="0038269A">
              <w:t>C más próximo)</w:t>
            </w:r>
          </w:p>
        </w:tc>
      </w:tr>
    </w:tbl>
    <w:bookmarkEnd w:id="4"/>
    <w:p w14:paraId="296004CC" w14:textId="77777777" w:rsidR="00AF1011" w:rsidRPr="0038269A" w:rsidRDefault="00AF1011" w:rsidP="00644628">
      <w:pPr>
        <w:pStyle w:val="SingleTxtG"/>
        <w:jc w:val="right"/>
      </w:pPr>
      <w:r w:rsidRPr="0038269A">
        <w:t>.”</w:t>
      </w:r>
    </w:p>
    <w:p w14:paraId="68B8E32C" w14:textId="77777777" w:rsidR="00AF1011" w:rsidRPr="0038269A" w:rsidRDefault="00AF1011" w:rsidP="00AF1011">
      <w:pPr>
        <w:pStyle w:val="SingleTxtG"/>
        <w:rPr>
          <w:lang w:val="en-GB"/>
        </w:rPr>
      </w:pPr>
      <w:r w:rsidRPr="0038269A">
        <w:t>28.4.3.1.2</w:t>
      </w:r>
      <w:r w:rsidRPr="0038269A">
        <w:tab/>
        <w:t xml:space="preserve">Suprímase. El actual párrafo 28.4.3.1.3 </w:t>
      </w:r>
      <w:r w:rsidRPr="00644628">
        <w:rPr>
          <w:lang w:val="en-GB"/>
        </w:rPr>
        <w:t>pasa</w:t>
      </w:r>
      <w:r w:rsidRPr="0038269A">
        <w:t xml:space="preserve"> a ser el nuevo párrafo 28.4.3.1.2.</w:t>
      </w:r>
    </w:p>
    <w:p w14:paraId="17F003F3" w14:textId="46BDB6D4" w:rsidR="00AF1011" w:rsidRPr="0038269A" w:rsidRDefault="00AF1011" w:rsidP="001E10EC">
      <w:pPr>
        <w:pStyle w:val="SingleTxtG"/>
        <w:ind w:left="2268" w:hanging="1134"/>
        <w:rPr>
          <w:lang w:val="en-GB"/>
        </w:rPr>
      </w:pPr>
      <w:r w:rsidRPr="0038269A">
        <w:t>28.4.3.1.2 (nuevo, antiguo 28.4.3.1.3)</w:t>
      </w:r>
      <w:r w:rsidR="00977B28">
        <w:tab/>
      </w:r>
      <w:r w:rsidRPr="0038269A">
        <w:t>Modifíquese el comienzo de la primera frase como sigue: “Por la habitual solidez del aparato fácilmente disponible, ...”.</w:t>
      </w:r>
    </w:p>
    <w:p w14:paraId="6DD44981" w14:textId="77777777" w:rsidR="00AF1011" w:rsidRPr="0038269A" w:rsidRDefault="00AF1011" w:rsidP="00AF1011">
      <w:pPr>
        <w:pStyle w:val="SingleTxtG"/>
        <w:rPr>
          <w:lang w:val="en-GB"/>
        </w:rPr>
      </w:pPr>
      <w:r w:rsidRPr="0038269A">
        <w:t xml:space="preserve">28.4.3.2 </w:t>
      </w:r>
      <w:r w:rsidRPr="0038269A">
        <w:tab/>
        <w:t xml:space="preserve">Modifíquese la sección para que diga lo </w:t>
      </w:r>
      <w:r w:rsidRPr="00644628">
        <w:rPr>
          <w:lang w:val="en-GB"/>
        </w:rPr>
        <w:t>siguiente</w:t>
      </w:r>
      <w:r w:rsidRPr="0038269A">
        <w:t>:</w:t>
      </w:r>
    </w:p>
    <w:p w14:paraId="0414DDF7" w14:textId="77777777" w:rsidR="00AF1011" w:rsidRPr="0038269A" w:rsidRDefault="00AF1011" w:rsidP="00AF1011">
      <w:pPr>
        <w:pStyle w:val="SingleTxtG"/>
        <w:rPr>
          <w:lang w:val="en-GB"/>
        </w:rPr>
      </w:pPr>
      <w:r w:rsidRPr="0038269A">
        <w:t>“28.4.3.2</w:t>
      </w:r>
      <w:r w:rsidRPr="0038269A">
        <w:tab/>
      </w:r>
      <w:r w:rsidRPr="0038269A">
        <w:rPr>
          <w:i/>
          <w:iCs/>
        </w:rPr>
        <w:t>Aparatos y materiales</w:t>
      </w:r>
    </w:p>
    <w:p w14:paraId="2F940933" w14:textId="77777777" w:rsidR="00AF1011" w:rsidRPr="0038269A" w:rsidRDefault="00AF1011" w:rsidP="00AF1011">
      <w:pPr>
        <w:pStyle w:val="SingleTxtG"/>
        <w:rPr>
          <w:lang w:val="en-GB"/>
        </w:rPr>
      </w:pPr>
      <w:r w:rsidRPr="0038269A">
        <w:t>28.4.3.2.1</w:t>
      </w:r>
      <w:r w:rsidRPr="0038269A">
        <w:tab/>
        <w:t>Calorimetría isotérmica (CI)</w:t>
      </w:r>
    </w:p>
    <w:p w14:paraId="5D31B368" w14:textId="48C3A8FC" w:rsidR="00AF1011" w:rsidRPr="0038269A" w:rsidRDefault="00AF1011" w:rsidP="00AF1011">
      <w:pPr>
        <w:pStyle w:val="SingleTxtG"/>
        <w:rPr>
          <w:lang w:val="en-GB"/>
        </w:rPr>
      </w:pPr>
      <w:r w:rsidRPr="0038269A">
        <w:tab/>
      </w:r>
      <w:r w:rsidRPr="0038269A">
        <w:tab/>
        <w:t>Se pueden utilizar calorímetros isotérmicos adecuados. El equipo debe ser capaz de medir valores de generación de calor de 1 mW/kg a 1</w:t>
      </w:r>
      <w:r w:rsidR="001E10EC">
        <w:t>.</w:t>
      </w:r>
      <w:r w:rsidRPr="0038269A">
        <w:t xml:space="preserve">500 mW/kg en un rango de temperaturas de -20 </w:t>
      </w:r>
      <w:r w:rsidR="00432466">
        <w:t>º</w:t>
      </w:r>
      <w:r w:rsidRPr="0038269A">
        <w:t xml:space="preserve">C a 200 </w:t>
      </w:r>
      <w:r w:rsidR="00432466">
        <w:t>º</w:t>
      </w:r>
      <w:r w:rsidRPr="0038269A">
        <w:t xml:space="preserve">C. El error máximo en la generación de calor debe ser inferior al 5 %. El equipo debe ser capaz de mantener la temperatura dentro de un margen de 0,2 ºC de la temperatura establecida. La masa de la muestra del material de ensayo debe ser de al menos 200 mg. Deben utilizarse portamuestras cerrados y resistentes a la presión fabricados con un material que no tenga un efecto catalizador sobre el comportamiento de </w:t>
      </w:r>
      <w:r w:rsidRPr="0038269A">
        <w:lastRenderedPageBreak/>
        <w:t>descomposición de la sustancia objeto del ensayo. Eso puede lograrse seleccionando los materiales adecuados para los portamuestras o mediante un método apropiado de pasivación.</w:t>
      </w:r>
    </w:p>
    <w:p w14:paraId="56BC7A5E" w14:textId="77777777" w:rsidR="00AF1011" w:rsidRPr="0038269A" w:rsidRDefault="00AF1011" w:rsidP="00AF1011">
      <w:pPr>
        <w:pStyle w:val="SingleTxtG"/>
        <w:rPr>
          <w:lang w:val="en-GB"/>
        </w:rPr>
      </w:pPr>
      <w:r w:rsidRPr="0038269A">
        <w:t>28.4.3.2.2</w:t>
      </w:r>
      <w:r w:rsidRPr="0038269A">
        <w:tab/>
        <w:t xml:space="preserve">El portamuestras se coloca sobre o alrededor del dispositivo de medición de la corriente térmica. La cantidad de sustancia en el portamuestras ha de ser de al menos 200 mg. El material del portamuestras debe ser compatible con la muestra. Si se utiliza una referencia externa, debe ser tratada de forma idéntica a la muestra. </w:t>
      </w:r>
    </w:p>
    <w:p w14:paraId="17AF3CF8" w14:textId="11E9EC7A" w:rsidR="00AF1011" w:rsidRPr="0038269A" w:rsidRDefault="00AF1011" w:rsidP="00AF1011">
      <w:pPr>
        <w:pStyle w:val="SingleTxtG"/>
        <w:rPr>
          <w:lang w:val="en-GB"/>
        </w:rPr>
      </w:pPr>
      <w:r w:rsidRPr="0038269A">
        <w:t>28.4.3.2.3</w:t>
      </w:r>
      <w:r w:rsidRPr="0038269A">
        <w:tab/>
        <w:t>El flujo térmico desde la muestra se registra continuamente como función del tiempo (medición diferencial) mediante un registrador u ordenador</w:t>
      </w:r>
      <w:r w:rsidR="001E10EC">
        <w:t>.</w:t>
      </w:r>
      <w:r w:rsidRPr="0038269A">
        <w:t>”</w:t>
      </w:r>
      <w:r w:rsidR="001E10EC">
        <w:t>.</w:t>
      </w:r>
    </w:p>
    <w:p w14:paraId="38C2C13F" w14:textId="77777777" w:rsidR="00AF1011" w:rsidRPr="0038269A" w:rsidRDefault="00AF1011" w:rsidP="00AF1011">
      <w:pPr>
        <w:pStyle w:val="SingleTxtG"/>
        <w:rPr>
          <w:lang w:val="en-GB"/>
        </w:rPr>
      </w:pPr>
      <w:r w:rsidRPr="0038269A">
        <w:t>28.4.3.3</w:t>
      </w:r>
      <w:r w:rsidRPr="0038269A">
        <w:tab/>
        <w:t xml:space="preserve">Modifíquese la sección para que diga lo siguiente: </w:t>
      </w:r>
    </w:p>
    <w:p w14:paraId="227C6ED9" w14:textId="77777777" w:rsidR="00AF1011" w:rsidRPr="0038269A" w:rsidRDefault="00AF1011" w:rsidP="00AF1011">
      <w:pPr>
        <w:pStyle w:val="SingleTxtG"/>
        <w:rPr>
          <w:lang w:val="en-GB"/>
        </w:rPr>
      </w:pPr>
      <w:r w:rsidRPr="0038269A">
        <w:t>“28.4.3.3</w:t>
      </w:r>
      <w:r w:rsidRPr="0038269A">
        <w:tab/>
      </w:r>
      <w:r w:rsidRPr="0038269A">
        <w:rPr>
          <w:i/>
          <w:iCs/>
        </w:rPr>
        <w:t>Procedimiento</w:t>
      </w:r>
    </w:p>
    <w:p w14:paraId="1AB52FF5" w14:textId="77777777" w:rsidR="00AF1011" w:rsidRPr="0038269A" w:rsidRDefault="00AF1011" w:rsidP="00AF1011">
      <w:pPr>
        <w:pStyle w:val="SingleTxtG"/>
        <w:rPr>
          <w:lang w:val="en-GB"/>
        </w:rPr>
      </w:pPr>
      <w:r w:rsidRPr="0038269A">
        <w:t>28.4.3.3.1</w:t>
      </w:r>
      <w:r w:rsidRPr="0038269A">
        <w:tab/>
        <w:t>Procedimiento de calibración</w:t>
      </w:r>
    </w:p>
    <w:p w14:paraId="33FD9B87" w14:textId="77777777" w:rsidR="00AF1011" w:rsidRPr="0038269A" w:rsidRDefault="00AF1011" w:rsidP="00AF1011">
      <w:pPr>
        <w:pStyle w:val="SingleTxtG"/>
        <w:rPr>
          <w:lang w:val="en-GB"/>
        </w:rPr>
      </w:pPr>
      <w:r w:rsidRPr="0038269A">
        <w:tab/>
      </w:r>
      <w:r w:rsidRPr="0038269A">
        <w:tab/>
        <w:t>Antes de efectuar una medición hay que determinar la tensión en vacío y la sensibilidad del dispositivo de medición del flujo térmico mediante el procedimiento de calibración aplicable al equipo utilizado que abarque el rango de temperaturas de la medición.</w:t>
      </w:r>
    </w:p>
    <w:p w14:paraId="2344557F" w14:textId="77777777" w:rsidR="00AF1011" w:rsidRPr="0038269A" w:rsidRDefault="00AF1011" w:rsidP="00AF1011">
      <w:pPr>
        <w:pStyle w:val="SingleTxtG"/>
        <w:rPr>
          <w:lang w:val="en-GB"/>
        </w:rPr>
      </w:pPr>
      <w:r w:rsidRPr="0038269A">
        <w:t>28.4.3.3.2</w:t>
      </w:r>
      <w:r w:rsidRPr="0038269A">
        <w:tab/>
        <w:t xml:space="preserve">Procedimiento de prueba </w:t>
      </w:r>
    </w:p>
    <w:p w14:paraId="0F90BF9B" w14:textId="771BCFE2" w:rsidR="00AF1011" w:rsidRPr="0038269A" w:rsidRDefault="00AF1011" w:rsidP="00AF1011">
      <w:pPr>
        <w:pStyle w:val="SingleTxtG"/>
        <w:rPr>
          <w:lang w:val="en-GB"/>
        </w:rPr>
      </w:pPr>
      <w:r w:rsidRPr="0038269A">
        <w:tab/>
      </w:r>
      <w:r w:rsidRPr="0038269A">
        <w:tab/>
        <w:t>El procedimiento de prueba es el siguiente:</w:t>
      </w:r>
    </w:p>
    <w:p w14:paraId="3F136850" w14:textId="4BACF7E6" w:rsidR="00AF1011" w:rsidRPr="0038269A" w:rsidRDefault="00977B28" w:rsidP="00977B28">
      <w:pPr>
        <w:pStyle w:val="SingleTxtG"/>
        <w:tabs>
          <w:tab w:val="clear" w:pos="1701"/>
        </w:tabs>
        <w:suppressAutoHyphens/>
        <w:ind w:left="2835" w:hanging="1701"/>
        <w:rPr>
          <w:lang w:val="en-GB"/>
        </w:rPr>
      </w:pPr>
      <w:r>
        <w:tab/>
      </w:r>
      <w:r w:rsidR="00AF1011" w:rsidRPr="0038269A">
        <w:t>a)</w:t>
      </w:r>
      <w:r w:rsidR="00AF1011" w:rsidRPr="0038269A">
        <w:tab/>
        <w:t>Se regulan los aparatos a la temperatura elegida para la prueba. La temperatura seleccionada debe ser suficiente para obtener una tasa de generación de calor de entre 5 mW y 1</w:t>
      </w:r>
      <w:r w:rsidR="000F7607">
        <w:t>.</w:t>
      </w:r>
      <w:r w:rsidR="00AF1011" w:rsidRPr="0038269A">
        <w:t>000 mW por kg de sustancia o, en el caso de las cisternas, una tasa de generación de calor máxima de entre 1 y 100 mW/kg;</w:t>
      </w:r>
    </w:p>
    <w:p w14:paraId="66959815" w14:textId="0CA1570B" w:rsidR="00AF1011" w:rsidRPr="0038269A" w:rsidRDefault="00977B28" w:rsidP="00977B28">
      <w:pPr>
        <w:pStyle w:val="SingleTxtG"/>
        <w:tabs>
          <w:tab w:val="clear" w:pos="1701"/>
        </w:tabs>
        <w:suppressAutoHyphens/>
        <w:ind w:left="2835" w:hanging="1701"/>
        <w:rPr>
          <w:lang w:val="en-GB"/>
        </w:rPr>
      </w:pPr>
      <w:r>
        <w:tab/>
      </w:r>
      <w:r w:rsidR="00AF1011" w:rsidRPr="0038269A">
        <w:t>b)</w:t>
      </w:r>
      <w:r w:rsidR="00AF1011" w:rsidRPr="0038269A">
        <w:tab/>
        <w:t xml:space="preserve">Se rellena el portamuestras con la muestra pesada y con una cantidad representativa de material de embalaje/envase (si es un metal) y se introduce el recipiente en el aparato. </w:t>
      </w:r>
    </w:p>
    <w:p w14:paraId="13F8415D" w14:textId="45AF15FC" w:rsidR="00AF1011" w:rsidRPr="0038269A" w:rsidRDefault="00977B28" w:rsidP="00977B28">
      <w:pPr>
        <w:pStyle w:val="SingleTxtG"/>
        <w:tabs>
          <w:tab w:val="clear" w:pos="1701"/>
        </w:tabs>
        <w:suppressAutoHyphens/>
        <w:ind w:left="2835" w:hanging="1701"/>
        <w:rPr>
          <w:vertAlign w:val="superscript"/>
          <w:lang w:val="en-GB"/>
        </w:rPr>
      </w:pPr>
      <w:r>
        <w:tab/>
      </w:r>
      <w:r w:rsidR="00AF1011" w:rsidRPr="0038269A">
        <w:t>c)</w:t>
      </w:r>
      <w:r w:rsidR="00AF1011" w:rsidRPr="0038269A">
        <w:tab/>
        <w:t>Se empieza a medir la tasa de producción de calor. La duración de cada prueba depende de la temperatura de la prueba y de la tasa de producción de calor.  El tiempo de medición que se indica en la figura 28.4.3.1 puede servir de orientación, a menos que conduzca a tiempos de medición poco realistas (por ejemplo, superiores a 1</w:t>
      </w:r>
      <w:r w:rsidR="000F7607">
        <w:t>.</w:t>
      </w:r>
      <w:r w:rsidR="00AF1011" w:rsidRPr="0038269A">
        <w:t>000 horas). Esos tiempos de medición se indican para alcanzar un determinado grado de conversión de la sustancia, con el fin de tener en cuenta los efectos autocatalíticos</w:t>
      </w:r>
      <w:r w:rsidR="00AF1011" w:rsidRPr="00432466">
        <w:rPr>
          <w:sz w:val="18"/>
          <w:szCs w:val="18"/>
          <w:vertAlign w:val="superscript"/>
        </w:rPr>
        <w:t>3</w:t>
      </w:r>
      <w:r w:rsidR="00AF1011" w:rsidRPr="0038269A">
        <w:t>;</w:t>
      </w:r>
    </w:p>
    <w:p w14:paraId="35F03732" w14:textId="04F18F6A" w:rsidR="00AF1011" w:rsidRPr="0038269A" w:rsidRDefault="00977B28" w:rsidP="00977B28">
      <w:pPr>
        <w:pStyle w:val="SingleTxtG"/>
        <w:tabs>
          <w:tab w:val="clear" w:pos="1701"/>
        </w:tabs>
        <w:suppressAutoHyphens/>
        <w:ind w:left="2835" w:hanging="1701"/>
        <w:rPr>
          <w:lang w:val="en-GB"/>
        </w:rPr>
      </w:pPr>
      <w:r>
        <w:tab/>
      </w:r>
      <w:r w:rsidR="00AF1011" w:rsidRPr="0038269A">
        <w:t>d)</w:t>
      </w:r>
      <w:r w:rsidR="00AF1011" w:rsidRPr="0038269A">
        <w:tab/>
        <w:t>Al terminar cada prueba debe determinarse la variación que haya experimentado la masa de la muestra.</w:t>
      </w:r>
    </w:p>
    <w:p w14:paraId="5B824BA9" w14:textId="421778E0" w:rsidR="00AF1011" w:rsidRPr="0038269A" w:rsidRDefault="00977B28" w:rsidP="00977B28">
      <w:pPr>
        <w:pStyle w:val="SingleTxtG"/>
        <w:tabs>
          <w:tab w:val="clear" w:pos="1701"/>
        </w:tabs>
        <w:suppressAutoHyphens/>
        <w:ind w:left="2835" w:hanging="1701"/>
        <w:rPr>
          <w:lang w:val="en-GB"/>
        </w:rPr>
      </w:pPr>
      <w:r>
        <w:tab/>
      </w:r>
      <w:r w:rsidR="00AF1011" w:rsidRPr="0038269A">
        <w:t>e)</w:t>
      </w:r>
      <w:r w:rsidR="00AF1011" w:rsidRPr="0038269A">
        <w:tab/>
        <w:t>Se repite la prueba con nuevas muestras, a intervalos de temperatura de 5 ºC, de modo que se obtengan al menos cinco resultados con una tasa de generación de calor máxima situada entre 5 y 1.000 mW/kg o, en el caso de las cisternas, una tasa de generación de calor máxima entre 1 y 100 mW/kg.</w:t>
      </w:r>
    </w:p>
    <w:p w14:paraId="309D6BB6" w14:textId="5DC907E1" w:rsidR="00AF1011" w:rsidRPr="0038269A" w:rsidRDefault="00AF1011" w:rsidP="00977B28">
      <w:pPr>
        <w:pStyle w:val="SingleTxtG"/>
        <w:keepNext/>
        <w:keepLines/>
        <w:jc w:val="center"/>
        <w:rPr>
          <w:lang w:val="en-GB"/>
        </w:rPr>
      </w:pPr>
      <w:r w:rsidRPr="0038269A">
        <w:rPr>
          <w:b/>
          <w:bCs/>
        </w:rPr>
        <w:lastRenderedPageBreak/>
        <w:t xml:space="preserve">Figura 28.4.3.1: </w:t>
      </w:r>
      <w:r w:rsidR="00977B28" w:rsidRPr="0038269A">
        <w:rPr>
          <w:b/>
          <w:bCs/>
        </w:rPr>
        <w:t>Per</w:t>
      </w:r>
      <w:r w:rsidR="00977B28">
        <w:rPr>
          <w:b/>
          <w:bCs/>
        </w:rPr>
        <w:t>í</w:t>
      </w:r>
      <w:r w:rsidR="00977B28" w:rsidRPr="0038269A">
        <w:rPr>
          <w:b/>
          <w:bCs/>
        </w:rPr>
        <w:t>odo de medición en función de la generación</w:t>
      </w:r>
      <w:r w:rsidR="00977B28">
        <w:rPr>
          <w:b/>
          <w:bCs/>
        </w:rPr>
        <w:br/>
      </w:r>
      <w:r w:rsidR="00977B28" w:rsidRPr="0038269A">
        <w:rPr>
          <w:b/>
          <w:bCs/>
        </w:rPr>
        <w:t>máxima</w:t>
      </w:r>
      <w:r w:rsidR="00977B28">
        <w:rPr>
          <w:b/>
          <w:bCs/>
        </w:rPr>
        <w:t xml:space="preserve"> </w:t>
      </w:r>
      <w:r w:rsidR="00977B28" w:rsidRPr="0038269A">
        <w:rPr>
          <w:b/>
          <w:bCs/>
        </w:rPr>
        <w:t>de calor medida</w:t>
      </w:r>
    </w:p>
    <w:p w14:paraId="2239EC60" w14:textId="3C0EF8FA" w:rsidR="00AF1011" w:rsidRPr="0038269A" w:rsidRDefault="00AF1011" w:rsidP="00432466">
      <w:pPr>
        <w:pStyle w:val="SingleTxtG"/>
        <w:keepNext/>
        <w:keepLines/>
        <w:jc w:val="center"/>
        <w:rPr>
          <w:lang w:val="en-GB"/>
        </w:rPr>
      </w:pPr>
      <w:r w:rsidRPr="0038269A">
        <w:rPr>
          <w:noProof/>
        </w:rPr>
        <w:drawing>
          <wp:inline distT="0" distB="0" distL="0" distR="0" wp14:anchorId="5A36CA0B" wp14:editId="501C4EA8">
            <wp:extent cx="4213555" cy="2516428"/>
            <wp:effectExtent l="0" t="0" r="15875" b="17780"/>
            <wp:docPr id="13" name="Chart 13">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F7607">
        <w:rPr>
          <w:lang w:val="en-GB"/>
        </w:rPr>
        <w:t>”</w:t>
      </w:r>
    </w:p>
    <w:p w14:paraId="51E3708D" w14:textId="77777777" w:rsidR="00AF1011" w:rsidRPr="0038269A" w:rsidRDefault="00AF1011" w:rsidP="00977B28">
      <w:pPr>
        <w:pStyle w:val="SingleTxtG"/>
        <w:keepNext/>
        <w:keepLines/>
        <w:rPr>
          <w:lang w:val="en-GB"/>
        </w:rPr>
      </w:pPr>
      <w:r w:rsidRPr="0038269A">
        <w:tab/>
        <w:t>Añádase una nueva nota “3” que diga lo siguiente:</w:t>
      </w:r>
    </w:p>
    <w:p w14:paraId="1D61B105" w14:textId="522D8055" w:rsidR="00AF1011" w:rsidRPr="0038269A" w:rsidRDefault="00AF1011" w:rsidP="00AF1011">
      <w:pPr>
        <w:pStyle w:val="SingleTxtG"/>
        <w:rPr>
          <w:b/>
          <w:bCs/>
          <w:i/>
          <w:iCs/>
          <w:lang w:val="en-GB"/>
        </w:rPr>
      </w:pPr>
      <w:r w:rsidRPr="0038269A">
        <w:rPr>
          <w:i/>
          <w:iCs/>
        </w:rPr>
        <w:t>“</w:t>
      </w:r>
      <w:r w:rsidRPr="00432466">
        <w:rPr>
          <w:sz w:val="18"/>
          <w:szCs w:val="18"/>
          <w:vertAlign w:val="superscript"/>
        </w:rPr>
        <w:t>3</w:t>
      </w:r>
      <w:r w:rsidR="00977B28">
        <w:rPr>
          <w:i/>
          <w:iCs/>
          <w:vertAlign w:val="superscript"/>
        </w:rPr>
        <w:t xml:space="preserve"> </w:t>
      </w:r>
      <w:r w:rsidRPr="0038269A">
        <w:rPr>
          <w:i/>
          <w:iCs/>
        </w:rPr>
        <w:t>Referencias:</w:t>
      </w:r>
    </w:p>
    <w:p w14:paraId="47D0DC3E" w14:textId="25725B53" w:rsidR="00AF1011" w:rsidRPr="0038269A" w:rsidRDefault="00AF1011" w:rsidP="00AF1011">
      <w:pPr>
        <w:pStyle w:val="SingleTxtG"/>
        <w:rPr>
          <w:i/>
          <w:iCs/>
          <w:lang w:val="en-GB"/>
        </w:rPr>
      </w:pPr>
      <w:r w:rsidRPr="0038269A">
        <w:rPr>
          <w:i/>
          <w:iCs/>
        </w:rPr>
        <w:t>1) J. L.</w:t>
      </w:r>
      <w:r w:rsidRPr="0038269A">
        <w:t xml:space="preserve"> </w:t>
      </w:r>
      <w:r w:rsidRPr="0038269A">
        <w:rPr>
          <w:i/>
          <w:iCs/>
        </w:rPr>
        <w:t>C. van Geel, Investigations into Self-Ignition Hazard of Nitrate Ester Propellants,</w:t>
      </w:r>
      <w:r w:rsidRPr="0038269A">
        <w:t xml:space="preserve"> </w:t>
      </w:r>
      <w:r w:rsidRPr="0038269A">
        <w:rPr>
          <w:i/>
          <w:iCs/>
        </w:rPr>
        <w:t>Tesis, Universidad Técnica de Delft, Países Bajos, 1969.</w:t>
      </w:r>
    </w:p>
    <w:p w14:paraId="329DFEAE" w14:textId="194BB401" w:rsidR="00AF1011" w:rsidRPr="0038269A" w:rsidRDefault="00AF1011" w:rsidP="00AF1011">
      <w:pPr>
        <w:pStyle w:val="SingleTxtG"/>
        <w:rPr>
          <w:i/>
          <w:iCs/>
          <w:lang w:val="en-GB"/>
        </w:rPr>
      </w:pPr>
      <w:r w:rsidRPr="0038269A">
        <w:rPr>
          <w:i/>
          <w:iCs/>
        </w:rPr>
        <w:t>2) Barendregt, R.</w:t>
      </w:r>
      <w:r w:rsidR="00432466">
        <w:rPr>
          <w:i/>
          <w:iCs/>
        </w:rPr>
        <w:t xml:space="preserve"> </w:t>
      </w:r>
      <w:r w:rsidRPr="0038269A">
        <w:rPr>
          <w:i/>
          <w:iCs/>
        </w:rPr>
        <w:t>B., Thermal Investigation of Unstable Substances, Including a Comparison of Different Thermal Analytical Techniques, Tesis, Universidad Técnica de Delft, Países Bajos, 1981</w:t>
      </w:r>
      <w:r w:rsidR="00432466">
        <w:rPr>
          <w:i/>
          <w:iCs/>
        </w:rPr>
        <w:t>.</w:t>
      </w:r>
      <w:r w:rsidRPr="0038269A">
        <w:rPr>
          <w:i/>
          <w:iCs/>
        </w:rPr>
        <w:t>”</w:t>
      </w:r>
    </w:p>
    <w:p w14:paraId="72402FFA" w14:textId="636DB242" w:rsidR="00AF1011" w:rsidRPr="0038269A" w:rsidRDefault="00AF1011" w:rsidP="00AF1011">
      <w:pPr>
        <w:pStyle w:val="SingleTxtG"/>
        <w:rPr>
          <w:lang w:val="en-GB"/>
        </w:rPr>
      </w:pPr>
      <w:r w:rsidRPr="0038269A">
        <w:t>28.4.3.4.1 y 28.4.3.4.2</w:t>
      </w:r>
      <w:r w:rsidRPr="0038269A">
        <w:tab/>
        <w:t>Suprímanse. El actual párrafo 28.4.3.4.3 pasa a ser el párrafo</w:t>
      </w:r>
      <w:r w:rsidR="00432466">
        <w:t> </w:t>
      </w:r>
      <w:r w:rsidRPr="0038269A">
        <w:t>28.4.3.4.1.</w:t>
      </w:r>
    </w:p>
    <w:p w14:paraId="237D70B3" w14:textId="6A0EDE06" w:rsidR="00AF1011" w:rsidRPr="0038269A" w:rsidRDefault="00977B28" w:rsidP="00AF1011">
      <w:pPr>
        <w:pStyle w:val="SingleTxtG"/>
        <w:rPr>
          <w:lang w:val="en-GB"/>
        </w:rPr>
      </w:pPr>
      <w:r>
        <w:tab/>
      </w:r>
      <w:r w:rsidR="00AF1011" w:rsidRPr="0038269A">
        <w:t>En la segunda frase del párrafo 28.4.3.4.1 renumerado, sustitúyase “mW/kg</w:t>
      </w:r>
      <w:r>
        <w:t> º</w:t>
      </w:r>
      <w:r w:rsidR="00AF1011" w:rsidRPr="0038269A">
        <w:t>C” por “mW/K.kg”</w:t>
      </w:r>
      <w:r w:rsidR="000F7607">
        <w:t>.</w:t>
      </w:r>
    </w:p>
    <w:p w14:paraId="1E5945A4" w14:textId="77777777" w:rsidR="00AF1011" w:rsidRPr="0038269A" w:rsidRDefault="00AF1011" w:rsidP="00AF1011">
      <w:pPr>
        <w:pStyle w:val="SingleTxtG"/>
        <w:rPr>
          <w:lang w:val="en-GB"/>
        </w:rPr>
      </w:pPr>
      <w:r w:rsidRPr="0038269A">
        <w:t>28.4.3.5</w:t>
      </w:r>
      <w:r w:rsidRPr="000F7607">
        <w:rPr>
          <w:lang w:val="es-ES_tradnl"/>
        </w:rPr>
        <w:tab/>
        <w:t>En el encabezamiento del cuadro, sustitúyase “mW</w:t>
      </w:r>
      <w:r w:rsidRPr="0038269A">
        <w:t>/kg.K” por “mW/K.kg”.</w:t>
      </w:r>
    </w:p>
    <w:p w14:paraId="34137A40" w14:textId="5302B133" w:rsidR="00AF1011" w:rsidRDefault="00977B28" w:rsidP="00AF1011">
      <w:pPr>
        <w:pStyle w:val="SingleTxtG"/>
      </w:pPr>
      <w:r>
        <w:tab/>
      </w:r>
      <w:r w:rsidR="00AF1011" w:rsidRPr="0038269A">
        <w:t xml:space="preserve">Insértese </w:t>
      </w:r>
      <w:r w:rsidR="00AF1011" w:rsidRPr="00977B28">
        <w:rPr>
          <w:lang w:val="en-GB"/>
        </w:rPr>
        <w:t>una</w:t>
      </w:r>
      <w:r w:rsidR="00AF1011" w:rsidRPr="0038269A">
        <w:t xml:space="preserve"> referencia a la nota “a” junto al nombre de las sustancias que figuran actualmente en el cuadro y añádanse al final las nuevas entradas siguientes:</w:t>
      </w:r>
    </w:p>
    <w:tbl>
      <w:tblPr>
        <w:tblW w:w="8504" w:type="dxa"/>
        <w:tblInd w:w="1134" w:type="dxa"/>
        <w:tblBorders>
          <w:top w:val="single" w:sz="4" w:space="0" w:color="auto"/>
        </w:tblBorders>
        <w:tblLayout w:type="fixed"/>
        <w:tblCellMar>
          <w:left w:w="119" w:type="dxa"/>
          <w:right w:w="119" w:type="dxa"/>
        </w:tblCellMar>
        <w:tblLook w:val="0000" w:firstRow="0" w:lastRow="0" w:firstColumn="0" w:lastColumn="0" w:noHBand="0" w:noVBand="0"/>
      </w:tblPr>
      <w:tblGrid>
        <w:gridCol w:w="2411"/>
        <w:gridCol w:w="1201"/>
        <w:gridCol w:w="1721"/>
        <w:gridCol w:w="1737"/>
        <w:gridCol w:w="1434"/>
      </w:tblGrid>
      <w:tr w:rsidR="000F7607" w:rsidRPr="0038269A" w14:paraId="4F4B9354" w14:textId="77777777" w:rsidTr="000F7607">
        <w:trPr>
          <w:cantSplit/>
          <w:trHeight w:val="240"/>
          <w:tblHeader/>
        </w:trPr>
        <w:tc>
          <w:tcPr>
            <w:tcW w:w="1418" w:type="pct"/>
            <w:tcBorders>
              <w:top w:val="single" w:sz="12" w:space="0" w:color="auto"/>
              <w:bottom w:val="single" w:sz="12" w:space="0" w:color="auto"/>
            </w:tcBorders>
            <w:shd w:val="clear" w:color="auto" w:fill="auto"/>
            <w:vAlign w:val="bottom"/>
          </w:tcPr>
          <w:p w14:paraId="0CBE80A2" w14:textId="47A8316B" w:rsidR="00AF1011" w:rsidRPr="00977B28" w:rsidRDefault="00AF1011" w:rsidP="0046137D">
            <w:pPr>
              <w:pStyle w:val="SingleTxtG"/>
              <w:tabs>
                <w:tab w:val="clear" w:pos="1701"/>
                <w:tab w:val="clear" w:pos="2268"/>
                <w:tab w:val="clear" w:pos="2835"/>
              </w:tabs>
              <w:spacing w:before="80" w:after="80" w:line="200" w:lineRule="exact"/>
              <w:ind w:left="0" w:right="0"/>
              <w:jc w:val="left"/>
              <w:rPr>
                <w:b/>
                <w:iCs/>
                <w:szCs w:val="24"/>
              </w:rPr>
            </w:pPr>
            <w:r w:rsidRPr="00977B28">
              <w:rPr>
                <w:b/>
                <w:iCs/>
                <w:szCs w:val="24"/>
              </w:rPr>
              <w:t>Sustancia</w:t>
            </w:r>
          </w:p>
        </w:tc>
        <w:tc>
          <w:tcPr>
            <w:tcW w:w="706" w:type="pct"/>
            <w:tcBorders>
              <w:top w:val="single" w:sz="12" w:space="0" w:color="auto"/>
              <w:bottom w:val="single" w:sz="12" w:space="0" w:color="auto"/>
            </w:tcBorders>
            <w:shd w:val="clear" w:color="auto" w:fill="auto"/>
            <w:vAlign w:val="bottom"/>
          </w:tcPr>
          <w:p w14:paraId="03597370" w14:textId="1A7CA5D2" w:rsidR="00AF1011" w:rsidRPr="00977B28" w:rsidRDefault="00AF1011" w:rsidP="00977B28">
            <w:pPr>
              <w:pStyle w:val="SingleTxtG"/>
              <w:tabs>
                <w:tab w:val="clear" w:pos="1701"/>
                <w:tab w:val="clear" w:pos="2268"/>
                <w:tab w:val="clear" w:pos="2835"/>
              </w:tabs>
              <w:spacing w:before="80" w:after="80" w:line="200" w:lineRule="exact"/>
              <w:ind w:left="0" w:right="0"/>
              <w:jc w:val="right"/>
              <w:rPr>
                <w:b/>
                <w:iCs/>
                <w:szCs w:val="24"/>
              </w:rPr>
            </w:pPr>
            <w:r w:rsidRPr="00977B28">
              <w:rPr>
                <w:b/>
                <w:iCs/>
                <w:szCs w:val="24"/>
              </w:rPr>
              <w:t>Masa (kg)</w:t>
            </w:r>
          </w:p>
        </w:tc>
        <w:tc>
          <w:tcPr>
            <w:tcW w:w="1012" w:type="pct"/>
            <w:tcBorders>
              <w:top w:val="single" w:sz="12" w:space="0" w:color="auto"/>
              <w:bottom w:val="single" w:sz="12" w:space="0" w:color="auto"/>
            </w:tcBorders>
            <w:shd w:val="clear" w:color="auto" w:fill="auto"/>
            <w:vAlign w:val="bottom"/>
          </w:tcPr>
          <w:p w14:paraId="19AE4617" w14:textId="3AF23BDC" w:rsidR="00AF1011" w:rsidRPr="00977B28" w:rsidRDefault="00AF1011" w:rsidP="0046137D">
            <w:pPr>
              <w:pStyle w:val="SingleTxtG"/>
              <w:tabs>
                <w:tab w:val="clear" w:pos="1701"/>
                <w:tab w:val="clear" w:pos="2268"/>
                <w:tab w:val="clear" w:pos="2835"/>
              </w:tabs>
              <w:spacing w:before="80" w:after="80" w:line="200" w:lineRule="exact"/>
              <w:ind w:left="0" w:right="0"/>
              <w:jc w:val="left"/>
              <w:rPr>
                <w:b/>
                <w:iCs/>
                <w:szCs w:val="24"/>
              </w:rPr>
            </w:pPr>
            <w:r w:rsidRPr="00977B28">
              <w:rPr>
                <w:b/>
                <w:iCs/>
                <w:szCs w:val="24"/>
              </w:rPr>
              <w:t>Embalaje/envase</w:t>
            </w:r>
          </w:p>
        </w:tc>
        <w:tc>
          <w:tcPr>
            <w:tcW w:w="1021" w:type="pct"/>
            <w:tcBorders>
              <w:top w:val="single" w:sz="12" w:space="0" w:color="auto"/>
              <w:bottom w:val="single" w:sz="12" w:space="0" w:color="auto"/>
            </w:tcBorders>
            <w:shd w:val="clear" w:color="auto" w:fill="auto"/>
            <w:vAlign w:val="bottom"/>
          </w:tcPr>
          <w:p w14:paraId="4DC38EE3" w14:textId="79EF4734" w:rsidR="00AF1011" w:rsidRPr="00977B28" w:rsidRDefault="00AF1011" w:rsidP="00977B28">
            <w:pPr>
              <w:pStyle w:val="SingleTxtG"/>
              <w:tabs>
                <w:tab w:val="clear" w:pos="1701"/>
                <w:tab w:val="clear" w:pos="2268"/>
                <w:tab w:val="clear" w:pos="2835"/>
              </w:tabs>
              <w:spacing w:before="80" w:after="80" w:line="200" w:lineRule="exact"/>
              <w:ind w:left="0" w:right="0"/>
              <w:jc w:val="right"/>
              <w:rPr>
                <w:b/>
                <w:iCs/>
                <w:szCs w:val="24"/>
              </w:rPr>
            </w:pPr>
            <w:r w:rsidRPr="00977B28">
              <w:rPr>
                <w:b/>
                <w:iCs/>
                <w:szCs w:val="24"/>
              </w:rPr>
              <w:t>Pérdida de calor por unidad de masa (mW/K.kg)</w:t>
            </w:r>
          </w:p>
        </w:tc>
        <w:tc>
          <w:tcPr>
            <w:tcW w:w="843" w:type="pct"/>
            <w:tcBorders>
              <w:top w:val="single" w:sz="12" w:space="0" w:color="auto"/>
              <w:bottom w:val="single" w:sz="12" w:space="0" w:color="auto"/>
            </w:tcBorders>
            <w:shd w:val="clear" w:color="auto" w:fill="auto"/>
            <w:vAlign w:val="bottom"/>
          </w:tcPr>
          <w:p w14:paraId="624D6C96" w14:textId="6B8B7F63" w:rsidR="00AF1011" w:rsidRPr="00977B28" w:rsidRDefault="00AF1011" w:rsidP="00977B28">
            <w:pPr>
              <w:pStyle w:val="SingleTxtG"/>
              <w:tabs>
                <w:tab w:val="clear" w:pos="1701"/>
                <w:tab w:val="clear" w:pos="2268"/>
                <w:tab w:val="clear" w:pos="2835"/>
              </w:tabs>
              <w:spacing w:before="80" w:after="80" w:line="200" w:lineRule="exact"/>
              <w:ind w:left="0" w:right="0"/>
              <w:jc w:val="right"/>
              <w:rPr>
                <w:b/>
                <w:iCs/>
                <w:szCs w:val="24"/>
              </w:rPr>
            </w:pPr>
            <w:r w:rsidRPr="00977B28">
              <w:rPr>
                <w:b/>
                <w:iCs/>
                <w:szCs w:val="24"/>
              </w:rPr>
              <w:t>TDAA/TPAA (ºC)</w:t>
            </w:r>
          </w:p>
        </w:tc>
      </w:tr>
      <w:tr w:rsidR="000F7607" w:rsidRPr="0038269A" w14:paraId="42E036E0" w14:textId="77777777" w:rsidTr="000F7607">
        <w:trPr>
          <w:cantSplit/>
          <w:trHeight w:val="240"/>
        </w:trPr>
        <w:tc>
          <w:tcPr>
            <w:tcW w:w="1418" w:type="pct"/>
            <w:tcBorders>
              <w:top w:val="single" w:sz="12" w:space="0" w:color="auto"/>
            </w:tcBorders>
            <w:shd w:val="clear" w:color="auto" w:fill="auto"/>
          </w:tcPr>
          <w:p w14:paraId="215FD961" w14:textId="34FF1000"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Peroxineodecanoato de cumilo (75 %)</w:t>
            </w:r>
          </w:p>
        </w:tc>
        <w:tc>
          <w:tcPr>
            <w:tcW w:w="706" w:type="pct"/>
            <w:tcBorders>
              <w:top w:val="single" w:sz="12" w:space="0" w:color="auto"/>
            </w:tcBorders>
            <w:shd w:val="clear" w:color="auto" w:fill="auto"/>
          </w:tcPr>
          <w:p w14:paraId="75232C3C" w14:textId="2043903B"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25</w:t>
            </w:r>
          </w:p>
        </w:tc>
        <w:tc>
          <w:tcPr>
            <w:tcW w:w="1012" w:type="pct"/>
            <w:tcBorders>
              <w:top w:val="single" w:sz="12" w:space="0" w:color="auto"/>
            </w:tcBorders>
            <w:shd w:val="clear" w:color="auto" w:fill="auto"/>
          </w:tcPr>
          <w:p w14:paraId="6164FD5F" w14:textId="4F46C684"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3H1</w:t>
            </w:r>
          </w:p>
        </w:tc>
        <w:tc>
          <w:tcPr>
            <w:tcW w:w="1021" w:type="pct"/>
            <w:tcBorders>
              <w:top w:val="single" w:sz="12" w:space="0" w:color="auto"/>
            </w:tcBorders>
            <w:shd w:val="clear" w:color="auto" w:fill="auto"/>
          </w:tcPr>
          <w:p w14:paraId="7A58FDD9" w14:textId="15E67FA7"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40</w:t>
            </w:r>
          </w:p>
        </w:tc>
        <w:tc>
          <w:tcPr>
            <w:tcW w:w="843" w:type="pct"/>
            <w:tcBorders>
              <w:top w:val="single" w:sz="12" w:space="0" w:color="auto"/>
            </w:tcBorders>
            <w:shd w:val="clear" w:color="auto" w:fill="auto"/>
          </w:tcPr>
          <w:p w14:paraId="430F73F4" w14:textId="4CC40DD7"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10</w:t>
            </w:r>
          </w:p>
        </w:tc>
      </w:tr>
      <w:tr w:rsidR="000F7607" w:rsidRPr="0038269A" w14:paraId="32A8D861" w14:textId="77777777" w:rsidTr="000F7607">
        <w:trPr>
          <w:cantSplit/>
          <w:trHeight w:val="240"/>
        </w:trPr>
        <w:tc>
          <w:tcPr>
            <w:tcW w:w="1418" w:type="pct"/>
            <w:shd w:val="clear" w:color="auto" w:fill="auto"/>
          </w:tcPr>
          <w:p w14:paraId="2EA6040C" w14:textId="3815A977"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peroxineodecanoato de terc-butilo</w:t>
            </w:r>
          </w:p>
        </w:tc>
        <w:tc>
          <w:tcPr>
            <w:tcW w:w="706" w:type="pct"/>
            <w:shd w:val="clear" w:color="auto" w:fill="auto"/>
          </w:tcPr>
          <w:p w14:paraId="31F5FD94" w14:textId="5B00F3C9"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25</w:t>
            </w:r>
          </w:p>
        </w:tc>
        <w:tc>
          <w:tcPr>
            <w:tcW w:w="1012" w:type="pct"/>
            <w:shd w:val="clear" w:color="auto" w:fill="auto"/>
          </w:tcPr>
          <w:p w14:paraId="450DD99A" w14:textId="693A8D78"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3H1</w:t>
            </w:r>
          </w:p>
        </w:tc>
        <w:tc>
          <w:tcPr>
            <w:tcW w:w="1021" w:type="pct"/>
            <w:shd w:val="clear" w:color="auto" w:fill="auto"/>
          </w:tcPr>
          <w:p w14:paraId="3F61C3AF" w14:textId="46BBEC47"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40</w:t>
            </w:r>
          </w:p>
        </w:tc>
        <w:tc>
          <w:tcPr>
            <w:tcW w:w="843" w:type="pct"/>
            <w:shd w:val="clear" w:color="auto" w:fill="auto"/>
          </w:tcPr>
          <w:p w14:paraId="249CE924" w14:textId="1853BE49"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15</w:t>
            </w:r>
          </w:p>
        </w:tc>
      </w:tr>
      <w:tr w:rsidR="000F7607" w:rsidRPr="0038269A" w14:paraId="7A1BA268" w14:textId="77777777" w:rsidTr="000F7607">
        <w:trPr>
          <w:cantSplit/>
          <w:trHeight w:val="240"/>
        </w:trPr>
        <w:tc>
          <w:tcPr>
            <w:tcW w:w="1418" w:type="pct"/>
            <w:tcBorders>
              <w:bottom w:val="single" w:sz="12" w:space="0" w:color="auto"/>
            </w:tcBorders>
            <w:shd w:val="clear" w:color="auto" w:fill="auto"/>
          </w:tcPr>
          <w:p w14:paraId="1281D3F6" w14:textId="32130F6D"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N-Vinilformamida</w:t>
            </w:r>
          </w:p>
        </w:tc>
        <w:tc>
          <w:tcPr>
            <w:tcW w:w="706" w:type="pct"/>
            <w:tcBorders>
              <w:bottom w:val="single" w:sz="12" w:space="0" w:color="auto"/>
            </w:tcBorders>
            <w:shd w:val="clear" w:color="auto" w:fill="auto"/>
          </w:tcPr>
          <w:p w14:paraId="19AD4C3A" w14:textId="60A1FFFD"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1</w:t>
            </w:r>
            <w:r w:rsidR="000F7607">
              <w:t xml:space="preserve"> </w:t>
            </w:r>
            <w:r w:rsidRPr="0038269A">
              <w:t>000</w:t>
            </w:r>
          </w:p>
        </w:tc>
        <w:tc>
          <w:tcPr>
            <w:tcW w:w="1012" w:type="pct"/>
            <w:tcBorders>
              <w:bottom w:val="single" w:sz="12" w:space="0" w:color="auto"/>
            </w:tcBorders>
            <w:shd w:val="clear" w:color="auto" w:fill="auto"/>
          </w:tcPr>
          <w:p w14:paraId="285207F7" w14:textId="0652146E"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31H1</w:t>
            </w:r>
          </w:p>
        </w:tc>
        <w:tc>
          <w:tcPr>
            <w:tcW w:w="1021" w:type="pct"/>
            <w:tcBorders>
              <w:bottom w:val="single" w:sz="12" w:space="0" w:color="auto"/>
            </w:tcBorders>
            <w:shd w:val="clear" w:color="auto" w:fill="auto"/>
          </w:tcPr>
          <w:p w14:paraId="6E085FBA" w14:textId="32644BFE"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33</w:t>
            </w:r>
          </w:p>
        </w:tc>
        <w:tc>
          <w:tcPr>
            <w:tcW w:w="843" w:type="pct"/>
            <w:tcBorders>
              <w:bottom w:val="single" w:sz="12" w:space="0" w:color="auto"/>
            </w:tcBorders>
            <w:shd w:val="clear" w:color="auto" w:fill="auto"/>
          </w:tcPr>
          <w:p w14:paraId="524D49F8" w14:textId="5FB7AD71" w:rsidR="00AF1011" w:rsidRPr="0038269A" w:rsidRDefault="00AF1011" w:rsidP="00977B28">
            <w:pPr>
              <w:pStyle w:val="SingleTxtG"/>
              <w:tabs>
                <w:tab w:val="clear" w:pos="1701"/>
                <w:tab w:val="clear" w:pos="2268"/>
                <w:tab w:val="clear" w:pos="2835"/>
              </w:tabs>
              <w:spacing w:before="40"/>
              <w:ind w:left="0" w:right="0"/>
              <w:jc w:val="right"/>
              <w:rPr>
                <w:lang w:val="en-GB"/>
              </w:rPr>
            </w:pPr>
            <w:r w:rsidRPr="0038269A">
              <w:t>55</w:t>
            </w:r>
          </w:p>
        </w:tc>
      </w:tr>
    </w:tbl>
    <w:p w14:paraId="54612680" w14:textId="77777777" w:rsidR="00AF1011" w:rsidRPr="0038269A" w:rsidRDefault="00AF1011" w:rsidP="00977B28">
      <w:pPr>
        <w:pStyle w:val="SingleTxtG"/>
        <w:spacing w:before="240"/>
        <w:rPr>
          <w:lang w:val="en-GB"/>
        </w:rPr>
      </w:pPr>
      <w:r w:rsidRPr="0038269A">
        <w:t>Añádase la siguiente nota “a” debajo del cuadro:</w:t>
      </w:r>
    </w:p>
    <w:p w14:paraId="2E0EE4F4" w14:textId="6FB0EB66" w:rsidR="00AF1011" w:rsidRPr="0038269A" w:rsidRDefault="00AF1011" w:rsidP="00AF1011">
      <w:pPr>
        <w:pStyle w:val="SingleTxtG"/>
        <w:rPr>
          <w:i/>
          <w:iCs/>
          <w:lang w:val="en-GB"/>
        </w:rPr>
      </w:pPr>
      <w:r w:rsidRPr="0038269A">
        <w:t>“</w:t>
      </w:r>
      <w:r w:rsidRPr="0038269A">
        <w:rPr>
          <w:vertAlign w:val="superscript"/>
        </w:rPr>
        <w:t xml:space="preserve">a </w:t>
      </w:r>
      <w:r w:rsidRPr="0038269A">
        <w:rPr>
          <w:i/>
          <w:iCs/>
        </w:rPr>
        <w:t>Estos ejemplos históricos se determinaron utilizando pérdidas de calor superiores a las recomendadas actualmente a efectos de clasificación (véase el cuadro 28.4).”</w:t>
      </w:r>
      <w:r w:rsidR="000F7607">
        <w:rPr>
          <w:i/>
          <w:iCs/>
        </w:rPr>
        <w:t>.</w:t>
      </w:r>
    </w:p>
    <w:p w14:paraId="0C722010" w14:textId="77777777" w:rsidR="00AF1011" w:rsidRPr="0038269A" w:rsidRDefault="00AF1011" w:rsidP="00AF1011">
      <w:pPr>
        <w:pStyle w:val="SingleTxtG"/>
        <w:rPr>
          <w:lang w:val="en-GB"/>
        </w:rPr>
      </w:pPr>
      <w:r w:rsidRPr="0038269A">
        <w:t>Figuras actuales 28.4.3.1 y 28.4.3.2</w:t>
      </w:r>
      <w:r w:rsidRPr="0038269A">
        <w:tab/>
        <w:t>Suprímanse.</w:t>
      </w:r>
    </w:p>
    <w:p w14:paraId="1144BADD" w14:textId="77777777" w:rsidR="00AF1011" w:rsidRPr="0038269A" w:rsidRDefault="00AF1011" w:rsidP="00AF1011">
      <w:pPr>
        <w:pStyle w:val="SingleTxtG"/>
        <w:rPr>
          <w:lang w:val="en-GB"/>
        </w:rPr>
      </w:pPr>
      <w:r w:rsidRPr="0038269A">
        <w:t>Insértese un nuevo párrafo 28.4.3.2 con el texto siguiente:</w:t>
      </w:r>
    </w:p>
    <w:p w14:paraId="14C17AD7" w14:textId="3BC53104" w:rsidR="00AF1011" w:rsidRPr="00977B28" w:rsidRDefault="00AF1011" w:rsidP="000F7607">
      <w:pPr>
        <w:pStyle w:val="SingleTxtG"/>
        <w:keepNext/>
        <w:keepLines/>
        <w:jc w:val="center"/>
        <w:rPr>
          <w:b/>
          <w:bCs/>
          <w:lang w:val="en-GB"/>
        </w:rPr>
      </w:pPr>
      <w:r w:rsidRPr="00977B28">
        <w:rPr>
          <w:b/>
          <w:bCs/>
        </w:rPr>
        <w:lastRenderedPageBreak/>
        <w:t xml:space="preserve">“Figura 28.4.3.2: </w:t>
      </w:r>
      <w:r w:rsidR="00977B28" w:rsidRPr="00977B28">
        <w:rPr>
          <w:b/>
          <w:bCs/>
        </w:rPr>
        <w:t xml:space="preserve">Ejemplo de determinación de la </w:t>
      </w:r>
      <w:r w:rsidRPr="00977B28">
        <w:rPr>
          <w:b/>
          <w:bCs/>
        </w:rPr>
        <w:t>TDAA o la TPAA</w:t>
      </w:r>
    </w:p>
    <w:p w14:paraId="5D9259AE" w14:textId="7E5F4C49" w:rsidR="00AF1011" w:rsidRPr="0038269A" w:rsidRDefault="007F3232" w:rsidP="000F7607">
      <w:pPr>
        <w:pStyle w:val="SingleTxtG"/>
        <w:keepNext/>
        <w:keepLines/>
        <w:rPr>
          <w:b/>
          <w:bCs/>
          <w:lang w:val="en-GB"/>
        </w:rPr>
      </w:pPr>
      <w:r w:rsidRPr="0038269A">
        <w:rPr>
          <w:lang w:val="en-GB"/>
        </w:rPr>
        <w:object w:dxaOrig="6001" w:dyaOrig="5145" w14:anchorId="520064DB">
          <v:shape id="_x0000_i1027" type="#_x0000_t75" style="width:331.1pt;height:283.75pt" o:ole="">
            <v:imagedata r:id="rId19" o:title=""/>
          </v:shape>
          <o:OLEObject Type="Embed" ProgID="Visio.Drawing.15" ShapeID="_x0000_i1027" DrawAspect="Content" ObjectID="_1687869836" r:id="rId20"/>
        </w:object>
      </w:r>
    </w:p>
    <w:tbl>
      <w:tblPr>
        <w:tblStyle w:val="TableGrid"/>
        <w:tblW w:w="7370" w:type="dxa"/>
        <w:tblInd w:w="1134" w:type="dxa"/>
        <w:tblBorders>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24"/>
        <w:gridCol w:w="2620"/>
        <w:gridCol w:w="834"/>
        <w:gridCol w:w="2992"/>
      </w:tblGrid>
      <w:tr w:rsidR="00AF1011" w:rsidRPr="0038269A" w14:paraId="1E8EE311" w14:textId="77777777" w:rsidTr="00E7260D">
        <w:trPr>
          <w:trHeight w:val="240"/>
        </w:trPr>
        <w:tc>
          <w:tcPr>
            <w:tcW w:w="924" w:type="dxa"/>
            <w:tcBorders>
              <w:top w:val="single" w:sz="12" w:space="0" w:color="auto"/>
            </w:tcBorders>
            <w:shd w:val="clear" w:color="auto" w:fill="auto"/>
          </w:tcPr>
          <w:p w14:paraId="26F85576"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rPr>
                <w:noProof/>
                <w:lang w:val="en-US"/>
              </w:rPr>
              <mc:AlternateContent>
                <mc:Choice Requires="wps">
                  <w:drawing>
                    <wp:anchor distT="0" distB="0" distL="114300" distR="114300" simplePos="0" relativeHeight="251662336" behindDoc="0" locked="0" layoutInCell="1" allowOverlap="1" wp14:anchorId="527C642C" wp14:editId="7B9AC199">
                      <wp:simplePos x="0" y="0"/>
                      <wp:positionH relativeFrom="column">
                        <wp:posOffset>30891</wp:posOffset>
                      </wp:positionH>
                      <wp:positionV relativeFrom="paragraph">
                        <wp:posOffset>139832</wp:posOffset>
                      </wp:positionV>
                      <wp:extent cx="52143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A66C3"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1pt" to="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" strokecolor="black [3213]" strokeweight="1.5pt">
                      <v:stroke dashstyle="longDashDot"/>
                    </v:line>
                  </w:pict>
                </mc:Fallback>
              </mc:AlternateContent>
            </w:r>
          </w:p>
        </w:tc>
        <w:tc>
          <w:tcPr>
            <w:tcW w:w="2620" w:type="dxa"/>
            <w:tcBorders>
              <w:top w:val="single" w:sz="12" w:space="0" w:color="auto"/>
            </w:tcBorders>
            <w:shd w:val="clear" w:color="auto" w:fill="auto"/>
          </w:tcPr>
          <w:p w14:paraId="1FF35793"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Curva de generación de calor</w:t>
            </w:r>
          </w:p>
        </w:tc>
        <w:tc>
          <w:tcPr>
            <w:tcW w:w="834" w:type="dxa"/>
            <w:tcBorders>
              <w:top w:val="single" w:sz="12" w:space="0" w:color="auto"/>
            </w:tcBorders>
            <w:shd w:val="clear" w:color="auto" w:fill="auto"/>
          </w:tcPr>
          <w:p w14:paraId="557375B9"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rPr>
                <w:noProof/>
                <w:lang w:val="en-US"/>
              </w:rPr>
              <mc:AlternateContent>
                <mc:Choice Requires="wps">
                  <w:drawing>
                    <wp:anchor distT="0" distB="0" distL="114300" distR="114300" simplePos="0" relativeHeight="251663360" behindDoc="0" locked="0" layoutInCell="1" allowOverlap="1" wp14:anchorId="093084F3" wp14:editId="7DC1A7B9">
                      <wp:simplePos x="0" y="0"/>
                      <wp:positionH relativeFrom="column">
                        <wp:posOffset>46337</wp:posOffset>
                      </wp:positionH>
                      <wp:positionV relativeFrom="paragraph">
                        <wp:posOffset>161610</wp:posOffset>
                      </wp:positionV>
                      <wp:extent cx="394854"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94854"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4692F"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2.75pt" to="3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" strokecolor="black [3213]" strokeweight="1.5pt"/>
                  </w:pict>
                </mc:Fallback>
              </mc:AlternateContent>
            </w:r>
          </w:p>
        </w:tc>
        <w:tc>
          <w:tcPr>
            <w:tcW w:w="2992" w:type="dxa"/>
            <w:tcBorders>
              <w:top w:val="single" w:sz="12" w:space="0" w:color="auto"/>
            </w:tcBorders>
            <w:shd w:val="clear" w:color="auto" w:fill="auto"/>
          </w:tcPr>
          <w:p w14:paraId="49781372"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Curva de pérdida de calor L = 0,06 W/K.kg</w:t>
            </w:r>
          </w:p>
        </w:tc>
      </w:tr>
      <w:tr w:rsidR="00AF1011" w:rsidRPr="0038269A" w14:paraId="0A6CBC2F" w14:textId="77777777" w:rsidTr="00E7260D">
        <w:trPr>
          <w:trHeight w:val="240"/>
        </w:trPr>
        <w:tc>
          <w:tcPr>
            <w:tcW w:w="924" w:type="dxa"/>
            <w:tcBorders>
              <w:bottom w:val="single" w:sz="12" w:space="0" w:color="auto"/>
            </w:tcBorders>
            <w:shd w:val="clear" w:color="auto" w:fill="auto"/>
          </w:tcPr>
          <w:p w14:paraId="6AA9D72B"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(A)</w:t>
            </w:r>
          </w:p>
        </w:tc>
        <w:tc>
          <w:tcPr>
            <w:tcW w:w="2620" w:type="dxa"/>
            <w:tcBorders>
              <w:bottom w:val="single" w:sz="12" w:space="0" w:color="auto"/>
            </w:tcBorders>
            <w:shd w:val="clear" w:color="auto" w:fill="auto"/>
          </w:tcPr>
          <w:p w14:paraId="10B07E37"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Temperatura ambiente crítica (intersección de la línea de pérdida de calor y el eje de abscisas)</w:t>
            </w:r>
          </w:p>
        </w:tc>
        <w:tc>
          <w:tcPr>
            <w:tcW w:w="834" w:type="dxa"/>
            <w:tcBorders>
              <w:bottom w:val="single" w:sz="12" w:space="0" w:color="auto"/>
            </w:tcBorders>
            <w:shd w:val="clear" w:color="auto" w:fill="auto"/>
          </w:tcPr>
          <w:p w14:paraId="5DE6C58B"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(B)</w:t>
            </w:r>
          </w:p>
        </w:tc>
        <w:tc>
          <w:tcPr>
            <w:tcW w:w="2992" w:type="dxa"/>
            <w:tcBorders>
              <w:bottom w:val="single" w:sz="12" w:space="0" w:color="auto"/>
            </w:tcBorders>
            <w:shd w:val="clear" w:color="auto" w:fill="auto"/>
          </w:tcPr>
          <w:p w14:paraId="79353CDC" w14:textId="77777777" w:rsidR="00AF1011" w:rsidRPr="0038269A" w:rsidRDefault="00AF1011" w:rsidP="0046137D">
            <w:pPr>
              <w:pStyle w:val="SingleTxtG"/>
              <w:tabs>
                <w:tab w:val="clear" w:pos="1701"/>
                <w:tab w:val="clear" w:pos="2268"/>
                <w:tab w:val="clear" w:pos="2835"/>
              </w:tabs>
              <w:spacing w:before="40"/>
              <w:ind w:left="0" w:right="0"/>
              <w:jc w:val="left"/>
              <w:rPr>
                <w:lang w:val="en-US"/>
              </w:rPr>
            </w:pPr>
            <w:r w:rsidRPr="0038269A">
              <w:t>TDAA o TPAA (igual a la temperatura ambiente crítica redondeada hacia arriba hasta el múltiplo de 5 ºC más próximo)</w:t>
            </w:r>
          </w:p>
        </w:tc>
      </w:tr>
    </w:tbl>
    <w:p w14:paraId="65EFF265" w14:textId="77777777" w:rsidR="007B491C" w:rsidRDefault="007B491C" w:rsidP="007B491C">
      <w:pPr>
        <w:pStyle w:val="SingleTxtG"/>
        <w:jc w:val="right"/>
      </w:pPr>
      <w:r w:rsidRPr="0038269A">
        <w:t>”</w:t>
      </w:r>
    </w:p>
    <w:p w14:paraId="05A5A2E8" w14:textId="08965AF2" w:rsidR="00AF1011" w:rsidRPr="0038269A" w:rsidRDefault="00AF1011" w:rsidP="007B491C">
      <w:pPr>
        <w:pStyle w:val="SingleTxtG"/>
        <w:spacing w:before="240"/>
        <w:ind w:left="2268" w:hanging="1134"/>
        <w:rPr>
          <w:lang w:val="en-GB"/>
        </w:rPr>
      </w:pPr>
      <w:r w:rsidRPr="0038269A">
        <w:t>28.4.4.1.1</w:t>
      </w:r>
      <w:r w:rsidRPr="0038269A">
        <w:tab/>
        <w:t xml:space="preserve">En la primera frase, insértese “o polimerización” después de “descomposición exotérmica” y modifíquese la última frase para que diga lo siguiente: “El método puede utilizarse para </w:t>
      </w:r>
      <w:r w:rsidRPr="007B491C">
        <w:rPr>
          <w:lang w:val="en-GB"/>
        </w:rPr>
        <w:t>determinar</w:t>
      </w:r>
      <w:r w:rsidRPr="0038269A">
        <w:t xml:space="preserve"> la TDAA o la TPAA de una sustancia líquida en su embalaje/envase, incluidos los RIG y las cisternas pequeñas (hasta 2 m³), así como de una sustancia sólida en su embalaje/envase de hasta 50 kg</w:t>
      </w:r>
      <w:r w:rsidR="000F7607">
        <w:t>.</w:t>
      </w:r>
      <w:r w:rsidRPr="0038269A">
        <w:t>”.</w:t>
      </w:r>
    </w:p>
    <w:p w14:paraId="3E6753B5" w14:textId="77777777" w:rsidR="00AF1011" w:rsidRPr="0038269A" w:rsidRDefault="00AF1011" w:rsidP="007B491C">
      <w:pPr>
        <w:pStyle w:val="SingleTxtG"/>
        <w:ind w:left="1701" w:hanging="567"/>
        <w:rPr>
          <w:lang w:val="en-GB"/>
        </w:rPr>
      </w:pPr>
      <w:r w:rsidRPr="0038269A">
        <w:t>28.4.4.2.2</w:t>
      </w:r>
      <w:r w:rsidRPr="0038269A">
        <w:tab/>
        <w:t xml:space="preserve">En la </w:t>
      </w:r>
      <w:r w:rsidRPr="007B491C">
        <w:rPr>
          <w:lang w:val="en-GB"/>
        </w:rPr>
        <w:t>primera</w:t>
      </w:r>
      <w:r w:rsidRPr="0038269A">
        <w:t xml:space="preserve"> frase, sustitúyase “celda” por “cámara”.</w:t>
      </w:r>
    </w:p>
    <w:p w14:paraId="1D030DCA" w14:textId="77777777" w:rsidR="00AF1011" w:rsidRPr="0038269A" w:rsidRDefault="00AF1011" w:rsidP="007B491C">
      <w:pPr>
        <w:pStyle w:val="SingleTxtG"/>
        <w:ind w:left="2268" w:hanging="1134"/>
        <w:rPr>
          <w:lang w:val="en-GB"/>
        </w:rPr>
      </w:pPr>
      <w:r w:rsidRPr="0038269A">
        <w:t>28.4.4.2.3</w:t>
      </w:r>
      <w:r w:rsidRPr="0038269A">
        <w:tab/>
        <w:t xml:space="preserve">En la </w:t>
      </w:r>
      <w:r w:rsidRPr="007B491C">
        <w:rPr>
          <w:lang w:val="en-GB"/>
        </w:rPr>
        <w:t>primera</w:t>
      </w:r>
      <w:r w:rsidRPr="0038269A">
        <w:t xml:space="preserve"> frase, sustitúyase “de 1,5 a 2,0 mm” por “de 1,5 mm a 2,0 mm” y “se utiliza” por “puede utilizarse”.</w:t>
      </w:r>
    </w:p>
    <w:p w14:paraId="1934B95B" w14:textId="51FF8047" w:rsidR="00AF1011" w:rsidRPr="0038269A" w:rsidRDefault="007B491C" w:rsidP="00AF1011">
      <w:pPr>
        <w:pStyle w:val="SingleTxtG"/>
        <w:rPr>
          <w:lang w:val="en-GB"/>
        </w:rPr>
      </w:pPr>
      <w:r>
        <w:tab/>
      </w:r>
      <w:r w:rsidR="00AF1011" w:rsidRPr="0038269A">
        <w:tab/>
      </w:r>
      <w:r w:rsidR="00AF1011" w:rsidRPr="007B491C">
        <w:rPr>
          <w:lang w:val="en-GB"/>
        </w:rPr>
        <w:t>Modifíquense</w:t>
      </w:r>
      <w:r w:rsidR="00AF1011" w:rsidRPr="0038269A">
        <w:t xml:space="preserve"> </w:t>
      </w:r>
      <w:r w:rsidR="00AF1011" w:rsidRPr="007B491C">
        <w:rPr>
          <w:lang w:val="en-GB"/>
        </w:rPr>
        <w:t>las</w:t>
      </w:r>
      <w:r w:rsidR="00AF1011" w:rsidRPr="0038269A">
        <w:t xml:space="preserve"> dos últimas frases para que digan lo siguiente: </w:t>
      </w:r>
    </w:p>
    <w:p w14:paraId="16B789AA" w14:textId="22E02039" w:rsidR="00AF1011" w:rsidRPr="0038269A" w:rsidRDefault="00AF1011" w:rsidP="00AF1011">
      <w:pPr>
        <w:pStyle w:val="SingleTxtG"/>
        <w:rPr>
          <w:lang w:val="en-GB"/>
        </w:rPr>
      </w:pPr>
      <w:r w:rsidRPr="0038269A">
        <w:t xml:space="preserve">“La temperatura del aire dentro de la cámara metálica de doble pared debe regularse de manera que se pueda mantener la temperatura deseada de una muestra inerte líquida contenida en el vaso </w:t>
      </w:r>
      <w:r w:rsidRPr="007B491C">
        <w:rPr>
          <w:lang w:val="en-GB"/>
        </w:rPr>
        <w:t>de</w:t>
      </w:r>
      <w:r w:rsidRPr="0038269A">
        <w:t xml:space="preserve"> Dewar, con un margen de no más de ± 1 ºC durante diez días. Se deben medir y registrar la temperatura del aire en la cámara metálica de doble pared y la temperatura de la muestra en el frasco de Dewar”.</w:t>
      </w:r>
    </w:p>
    <w:p w14:paraId="1A28FBAD" w14:textId="77777777" w:rsidR="00AF1011" w:rsidRPr="0038269A" w:rsidRDefault="00AF1011" w:rsidP="007B491C">
      <w:pPr>
        <w:pStyle w:val="SingleTxtG"/>
        <w:ind w:left="2268" w:hanging="1134"/>
        <w:rPr>
          <w:lang w:val="en-GB"/>
        </w:rPr>
      </w:pPr>
      <w:r w:rsidRPr="0038269A">
        <w:t>28.4.4.2.4</w:t>
      </w:r>
      <w:r w:rsidRPr="0038269A">
        <w:tab/>
        <w:t>Modifíquese la tercera frase para que diga lo siguiente: “Se deben medir y registrar la temperatura del aire en el horno y la temperatura de la muestra en el frasco de Dewar”.</w:t>
      </w:r>
    </w:p>
    <w:p w14:paraId="314BE92D" w14:textId="4884C6CF" w:rsidR="00AF1011" w:rsidRPr="0038269A" w:rsidRDefault="00AF1011" w:rsidP="007B491C">
      <w:pPr>
        <w:pStyle w:val="SingleTxtG"/>
        <w:ind w:left="2268" w:hanging="1134"/>
        <w:rPr>
          <w:lang w:val="en-GB"/>
        </w:rPr>
      </w:pPr>
      <w:r w:rsidRPr="0038269A">
        <w:t>28.4.4.2.5</w:t>
      </w:r>
      <w:r w:rsidRPr="0038269A">
        <w:tab/>
        <w:t>Añadir la siguiente frase al final del párrafo: “Deben medirse y registrarse la temperatura del aire en la cámara y la temperatura de la muestra en el frasco de Dewar</w:t>
      </w:r>
      <w:r w:rsidR="000F7607">
        <w:t>.”.</w:t>
      </w:r>
    </w:p>
    <w:p w14:paraId="483D2835" w14:textId="28CBD415" w:rsidR="00AF1011" w:rsidRPr="0038269A" w:rsidRDefault="00AF1011" w:rsidP="007B491C">
      <w:pPr>
        <w:pStyle w:val="SingleTxtG"/>
        <w:ind w:left="2268" w:hanging="1134"/>
        <w:rPr>
          <w:lang w:val="en-GB"/>
        </w:rPr>
      </w:pPr>
      <w:bookmarkStart w:id="5" w:name="_Hlk70421560"/>
      <w:r w:rsidRPr="0038269A">
        <w:lastRenderedPageBreak/>
        <w:t>28.4.4.2.6</w:t>
      </w:r>
      <w:r w:rsidRPr="0038269A">
        <w:tab/>
        <w:t>Modifíquese la primera frase como sigue: “Los frascos de Dewar, con su sistema de cierre, se utilizan para sustancias cuyas características de pérdida de calor son representativas del tamaño máximo del bulto (véase también el cuadro 28.4).”</w:t>
      </w:r>
      <w:r w:rsidR="000F7607">
        <w:t>.</w:t>
      </w:r>
    </w:p>
    <w:p w14:paraId="6D3C5051" w14:textId="28F71669" w:rsidR="00AF1011" w:rsidRPr="0038269A" w:rsidRDefault="007B491C" w:rsidP="007B491C">
      <w:pPr>
        <w:pStyle w:val="SingleTxtG"/>
        <w:ind w:left="1701" w:hanging="567"/>
        <w:rPr>
          <w:lang w:val="en-GB"/>
        </w:rPr>
      </w:pPr>
      <w:r>
        <w:tab/>
      </w:r>
      <w:r w:rsidR="00AF1011" w:rsidRPr="0038269A">
        <w:tab/>
        <w:t>No se aplica al texto en español.</w:t>
      </w:r>
    </w:p>
    <w:p w14:paraId="3DE2362D" w14:textId="2A237351" w:rsidR="00AF1011" w:rsidRPr="0038269A" w:rsidRDefault="007B491C" w:rsidP="007B491C">
      <w:pPr>
        <w:pStyle w:val="SingleTxtG"/>
        <w:ind w:left="2268" w:hanging="1134"/>
        <w:rPr>
          <w:lang w:val="en-GB"/>
        </w:rPr>
      </w:pPr>
      <w:r>
        <w:tab/>
      </w:r>
      <w:r w:rsidR="00AF1011" w:rsidRPr="0038269A">
        <w:tab/>
        <w:t xml:space="preserve">Modifíquese el comienzo de la cuarta frase para que diga: “En la figura 28.4.4.1 se representa un ejemplo de sistema de cierre” e insértese “y sólidos húmedos” después de “utilizable para líquidos”. </w:t>
      </w:r>
    </w:p>
    <w:p w14:paraId="2A4534D7" w14:textId="2E93FE26" w:rsidR="00AF1011" w:rsidRPr="0038269A" w:rsidRDefault="007B491C" w:rsidP="007B491C">
      <w:pPr>
        <w:pStyle w:val="SingleTxtG"/>
        <w:ind w:left="2268" w:hanging="1134"/>
        <w:rPr>
          <w:lang w:val="en-GB"/>
        </w:rPr>
      </w:pPr>
      <w:r>
        <w:tab/>
      </w:r>
      <w:r w:rsidR="00AF1011" w:rsidRPr="0038269A">
        <w:tab/>
        <w:t>Modifíquese la quinta frase para que diga lo siguiente: “Las muestras que sean muy volátiles a la temperatura de prueba deben someterse al ensayo en un recipiente hermético de metal el hecho de un material compatible con la muestra y provisto de una válvula de alivio de presión.”</w:t>
      </w:r>
      <w:r w:rsidR="000F7607">
        <w:t>.</w:t>
      </w:r>
    </w:p>
    <w:bookmarkEnd w:id="5"/>
    <w:p w14:paraId="3C08E370" w14:textId="77777777" w:rsidR="00AF1011" w:rsidRPr="0038269A" w:rsidRDefault="00AF1011" w:rsidP="007B491C">
      <w:pPr>
        <w:pStyle w:val="SingleTxtG"/>
        <w:ind w:left="2268" w:hanging="1134"/>
        <w:rPr>
          <w:lang w:val="en-GB"/>
        </w:rPr>
      </w:pPr>
      <w:r w:rsidRPr="0038269A">
        <w:t>28.4.4.2.7</w:t>
      </w:r>
      <w:r w:rsidRPr="0038269A">
        <w:tab/>
        <w:t>Sustitúyase la segunda frase por la siguiente: “Pueden realizarse pequeños ajustes en las características de pérdida de calor del frasco de Dewar variando el sistema de cierre”.</w:t>
      </w:r>
    </w:p>
    <w:p w14:paraId="3C0A1688" w14:textId="1F37671E" w:rsidR="00AF1011" w:rsidRPr="0038269A" w:rsidRDefault="007B491C" w:rsidP="00AF1011">
      <w:pPr>
        <w:pStyle w:val="SingleTxtG"/>
        <w:rPr>
          <w:lang w:val="en-GB"/>
        </w:rPr>
      </w:pPr>
      <w:r>
        <w:tab/>
      </w:r>
      <w:r>
        <w:tab/>
      </w:r>
      <w:r w:rsidR="00AF1011" w:rsidRPr="0038269A">
        <w:t>En la última oración, sustitúyase “0,5 litros” por “0,3 litros”.</w:t>
      </w:r>
    </w:p>
    <w:p w14:paraId="6A0F26E3" w14:textId="079B7FDC" w:rsidR="00AF1011" w:rsidRPr="0038269A" w:rsidRDefault="00AF1011" w:rsidP="007B491C">
      <w:pPr>
        <w:pStyle w:val="SingleTxtG"/>
        <w:ind w:left="2268" w:hanging="1134"/>
        <w:rPr>
          <w:lang w:val="en-GB"/>
        </w:rPr>
      </w:pPr>
      <w:bookmarkStart w:id="6" w:name="_Hlk70421798"/>
      <w:r w:rsidRPr="0038269A">
        <w:t>28.4.4.2.8</w:t>
      </w:r>
      <w:r w:rsidRPr="0038269A">
        <w:tab/>
        <w:t>Modifíquense las dos primeras frases para que digan lo siguiente: “Deben utilizarse frascos de Dewar con un volumen de 300 a 500 ml, llenos al 80 % con una sustancia líquida, con una pérdida de calor como la indicada en el cuadro 28.4. Para bultos más grandes, RIG o cisternas pequeñas, deben utilizarse frascos de Dewar de mayor tamaño, con menor pérdida de calor por unidad de masa (véase el cuadro 28.4)”</w:t>
      </w:r>
      <w:r w:rsidR="000F7607">
        <w:t>.</w:t>
      </w:r>
    </w:p>
    <w:p w14:paraId="6253B73E" w14:textId="2B7BB68D" w:rsidR="00AF1011" w:rsidRPr="0038269A" w:rsidRDefault="00AF1011" w:rsidP="007B491C">
      <w:pPr>
        <w:pStyle w:val="SingleTxtG"/>
        <w:ind w:left="1701" w:hanging="567"/>
        <w:rPr>
          <w:lang w:val="en-GB"/>
        </w:rPr>
      </w:pPr>
      <w:r w:rsidRPr="0038269A">
        <w:tab/>
      </w:r>
      <w:r w:rsidR="007B491C">
        <w:tab/>
      </w:r>
      <w:r w:rsidRPr="0038269A">
        <w:t xml:space="preserve">Suprímase la última frase “Por ejemplo... “ </w:t>
      </w:r>
    </w:p>
    <w:p w14:paraId="40A9AB20" w14:textId="77777777" w:rsidR="00AF1011" w:rsidRPr="0038269A" w:rsidRDefault="00AF1011" w:rsidP="007B491C">
      <w:pPr>
        <w:pStyle w:val="SingleTxtG"/>
        <w:ind w:left="2268" w:hanging="1134"/>
        <w:rPr>
          <w:lang w:val="en-GB"/>
        </w:rPr>
      </w:pPr>
      <w:bookmarkStart w:id="7" w:name="_Hlk70421939"/>
      <w:bookmarkEnd w:id="6"/>
      <w:r w:rsidRPr="0038269A">
        <w:t>28.4.4.3.1</w:t>
      </w:r>
      <w:r w:rsidRPr="0038269A">
        <w:tab/>
        <w:t>Sustitúyase la cuarta frase por: “En el caso de un frasco de Dewar cilíndrico, la sonda de temperatura se inserta en el centro a 1/3 de la altura interior del frasco medida desde el fondo”.</w:t>
      </w:r>
    </w:p>
    <w:p w14:paraId="4816D027" w14:textId="77777777" w:rsidR="00AF1011" w:rsidRPr="0038269A" w:rsidRDefault="00AF1011" w:rsidP="007B491C">
      <w:pPr>
        <w:pStyle w:val="SingleTxtG"/>
        <w:ind w:left="2268" w:hanging="1134"/>
        <w:rPr>
          <w:lang w:val="en-GB"/>
        </w:rPr>
      </w:pPr>
      <w:bookmarkStart w:id="8" w:name="_Hlk70422046"/>
      <w:bookmarkEnd w:id="7"/>
      <w:r w:rsidRPr="0038269A">
        <w:t>28.4.4.3.2</w:t>
      </w:r>
      <w:r w:rsidRPr="0038269A">
        <w:tab/>
        <w:t>En la penúltima frase, sustitúyase “si esto ocurre antes” por “, lo que ocurra antes”. Suprímase la última frase (“Se anota el tiempo…)</w:t>
      </w:r>
    </w:p>
    <w:bookmarkEnd w:id="8"/>
    <w:p w14:paraId="2E3C46BB" w14:textId="563327D5" w:rsidR="00AF1011" w:rsidRPr="0038269A" w:rsidRDefault="00AF1011" w:rsidP="007B491C">
      <w:pPr>
        <w:pStyle w:val="SingleTxtG"/>
        <w:ind w:left="2268" w:hanging="1134"/>
        <w:rPr>
          <w:lang w:val="en-GB"/>
        </w:rPr>
      </w:pPr>
      <w:r w:rsidRPr="0038269A">
        <w:t>28.4.4.3.4</w:t>
      </w:r>
      <w:r w:rsidRPr="0038269A">
        <w:tab/>
        <w:t>Suprímase la primera frase (“Se repite...</w:t>
      </w:r>
      <w:r w:rsidR="000F7607">
        <w:t xml:space="preserve"> ”</w:t>
      </w:r>
      <w:r w:rsidRPr="0038269A">
        <w:t xml:space="preserve">). Modifíquese la nueva primera frase para que diga lo siguiente: “Si la sustancia se somete a ensayo para determinar si es necesario el control de la temperatura, deben realizarse suficientes ensayos, en pasos de 5 </w:t>
      </w:r>
      <w:r w:rsidR="000F7607">
        <w:t>º</w:t>
      </w:r>
      <w:r w:rsidRPr="0038269A">
        <w:t xml:space="preserve">C utilizando muestras nuevas, para determinar la TDAA o la TPAA con una precisión de 5 </w:t>
      </w:r>
      <w:r w:rsidR="000F7607">
        <w:t>º</w:t>
      </w:r>
      <w:r w:rsidRPr="0038269A">
        <w:t>C o para determinar si la TDAA o la TPAA es igual o inferior a la temperatura aplicable especificada en el cuadro</w:t>
      </w:r>
      <w:r w:rsidR="000F7607">
        <w:t> </w:t>
      </w:r>
      <w:r w:rsidRPr="0038269A">
        <w:t>28.2”</w:t>
      </w:r>
      <w:r w:rsidR="000F7607">
        <w:t>.</w:t>
      </w:r>
    </w:p>
    <w:p w14:paraId="59723040" w14:textId="2CC1AC8A" w:rsidR="00AF1011" w:rsidRPr="0038269A" w:rsidRDefault="00AF1011" w:rsidP="007B491C">
      <w:pPr>
        <w:pStyle w:val="SingleTxtG"/>
        <w:ind w:left="2268" w:hanging="1134"/>
        <w:rPr>
          <w:lang w:val="en-GB"/>
        </w:rPr>
      </w:pPr>
      <w:r w:rsidRPr="0038269A">
        <w:t>28.4.4.4.1</w:t>
      </w:r>
      <w:r w:rsidRPr="0038269A">
        <w:tab/>
        <w:t>Modifíquese la primera frase para que diga lo siguiente: “La TDAA o TPAA se considera como la temperatura de la cámara de prueba más baja a la que la temperatura de la muestra excede de la temperatura de la cámara en 6 ºC o más dentro del plazo de siete días del ensayo (véase 28.4.4.3.2)”</w:t>
      </w:r>
      <w:r w:rsidR="000F7607">
        <w:t>.</w:t>
      </w:r>
      <w:r w:rsidRPr="0038269A">
        <w:t xml:space="preserve"> En la segunda frase, suprímase “de prueba” después de “cámara”.</w:t>
      </w:r>
    </w:p>
    <w:p w14:paraId="0CB1E98F" w14:textId="77777777" w:rsidR="00AF1011" w:rsidRPr="0038269A" w:rsidRDefault="00AF1011" w:rsidP="007B491C">
      <w:pPr>
        <w:pStyle w:val="SingleTxtG"/>
        <w:ind w:left="2268" w:hanging="1134"/>
        <w:rPr>
          <w:lang w:val="en-GB"/>
        </w:rPr>
      </w:pPr>
      <w:r w:rsidRPr="0038269A">
        <w:t>28.4.4.5</w:t>
      </w:r>
      <w:r w:rsidRPr="0038269A">
        <w:tab/>
        <w:t>En el encabezamiento del cuadro, en la tercera columna, sustitúyase “mW/kg.K” por “mW/K.kg”.</w:t>
      </w:r>
    </w:p>
    <w:p w14:paraId="2059D26A" w14:textId="2A9C3BDA" w:rsidR="00AF1011" w:rsidRPr="0038269A" w:rsidRDefault="007B491C" w:rsidP="007B491C">
      <w:pPr>
        <w:pStyle w:val="SingleTxtG"/>
        <w:ind w:left="2268" w:hanging="1134"/>
        <w:rPr>
          <w:lang w:val="en-GB"/>
        </w:rPr>
      </w:pPr>
      <w:r>
        <w:tab/>
      </w:r>
      <w:r w:rsidR="00AF1011" w:rsidRPr="0038269A">
        <w:tab/>
        <w:t>Insértese una referencia a una nueva nota “c” después del nombre de todas las sustancias que figuran actualmente en el cuadro, excepto “2,2</w:t>
      </w:r>
      <w:r w:rsidR="000F7607">
        <w:t>’</w:t>
      </w:r>
      <w:r w:rsidR="000F7607">
        <w:noBreakHyphen/>
      </w:r>
      <w:r w:rsidR="00AF1011" w:rsidRPr="0038269A">
        <w:t>Azodi(isobutironitrilo)”.</w:t>
      </w:r>
    </w:p>
    <w:p w14:paraId="30EA0094" w14:textId="73F606F2" w:rsidR="00AF1011" w:rsidRPr="0038269A" w:rsidRDefault="007B491C" w:rsidP="007B491C">
      <w:pPr>
        <w:pStyle w:val="SingleTxtG"/>
        <w:ind w:left="2268" w:hanging="1134"/>
        <w:rPr>
          <w:lang w:val="en-GB"/>
        </w:rPr>
      </w:pPr>
      <w:r>
        <w:tab/>
      </w:r>
      <w:r>
        <w:tab/>
      </w:r>
      <w:r w:rsidR="00AF1011" w:rsidRPr="0038269A">
        <w:t>Para el 2,2</w:t>
      </w:r>
      <w:r w:rsidR="000F7607">
        <w:t>’</w:t>
      </w:r>
      <w:r w:rsidR="00AF1011" w:rsidRPr="0038269A">
        <w:t>-Azodi(isobutironitrilo), sustitúyase “0,18” por “0,28” y “62” por</w:t>
      </w:r>
      <w:r>
        <w:t> </w:t>
      </w:r>
      <w:r w:rsidR="00AF1011" w:rsidRPr="0038269A">
        <w:t>“27”.</w:t>
      </w:r>
    </w:p>
    <w:p w14:paraId="4B843F00" w14:textId="2564A584" w:rsidR="00AF1011" w:rsidRDefault="007B491C" w:rsidP="00AF1011">
      <w:pPr>
        <w:pStyle w:val="SingleTxtG"/>
      </w:pPr>
      <w:r>
        <w:tab/>
      </w:r>
      <w:r>
        <w:tab/>
      </w:r>
      <w:r w:rsidR="00AF1011" w:rsidRPr="0038269A">
        <w:t>Al final de la lista actual, insértense las siguientes entradas nuevas:</w:t>
      </w:r>
    </w:p>
    <w:tbl>
      <w:tblPr>
        <w:tblW w:w="7370" w:type="dxa"/>
        <w:tblInd w:w="1134" w:type="dxa"/>
        <w:tblBorders>
          <w:top w:val="single" w:sz="4" w:space="0" w:color="auto"/>
        </w:tblBorders>
        <w:tblCellMar>
          <w:left w:w="119" w:type="dxa"/>
          <w:right w:w="119" w:type="dxa"/>
        </w:tblCellMar>
        <w:tblLook w:val="0000" w:firstRow="0" w:lastRow="0" w:firstColumn="0" w:lastColumn="0" w:noHBand="0" w:noVBand="0"/>
      </w:tblPr>
      <w:tblGrid>
        <w:gridCol w:w="2185"/>
        <w:gridCol w:w="1363"/>
        <w:gridCol w:w="1981"/>
        <w:gridCol w:w="1841"/>
      </w:tblGrid>
      <w:tr w:rsidR="00AF1011" w:rsidRPr="0038269A" w14:paraId="14339E22" w14:textId="77777777" w:rsidTr="00E63BE7">
        <w:trPr>
          <w:cantSplit/>
          <w:trHeight w:val="240"/>
          <w:tblHeader/>
        </w:trPr>
        <w:tc>
          <w:tcPr>
            <w:tcW w:w="1482" w:type="pct"/>
            <w:tcBorders>
              <w:top w:val="single" w:sz="12" w:space="0" w:color="auto"/>
              <w:bottom w:val="single" w:sz="12" w:space="0" w:color="auto"/>
            </w:tcBorders>
            <w:shd w:val="clear" w:color="auto" w:fill="auto"/>
            <w:vAlign w:val="bottom"/>
          </w:tcPr>
          <w:p w14:paraId="2B17E9F7" w14:textId="725B102E" w:rsidR="00AF1011" w:rsidRPr="007B491C" w:rsidRDefault="00AF1011" w:rsidP="0046137D">
            <w:pPr>
              <w:pStyle w:val="SingleTxtG"/>
              <w:tabs>
                <w:tab w:val="clear" w:pos="1701"/>
                <w:tab w:val="clear" w:pos="2268"/>
                <w:tab w:val="clear" w:pos="2835"/>
              </w:tabs>
              <w:spacing w:before="80" w:after="80" w:line="200" w:lineRule="exact"/>
              <w:ind w:left="0" w:right="0"/>
              <w:jc w:val="left"/>
              <w:rPr>
                <w:b/>
                <w:iCs/>
                <w:szCs w:val="24"/>
              </w:rPr>
            </w:pPr>
            <w:r w:rsidRPr="007B491C">
              <w:rPr>
                <w:b/>
                <w:iCs/>
                <w:szCs w:val="24"/>
              </w:rPr>
              <w:lastRenderedPageBreak/>
              <w:t>Sustancia</w:t>
            </w:r>
          </w:p>
        </w:tc>
        <w:tc>
          <w:tcPr>
            <w:tcW w:w="925" w:type="pct"/>
            <w:tcBorders>
              <w:top w:val="single" w:sz="12" w:space="0" w:color="auto"/>
              <w:bottom w:val="single" w:sz="12" w:space="0" w:color="auto"/>
            </w:tcBorders>
            <w:shd w:val="clear" w:color="auto" w:fill="auto"/>
            <w:vAlign w:val="bottom"/>
          </w:tcPr>
          <w:p w14:paraId="4F7784AB" w14:textId="2A88A841" w:rsidR="00AF1011" w:rsidRPr="007B491C" w:rsidRDefault="00AF1011" w:rsidP="007B491C">
            <w:pPr>
              <w:pStyle w:val="SingleTxtG"/>
              <w:tabs>
                <w:tab w:val="clear" w:pos="1701"/>
                <w:tab w:val="clear" w:pos="2268"/>
                <w:tab w:val="clear" w:pos="2835"/>
              </w:tabs>
              <w:spacing w:before="80" w:after="80" w:line="200" w:lineRule="exact"/>
              <w:ind w:left="0" w:right="0"/>
              <w:jc w:val="right"/>
              <w:rPr>
                <w:b/>
                <w:iCs/>
                <w:szCs w:val="24"/>
              </w:rPr>
            </w:pPr>
            <w:r w:rsidRPr="007B491C">
              <w:rPr>
                <w:b/>
                <w:iCs/>
                <w:szCs w:val="24"/>
              </w:rPr>
              <w:t>Masa de la muestra (kg)</w:t>
            </w:r>
          </w:p>
        </w:tc>
        <w:tc>
          <w:tcPr>
            <w:tcW w:w="1344" w:type="pct"/>
            <w:tcBorders>
              <w:top w:val="single" w:sz="12" w:space="0" w:color="auto"/>
              <w:bottom w:val="single" w:sz="12" w:space="0" w:color="auto"/>
            </w:tcBorders>
            <w:shd w:val="clear" w:color="auto" w:fill="auto"/>
            <w:vAlign w:val="bottom"/>
          </w:tcPr>
          <w:p w14:paraId="37296917" w14:textId="57AB7CAF" w:rsidR="00AF1011" w:rsidRPr="007B491C" w:rsidRDefault="00AF1011" w:rsidP="00E63BE7">
            <w:pPr>
              <w:pStyle w:val="SingleTxtG"/>
              <w:tabs>
                <w:tab w:val="clear" w:pos="1701"/>
                <w:tab w:val="clear" w:pos="2268"/>
                <w:tab w:val="clear" w:pos="2835"/>
              </w:tabs>
              <w:spacing w:before="80" w:after="80" w:line="200" w:lineRule="exact"/>
              <w:ind w:left="0" w:right="0"/>
              <w:jc w:val="right"/>
              <w:rPr>
                <w:b/>
                <w:iCs/>
                <w:szCs w:val="24"/>
              </w:rPr>
            </w:pPr>
            <w:r w:rsidRPr="007B491C">
              <w:rPr>
                <w:b/>
                <w:iCs/>
                <w:szCs w:val="24"/>
              </w:rPr>
              <w:t>Pérdida de calor en el frasco (mW/K.kg)</w:t>
            </w:r>
          </w:p>
        </w:tc>
        <w:tc>
          <w:tcPr>
            <w:tcW w:w="1249" w:type="pct"/>
            <w:tcBorders>
              <w:top w:val="single" w:sz="12" w:space="0" w:color="auto"/>
              <w:bottom w:val="single" w:sz="12" w:space="0" w:color="auto"/>
            </w:tcBorders>
            <w:shd w:val="clear" w:color="auto" w:fill="auto"/>
            <w:vAlign w:val="bottom"/>
          </w:tcPr>
          <w:p w14:paraId="4AB17072" w14:textId="119D86E9" w:rsidR="00AF1011" w:rsidRPr="007B491C" w:rsidRDefault="00AF1011" w:rsidP="00E63BE7">
            <w:pPr>
              <w:pStyle w:val="SingleTxtG"/>
              <w:tabs>
                <w:tab w:val="clear" w:pos="1701"/>
                <w:tab w:val="clear" w:pos="2268"/>
                <w:tab w:val="clear" w:pos="2835"/>
              </w:tabs>
              <w:spacing w:before="80" w:after="80" w:line="200" w:lineRule="exact"/>
              <w:ind w:left="0" w:right="0"/>
              <w:jc w:val="right"/>
              <w:rPr>
                <w:b/>
                <w:iCs/>
                <w:szCs w:val="24"/>
              </w:rPr>
            </w:pPr>
            <w:r w:rsidRPr="007B491C">
              <w:rPr>
                <w:b/>
                <w:iCs/>
                <w:szCs w:val="24"/>
              </w:rPr>
              <w:t>TDAA/TPAA</w:t>
            </w:r>
            <w:r w:rsidR="000F7607">
              <w:rPr>
                <w:b/>
                <w:iCs/>
                <w:szCs w:val="24"/>
              </w:rPr>
              <w:br/>
            </w:r>
            <w:r w:rsidRPr="007B491C">
              <w:rPr>
                <w:b/>
                <w:iCs/>
                <w:szCs w:val="24"/>
              </w:rPr>
              <w:t>(ºC)</w:t>
            </w:r>
          </w:p>
        </w:tc>
      </w:tr>
      <w:tr w:rsidR="00AF1011" w:rsidRPr="0038269A" w14:paraId="7B4D1474" w14:textId="77777777" w:rsidTr="00E63BE7">
        <w:trPr>
          <w:cantSplit/>
          <w:trHeight w:val="240"/>
        </w:trPr>
        <w:tc>
          <w:tcPr>
            <w:tcW w:w="1482" w:type="pct"/>
            <w:tcBorders>
              <w:top w:val="single" w:sz="12" w:space="0" w:color="auto"/>
            </w:tcBorders>
            <w:shd w:val="clear" w:color="auto" w:fill="auto"/>
          </w:tcPr>
          <w:p w14:paraId="1B46343A" w14:textId="3C3975AF"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Peróxido de dilauroilo, técnicamente puro</w:t>
            </w:r>
          </w:p>
        </w:tc>
        <w:tc>
          <w:tcPr>
            <w:tcW w:w="925" w:type="pct"/>
            <w:tcBorders>
              <w:top w:val="single" w:sz="12" w:space="0" w:color="auto"/>
            </w:tcBorders>
            <w:shd w:val="clear" w:color="auto" w:fill="auto"/>
          </w:tcPr>
          <w:p w14:paraId="6F4E5F8C" w14:textId="2BD67ECF" w:rsidR="00AF1011" w:rsidRPr="0038269A" w:rsidRDefault="00AF1011" w:rsidP="007B491C">
            <w:pPr>
              <w:pStyle w:val="SingleTxtG"/>
              <w:tabs>
                <w:tab w:val="clear" w:pos="1701"/>
                <w:tab w:val="clear" w:pos="2268"/>
                <w:tab w:val="clear" w:pos="2835"/>
              </w:tabs>
              <w:spacing w:before="40"/>
              <w:ind w:left="0" w:right="0"/>
              <w:jc w:val="right"/>
              <w:rPr>
                <w:lang w:val="en-GB"/>
              </w:rPr>
            </w:pPr>
            <w:r w:rsidRPr="0038269A">
              <w:t>0,16</w:t>
            </w:r>
          </w:p>
        </w:tc>
        <w:tc>
          <w:tcPr>
            <w:tcW w:w="1344" w:type="pct"/>
            <w:tcBorders>
              <w:top w:val="single" w:sz="12" w:space="0" w:color="auto"/>
            </w:tcBorders>
            <w:shd w:val="clear" w:color="auto" w:fill="auto"/>
          </w:tcPr>
          <w:p w14:paraId="2CB46CD4" w14:textId="428E006C"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26</w:t>
            </w:r>
          </w:p>
        </w:tc>
        <w:tc>
          <w:tcPr>
            <w:tcW w:w="1249" w:type="pct"/>
            <w:tcBorders>
              <w:top w:val="single" w:sz="12" w:space="0" w:color="auto"/>
            </w:tcBorders>
            <w:shd w:val="clear" w:color="auto" w:fill="auto"/>
          </w:tcPr>
          <w:p w14:paraId="20BFDB4E" w14:textId="4B47DDBA"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50</w:t>
            </w:r>
          </w:p>
        </w:tc>
      </w:tr>
      <w:tr w:rsidR="00AF1011" w:rsidRPr="0038269A" w14:paraId="5DF128C3" w14:textId="77777777" w:rsidTr="00E63BE7">
        <w:trPr>
          <w:cantSplit/>
          <w:trHeight w:val="240"/>
        </w:trPr>
        <w:tc>
          <w:tcPr>
            <w:tcW w:w="1482" w:type="pct"/>
            <w:shd w:val="clear" w:color="auto" w:fill="auto"/>
          </w:tcPr>
          <w:p w14:paraId="57168D2A" w14:textId="03649AC9"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Peróxido de didecanoilo técnicamente puro</w:t>
            </w:r>
          </w:p>
        </w:tc>
        <w:tc>
          <w:tcPr>
            <w:tcW w:w="925" w:type="pct"/>
            <w:shd w:val="clear" w:color="auto" w:fill="auto"/>
          </w:tcPr>
          <w:p w14:paraId="17327B2C" w14:textId="5ECB92E7" w:rsidR="00AF1011" w:rsidRPr="0038269A" w:rsidRDefault="00AF1011" w:rsidP="007B491C">
            <w:pPr>
              <w:pStyle w:val="SingleTxtG"/>
              <w:tabs>
                <w:tab w:val="clear" w:pos="1701"/>
                <w:tab w:val="clear" w:pos="2268"/>
                <w:tab w:val="clear" w:pos="2835"/>
              </w:tabs>
              <w:spacing w:before="40"/>
              <w:ind w:left="0" w:right="0"/>
              <w:jc w:val="right"/>
              <w:rPr>
                <w:lang w:val="en-GB"/>
              </w:rPr>
            </w:pPr>
            <w:r w:rsidRPr="0038269A">
              <w:t>0,20</w:t>
            </w:r>
          </w:p>
        </w:tc>
        <w:tc>
          <w:tcPr>
            <w:tcW w:w="1344" w:type="pct"/>
            <w:shd w:val="clear" w:color="auto" w:fill="auto"/>
          </w:tcPr>
          <w:p w14:paraId="06AC0494" w14:textId="5CB2F704"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28</w:t>
            </w:r>
          </w:p>
        </w:tc>
        <w:tc>
          <w:tcPr>
            <w:tcW w:w="1249" w:type="pct"/>
            <w:shd w:val="clear" w:color="auto" w:fill="auto"/>
          </w:tcPr>
          <w:p w14:paraId="10386115" w14:textId="1F11F8AC"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40</w:t>
            </w:r>
          </w:p>
        </w:tc>
      </w:tr>
      <w:tr w:rsidR="00AF1011" w:rsidRPr="0038269A" w14:paraId="2E9A53B5" w14:textId="77777777" w:rsidTr="00E63BE7">
        <w:trPr>
          <w:cantSplit/>
          <w:trHeight w:val="240"/>
        </w:trPr>
        <w:tc>
          <w:tcPr>
            <w:tcW w:w="1482" w:type="pct"/>
            <w:tcBorders>
              <w:bottom w:val="single" w:sz="12" w:space="0" w:color="auto"/>
            </w:tcBorders>
            <w:shd w:val="clear" w:color="auto" w:fill="auto"/>
          </w:tcPr>
          <w:p w14:paraId="07B59B48" w14:textId="4592CD30" w:rsidR="00AF1011" w:rsidRPr="0038269A" w:rsidRDefault="00AF1011" w:rsidP="0046137D">
            <w:pPr>
              <w:pStyle w:val="SingleTxtG"/>
              <w:tabs>
                <w:tab w:val="clear" w:pos="1701"/>
                <w:tab w:val="clear" w:pos="2268"/>
                <w:tab w:val="clear" w:pos="2835"/>
              </w:tabs>
              <w:spacing w:before="40"/>
              <w:ind w:left="0" w:right="0"/>
              <w:jc w:val="left"/>
              <w:rPr>
                <w:lang w:val="en-GB"/>
              </w:rPr>
            </w:pPr>
            <w:r w:rsidRPr="0038269A">
              <w:t>N-Vinilformamida</w:t>
            </w:r>
          </w:p>
        </w:tc>
        <w:tc>
          <w:tcPr>
            <w:tcW w:w="925" w:type="pct"/>
            <w:tcBorders>
              <w:bottom w:val="single" w:sz="12" w:space="0" w:color="auto"/>
            </w:tcBorders>
            <w:shd w:val="clear" w:color="auto" w:fill="auto"/>
          </w:tcPr>
          <w:p w14:paraId="5D12D5D9" w14:textId="42CFA19A" w:rsidR="00AF1011" w:rsidRPr="0038269A" w:rsidRDefault="00AF1011" w:rsidP="007B491C">
            <w:pPr>
              <w:pStyle w:val="SingleTxtG"/>
              <w:tabs>
                <w:tab w:val="clear" w:pos="1701"/>
                <w:tab w:val="clear" w:pos="2268"/>
                <w:tab w:val="clear" w:pos="2835"/>
              </w:tabs>
              <w:spacing w:before="40"/>
              <w:ind w:left="0" w:right="0"/>
              <w:jc w:val="right"/>
              <w:rPr>
                <w:lang w:val="en-GB"/>
              </w:rPr>
            </w:pPr>
            <w:r w:rsidRPr="0038269A">
              <w:t>0,40</w:t>
            </w:r>
          </w:p>
        </w:tc>
        <w:tc>
          <w:tcPr>
            <w:tcW w:w="1344" w:type="pct"/>
            <w:tcBorders>
              <w:bottom w:val="single" w:sz="12" w:space="0" w:color="auto"/>
            </w:tcBorders>
            <w:shd w:val="clear" w:color="auto" w:fill="auto"/>
          </w:tcPr>
          <w:p w14:paraId="36A2C49E" w14:textId="58BB2EBE"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33</w:t>
            </w:r>
          </w:p>
        </w:tc>
        <w:tc>
          <w:tcPr>
            <w:tcW w:w="1249" w:type="pct"/>
            <w:tcBorders>
              <w:bottom w:val="single" w:sz="12" w:space="0" w:color="auto"/>
            </w:tcBorders>
            <w:shd w:val="clear" w:color="auto" w:fill="auto"/>
          </w:tcPr>
          <w:p w14:paraId="1D5DB2A0" w14:textId="633D525F" w:rsidR="00AF1011" w:rsidRPr="0038269A" w:rsidRDefault="00AF1011" w:rsidP="00E63BE7">
            <w:pPr>
              <w:pStyle w:val="SingleTxtG"/>
              <w:tabs>
                <w:tab w:val="clear" w:pos="1701"/>
                <w:tab w:val="clear" w:pos="2268"/>
                <w:tab w:val="clear" w:pos="2835"/>
              </w:tabs>
              <w:spacing w:before="40"/>
              <w:ind w:left="0" w:right="0"/>
              <w:jc w:val="right"/>
              <w:rPr>
                <w:lang w:val="en-GB"/>
              </w:rPr>
            </w:pPr>
            <w:r w:rsidRPr="0038269A">
              <w:t>55</w:t>
            </w:r>
          </w:p>
        </w:tc>
      </w:tr>
    </w:tbl>
    <w:p w14:paraId="718A0757" w14:textId="77777777" w:rsidR="00AF1011" w:rsidRPr="0038269A" w:rsidRDefault="00AF1011" w:rsidP="00E63BE7">
      <w:pPr>
        <w:pStyle w:val="SingleTxtG"/>
        <w:spacing w:before="240"/>
        <w:rPr>
          <w:lang w:val="en-GB"/>
        </w:rPr>
      </w:pPr>
      <w:r w:rsidRPr="0038269A">
        <w:tab/>
      </w:r>
      <w:r w:rsidRPr="0038269A">
        <w:tab/>
        <w:t xml:space="preserve">Al final del cuadro, insértese una nueva nota “c” con el texto siguiente: </w:t>
      </w:r>
    </w:p>
    <w:p w14:paraId="57488479" w14:textId="04BDEDF6" w:rsidR="00AF1011" w:rsidRPr="0038269A" w:rsidRDefault="00AF1011" w:rsidP="00AF1011">
      <w:pPr>
        <w:pStyle w:val="SingleTxtG"/>
        <w:rPr>
          <w:i/>
          <w:iCs/>
          <w:lang w:val="en-GB"/>
        </w:rPr>
      </w:pPr>
      <w:r w:rsidRPr="0038269A">
        <w:rPr>
          <w:i/>
          <w:iCs/>
        </w:rPr>
        <w:t>“</w:t>
      </w:r>
      <w:r w:rsidRPr="00A84966">
        <w:rPr>
          <w:vertAlign w:val="superscript"/>
        </w:rPr>
        <w:t>c</w:t>
      </w:r>
      <w:r w:rsidR="00E63BE7">
        <w:rPr>
          <w:i/>
          <w:iCs/>
          <w:vertAlign w:val="superscript"/>
        </w:rPr>
        <w:t xml:space="preserve"> </w:t>
      </w:r>
      <w:r w:rsidRPr="0038269A">
        <w:rPr>
          <w:i/>
          <w:iCs/>
        </w:rPr>
        <w:t>Estos ejemplos históricos se determinaron utilizando pérdidas de calor superiores a las recomendadas actualmente a efectos de clasificación (véase el cuadro 28,4).”</w:t>
      </w:r>
    </w:p>
    <w:p w14:paraId="140EF724" w14:textId="77777777" w:rsidR="00AF1011" w:rsidRPr="0038269A" w:rsidRDefault="00AF1011" w:rsidP="007B491C">
      <w:pPr>
        <w:pStyle w:val="H1G"/>
        <w:rPr>
          <w:lang w:val="en-GB"/>
        </w:rPr>
      </w:pPr>
      <w:r w:rsidRPr="0038269A">
        <w:tab/>
      </w:r>
      <w:r w:rsidRPr="0038269A">
        <w:tab/>
        <w:t>Sección 33</w:t>
      </w:r>
    </w:p>
    <w:p w14:paraId="1D2BEA1C" w14:textId="77777777" w:rsidR="00AF1011" w:rsidRPr="0038269A" w:rsidRDefault="00AF1011" w:rsidP="00AF1011">
      <w:pPr>
        <w:pStyle w:val="SingleTxtG"/>
        <w:rPr>
          <w:lang w:val="en-GB"/>
        </w:rPr>
      </w:pPr>
      <w:r w:rsidRPr="0038269A">
        <w:t>33.2.4.2</w:t>
      </w:r>
      <w:r w:rsidRPr="0038269A">
        <w:tab/>
        <w:t>No se aplica al texto en español.</w:t>
      </w:r>
    </w:p>
    <w:p w14:paraId="38C0F955" w14:textId="77777777" w:rsidR="00AF1011" w:rsidRPr="0038269A" w:rsidRDefault="00AF1011" w:rsidP="00AF1011">
      <w:pPr>
        <w:pStyle w:val="SingleTxtG"/>
        <w:rPr>
          <w:lang w:val="en-GB"/>
        </w:rPr>
      </w:pPr>
      <w:r w:rsidRPr="0038269A">
        <w:t>Figura 33.2.4.1</w:t>
      </w:r>
      <w:r w:rsidRPr="0038269A">
        <w:tab/>
        <w:t>Sustitúyase el recuadro A por la siguiente figura:</w:t>
      </w:r>
    </w:p>
    <w:p w14:paraId="53EE6732" w14:textId="77777777" w:rsidR="00E63BE7" w:rsidRDefault="00AF1011" w:rsidP="00E63BE7">
      <w:pPr>
        <w:pStyle w:val="SingleTxtG"/>
        <w:jc w:val="center"/>
        <w:rPr>
          <w:b/>
        </w:rPr>
      </w:pPr>
      <w:r w:rsidRPr="0038269A">
        <w:rPr>
          <w:noProof/>
          <w:lang w:val="en-GB"/>
        </w:rPr>
        <w:drawing>
          <wp:inline distT="0" distB="0" distL="0" distR="0" wp14:anchorId="184CE9CC" wp14:editId="59B2046F">
            <wp:extent cx="3592350" cy="2353694"/>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t="7230" b="7230"/>
                    <a:stretch/>
                  </pic:blipFill>
                  <pic:spPr bwMode="auto">
                    <a:xfrm>
                      <a:off x="0" y="0"/>
                      <a:ext cx="3617083" cy="2369899"/>
                    </a:xfrm>
                    <a:prstGeom prst="rect">
                      <a:avLst/>
                    </a:prstGeom>
                    <a:ln>
                      <a:noFill/>
                    </a:ln>
                    <a:extLst>
                      <a:ext uri="{53640926-AAD7-44D8-BBD7-CCE9431645EC}">
                        <a14:shadowObscured xmlns:a14="http://schemas.microsoft.com/office/drawing/2010/main"/>
                      </a:ext>
                    </a:extLst>
                  </pic:spPr>
                </pic:pic>
              </a:graphicData>
            </a:graphic>
          </wp:inline>
        </w:drawing>
      </w:r>
    </w:p>
    <w:p w14:paraId="0C139A69" w14:textId="45A708B0" w:rsidR="00AF1011" w:rsidRPr="0038269A" w:rsidRDefault="00E63BE7" w:rsidP="00E63BE7">
      <w:pPr>
        <w:pStyle w:val="H1G"/>
        <w:rPr>
          <w:lang w:val="en-GB"/>
        </w:rPr>
      </w:pPr>
      <w:r>
        <w:tab/>
      </w:r>
      <w:r>
        <w:tab/>
      </w:r>
      <w:r w:rsidR="00AF1011" w:rsidRPr="0038269A">
        <w:tab/>
        <w:t>Sección 34</w:t>
      </w:r>
    </w:p>
    <w:p w14:paraId="671761B1" w14:textId="77777777" w:rsidR="00AF1011" w:rsidRPr="0038269A" w:rsidRDefault="00AF1011" w:rsidP="00AF1011">
      <w:pPr>
        <w:pStyle w:val="SingleTxtG"/>
        <w:rPr>
          <w:lang w:val="en-GB"/>
        </w:rPr>
      </w:pPr>
      <w:r w:rsidRPr="0038269A">
        <w:t>34.4.1.2.6 y 34.4.3.2.3</w:t>
      </w:r>
      <w:r w:rsidRPr="0038269A">
        <w:tab/>
        <w:t>Al final, insértese una nueva nota con el texto siguiente:</w:t>
      </w:r>
    </w:p>
    <w:p w14:paraId="070BC24F" w14:textId="77777777" w:rsidR="00AF1011" w:rsidRPr="0038269A" w:rsidRDefault="00AF1011" w:rsidP="00AF1011">
      <w:pPr>
        <w:pStyle w:val="SingleTxtG"/>
        <w:rPr>
          <w:lang w:val="en-GB"/>
        </w:rPr>
      </w:pPr>
      <w:r w:rsidRPr="0038269A">
        <w:t>“</w:t>
      </w:r>
      <w:r w:rsidRPr="0038269A">
        <w:rPr>
          <w:b/>
          <w:bCs/>
          <w:i/>
          <w:iCs/>
        </w:rPr>
        <w:t>NOTA:</w:t>
      </w:r>
      <w:r w:rsidRPr="0038269A">
        <w:tab/>
      </w:r>
      <w:r w:rsidRPr="0038269A">
        <w:rPr>
          <w:i/>
          <w:iCs/>
        </w:rPr>
        <w:t>En el caso de una sustancia revestida para reducir o suprimir sus propiedades oxidantes con un contenido significativo (&gt; 10 % en masa) de partículas inferiores a 500 μm, deben realizarse dos conjuntos de ensayos: ensayos realizados con la sustancia tal como se presenta y ensayos realizados con las partículas inferiores a 500 μm que se hubieran obtenido al tamizar la sustancia tal como se presenta.</w:t>
      </w:r>
      <w:r w:rsidRPr="0038269A">
        <w:t xml:space="preserve"> </w:t>
      </w:r>
      <w:r w:rsidRPr="0038269A">
        <w:rPr>
          <w:i/>
          <w:iCs/>
        </w:rPr>
        <w:t>La sustancia no debe molerse antes de tamizarla o someterla a ensayos.</w:t>
      </w:r>
      <w:r w:rsidRPr="0038269A">
        <w:t xml:space="preserve"> La clasificación definitiva debe basarse en los resultados de las pruebas que resulten en la clasificación más estricta”.</w:t>
      </w:r>
    </w:p>
    <w:p w14:paraId="6929FF9A" w14:textId="77777777" w:rsidR="00AF1011" w:rsidRPr="0038269A" w:rsidRDefault="00AF1011" w:rsidP="007B491C">
      <w:pPr>
        <w:pStyle w:val="H1G"/>
        <w:rPr>
          <w:lang w:val="en-GB"/>
        </w:rPr>
      </w:pPr>
      <w:r w:rsidRPr="0038269A">
        <w:tab/>
      </w:r>
      <w:r w:rsidRPr="0038269A">
        <w:tab/>
        <w:t>Sección 37</w:t>
      </w:r>
    </w:p>
    <w:p w14:paraId="0B3FABE9" w14:textId="77777777" w:rsidR="00AF1011" w:rsidRPr="0038269A" w:rsidRDefault="00AF1011" w:rsidP="00AF1011">
      <w:pPr>
        <w:pStyle w:val="SingleTxtG"/>
        <w:rPr>
          <w:lang w:val="en-GB"/>
        </w:rPr>
      </w:pPr>
      <w:r w:rsidRPr="0038269A">
        <w:t>37.4.1</w:t>
      </w:r>
      <w:r w:rsidRPr="0038269A">
        <w:tab/>
      </w:r>
      <w:r w:rsidRPr="0038269A">
        <w:tab/>
        <w:t>Suprímase.</w:t>
      </w:r>
    </w:p>
    <w:p w14:paraId="24B2D1E1" w14:textId="77777777" w:rsidR="00AF1011" w:rsidRPr="0038269A" w:rsidRDefault="00AF1011" w:rsidP="00AF1011">
      <w:pPr>
        <w:pStyle w:val="SingleTxtG"/>
        <w:rPr>
          <w:lang w:val="en-GB"/>
        </w:rPr>
      </w:pPr>
      <w:r w:rsidRPr="0038269A">
        <w:t>37.4.1.1 (antiguo)</w:t>
      </w:r>
      <w:r w:rsidRPr="0038269A">
        <w:tab/>
        <w:t>Renumérese como 37.4.1.</w:t>
      </w:r>
    </w:p>
    <w:p w14:paraId="7B2A5C1B" w14:textId="77777777" w:rsidR="00AF1011" w:rsidRPr="0038269A" w:rsidRDefault="00AF1011" w:rsidP="00AF1011">
      <w:pPr>
        <w:pStyle w:val="SingleTxtG"/>
        <w:rPr>
          <w:lang w:val="en-GB"/>
        </w:rPr>
      </w:pPr>
      <w:r w:rsidRPr="0038269A">
        <w:t>37.4.1.1</w:t>
      </w:r>
      <w:r w:rsidRPr="0038269A">
        <w:tab/>
        <w:t>Insértese un nuevo párrafo 37.4.1.1 con el texto siguiente:</w:t>
      </w:r>
    </w:p>
    <w:p w14:paraId="231C80EE" w14:textId="77777777" w:rsidR="00AF1011" w:rsidRPr="0038269A" w:rsidRDefault="00AF1011" w:rsidP="00E7260D">
      <w:pPr>
        <w:pStyle w:val="SingleTxtG"/>
        <w:keepNext/>
        <w:keepLines/>
        <w:rPr>
          <w:lang w:val="en-GB"/>
        </w:rPr>
      </w:pPr>
      <w:r w:rsidRPr="0038269A">
        <w:lastRenderedPageBreak/>
        <w:t>“</w:t>
      </w:r>
      <w:r w:rsidRPr="0038269A">
        <w:rPr>
          <w:b/>
          <w:bCs/>
        </w:rPr>
        <w:t>37.4.1.1</w:t>
      </w:r>
      <w:r w:rsidRPr="0038269A">
        <w:tab/>
      </w:r>
      <w:r w:rsidRPr="0038269A">
        <w:rPr>
          <w:b/>
          <w:bCs/>
          <w:i/>
          <w:iCs/>
        </w:rPr>
        <w:t>Introducción</w:t>
      </w:r>
    </w:p>
    <w:p w14:paraId="178AED86" w14:textId="173CB615" w:rsidR="00AF1011" w:rsidRPr="0038269A" w:rsidRDefault="00E63BE7" w:rsidP="00E7260D">
      <w:pPr>
        <w:pStyle w:val="SingleTxtG"/>
        <w:keepNext/>
        <w:keepLines/>
        <w:rPr>
          <w:lang w:val="en-GB"/>
        </w:rPr>
      </w:pPr>
      <w:r>
        <w:tab/>
      </w:r>
      <w:r>
        <w:tab/>
      </w:r>
      <w:r w:rsidR="00AF1011" w:rsidRPr="0038269A">
        <w:t>Este ensayo se utiliza para la determinación de las propiedades corrosivas de las sustancias líquidas y de las sustancias sólidas que se pueden licuar como sustancias corrosivas para los metales, grupo de embalaje/envasado III/</w:t>
      </w:r>
      <w:r w:rsidR="006A1BEF">
        <w:t>c</w:t>
      </w:r>
      <w:r w:rsidR="00AF1011" w:rsidRPr="0038269A">
        <w:t>ategoría 1.</w:t>
      </w:r>
    </w:p>
    <w:p w14:paraId="47C6F6F6" w14:textId="77777777" w:rsidR="00AF1011" w:rsidRPr="0038269A" w:rsidRDefault="00AF1011" w:rsidP="00AF1011">
      <w:pPr>
        <w:pStyle w:val="SingleTxtG"/>
        <w:rPr>
          <w:iCs/>
          <w:lang w:val="en-GB"/>
        </w:rPr>
      </w:pPr>
      <w:r w:rsidRPr="0038269A">
        <w:t>Renumérense los párrafos 37.4.2, 37.4.3, 37.4.4, 37.4.4.1 y 37.4.4.2 como 37.4.1.2, 37.4.1.3, 37.4.1.4, 37.4.1.4.1 y 37.4.1.4.2. Renumérense las figuras 37.4.2.1 y 37.4.2.2 como 37.4.1.1 y 37.4.1.2 respectivamente y actualícense en consecuencia las referencias cruzadas que figuran en la sección 37.4. Renumérense los cuadros 37.4.4.1 y 37.4.4.2 como 37.4.1.1 y 37.4.1.2 respectivamente.</w:t>
      </w:r>
    </w:p>
    <w:p w14:paraId="36FD0792" w14:textId="77777777" w:rsidR="00AF1011" w:rsidRPr="0038269A" w:rsidRDefault="00AF1011" w:rsidP="00AF1011">
      <w:pPr>
        <w:pStyle w:val="SingleTxtG"/>
        <w:rPr>
          <w:lang w:val="en-GB"/>
        </w:rPr>
      </w:pPr>
      <w:r w:rsidRPr="0038269A">
        <w:t>37.4.2 (Renumerado 37.4.1.2) b)</w:t>
      </w:r>
      <w:r w:rsidRPr="0038269A">
        <w:tab/>
        <w:t>Modifíquese para que diga lo siguiente:</w:t>
      </w:r>
    </w:p>
    <w:p w14:paraId="24183B77" w14:textId="2958C736" w:rsidR="00AF1011" w:rsidRPr="0038269A" w:rsidRDefault="00AF1011" w:rsidP="00E63BE7">
      <w:pPr>
        <w:pStyle w:val="SingleTxtG"/>
        <w:ind w:left="1701" w:hanging="567"/>
        <w:rPr>
          <w:lang w:val="en-GB"/>
        </w:rPr>
      </w:pPr>
      <w:r w:rsidRPr="0038269A">
        <w:t>“b)</w:t>
      </w:r>
      <w:r w:rsidRPr="0038269A">
        <w:tab/>
        <w:t>Acero de los tipos S235JR+CR (1.0037, respectivamente St 37</w:t>
      </w:r>
      <w:r w:rsidR="006A1BEF">
        <w:t>-</w:t>
      </w:r>
      <w:r w:rsidRPr="0038269A">
        <w:t>2), S275J2G3+CR (1.0144, respectivamente St 44-3), ISO 3574, “Unified Numbering System (UNS) G10200” o SAE 1020.”</w:t>
      </w:r>
    </w:p>
    <w:p w14:paraId="50AE0C63" w14:textId="77777777" w:rsidR="00AF1011" w:rsidRPr="0038269A" w:rsidRDefault="00AF1011" w:rsidP="007B491C">
      <w:pPr>
        <w:pStyle w:val="H1G"/>
        <w:rPr>
          <w:lang w:val="en-GB"/>
        </w:rPr>
      </w:pPr>
      <w:r w:rsidRPr="0038269A">
        <w:tab/>
      </w:r>
      <w:r w:rsidRPr="0038269A">
        <w:tab/>
        <w:t>Sección 38</w:t>
      </w:r>
    </w:p>
    <w:p w14:paraId="401E08BB" w14:textId="77777777" w:rsidR="00AF1011" w:rsidRPr="0038269A" w:rsidRDefault="00AF1011" w:rsidP="00AF1011">
      <w:pPr>
        <w:pStyle w:val="SingleTxtG"/>
        <w:rPr>
          <w:lang w:val="en-GB"/>
        </w:rPr>
      </w:pPr>
      <w:r w:rsidRPr="0038269A">
        <w:t>38.3.3 d)</w:t>
      </w:r>
      <w:r w:rsidRPr="0038269A">
        <w:tab/>
        <w:t>En el último párrafo, después de “otra batería”, añádase “, vehículo,”.</w:t>
      </w:r>
    </w:p>
    <w:p w14:paraId="5B41D4CF" w14:textId="77777777" w:rsidR="00AF1011" w:rsidRPr="0038269A" w:rsidRDefault="00AF1011" w:rsidP="00AF1011">
      <w:pPr>
        <w:pStyle w:val="SingleTxtG"/>
        <w:rPr>
          <w:lang w:val="en-GB"/>
        </w:rPr>
      </w:pPr>
      <w:r w:rsidRPr="0038269A">
        <w:t>38.3.3 g)</w:t>
      </w:r>
      <w:r w:rsidRPr="0038269A">
        <w:tab/>
        <w:t>Al final, añádanse los nuevos párrafos siguientes:</w:t>
      </w:r>
    </w:p>
    <w:p w14:paraId="078DF21A" w14:textId="77777777" w:rsidR="00AF1011" w:rsidRPr="0038269A" w:rsidRDefault="00AF1011" w:rsidP="00AF1011">
      <w:pPr>
        <w:pStyle w:val="SingleTxtG"/>
        <w:rPr>
          <w:lang w:val="en-GB"/>
        </w:rPr>
      </w:pPr>
      <w:r w:rsidRPr="0038269A">
        <w:t>“Para una batería ensamblada no equipada con protección contra sobrecarga que está diseñada para ser utilizada únicamente como componente de otra batería, en un equipo o en un vehículo, que ofrece dicha protección:</w:t>
      </w:r>
    </w:p>
    <w:p w14:paraId="6B8D8E4F" w14:textId="77777777" w:rsidR="00AF1011" w:rsidRPr="0038269A" w:rsidRDefault="00AF1011" w:rsidP="006A1BEF">
      <w:pPr>
        <w:pStyle w:val="SingleTxtG"/>
        <w:tabs>
          <w:tab w:val="clear" w:pos="1701"/>
          <w:tab w:val="clear" w:pos="2268"/>
          <w:tab w:val="clear" w:pos="2835"/>
          <w:tab w:val="left" w:pos="1418"/>
        </w:tabs>
        <w:spacing w:after="0"/>
        <w:ind w:left="1418" w:hanging="284"/>
        <w:rPr>
          <w:lang w:val="en-GB"/>
        </w:rPr>
      </w:pPr>
      <w:r w:rsidRPr="0038269A">
        <w:t xml:space="preserve">- </w:t>
      </w:r>
      <w:r w:rsidRPr="0038269A">
        <w:tab/>
        <w:t>la protección contra la sobrecarga se verificará a nivel de la batería, del equipo o del vehículo, según corresponda, y</w:t>
      </w:r>
    </w:p>
    <w:p w14:paraId="309955C0" w14:textId="77777777" w:rsidR="00AF1011" w:rsidRPr="0038269A" w:rsidRDefault="00AF1011" w:rsidP="0075205D">
      <w:pPr>
        <w:pStyle w:val="SingleTxtG"/>
        <w:tabs>
          <w:tab w:val="clear" w:pos="1701"/>
          <w:tab w:val="clear" w:pos="2268"/>
          <w:tab w:val="clear" w:pos="2835"/>
          <w:tab w:val="left" w:pos="1418"/>
        </w:tabs>
        <w:ind w:left="1418" w:hanging="284"/>
        <w:rPr>
          <w:lang w:val="en-GB"/>
        </w:rPr>
      </w:pPr>
      <w:r w:rsidRPr="0038269A">
        <w:t>-</w:t>
      </w:r>
      <w:r w:rsidRPr="0038269A">
        <w:tab/>
        <w:t xml:space="preserve">se impedirá el uso de sistemas de carga sin protección contra </w:t>
      </w:r>
      <w:r w:rsidRPr="00E63BE7">
        <w:rPr>
          <w:lang w:val="en-GB"/>
        </w:rPr>
        <w:t>sobrecargas</w:t>
      </w:r>
      <w:r w:rsidRPr="0038269A">
        <w:t xml:space="preserve"> mediante un sistema físico o controles del proceso”.</w:t>
      </w:r>
    </w:p>
    <w:p w14:paraId="057B73B5" w14:textId="77777777" w:rsidR="00AF1011" w:rsidRPr="0038269A" w:rsidRDefault="00AF1011" w:rsidP="00AF1011">
      <w:pPr>
        <w:pStyle w:val="SingleTxtG"/>
        <w:rPr>
          <w:lang w:val="en-GB"/>
        </w:rPr>
      </w:pPr>
      <w:r w:rsidRPr="0038269A">
        <w:t>38.3.5</w:t>
      </w:r>
      <w:r w:rsidRPr="0038269A">
        <w:tab/>
      </w:r>
      <w:r w:rsidRPr="0038269A">
        <w:tab/>
        <w:t>Añádase un nuevo apartado j) del resumen de las pruebas que diga lo siguiente:</w:t>
      </w:r>
    </w:p>
    <w:p w14:paraId="6C1288C5" w14:textId="77777777" w:rsidR="00AF1011" w:rsidRPr="0038269A" w:rsidRDefault="00AF1011" w:rsidP="0075205D">
      <w:pPr>
        <w:pStyle w:val="SingleTxtG"/>
        <w:rPr>
          <w:lang w:val="en-GB"/>
        </w:rPr>
      </w:pPr>
      <w:r w:rsidRPr="0038269A">
        <w:t>“j)</w:t>
      </w:r>
      <w:r w:rsidRPr="0038269A">
        <w:tab/>
        <w:t>El nombre y el cargo del responsable como indicación de la validez de la información facilitada.”</w:t>
      </w:r>
    </w:p>
    <w:p w14:paraId="1E15D93E" w14:textId="77777777" w:rsidR="00AF1011" w:rsidRPr="0038269A" w:rsidRDefault="00AF1011" w:rsidP="007B491C">
      <w:pPr>
        <w:pStyle w:val="H1G"/>
        <w:rPr>
          <w:lang w:val="en-GB"/>
        </w:rPr>
      </w:pPr>
      <w:r w:rsidRPr="0038269A">
        <w:tab/>
      </w:r>
      <w:r w:rsidRPr="0038269A">
        <w:tab/>
        <w:t>Sección 41</w:t>
      </w:r>
    </w:p>
    <w:p w14:paraId="473BD3C0" w14:textId="1520C188" w:rsidR="00AF1011" w:rsidRPr="0038269A" w:rsidRDefault="00AF1011" w:rsidP="00AF1011">
      <w:pPr>
        <w:pStyle w:val="SingleTxtG"/>
        <w:rPr>
          <w:lang w:val="en-GB"/>
        </w:rPr>
      </w:pPr>
      <w:r w:rsidRPr="0038269A">
        <w:t>41.1.3</w:t>
      </w:r>
      <w:r w:rsidR="00E63BE7">
        <w:tab/>
      </w:r>
      <w:r w:rsidRPr="0038269A">
        <w:tab/>
      </w:r>
      <w:r w:rsidRPr="00E63BE7">
        <w:rPr>
          <w:lang w:val="en-GB"/>
        </w:rPr>
        <w:t>Añádase</w:t>
      </w:r>
      <w:r w:rsidRPr="0038269A">
        <w:t xml:space="preserve"> un nuevo párrafo 41.1.3 que diga lo siguiente:</w:t>
      </w:r>
    </w:p>
    <w:p w14:paraId="5D373761" w14:textId="77777777" w:rsidR="00AF1011" w:rsidRPr="0038269A" w:rsidRDefault="00AF1011" w:rsidP="00AF1011">
      <w:pPr>
        <w:pStyle w:val="SingleTxtG"/>
        <w:rPr>
          <w:lang w:val="en-GB"/>
        </w:rPr>
      </w:pPr>
      <w:r w:rsidRPr="0038269A">
        <w:t xml:space="preserve">“41.1.3 </w:t>
      </w:r>
      <w:r w:rsidRPr="0038269A">
        <w:tab/>
        <w:t>El CGEM o la cisterna portátil que se someta al ensayo dinámico de impacto longitudinal deberán estar secos antes de comenzar el ensayo de impacto. Si la capacidad de la instalación o del organismo testigo para identificar las posibles fuentes de fugas se ve afectada negativamente por las condiciones meteorológicas, como la nieve o la lluvia, sobrevenidas durante las pruebas, el ensayo de impacto se dará por terminado. El ensayo solo se reanudará una vez que el CGEM o la cisterna portátil estén secos y la nieve o la lluvia hayan cesado.”</w:t>
      </w:r>
    </w:p>
    <w:p w14:paraId="2A545AC8" w14:textId="77777777" w:rsidR="00AF1011" w:rsidRPr="0038269A" w:rsidRDefault="00AF1011" w:rsidP="007B491C">
      <w:pPr>
        <w:pStyle w:val="H1G"/>
        <w:rPr>
          <w:lang w:val="en-GB"/>
        </w:rPr>
      </w:pPr>
      <w:r w:rsidRPr="0038269A">
        <w:tab/>
      </w:r>
      <w:r w:rsidRPr="0038269A">
        <w:tab/>
        <w:t>Sección 51</w:t>
      </w:r>
    </w:p>
    <w:p w14:paraId="438EEAFD" w14:textId="772C67FA" w:rsidR="00AF1011" w:rsidRDefault="00AF1011" w:rsidP="00E63BE7">
      <w:pPr>
        <w:pStyle w:val="SingleTxtG"/>
        <w:ind w:left="2268" w:hanging="1134"/>
      </w:pPr>
      <w:r w:rsidRPr="0038269A">
        <w:t>51.2.1</w:t>
      </w:r>
      <w:r w:rsidRPr="0038269A">
        <w:tab/>
      </w:r>
      <w:r w:rsidR="00E63BE7">
        <w:tab/>
      </w:r>
      <w:r w:rsidRPr="0038269A">
        <w:t xml:space="preserve">En la nota a pie de página 1, modifíquese la primera frase para que diga: “Los explosivos del </w:t>
      </w:r>
      <w:r w:rsidRPr="00A84966">
        <w:rPr>
          <w:lang w:val="es-ES_tradnl"/>
        </w:rPr>
        <w:t>capítulo</w:t>
      </w:r>
      <w:r w:rsidRPr="0038269A">
        <w:t xml:space="preserve"> 2.1 del SGA que se consideran demasiado sensibles para asignarles una división también pueden estabilizarse mediante desensibilización y, por consiguiente, pueden clasificarse como explosivos desensibilizados, siempre que se cumplan todos los criterios del capítulo 2.17 del SGA”.</w:t>
      </w:r>
    </w:p>
    <w:p w14:paraId="2BE956A9" w14:textId="5C8C204E" w:rsidR="00E63BE7" w:rsidRPr="006607EA" w:rsidRDefault="006607EA" w:rsidP="006607EA">
      <w:pPr>
        <w:pStyle w:val="SingleTxtG"/>
        <w:suppressAutoHyphens/>
        <w:spacing w:before="240" w:after="0"/>
        <w:jc w:val="center"/>
        <w:rPr>
          <w:u w:val="single"/>
        </w:rPr>
      </w:pPr>
      <w:r>
        <w:rPr>
          <w:u w:val="single"/>
        </w:rPr>
        <w:tab/>
      </w:r>
      <w:r>
        <w:rPr>
          <w:u w:val="single"/>
        </w:rPr>
        <w:tab/>
      </w:r>
      <w:r>
        <w:rPr>
          <w:u w:val="single"/>
        </w:rPr>
        <w:tab/>
      </w:r>
    </w:p>
    <w:sectPr w:rsidR="00E63BE7" w:rsidRPr="006607EA" w:rsidSect="009D3313">
      <w:headerReference w:type="even" r:id="rId23"/>
      <w:headerReference w:type="default" r:id="rId24"/>
      <w:footerReference w:type="even" r:id="rId25"/>
      <w:footerReference w:type="default" r:id="rId26"/>
      <w:footerReference w:type="first" r:id="rId2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B5C3E" w14:textId="77777777" w:rsidR="00FF6D94" w:rsidRPr="00EB11DA" w:rsidRDefault="00FF6D94" w:rsidP="00EB11DA">
      <w:pPr>
        <w:pStyle w:val="Footer"/>
      </w:pPr>
    </w:p>
  </w:endnote>
  <w:endnote w:type="continuationSeparator" w:id="0">
    <w:p w14:paraId="380FCFFF" w14:textId="77777777" w:rsidR="00FF6D94" w:rsidRPr="00EB11DA" w:rsidRDefault="00FF6D94" w:rsidP="00EB11D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613CF" w14:textId="13FFBCC0" w:rsidR="001F2813" w:rsidRPr="009D3313" w:rsidRDefault="001F2813" w:rsidP="009D3313">
    <w:pPr>
      <w:pStyle w:val="Footer"/>
      <w:tabs>
        <w:tab w:val="right" w:pos="9638"/>
      </w:tabs>
    </w:pPr>
    <w:r w:rsidRPr="009D3313">
      <w:rPr>
        <w:b/>
        <w:sz w:val="18"/>
      </w:rPr>
      <w:fldChar w:fldCharType="begin"/>
    </w:r>
    <w:r w:rsidRPr="009D3313">
      <w:rPr>
        <w:b/>
        <w:sz w:val="18"/>
      </w:rPr>
      <w:instrText xml:space="preserve"> PAGE  \* MERGEFORMAT </w:instrText>
    </w:r>
    <w:r w:rsidRPr="009D3313">
      <w:rPr>
        <w:b/>
        <w:sz w:val="18"/>
      </w:rPr>
      <w:fldChar w:fldCharType="separate"/>
    </w:r>
    <w:r w:rsidRPr="009D3313">
      <w:rPr>
        <w:b/>
        <w:noProof/>
        <w:sz w:val="18"/>
      </w:rPr>
      <w:t>2</w:t>
    </w:r>
    <w:r w:rsidRPr="009D3313">
      <w:rPr>
        <w:b/>
        <w:sz w:val="18"/>
      </w:rPr>
      <w:fldChar w:fldCharType="end"/>
    </w:r>
    <w:r>
      <w:rPr>
        <w:b/>
        <w:sz w:val="18"/>
      </w:rPr>
      <w:tab/>
    </w:r>
    <w:r>
      <w:t>GE.21-03835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C312" w14:textId="4EACE4A4" w:rsidR="001F2813" w:rsidRPr="009D3313" w:rsidRDefault="001F2813" w:rsidP="009D3313">
    <w:pPr>
      <w:pStyle w:val="Footer"/>
      <w:tabs>
        <w:tab w:val="right" w:pos="9638"/>
      </w:tabs>
      <w:rPr>
        <w:b/>
        <w:sz w:val="18"/>
      </w:rPr>
    </w:pPr>
    <w:r>
      <w:t>GE.21-03835</w:t>
    </w:r>
    <w:r>
      <w:tab/>
    </w:r>
    <w:r w:rsidRPr="009D3313">
      <w:rPr>
        <w:b/>
        <w:sz w:val="18"/>
      </w:rPr>
      <w:fldChar w:fldCharType="begin"/>
    </w:r>
    <w:r w:rsidRPr="009D3313">
      <w:rPr>
        <w:b/>
        <w:sz w:val="18"/>
      </w:rPr>
      <w:instrText xml:space="preserve"> PAGE  \* MERGEFORMAT </w:instrText>
    </w:r>
    <w:r w:rsidRPr="009D3313">
      <w:rPr>
        <w:b/>
        <w:sz w:val="18"/>
      </w:rPr>
      <w:fldChar w:fldCharType="separate"/>
    </w:r>
    <w:r w:rsidRPr="009D3313">
      <w:rPr>
        <w:b/>
        <w:noProof/>
        <w:sz w:val="18"/>
      </w:rPr>
      <w:t>3</w:t>
    </w:r>
    <w:r w:rsidRPr="009D331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D9B11" w14:textId="4EDE9F92" w:rsidR="001F2813" w:rsidRPr="009D3313" w:rsidRDefault="001F2813" w:rsidP="009D3313">
    <w:pPr>
      <w:pStyle w:val="Footer"/>
      <w:spacing w:before="120" w:line="240" w:lineRule="auto"/>
      <w:rPr>
        <w:sz w:val="20"/>
      </w:rPr>
    </w:pPr>
    <w:r>
      <w:rPr>
        <w:sz w:val="20"/>
      </w:rPr>
      <w:t>GE.</w:t>
    </w:r>
    <w:r>
      <w:rPr>
        <w:noProof/>
      </w:rPr>
      <w:drawing>
        <wp:anchor distT="0" distB="0" distL="114300" distR="114300" simplePos="0" relativeHeight="251657728" behindDoc="0" locked="1" layoutInCell="1" allowOverlap="1" wp14:anchorId="1F53DE7E" wp14:editId="1107480A">
          <wp:simplePos x="0" y="0"/>
          <wp:positionH relativeFrom="margin">
            <wp:posOffset>4319905</wp:posOffset>
          </wp:positionH>
          <wp:positionV relativeFrom="margin">
            <wp:posOffset>9144000</wp:posOffset>
          </wp:positionV>
          <wp:extent cx="1085850" cy="228600"/>
          <wp:effectExtent l="0" t="0" r="0" b="0"/>
          <wp:wrapNone/>
          <wp:docPr id="1" name="Imagen 1" descr="Se ruega recic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21-03835  (S)</w:t>
    </w:r>
    <w:r>
      <w:rPr>
        <w:noProof/>
        <w:sz w:val="20"/>
      </w:rPr>
      <w:drawing>
        <wp:anchor distT="0" distB="0" distL="114300" distR="114300" simplePos="0" relativeHeight="251658752" behindDoc="0" locked="0" layoutInCell="1" allowOverlap="1" wp14:anchorId="02718343" wp14:editId="5A22FE30">
          <wp:simplePos x="0" y="0"/>
          <wp:positionH relativeFrom="margin">
            <wp:posOffset>5489575</wp:posOffset>
          </wp:positionH>
          <wp:positionV relativeFrom="margin">
            <wp:posOffset>8891905</wp:posOffset>
          </wp:positionV>
          <wp:extent cx="561975" cy="561975"/>
          <wp:effectExtent l="0" t="0" r="9525" b="952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230421    280421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0E824" w14:textId="77777777" w:rsidR="00FF6D94" w:rsidRPr="001075E9" w:rsidRDefault="00FF6D94" w:rsidP="001075E9">
      <w:pPr>
        <w:tabs>
          <w:tab w:val="right" w:pos="2155"/>
        </w:tabs>
        <w:spacing w:after="80" w:line="240" w:lineRule="auto"/>
        <w:ind w:left="680"/>
        <w:rPr>
          <w:u w:val="single"/>
        </w:rPr>
      </w:pPr>
      <w:r>
        <w:rPr>
          <w:u w:val="single"/>
        </w:rPr>
        <w:tab/>
      </w:r>
    </w:p>
  </w:footnote>
  <w:footnote w:type="continuationSeparator" w:id="0">
    <w:p w14:paraId="6B667076" w14:textId="77777777" w:rsidR="00FF6D94" w:rsidRDefault="00FF6D94" w:rsidP="00EB11DA">
      <w:pPr>
        <w:tabs>
          <w:tab w:val="right" w:pos="2155"/>
        </w:tabs>
        <w:spacing w:after="80" w:line="240" w:lineRule="auto"/>
        <w:ind w:left="680"/>
        <w:rPr>
          <w:u w:val="single"/>
        </w:rPr>
      </w:pPr>
      <w:r>
        <w:rPr>
          <w:u w:val="single"/>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FA08" w14:textId="390F41E9" w:rsidR="001F2813" w:rsidRPr="009D3313" w:rsidRDefault="001F2813">
    <w:pPr>
      <w:pStyle w:val="Header"/>
    </w:pPr>
    <w:fldSimple w:instr=" TITLE  \* MERGEFORMAT ">
      <w:r w:rsidR="00081470">
        <w:t>ST/SG/AC.10/48/Add.2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F8F14" w14:textId="22EFF38E" w:rsidR="001F2813" w:rsidRPr="009D3313" w:rsidRDefault="001F2813" w:rsidP="009D3313">
    <w:pPr>
      <w:pStyle w:val="Header"/>
      <w:jc w:val="right"/>
    </w:pPr>
    <w:fldSimple w:instr=" TITLE  \* MERGEFORMAT ">
      <w:r w:rsidR="00081470">
        <w:t>ST/SG/AC.10/48/Add.2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7D230566"/>
    <w:multiLevelType w:val="hybridMultilevel"/>
    <w:tmpl w:val="7AFA51F8"/>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0"/>
  </w:num>
  <w:num w:numId="17">
    <w:abstractNumId w:val="16"/>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7C"/>
    <w:rsid w:val="00002301"/>
    <w:rsid w:val="00015684"/>
    <w:rsid w:val="00031A8E"/>
    <w:rsid w:val="0003450A"/>
    <w:rsid w:val="00036CBB"/>
    <w:rsid w:val="000560CF"/>
    <w:rsid w:val="00066C6E"/>
    <w:rsid w:val="00081470"/>
    <w:rsid w:val="0008650D"/>
    <w:rsid w:val="000A118E"/>
    <w:rsid w:val="000A3BDB"/>
    <w:rsid w:val="000A439C"/>
    <w:rsid w:val="000B57E7"/>
    <w:rsid w:val="000D186A"/>
    <w:rsid w:val="000D65ED"/>
    <w:rsid w:val="000E36EC"/>
    <w:rsid w:val="000F09DF"/>
    <w:rsid w:val="000F61B2"/>
    <w:rsid w:val="000F7607"/>
    <w:rsid w:val="001075E9"/>
    <w:rsid w:val="00145322"/>
    <w:rsid w:val="001667A2"/>
    <w:rsid w:val="00167FE3"/>
    <w:rsid w:val="00175F0E"/>
    <w:rsid w:val="00180183"/>
    <w:rsid w:val="00196389"/>
    <w:rsid w:val="001A52A0"/>
    <w:rsid w:val="001A5673"/>
    <w:rsid w:val="001C7A89"/>
    <w:rsid w:val="001E10EC"/>
    <w:rsid w:val="001E213E"/>
    <w:rsid w:val="001F2813"/>
    <w:rsid w:val="001F2A9E"/>
    <w:rsid w:val="00204EC9"/>
    <w:rsid w:val="0020767C"/>
    <w:rsid w:val="002111F5"/>
    <w:rsid w:val="00245D7C"/>
    <w:rsid w:val="00294F0C"/>
    <w:rsid w:val="002A2EFC"/>
    <w:rsid w:val="002A5779"/>
    <w:rsid w:val="002D5AAC"/>
    <w:rsid w:val="00301299"/>
    <w:rsid w:val="00322004"/>
    <w:rsid w:val="003402C2"/>
    <w:rsid w:val="00370D6A"/>
    <w:rsid w:val="00381C24"/>
    <w:rsid w:val="003958D0"/>
    <w:rsid w:val="003B49AA"/>
    <w:rsid w:val="003E5057"/>
    <w:rsid w:val="00416CBD"/>
    <w:rsid w:val="00432466"/>
    <w:rsid w:val="00454E07"/>
    <w:rsid w:val="0046137D"/>
    <w:rsid w:val="00461E90"/>
    <w:rsid w:val="004762CA"/>
    <w:rsid w:val="0050108D"/>
    <w:rsid w:val="00512683"/>
    <w:rsid w:val="0054588C"/>
    <w:rsid w:val="00571AAE"/>
    <w:rsid w:val="00572E19"/>
    <w:rsid w:val="005A7C9A"/>
    <w:rsid w:val="005C2C77"/>
    <w:rsid w:val="005D0D27"/>
    <w:rsid w:val="005F0B42"/>
    <w:rsid w:val="00624AE7"/>
    <w:rsid w:val="00644628"/>
    <w:rsid w:val="006607EA"/>
    <w:rsid w:val="006666E3"/>
    <w:rsid w:val="006A1BEF"/>
    <w:rsid w:val="006B070E"/>
    <w:rsid w:val="006F35EE"/>
    <w:rsid w:val="007430DA"/>
    <w:rsid w:val="0075205D"/>
    <w:rsid w:val="00766F71"/>
    <w:rsid w:val="00776DFB"/>
    <w:rsid w:val="00780E55"/>
    <w:rsid w:val="00790FD2"/>
    <w:rsid w:val="007B491C"/>
    <w:rsid w:val="007D6339"/>
    <w:rsid w:val="007D6ED2"/>
    <w:rsid w:val="007E7683"/>
    <w:rsid w:val="007F3232"/>
    <w:rsid w:val="00834B71"/>
    <w:rsid w:val="0086445C"/>
    <w:rsid w:val="0086509C"/>
    <w:rsid w:val="00887D1B"/>
    <w:rsid w:val="008A08D7"/>
    <w:rsid w:val="008B03BC"/>
    <w:rsid w:val="008B23B9"/>
    <w:rsid w:val="008E5DB5"/>
    <w:rsid w:val="00906890"/>
    <w:rsid w:val="00914C7D"/>
    <w:rsid w:val="00951972"/>
    <w:rsid w:val="00956CBC"/>
    <w:rsid w:val="00971EAC"/>
    <w:rsid w:val="00977B28"/>
    <w:rsid w:val="009B111C"/>
    <w:rsid w:val="009B5447"/>
    <w:rsid w:val="009D3313"/>
    <w:rsid w:val="009D59FB"/>
    <w:rsid w:val="009F4B1D"/>
    <w:rsid w:val="00A13E34"/>
    <w:rsid w:val="00A50E4A"/>
    <w:rsid w:val="00A55D8C"/>
    <w:rsid w:val="00A84966"/>
    <w:rsid w:val="00A917B3"/>
    <w:rsid w:val="00A96B77"/>
    <w:rsid w:val="00AB4B51"/>
    <w:rsid w:val="00AC13CB"/>
    <w:rsid w:val="00AE1EAB"/>
    <w:rsid w:val="00AE3F83"/>
    <w:rsid w:val="00AF1011"/>
    <w:rsid w:val="00B0176D"/>
    <w:rsid w:val="00B106BA"/>
    <w:rsid w:val="00B10CC7"/>
    <w:rsid w:val="00B20E4A"/>
    <w:rsid w:val="00B27EB9"/>
    <w:rsid w:val="00B62458"/>
    <w:rsid w:val="00B83C9F"/>
    <w:rsid w:val="00B84F8F"/>
    <w:rsid w:val="00B950A6"/>
    <w:rsid w:val="00BC12E0"/>
    <w:rsid w:val="00BC4EF3"/>
    <w:rsid w:val="00BD33EE"/>
    <w:rsid w:val="00C51D68"/>
    <w:rsid w:val="00C54B12"/>
    <w:rsid w:val="00C60F0C"/>
    <w:rsid w:val="00C805C9"/>
    <w:rsid w:val="00C95327"/>
    <w:rsid w:val="00CA1679"/>
    <w:rsid w:val="00CB3851"/>
    <w:rsid w:val="00CD1300"/>
    <w:rsid w:val="00CF10F2"/>
    <w:rsid w:val="00D55D40"/>
    <w:rsid w:val="00D87C99"/>
    <w:rsid w:val="00D90138"/>
    <w:rsid w:val="00D94C21"/>
    <w:rsid w:val="00DA3F09"/>
    <w:rsid w:val="00DD5249"/>
    <w:rsid w:val="00E0442F"/>
    <w:rsid w:val="00E1083A"/>
    <w:rsid w:val="00E63BE7"/>
    <w:rsid w:val="00E7260D"/>
    <w:rsid w:val="00E73F76"/>
    <w:rsid w:val="00E94142"/>
    <w:rsid w:val="00EA53DF"/>
    <w:rsid w:val="00EB11DA"/>
    <w:rsid w:val="00EB19DA"/>
    <w:rsid w:val="00EF1360"/>
    <w:rsid w:val="00EF3220"/>
    <w:rsid w:val="00EF57B7"/>
    <w:rsid w:val="00F102A5"/>
    <w:rsid w:val="00F33585"/>
    <w:rsid w:val="00F7213E"/>
    <w:rsid w:val="00FB5A89"/>
    <w:rsid w:val="00FB5CDD"/>
    <w:rsid w:val="00FD2EF7"/>
    <w:rsid w:val="00FD77F4"/>
    <w:rsid w:val="00FF6D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508D2"/>
  <w15:docId w15:val="{08EBD3B9-93AB-41A5-9034-4B934FCE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7607"/>
    <w:pPr>
      <w:spacing w:line="240" w:lineRule="atLeast"/>
    </w:pPr>
    <w:rPr>
      <w:lang w:val="es-ES" w:eastAsia="es-ES"/>
    </w:rPr>
  </w:style>
  <w:style w:type="paragraph" w:styleId="Heading1">
    <w:name w:val="heading 1"/>
    <w:aliases w:val="Table_G"/>
    <w:basedOn w:val="SingleTxtG"/>
    <w:next w:val="SingleTxtG"/>
    <w:rsid w:val="006B070E"/>
    <w:pPr>
      <w:keepNext/>
      <w:spacing w:after="0" w:line="240" w:lineRule="auto"/>
      <w:outlineLvl w:val="0"/>
    </w:pPr>
    <w:rPr>
      <w:rFonts w:cs="Arial"/>
      <w:bCs/>
      <w:szCs w:val="32"/>
    </w:rPr>
  </w:style>
  <w:style w:type="paragraph" w:styleId="Heading2">
    <w:name w:val="heading 2"/>
    <w:basedOn w:val="Normal"/>
    <w:next w:val="Normal"/>
    <w:semiHidden/>
    <w:rsid w:val="000560CF"/>
    <w:pPr>
      <w:keepNext/>
      <w:outlineLvl w:val="1"/>
    </w:pPr>
    <w:rPr>
      <w:rFonts w:cs="Arial"/>
      <w:bCs/>
      <w:iCs/>
      <w:szCs w:val="28"/>
    </w:rPr>
  </w:style>
  <w:style w:type="paragraph" w:styleId="Heading3">
    <w:name w:val="heading 3"/>
    <w:basedOn w:val="Normal"/>
    <w:next w:val="Normal"/>
    <w:semiHidden/>
    <w:rsid w:val="000560CF"/>
    <w:pPr>
      <w:keepNext/>
      <w:spacing w:before="240" w:after="60"/>
      <w:outlineLvl w:val="2"/>
    </w:pPr>
    <w:rPr>
      <w:rFonts w:ascii="Arial" w:hAnsi="Arial" w:cs="Arial"/>
      <w:b/>
      <w:bCs/>
      <w:sz w:val="26"/>
      <w:szCs w:val="26"/>
    </w:rPr>
  </w:style>
  <w:style w:type="paragraph" w:styleId="Heading4">
    <w:name w:val="heading 4"/>
    <w:basedOn w:val="Normal"/>
    <w:next w:val="Normal"/>
    <w:semiHidden/>
    <w:rsid w:val="000560CF"/>
    <w:pPr>
      <w:keepNext/>
      <w:spacing w:before="240" w:after="60"/>
      <w:outlineLvl w:val="3"/>
    </w:pPr>
    <w:rPr>
      <w:b/>
      <w:bCs/>
      <w:sz w:val="28"/>
      <w:szCs w:val="28"/>
    </w:rPr>
  </w:style>
  <w:style w:type="paragraph" w:styleId="Heading5">
    <w:name w:val="heading 5"/>
    <w:basedOn w:val="Normal"/>
    <w:next w:val="Normal"/>
    <w:semiHidden/>
    <w:rsid w:val="000560CF"/>
    <w:pPr>
      <w:spacing w:before="240" w:after="60"/>
      <w:outlineLvl w:val="4"/>
    </w:pPr>
    <w:rPr>
      <w:b/>
      <w:bCs/>
      <w:i/>
      <w:iCs/>
      <w:sz w:val="26"/>
      <w:szCs w:val="26"/>
    </w:rPr>
  </w:style>
  <w:style w:type="paragraph" w:styleId="Heading6">
    <w:name w:val="heading 6"/>
    <w:basedOn w:val="Normal"/>
    <w:next w:val="Normal"/>
    <w:semiHidden/>
    <w:rsid w:val="000560CF"/>
    <w:pPr>
      <w:spacing w:before="240" w:after="60"/>
      <w:outlineLvl w:val="5"/>
    </w:pPr>
    <w:rPr>
      <w:b/>
      <w:bCs/>
      <w:sz w:val="22"/>
      <w:szCs w:val="22"/>
    </w:rPr>
  </w:style>
  <w:style w:type="paragraph" w:styleId="Heading7">
    <w:name w:val="heading 7"/>
    <w:basedOn w:val="Normal"/>
    <w:next w:val="Normal"/>
    <w:semiHidden/>
    <w:rsid w:val="000560CF"/>
    <w:pPr>
      <w:spacing w:before="240" w:after="60"/>
      <w:outlineLvl w:val="6"/>
    </w:pPr>
    <w:rPr>
      <w:sz w:val="24"/>
      <w:szCs w:val="24"/>
    </w:rPr>
  </w:style>
  <w:style w:type="paragraph" w:styleId="Heading8">
    <w:name w:val="heading 8"/>
    <w:basedOn w:val="Normal"/>
    <w:next w:val="Normal"/>
    <w:semiHidden/>
    <w:rsid w:val="000560CF"/>
    <w:pPr>
      <w:spacing w:before="240" w:after="60"/>
      <w:outlineLvl w:val="7"/>
    </w:pPr>
    <w:rPr>
      <w:i/>
      <w:iCs/>
      <w:sz w:val="24"/>
      <w:szCs w:val="24"/>
    </w:rPr>
  </w:style>
  <w:style w:type="paragraph" w:styleId="Heading9">
    <w:name w:val="heading 9"/>
    <w:basedOn w:val="Normal"/>
    <w:next w:val="Normal"/>
    <w:semiHidden/>
    <w:rsid w:val="000560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basedOn w:val="DefaultParagraphFont"/>
    <w:rsid w:val="000560CF"/>
    <w:rPr>
      <w:rFonts w:ascii="Times New Roman" w:hAnsi="Times New Roman"/>
      <w:sz w:val="18"/>
      <w:vertAlign w:val="superscript"/>
    </w:rPr>
  </w:style>
  <w:style w:type="paragraph" w:customStyle="1" w:styleId="HMG">
    <w:name w:val="_ H __M_G"/>
    <w:basedOn w:val="Normal"/>
    <w:next w:val="Normal"/>
    <w:qFormat/>
    <w:rsid w:val="000560CF"/>
    <w:pPr>
      <w:keepNext/>
      <w:keepLines/>
      <w:tabs>
        <w:tab w:val="right" w:pos="851"/>
      </w:tabs>
      <w:suppressAutoHyphens/>
      <w:spacing w:before="240" w:after="240" w:line="360" w:lineRule="exact"/>
      <w:ind w:left="1134" w:right="1134" w:hanging="1134"/>
      <w:outlineLvl w:val="0"/>
    </w:pPr>
    <w:rPr>
      <w:b/>
      <w:sz w:val="34"/>
    </w:rPr>
  </w:style>
  <w:style w:type="paragraph" w:customStyle="1" w:styleId="HChG">
    <w:name w:val="_ H _Ch_G"/>
    <w:basedOn w:val="Normal"/>
    <w:next w:val="Normal"/>
    <w:qFormat/>
    <w:rsid w:val="000560CF"/>
    <w:pPr>
      <w:keepNext/>
      <w:keepLines/>
      <w:tabs>
        <w:tab w:val="right" w:pos="851"/>
      </w:tabs>
      <w:suppressAutoHyphens/>
      <w:spacing w:before="360" w:after="240" w:line="300" w:lineRule="exact"/>
      <w:ind w:left="1134" w:right="1134" w:hanging="1134"/>
      <w:outlineLvl w:val="1"/>
    </w:pPr>
    <w:rPr>
      <w:b/>
      <w:sz w:val="28"/>
    </w:rPr>
  </w:style>
  <w:style w:type="paragraph" w:customStyle="1" w:styleId="H1G">
    <w:name w:val="_ H_1_G"/>
    <w:basedOn w:val="Normal"/>
    <w:next w:val="Normal"/>
    <w:qFormat/>
    <w:rsid w:val="000560CF"/>
    <w:pPr>
      <w:keepNext/>
      <w:keepLines/>
      <w:tabs>
        <w:tab w:val="right" w:pos="851"/>
      </w:tabs>
      <w:suppressAutoHyphens/>
      <w:spacing w:before="360" w:after="240" w:line="270" w:lineRule="exact"/>
      <w:ind w:left="1134" w:right="1134" w:hanging="1134"/>
      <w:outlineLvl w:val="2"/>
    </w:pPr>
    <w:rPr>
      <w:b/>
      <w:sz w:val="24"/>
    </w:rPr>
  </w:style>
  <w:style w:type="paragraph" w:customStyle="1" w:styleId="H23G">
    <w:name w:val="_ H_2/3_G"/>
    <w:basedOn w:val="Normal"/>
    <w:next w:val="Normal"/>
    <w:qFormat/>
    <w:rsid w:val="000560CF"/>
    <w:pPr>
      <w:keepNext/>
      <w:keepLines/>
      <w:tabs>
        <w:tab w:val="right" w:pos="851"/>
      </w:tabs>
      <w:suppressAutoHyphens/>
      <w:spacing w:before="240" w:after="120" w:line="240" w:lineRule="exact"/>
      <w:ind w:left="1134" w:right="1134" w:hanging="1134"/>
      <w:outlineLvl w:val="3"/>
    </w:pPr>
    <w:rPr>
      <w:b/>
    </w:rPr>
  </w:style>
  <w:style w:type="paragraph" w:customStyle="1" w:styleId="H4G">
    <w:name w:val="_ H_4_G"/>
    <w:basedOn w:val="Normal"/>
    <w:next w:val="Normal"/>
    <w:qFormat/>
    <w:rsid w:val="000560CF"/>
    <w:pPr>
      <w:keepNext/>
      <w:keepLines/>
      <w:tabs>
        <w:tab w:val="right" w:pos="851"/>
      </w:tabs>
      <w:suppressAutoHyphens/>
      <w:spacing w:before="240" w:after="120" w:line="240" w:lineRule="exact"/>
      <w:ind w:left="1134" w:right="1134" w:hanging="1134"/>
      <w:outlineLvl w:val="4"/>
    </w:pPr>
    <w:rPr>
      <w:i/>
    </w:rPr>
  </w:style>
  <w:style w:type="paragraph" w:customStyle="1" w:styleId="H56G">
    <w:name w:val="_ H_5/6_G"/>
    <w:basedOn w:val="Normal"/>
    <w:next w:val="Normal"/>
    <w:qFormat/>
    <w:rsid w:val="000560CF"/>
    <w:pPr>
      <w:keepNext/>
      <w:keepLines/>
      <w:tabs>
        <w:tab w:val="right" w:pos="851"/>
      </w:tabs>
      <w:suppressAutoHyphens/>
      <w:spacing w:before="240" w:after="120" w:line="240" w:lineRule="exact"/>
      <w:ind w:left="1134" w:right="1134" w:hanging="1134"/>
      <w:outlineLvl w:val="5"/>
    </w:pPr>
  </w:style>
  <w:style w:type="paragraph" w:styleId="Header">
    <w:name w:val="header"/>
    <w:aliases w:val="6_G"/>
    <w:basedOn w:val="Normal"/>
    <w:next w:val="Normal"/>
    <w:rsid w:val="00FB5CDD"/>
    <w:pPr>
      <w:pBdr>
        <w:bottom w:val="single" w:sz="4" w:space="4" w:color="auto"/>
      </w:pBdr>
      <w:spacing w:line="240" w:lineRule="auto"/>
    </w:pPr>
    <w:rPr>
      <w:b/>
      <w:sz w:val="18"/>
    </w:rPr>
  </w:style>
  <w:style w:type="paragraph" w:customStyle="1" w:styleId="SingleTxtG">
    <w:name w:val="_ Single Txt_G"/>
    <w:basedOn w:val="Normal"/>
    <w:link w:val="SingleTxtGChar"/>
    <w:qFormat/>
    <w:rsid w:val="000560CF"/>
    <w:pPr>
      <w:tabs>
        <w:tab w:val="left" w:pos="1701"/>
        <w:tab w:val="left" w:pos="2268"/>
        <w:tab w:val="left" w:pos="2835"/>
      </w:tabs>
      <w:spacing w:after="120"/>
      <w:ind w:left="1134" w:right="1134"/>
      <w:jc w:val="both"/>
    </w:pPr>
  </w:style>
  <w:style w:type="paragraph" w:customStyle="1" w:styleId="SMG">
    <w:name w:val="__S_M_G"/>
    <w:basedOn w:val="Normal"/>
    <w:next w:val="Normal"/>
    <w:rsid w:val="000560CF"/>
    <w:pPr>
      <w:keepNext/>
      <w:keepLines/>
      <w:suppressAutoHyphens/>
      <w:spacing w:before="240" w:after="240" w:line="420" w:lineRule="exact"/>
      <w:ind w:left="1134" w:right="1134"/>
    </w:pPr>
    <w:rPr>
      <w:b/>
      <w:sz w:val="40"/>
    </w:rPr>
  </w:style>
  <w:style w:type="paragraph" w:customStyle="1" w:styleId="SLG">
    <w:name w:val="__S_L_G"/>
    <w:basedOn w:val="Normal"/>
    <w:next w:val="Normal"/>
    <w:rsid w:val="000560CF"/>
    <w:pPr>
      <w:keepNext/>
      <w:keepLines/>
      <w:spacing w:before="240" w:after="240" w:line="580" w:lineRule="exact"/>
      <w:ind w:left="1134" w:right="1134"/>
    </w:pPr>
    <w:rPr>
      <w:b/>
      <w:sz w:val="56"/>
    </w:rPr>
  </w:style>
  <w:style w:type="paragraph" w:customStyle="1" w:styleId="SSG">
    <w:name w:val="__S_S_G"/>
    <w:basedOn w:val="Normal"/>
    <w:next w:val="Normal"/>
    <w:rsid w:val="000560CF"/>
    <w:pPr>
      <w:keepNext/>
      <w:keepLines/>
      <w:spacing w:before="240" w:after="240" w:line="300" w:lineRule="exact"/>
      <w:ind w:left="1134" w:right="1134"/>
    </w:pPr>
    <w:rPr>
      <w:b/>
      <w:sz w:val="28"/>
    </w:rPr>
  </w:style>
  <w:style w:type="paragraph" w:styleId="Footer">
    <w:name w:val="footer"/>
    <w:aliases w:val="3_G"/>
    <w:basedOn w:val="Normal"/>
    <w:next w:val="Normal"/>
    <w:rsid w:val="000560CF"/>
    <w:rPr>
      <w:sz w:val="16"/>
    </w:rPr>
  </w:style>
  <w:style w:type="paragraph" w:customStyle="1" w:styleId="XLargeG">
    <w:name w:val="__XLarge_G"/>
    <w:basedOn w:val="Normal"/>
    <w:next w:val="Normal"/>
    <w:rsid w:val="000560CF"/>
    <w:pPr>
      <w:keepNext/>
      <w:keepLines/>
      <w:spacing w:before="240" w:after="240" w:line="420" w:lineRule="exact"/>
      <w:ind w:left="1134" w:right="1134"/>
    </w:pPr>
    <w:rPr>
      <w:b/>
      <w:sz w:val="40"/>
    </w:rPr>
  </w:style>
  <w:style w:type="paragraph" w:styleId="FootnoteText">
    <w:name w:val="footnote text"/>
    <w:aliases w:val="5_G"/>
    <w:basedOn w:val="Normal"/>
    <w:rsid w:val="000560CF"/>
    <w:pPr>
      <w:tabs>
        <w:tab w:val="right" w:pos="1021"/>
      </w:tabs>
      <w:spacing w:line="220" w:lineRule="exact"/>
      <w:ind w:left="1134" w:right="1134" w:hanging="1134"/>
    </w:pPr>
    <w:rPr>
      <w:sz w:val="18"/>
    </w:rPr>
  </w:style>
  <w:style w:type="table" w:styleId="TableGrid">
    <w:name w:val="Table Grid"/>
    <w:basedOn w:val="TableNormal"/>
    <w:uiPriority w:val="59"/>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0560CF"/>
    <w:pPr>
      <w:numPr>
        <w:numId w:val="3"/>
      </w:numPr>
    </w:pPr>
  </w:style>
  <w:style w:type="numbering" w:styleId="1ai">
    <w:name w:val="Outline List 1"/>
    <w:basedOn w:val="NoList"/>
    <w:semiHidden/>
    <w:rsid w:val="000560CF"/>
    <w:pPr>
      <w:numPr>
        <w:numId w:val="4"/>
      </w:numPr>
    </w:pPr>
  </w:style>
  <w:style w:type="character" w:styleId="HTMLAcronym">
    <w:name w:val="HTML Acronym"/>
    <w:basedOn w:val="DefaultParagraphFont"/>
    <w:semiHidden/>
    <w:rsid w:val="000560CF"/>
  </w:style>
  <w:style w:type="numbering" w:styleId="ArticleSection">
    <w:name w:val="Outline List 3"/>
    <w:basedOn w:val="NoList"/>
    <w:semiHidden/>
    <w:rsid w:val="000560CF"/>
    <w:pPr>
      <w:numPr>
        <w:numId w:val="5"/>
      </w:numPr>
    </w:pPr>
  </w:style>
  <w:style w:type="paragraph" w:styleId="Closing">
    <w:name w:val="Closing"/>
    <w:basedOn w:val="Normal"/>
    <w:semiHidden/>
    <w:rsid w:val="000560CF"/>
    <w:pPr>
      <w:ind w:left="4252"/>
    </w:pPr>
  </w:style>
  <w:style w:type="character" w:styleId="HTMLCite">
    <w:name w:val="HTML Cite"/>
    <w:basedOn w:val="DefaultParagraphFont"/>
    <w:semiHidden/>
    <w:rsid w:val="000560CF"/>
    <w:rPr>
      <w:i/>
      <w:iCs/>
    </w:rPr>
  </w:style>
  <w:style w:type="character" w:styleId="HTMLCode">
    <w:name w:val="HTML Code"/>
    <w:basedOn w:val="DefaultParagraphFont"/>
    <w:semiHidden/>
    <w:rsid w:val="000560CF"/>
    <w:rPr>
      <w:rFonts w:ascii="Courier New" w:hAnsi="Courier New" w:cs="Courier New"/>
      <w:sz w:val="20"/>
      <w:szCs w:val="20"/>
    </w:rPr>
  </w:style>
  <w:style w:type="paragraph" w:styleId="ListContinue">
    <w:name w:val="List Continue"/>
    <w:basedOn w:val="Normal"/>
    <w:semiHidden/>
    <w:rsid w:val="000560CF"/>
    <w:pPr>
      <w:spacing w:after="120"/>
      <w:ind w:left="283"/>
    </w:pPr>
  </w:style>
  <w:style w:type="paragraph" w:styleId="ListContinue2">
    <w:name w:val="List Continue 2"/>
    <w:basedOn w:val="Normal"/>
    <w:semiHidden/>
    <w:rsid w:val="000560CF"/>
    <w:pPr>
      <w:spacing w:after="120"/>
      <w:ind w:left="566"/>
    </w:pPr>
  </w:style>
  <w:style w:type="paragraph" w:styleId="ListContinue3">
    <w:name w:val="List Continue 3"/>
    <w:basedOn w:val="Normal"/>
    <w:semiHidden/>
    <w:rsid w:val="000560CF"/>
    <w:pPr>
      <w:spacing w:after="120"/>
      <w:ind w:left="849"/>
    </w:pPr>
  </w:style>
  <w:style w:type="paragraph" w:styleId="ListContinue4">
    <w:name w:val="List Continue 4"/>
    <w:basedOn w:val="Normal"/>
    <w:semiHidden/>
    <w:rsid w:val="000560CF"/>
    <w:pPr>
      <w:spacing w:after="120"/>
      <w:ind w:left="1132"/>
    </w:pPr>
  </w:style>
  <w:style w:type="paragraph" w:styleId="ListContinue5">
    <w:name w:val="List Continue 5"/>
    <w:basedOn w:val="Normal"/>
    <w:semiHidden/>
    <w:rsid w:val="000560CF"/>
    <w:pPr>
      <w:spacing w:after="120"/>
      <w:ind w:left="1415"/>
    </w:pPr>
  </w:style>
  <w:style w:type="character" w:styleId="HTMLDefinition">
    <w:name w:val="HTML Definition"/>
    <w:basedOn w:val="DefaultParagraphFont"/>
    <w:semiHidden/>
    <w:rsid w:val="000560CF"/>
    <w:rPr>
      <w:i/>
      <w:iCs/>
    </w:rPr>
  </w:style>
  <w:style w:type="paragraph" w:styleId="HTMLAddress">
    <w:name w:val="HTML Address"/>
    <w:basedOn w:val="Normal"/>
    <w:semiHidden/>
    <w:rsid w:val="000560CF"/>
    <w:rPr>
      <w:i/>
      <w:iCs/>
    </w:rPr>
  </w:style>
  <w:style w:type="paragraph" w:styleId="EnvelopeAddress">
    <w:name w:val="envelope address"/>
    <w:basedOn w:val="Normal"/>
    <w:semiHidden/>
    <w:rsid w:val="000560CF"/>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0560CF"/>
    <w:rPr>
      <w:rFonts w:ascii="Courier New" w:hAnsi="Courier New" w:cs="Courier New"/>
    </w:rPr>
  </w:style>
  <w:style w:type="paragraph" w:styleId="MessageHeader">
    <w:name w:val="Message Header"/>
    <w:basedOn w:val="Normal"/>
    <w:semiHidden/>
    <w:rsid w:val="000560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0560CF"/>
  </w:style>
  <w:style w:type="character" w:styleId="Emphasis">
    <w:name w:val="Emphasis"/>
    <w:basedOn w:val="DefaultParagraphFont"/>
    <w:semiHidden/>
    <w:rsid w:val="000560CF"/>
    <w:rPr>
      <w:i/>
      <w:iCs/>
    </w:rPr>
  </w:style>
  <w:style w:type="paragraph" w:styleId="Date">
    <w:name w:val="Date"/>
    <w:basedOn w:val="Normal"/>
    <w:next w:val="Normal"/>
    <w:semiHidden/>
    <w:rsid w:val="000560CF"/>
  </w:style>
  <w:style w:type="paragraph" w:styleId="Signature">
    <w:name w:val="Signature"/>
    <w:basedOn w:val="Normal"/>
    <w:semiHidden/>
    <w:rsid w:val="000560CF"/>
    <w:pPr>
      <w:ind w:left="4252"/>
    </w:pPr>
  </w:style>
  <w:style w:type="paragraph" w:styleId="E-mailSignature">
    <w:name w:val="E-mail Signature"/>
    <w:basedOn w:val="Normal"/>
    <w:semiHidden/>
    <w:rsid w:val="000560CF"/>
  </w:style>
  <w:style w:type="character" w:styleId="Hyperlink">
    <w:name w:val="Hyperlink"/>
    <w:basedOn w:val="DefaultParagraphFont"/>
    <w:rsid w:val="009D59FB"/>
    <w:rPr>
      <w:color w:val="0000FF"/>
      <w:u w:val="none"/>
    </w:rPr>
  </w:style>
  <w:style w:type="character" w:styleId="FollowedHyperlink">
    <w:name w:val="FollowedHyperlink"/>
    <w:basedOn w:val="DefaultParagraphFont"/>
    <w:rsid w:val="009D59FB"/>
    <w:rPr>
      <w:color w:val="0000FF"/>
      <w:u w:val="none"/>
    </w:rPr>
  </w:style>
  <w:style w:type="paragraph" w:styleId="HTMLPreformatted">
    <w:name w:val="HTML Preformatted"/>
    <w:basedOn w:val="Normal"/>
    <w:semiHidden/>
    <w:rsid w:val="000560CF"/>
    <w:rPr>
      <w:rFonts w:ascii="Courier New" w:hAnsi="Courier New" w:cs="Courier New"/>
    </w:rPr>
  </w:style>
  <w:style w:type="paragraph" w:styleId="List">
    <w:name w:val="List"/>
    <w:basedOn w:val="Normal"/>
    <w:semiHidden/>
    <w:rsid w:val="000560CF"/>
    <w:pPr>
      <w:ind w:left="283" w:hanging="283"/>
    </w:pPr>
  </w:style>
  <w:style w:type="paragraph" w:styleId="List2">
    <w:name w:val="List 2"/>
    <w:basedOn w:val="Normal"/>
    <w:semiHidden/>
    <w:rsid w:val="000560CF"/>
    <w:pPr>
      <w:ind w:left="566" w:hanging="283"/>
    </w:pPr>
  </w:style>
  <w:style w:type="paragraph" w:styleId="List3">
    <w:name w:val="List 3"/>
    <w:basedOn w:val="Normal"/>
    <w:semiHidden/>
    <w:rsid w:val="000560CF"/>
    <w:pPr>
      <w:ind w:left="849" w:hanging="283"/>
    </w:pPr>
  </w:style>
  <w:style w:type="paragraph" w:styleId="List4">
    <w:name w:val="List 4"/>
    <w:basedOn w:val="Normal"/>
    <w:semiHidden/>
    <w:rsid w:val="000560CF"/>
    <w:pPr>
      <w:ind w:left="1132" w:hanging="283"/>
    </w:pPr>
  </w:style>
  <w:style w:type="paragraph" w:styleId="List5">
    <w:name w:val="List 5"/>
    <w:basedOn w:val="Normal"/>
    <w:semiHidden/>
    <w:rsid w:val="000560CF"/>
    <w:pPr>
      <w:ind w:left="1415" w:hanging="283"/>
    </w:pPr>
  </w:style>
  <w:style w:type="paragraph" w:styleId="ListNumber">
    <w:name w:val="List Number"/>
    <w:basedOn w:val="Normal"/>
    <w:semiHidden/>
    <w:rsid w:val="000560CF"/>
    <w:pPr>
      <w:numPr>
        <w:numId w:val="6"/>
      </w:numPr>
    </w:pPr>
  </w:style>
  <w:style w:type="paragraph" w:styleId="ListNumber2">
    <w:name w:val="List Number 2"/>
    <w:basedOn w:val="Normal"/>
    <w:semiHidden/>
    <w:rsid w:val="000560CF"/>
    <w:pPr>
      <w:numPr>
        <w:numId w:val="7"/>
      </w:numPr>
    </w:pPr>
  </w:style>
  <w:style w:type="paragraph" w:styleId="ListNumber3">
    <w:name w:val="List Number 3"/>
    <w:basedOn w:val="Normal"/>
    <w:semiHidden/>
    <w:rsid w:val="000560CF"/>
    <w:pPr>
      <w:numPr>
        <w:numId w:val="8"/>
      </w:numPr>
    </w:pPr>
  </w:style>
  <w:style w:type="paragraph" w:styleId="ListNumber4">
    <w:name w:val="List Number 4"/>
    <w:basedOn w:val="Normal"/>
    <w:semiHidden/>
    <w:rsid w:val="000560CF"/>
    <w:pPr>
      <w:numPr>
        <w:numId w:val="9"/>
      </w:numPr>
    </w:pPr>
  </w:style>
  <w:style w:type="paragraph" w:styleId="ListNumber5">
    <w:name w:val="List Number 5"/>
    <w:basedOn w:val="Normal"/>
    <w:semiHidden/>
    <w:rsid w:val="000560CF"/>
    <w:pPr>
      <w:numPr>
        <w:numId w:val="10"/>
      </w:numPr>
    </w:pPr>
  </w:style>
  <w:style w:type="paragraph" w:styleId="ListBullet">
    <w:name w:val="List Bullet"/>
    <w:basedOn w:val="Normal"/>
    <w:semiHidden/>
    <w:rsid w:val="000560CF"/>
    <w:pPr>
      <w:numPr>
        <w:numId w:val="11"/>
      </w:numPr>
    </w:pPr>
  </w:style>
  <w:style w:type="paragraph" w:styleId="ListBullet2">
    <w:name w:val="List Bullet 2"/>
    <w:basedOn w:val="Normal"/>
    <w:semiHidden/>
    <w:rsid w:val="000560CF"/>
    <w:pPr>
      <w:numPr>
        <w:numId w:val="12"/>
      </w:numPr>
    </w:pPr>
  </w:style>
  <w:style w:type="paragraph" w:styleId="ListBullet3">
    <w:name w:val="List Bullet 3"/>
    <w:basedOn w:val="Normal"/>
    <w:semiHidden/>
    <w:rsid w:val="000560CF"/>
    <w:pPr>
      <w:numPr>
        <w:numId w:val="13"/>
      </w:numPr>
    </w:pPr>
  </w:style>
  <w:style w:type="paragraph" w:styleId="ListBullet4">
    <w:name w:val="List Bullet 4"/>
    <w:basedOn w:val="Normal"/>
    <w:semiHidden/>
    <w:rsid w:val="000560CF"/>
    <w:pPr>
      <w:numPr>
        <w:numId w:val="14"/>
      </w:numPr>
    </w:pPr>
  </w:style>
  <w:style w:type="paragraph" w:styleId="ListBullet5">
    <w:name w:val="List Bullet 5"/>
    <w:basedOn w:val="Normal"/>
    <w:semiHidden/>
    <w:rsid w:val="000560CF"/>
    <w:pPr>
      <w:numPr>
        <w:numId w:val="15"/>
      </w:numPr>
    </w:pPr>
  </w:style>
  <w:style w:type="character" w:styleId="HTMLTypewriter">
    <w:name w:val="HTML Typewriter"/>
    <w:basedOn w:val="DefaultParagraphFont"/>
    <w:semiHidden/>
    <w:rsid w:val="000560CF"/>
    <w:rPr>
      <w:rFonts w:ascii="Courier New" w:hAnsi="Courier New" w:cs="Courier New"/>
      <w:sz w:val="20"/>
      <w:szCs w:val="20"/>
    </w:rPr>
  </w:style>
  <w:style w:type="paragraph" w:styleId="NormalWeb">
    <w:name w:val="Normal (Web)"/>
    <w:basedOn w:val="Normal"/>
    <w:semiHidden/>
    <w:rsid w:val="000560CF"/>
    <w:rPr>
      <w:sz w:val="24"/>
      <w:szCs w:val="24"/>
    </w:rPr>
  </w:style>
  <w:style w:type="character" w:styleId="LineNumber">
    <w:name w:val="line number"/>
    <w:basedOn w:val="DefaultParagraphFont"/>
    <w:semiHidden/>
    <w:rsid w:val="000560CF"/>
  </w:style>
  <w:style w:type="character" w:styleId="PageNumber">
    <w:name w:val="page number"/>
    <w:aliases w:val="7_G"/>
    <w:basedOn w:val="DefaultParagraphFont"/>
    <w:rsid w:val="000560CF"/>
    <w:rPr>
      <w:b/>
      <w:sz w:val="18"/>
    </w:rPr>
  </w:style>
  <w:style w:type="character" w:styleId="EndnoteReference">
    <w:name w:val="endnote reference"/>
    <w:aliases w:val="1_G"/>
    <w:basedOn w:val="FootnoteReference"/>
    <w:rsid w:val="000560CF"/>
    <w:rPr>
      <w:rFonts w:ascii="Times New Roman" w:hAnsi="Times New Roman"/>
      <w:sz w:val="18"/>
      <w:vertAlign w:val="superscript"/>
    </w:rPr>
  </w:style>
  <w:style w:type="paragraph" w:styleId="EnvelopeReturn">
    <w:name w:val="envelope return"/>
    <w:basedOn w:val="Normal"/>
    <w:semiHidden/>
    <w:rsid w:val="000560CF"/>
    <w:rPr>
      <w:rFonts w:ascii="Arial" w:hAnsi="Arial" w:cs="Arial"/>
    </w:rPr>
  </w:style>
  <w:style w:type="paragraph" w:styleId="Salutation">
    <w:name w:val="Salutation"/>
    <w:basedOn w:val="Normal"/>
    <w:next w:val="Normal"/>
    <w:semiHidden/>
    <w:rsid w:val="000560CF"/>
  </w:style>
  <w:style w:type="paragraph" w:styleId="BodyTextIndent2">
    <w:name w:val="Body Text Indent 2"/>
    <w:basedOn w:val="Normal"/>
    <w:semiHidden/>
    <w:rsid w:val="000560CF"/>
    <w:pPr>
      <w:spacing w:after="120" w:line="480" w:lineRule="auto"/>
      <w:ind w:left="283"/>
    </w:pPr>
  </w:style>
  <w:style w:type="paragraph" w:styleId="BodyTextIndent3">
    <w:name w:val="Body Text Indent 3"/>
    <w:basedOn w:val="Normal"/>
    <w:semiHidden/>
    <w:rsid w:val="000560CF"/>
    <w:pPr>
      <w:spacing w:after="120"/>
      <w:ind w:left="283"/>
    </w:pPr>
    <w:rPr>
      <w:sz w:val="16"/>
      <w:szCs w:val="16"/>
    </w:rPr>
  </w:style>
  <w:style w:type="paragraph" w:styleId="BodyTextIndent">
    <w:name w:val="Body Text Indent"/>
    <w:basedOn w:val="Normal"/>
    <w:semiHidden/>
    <w:rsid w:val="000560CF"/>
    <w:pPr>
      <w:spacing w:after="120"/>
      <w:ind w:left="283"/>
    </w:pPr>
  </w:style>
  <w:style w:type="paragraph" w:styleId="NormalIndent">
    <w:name w:val="Normal Indent"/>
    <w:basedOn w:val="Normal"/>
    <w:semiHidden/>
    <w:rsid w:val="000560CF"/>
    <w:pPr>
      <w:ind w:left="567"/>
    </w:pPr>
  </w:style>
  <w:style w:type="paragraph" w:styleId="Subtitle">
    <w:name w:val="Subtitle"/>
    <w:basedOn w:val="Normal"/>
    <w:semiHidden/>
    <w:rsid w:val="000560CF"/>
    <w:pPr>
      <w:spacing w:after="60"/>
      <w:jc w:val="center"/>
      <w:outlineLvl w:val="1"/>
    </w:pPr>
    <w:rPr>
      <w:rFonts w:ascii="Arial" w:hAnsi="Arial" w:cs="Arial"/>
      <w:sz w:val="24"/>
      <w:szCs w:val="24"/>
    </w:rPr>
  </w:style>
  <w:style w:type="table" w:styleId="TableSimple1">
    <w:name w:val="Table Simple 1"/>
    <w:basedOn w:val="TableNormal"/>
    <w:semiHidden/>
    <w:rsid w:val="000560C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560C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0560C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560C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560C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560C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0560C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560C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560C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560C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560C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560C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560C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560C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560C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560C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0560C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560C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560C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0560C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560C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560C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560C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rsid w:val="000560C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0560C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560C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560C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0560C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560C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560C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0560C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560C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560C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0560CF"/>
    <w:rPr>
      <w:rFonts w:ascii="Courier New" w:hAnsi="Courier New" w:cs="Courier New"/>
      <w:sz w:val="20"/>
      <w:szCs w:val="20"/>
    </w:rPr>
  </w:style>
  <w:style w:type="paragraph" w:styleId="BlockText">
    <w:name w:val="Block Text"/>
    <w:basedOn w:val="Normal"/>
    <w:semiHidden/>
    <w:rsid w:val="000560CF"/>
    <w:pPr>
      <w:spacing w:after="120"/>
      <w:ind w:left="1440" w:right="1440"/>
    </w:pPr>
  </w:style>
  <w:style w:type="character" w:styleId="Strong">
    <w:name w:val="Strong"/>
    <w:basedOn w:val="DefaultParagraphFont"/>
    <w:semiHidden/>
    <w:rsid w:val="000560CF"/>
    <w:rPr>
      <w:b/>
      <w:bCs/>
    </w:rPr>
  </w:style>
  <w:style w:type="paragraph" w:styleId="BodyText">
    <w:name w:val="Body Text"/>
    <w:basedOn w:val="Normal"/>
    <w:semiHidden/>
    <w:rsid w:val="000560CF"/>
    <w:pPr>
      <w:spacing w:after="120"/>
    </w:pPr>
  </w:style>
  <w:style w:type="paragraph" w:styleId="BodyText2">
    <w:name w:val="Body Text 2"/>
    <w:basedOn w:val="Normal"/>
    <w:semiHidden/>
    <w:rsid w:val="000560CF"/>
    <w:pPr>
      <w:spacing w:after="120" w:line="480" w:lineRule="auto"/>
    </w:pPr>
  </w:style>
  <w:style w:type="paragraph" w:styleId="BodyText3">
    <w:name w:val="Body Text 3"/>
    <w:basedOn w:val="Normal"/>
    <w:semiHidden/>
    <w:rsid w:val="000560CF"/>
    <w:pPr>
      <w:spacing w:after="120"/>
    </w:pPr>
    <w:rPr>
      <w:sz w:val="16"/>
      <w:szCs w:val="16"/>
    </w:rPr>
  </w:style>
  <w:style w:type="paragraph" w:styleId="BodyTextFirstIndent">
    <w:name w:val="Body Text First Indent"/>
    <w:basedOn w:val="BodyText"/>
    <w:semiHidden/>
    <w:rsid w:val="000560CF"/>
    <w:pPr>
      <w:ind w:firstLine="210"/>
    </w:pPr>
  </w:style>
  <w:style w:type="paragraph" w:styleId="BodyTextFirstIndent2">
    <w:name w:val="Body Text First Indent 2"/>
    <w:basedOn w:val="BodyTextIndent"/>
    <w:semiHidden/>
    <w:rsid w:val="000560CF"/>
    <w:pPr>
      <w:ind w:firstLine="210"/>
    </w:pPr>
  </w:style>
  <w:style w:type="paragraph" w:styleId="EndnoteText">
    <w:name w:val="endnote text"/>
    <w:aliases w:val="2_G"/>
    <w:basedOn w:val="FootnoteText"/>
    <w:rsid w:val="000560CF"/>
  </w:style>
  <w:style w:type="paragraph" w:styleId="PlainText">
    <w:name w:val="Plain Text"/>
    <w:basedOn w:val="Normal"/>
    <w:semiHidden/>
    <w:rsid w:val="000560CF"/>
    <w:rPr>
      <w:rFonts w:ascii="Courier New" w:hAnsi="Courier New" w:cs="Courier New"/>
    </w:rPr>
  </w:style>
  <w:style w:type="paragraph" w:styleId="Title">
    <w:name w:val="Title"/>
    <w:basedOn w:val="Normal"/>
    <w:semiHidden/>
    <w:rsid w:val="000560CF"/>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0560CF"/>
    <w:rPr>
      <w:i/>
      <w:iCs/>
    </w:rPr>
  </w:style>
  <w:style w:type="paragraph" w:customStyle="1" w:styleId="Bullet1G">
    <w:name w:val="_Bullet 1_G"/>
    <w:basedOn w:val="Normal"/>
    <w:qFormat/>
    <w:rsid w:val="000560CF"/>
    <w:pPr>
      <w:numPr>
        <w:numId w:val="1"/>
      </w:numPr>
      <w:spacing w:after="120"/>
      <w:ind w:right="1134"/>
      <w:jc w:val="both"/>
    </w:pPr>
    <w:rPr>
      <w:lang w:eastAsia="en-US"/>
    </w:rPr>
  </w:style>
  <w:style w:type="paragraph" w:customStyle="1" w:styleId="Bullet2G">
    <w:name w:val="_Bullet 2_G"/>
    <w:basedOn w:val="Normal"/>
    <w:qFormat/>
    <w:rsid w:val="000560CF"/>
    <w:pPr>
      <w:numPr>
        <w:numId w:val="2"/>
      </w:numPr>
      <w:spacing w:after="120"/>
      <w:ind w:right="1134"/>
      <w:jc w:val="both"/>
    </w:pPr>
  </w:style>
  <w:style w:type="paragraph" w:styleId="BalloonText">
    <w:name w:val="Balloon Text"/>
    <w:basedOn w:val="Normal"/>
    <w:link w:val="BalloonTextChar"/>
    <w:semiHidden/>
    <w:rsid w:val="00AE3F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3F83"/>
    <w:rPr>
      <w:rFonts w:ascii="Tahoma" w:hAnsi="Tahoma" w:cs="Tahoma"/>
      <w:sz w:val="16"/>
      <w:szCs w:val="16"/>
      <w:lang w:val="es-ES" w:eastAsia="es-ES"/>
    </w:rPr>
  </w:style>
  <w:style w:type="paragraph" w:customStyle="1" w:styleId="ParNoG">
    <w:name w:val="_ParNo_G"/>
    <w:basedOn w:val="Normal"/>
    <w:qFormat/>
    <w:rsid w:val="00F102A5"/>
    <w:pPr>
      <w:numPr>
        <w:numId w:val="16"/>
      </w:numPr>
      <w:tabs>
        <w:tab w:val="left" w:pos="1701"/>
        <w:tab w:val="left" w:pos="2268"/>
        <w:tab w:val="left" w:pos="2835"/>
      </w:tabs>
      <w:suppressAutoHyphens/>
      <w:kinsoku w:val="0"/>
      <w:overflowPunct w:val="0"/>
      <w:autoSpaceDE w:val="0"/>
      <w:autoSpaceDN w:val="0"/>
      <w:adjustRightInd w:val="0"/>
      <w:snapToGrid w:val="0"/>
      <w:spacing w:after="120"/>
      <w:ind w:right="1134"/>
      <w:jc w:val="both"/>
    </w:pPr>
    <w:rPr>
      <w:rFonts w:eastAsiaTheme="minorHAnsi"/>
      <w:lang w:eastAsia="en-US"/>
    </w:rPr>
  </w:style>
  <w:style w:type="character" w:customStyle="1" w:styleId="SingleTxtGChar">
    <w:name w:val="_ Single Txt_G Char"/>
    <w:link w:val="SingleTxtG"/>
    <w:qFormat/>
    <w:locked/>
    <w:rsid w:val="00AF101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package" Target="embeddings/Microsoft_Visio_Drawing1.vsdx"/><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package" Target="embeddings/Microsoft_Visio_Drawing2.vsd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emf"/><Relationship Id="rId22" Type="http://schemas.openxmlformats.org/officeDocument/2006/relationships/image" Target="media/image12.svg"/><Relationship Id="rId27" Type="http://schemas.openxmlformats.org/officeDocument/2006/relationships/footer" Target="footer3.xml"/><Relationship Id="rId30"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https://d60c-my.sharepoint.com/personal/peter_schuurman_nouryon_com/Documents/IGUS/IGUS%202019/Ad%20Hoc%20Test%20series%20H/Graph%20measuring%20times%20test%20series%20H.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2842-48FD-9C35-79B82EB7995E}"/>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u="none" strike="noStrike" baseline="0">
                    <a:effectLst/>
                    <a:latin typeface="Times New Roman" panose="02020603050405020304" pitchFamily="18" charset="0"/>
                    <a:cs typeface="Times New Roman" panose="02020603050405020304" pitchFamily="18" charset="0"/>
                  </a:rPr>
                  <a:t>Período de medición (h)</a:t>
                </a:r>
                <a:endParaRPr lang="en-US" sz="10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sz="1000" b="0" i="0" u="none" strike="noStrike" baseline="0">
                    <a:effectLst/>
                    <a:latin typeface="Times New Roman" panose="02020603050405020304" pitchFamily="18" charset="0"/>
                    <a:cs typeface="Times New Roman" panose="02020603050405020304" pitchFamily="18" charset="0"/>
                  </a:rPr>
                  <a:t>Máxima generación de calor (mW/kg)</a:t>
                </a:r>
                <a:r>
                  <a:rPr lang="en-US" sz="1000" b="0">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4FA1A0-2784-4CF2-8895-27338234F7CC}"/>
</file>

<file path=customXml/itemProps2.xml><?xml version="1.0" encoding="utf-8"?>
<ds:datastoreItem xmlns:ds="http://schemas.openxmlformats.org/officeDocument/2006/customXml" ds:itemID="{F3FBD89B-615A-488A-9958-C9DD32B421E9}"/>
</file>

<file path=customXml/itemProps3.xml><?xml version="1.0" encoding="utf-8"?>
<ds:datastoreItem xmlns:ds="http://schemas.openxmlformats.org/officeDocument/2006/customXml" ds:itemID="{46C91504-0C29-42CC-8CD9-D40765AE16F4}"/>
</file>

<file path=docProps/app.xml><?xml version="1.0" encoding="utf-8"?>
<Properties xmlns="http://schemas.openxmlformats.org/officeDocument/2006/extended-properties" xmlns:vt="http://schemas.openxmlformats.org/officeDocument/2006/docPropsVTypes">
  <Template>Normal.dotm</Template>
  <TotalTime>1</TotalTime>
  <Pages>23</Pages>
  <Words>7543</Words>
  <Characters>42998</Characters>
  <Application>Microsoft Office Word</Application>
  <DocSecurity>0</DocSecurity>
  <Lines>358</Lines>
  <Paragraphs>100</Paragraphs>
  <ScaleCrop>false</ScaleCrop>
  <HeadingPairs>
    <vt:vector size="2" baseType="variant">
      <vt:variant>
        <vt:lpstr>Título</vt:lpstr>
      </vt:variant>
      <vt:variant>
        <vt:i4>1</vt:i4>
      </vt:variant>
    </vt:vector>
  </HeadingPairs>
  <TitlesOfParts>
    <vt:vector size="1" baseType="lpstr">
      <vt:lpstr>ST/SG/AC.10/48/Add.2</vt:lpstr>
    </vt:vector>
  </TitlesOfParts>
  <Company/>
  <LinksUpToDate>false</LinksUpToDate>
  <CharactersWithSpaces>50441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ST/SG/AC.10/48/Add.2</dc:title>
  <dc:subject/>
  <dc:creator>Romina Valeria MERINO MAC-KAY</dc:creator>
  <cp:keywords/>
  <cp:lastModifiedBy>Laurence Berthet</cp:lastModifiedBy>
  <cp:revision>3</cp:revision>
  <cp:lastPrinted>2021-07-15T13:57:00Z</cp:lastPrinted>
  <dcterms:created xsi:type="dcterms:W3CDTF">2021-07-15T13:57:00Z</dcterms:created>
  <dcterms:modified xsi:type="dcterms:W3CDTF">2021-07-15T13:57:00Z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