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C41F2" w14:textId="6B377EA5" w:rsidR="00277F70" w:rsidRPr="005B7A17"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bidi="fr-FR"/>
        </w:rPr>
      </w:pPr>
      <w:r w:rsidRPr="005B7A17">
        <w:rPr>
          <w:rFonts w:ascii="Arial" w:eastAsia="Arial" w:hAnsi="Arial" w:cs="Arial"/>
          <w:bCs/>
          <w:noProof/>
          <w:szCs w:val="24"/>
          <w:lang w:eastAsia="de-DE"/>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5B7A17">
        <w:rPr>
          <w:rFonts w:ascii="Arial" w:eastAsia="Arial" w:hAnsi="Arial" w:cs="Arial"/>
          <w:bCs/>
          <w:szCs w:val="24"/>
          <w:lang w:eastAsia="de-DE"/>
        </w:rPr>
        <w:t>CCNR-ZKR/ADN/WP.15/AC.2/202</w:t>
      </w:r>
      <w:r w:rsidR="00AE0AFB" w:rsidRPr="005B7A17">
        <w:rPr>
          <w:rFonts w:ascii="Arial" w:eastAsia="Arial" w:hAnsi="Arial" w:cs="Arial"/>
          <w:bCs/>
          <w:szCs w:val="24"/>
          <w:lang w:eastAsia="de-DE"/>
        </w:rPr>
        <w:t>1</w:t>
      </w:r>
      <w:r w:rsidRPr="005B7A17">
        <w:rPr>
          <w:rFonts w:ascii="Arial" w:eastAsia="Arial" w:hAnsi="Arial" w:cs="Arial"/>
          <w:bCs/>
          <w:szCs w:val="24"/>
          <w:lang w:eastAsia="de-DE"/>
        </w:rPr>
        <w:t>/</w:t>
      </w:r>
      <w:r w:rsidR="0009739D">
        <w:rPr>
          <w:rFonts w:ascii="Arial" w:eastAsia="Arial" w:hAnsi="Arial" w:cs="Arial"/>
          <w:bCs/>
          <w:szCs w:val="24"/>
          <w:lang w:eastAsia="de-DE"/>
        </w:rPr>
        <w:t>18</w:t>
      </w:r>
    </w:p>
    <w:p w14:paraId="20DAC2EC" w14:textId="77777777" w:rsidR="00277F70" w:rsidRPr="005B7A17"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5B7A17">
        <w:rPr>
          <w:rFonts w:ascii="Arial" w:hAnsi="Arial" w:cs="Arial"/>
          <w:sz w:val="16"/>
          <w:szCs w:val="24"/>
          <w:lang w:eastAsia="de-DE"/>
        </w:rPr>
        <w:t>Allgemeine Verteilung</w:t>
      </w:r>
    </w:p>
    <w:p w14:paraId="0374A1B1" w14:textId="3DB6EA1B" w:rsidR="00277F70" w:rsidRPr="005B7A17" w:rsidRDefault="0009739D"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21</w:t>
      </w:r>
      <w:r w:rsidR="00DE6165">
        <w:rPr>
          <w:rFonts w:ascii="Arial" w:eastAsia="Arial" w:hAnsi="Arial" w:cs="Arial"/>
          <w:szCs w:val="24"/>
          <w:lang w:eastAsia="de-DE"/>
        </w:rPr>
        <w:t xml:space="preserve">. </w:t>
      </w:r>
      <w:r>
        <w:rPr>
          <w:rFonts w:ascii="Arial" w:eastAsia="Arial" w:hAnsi="Arial" w:cs="Arial"/>
          <w:szCs w:val="24"/>
          <w:lang w:eastAsia="de-DE"/>
        </w:rPr>
        <w:t>Mai</w:t>
      </w:r>
      <w:r w:rsidR="00277F70" w:rsidRPr="005B7A17">
        <w:rPr>
          <w:rFonts w:ascii="Arial" w:eastAsia="Arial" w:hAnsi="Arial" w:cs="Arial"/>
          <w:szCs w:val="24"/>
          <w:lang w:eastAsia="de-DE"/>
        </w:rPr>
        <w:t xml:space="preserve"> 20</w:t>
      </w:r>
      <w:r w:rsidR="003F5E68" w:rsidRPr="005B7A17">
        <w:rPr>
          <w:rFonts w:ascii="Arial" w:eastAsia="Arial" w:hAnsi="Arial" w:cs="Arial"/>
          <w:szCs w:val="24"/>
          <w:lang w:eastAsia="de-DE"/>
        </w:rPr>
        <w:t>2</w:t>
      </w:r>
      <w:r w:rsidR="000671E2" w:rsidRPr="005B7A17">
        <w:rPr>
          <w:rFonts w:ascii="Arial" w:eastAsia="Arial" w:hAnsi="Arial" w:cs="Arial"/>
          <w:szCs w:val="24"/>
          <w:lang w:eastAsia="de-DE"/>
        </w:rPr>
        <w:t>1</w:t>
      </w:r>
    </w:p>
    <w:p w14:paraId="2C6BC17E" w14:textId="188FAF8C" w:rsidR="00277F70" w:rsidRPr="005B7A17"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5B7A17">
        <w:rPr>
          <w:rFonts w:ascii="Arial" w:eastAsia="Arial" w:hAnsi="Arial" w:cs="Arial"/>
          <w:sz w:val="16"/>
          <w:szCs w:val="24"/>
          <w:lang w:eastAsia="de-DE"/>
        </w:rPr>
        <w:t>Or</w:t>
      </w:r>
      <w:proofErr w:type="spellEnd"/>
      <w:r w:rsidRPr="005B7A17">
        <w:rPr>
          <w:rFonts w:ascii="Arial" w:eastAsia="Arial" w:hAnsi="Arial" w:cs="Arial"/>
          <w:sz w:val="16"/>
          <w:szCs w:val="24"/>
          <w:lang w:eastAsia="de-DE"/>
        </w:rPr>
        <w:t xml:space="preserve">. </w:t>
      </w:r>
      <w:r w:rsidR="00DE6165">
        <w:rPr>
          <w:rFonts w:ascii="Arial" w:eastAsia="Arial" w:hAnsi="Arial" w:cs="Arial"/>
          <w:sz w:val="16"/>
          <w:szCs w:val="24"/>
          <w:lang w:eastAsia="de-DE"/>
        </w:rPr>
        <w:t>ENGLISCH</w:t>
      </w:r>
    </w:p>
    <w:p w14:paraId="3CEACF79" w14:textId="77777777" w:rsidR="00277F70" w:rsidRPr="005B7A17"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5B7A17"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A2432CE" w14:textId="0775FE43" w:rsidR="009873A1" w:rsidRPr="005B7A17" w:rsidRDefault="009873A1" w:rsidP="009873A1">
      <w:pPr>
        <w:tabs>
          <w:tab w:val="left" w:pos="2977"/>
        </w:tabs>
        <w:ind w:left="3960"/>
        <w:rPr>
          <w:rFonts w:ascii="Arial" w:hAnsi="Arial" w:cs="Arial"/>
          <w:b/>
          <w:sz w:val="16"/>
          <w:szCs w:val="16"/>
          <w:lang w:eastAsia="en-US"/>
        </w:rPr>
      </w:pPr>
    </w:p>
    <w:p w14:paraId="666D5097" w14:textId="77777777" w:rsidR="009873A1" w:rsidRPr="005B7A17" w:rsidRDefault="009873A1" w:rsidP="009873A1">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5B7A17">
        <w:rPr>
          <w:rFonts w:ascii="Arial" w:hAnsi="Arial"/>
          <w:noProof/>
          <w:sz w:val="16"/>
          <w:szCs w:val="24"/>
        </w:rPr>
        <w:t xml:space="preserve">GEMEINSAME EXPERTENTAGUNG FÜR DIE DEM ÜBEREINKOMMEN ÜBER DIE INTERNATIONALE BEFÖRDERUNG VON GEFÄHRLICHEN GÜTERN AUF </w:t>
      </w:r>
      <w:r w:rsidRPr="005B7A17">
        <w:rPr>
          <w:rFonts w:ascii="Arial" w:eastAsia="Calibri" w:hAnsi="Arial" w:cs="Arial"/>
          <w:sz w:val="16"/>
          <w:szCs w:val="16"/>
          <w:lang w:eastAsia="en-US"/>
        </w:rPr>
        <w:t xml:space="preserve">BINNENWASSERSTRAẞEN (ADN) </w:t>
      </w:r>
      <w:r w:rsidRPr="005B7A17">
        <w:rPr>
          <w:rFonts w:ascii="Arial" w:hAnsi="Arial"/>
          <w:noProof/>
          <w:sz w:val="16"/>
          <w:szCs w:val="24"/>
        </w:rPr>
        <w:t>BEIGEFÜGTE VERORDNUNG (SICHERHEITSAUSSCHUSS)</w:t>
      </w:r>
    </w:p>
    <w:p w14:paraId="0013FCAC" w14:textId="22493C0A" w:rsidR="00277F70" w:rsidRPr="005B7A17" w:rsidRDefault="00277F70" w:rsidP="009873A1">
      <w:pPr>
        <w:widowControl/>
        <w:tabs>
          <w:tab w:val="left" w:pos="2977"/>
        </w:tabs>
        <w:overflowPunct/>
        <w:autoSpaceDE/>
        <w:autoSpaceDN/>
        <w:adjustRightInd/>
        <w:snapToGrid w:val="0"/>
        <w:ind w:left="3960" w:firstLine="0"/>
        <w:jc w:val="left"/>
        <w:textAlignment w:val="auto"/>
        <w:rPr>
          <w:rFonts w:ascii="Arial" w:hAnsi="Arial"/>
          <w:sz w:val="16"/>
          <w:szCs w:val="24"/>
        </w:rPr>
      </w:pPr>
      <w:r w:rsidRPr="005B7A17">
        <w:rPr>
          <w:rFonts w:ascii="Arial" w:hAnsi="Arial"/>
          <w:sz w:val="16"/>
          <w:szCs w:val="24"/>
        </w:rPr>
        <w:t>(3</w:t>
      </w:r>
      <w:r w:rsidR="000671E2" w:rsidRPr="005B7A17">
        <w:rPr>
          <w:rFonts w:ascii="Arial" w:hAnsi="Arial"/>
          <w:sz w:val="16"/>
          <w:szCs w:val="24"/>
        </w:rPr>
        <w:t>8</w:t>
      </w:r>
      <w:r w:rsidRPr="005B7A17">
        <w:rPr>
          <w:rFonts w:ascii="Arial" w:hAnsi="Arial"/>
          <w:sz w:val="16"/>
          <w:szCs w:val="24"/>
        </w:rPr>
        <w:t>. Tagung, Genf, 2</w:t>
      </w:r>
      <w:r w:rsidR="000671E2" w:rsidRPr="005B7A17">
        <w:rPr>
          <w:rFonts w:ascii="Arial" w:hAnsi="Arial"/>
          <w:sz w:val="16"/>
          <w:szCs w:val="24"/>
        </w:rPr>
        <w:t>3</w:t>
      </w:r>
      <w:r w:rsidRPr="005B7A17">
        <w:rPr>
          <w:rFonts w:ascii="Arial" w:hAnsi="Arial"/>
          <w:sz w:val="16"/>
          <w:szCs w:val="24"/>
        </w:rPr>
        <w:t>.</w:t>
      </w:r>
      <w:r w:rsidR="000B2B01" w:rsidRPr="005B7A17">
        <w:rPr>
          <w:rFonts w:ascii="Arial" w:hAnsi="Arial"/>
          <w:sz w:val="16"/>
          <w:szCs w:val="24"/>
        </w:rPr>
        <w:t xml:space="preserve"> </w:t>
      </w:r>
      <w:r w:rsidR="00AE0AFB" w:rsidRPr="005B7A17">
        <w:rPr>
          <w:rFonts w:ascii="Arial" w:hAnsi="Arial"/>
          <w:sz w:val="16"/>
          <w:szCs w:val="24"/>
        </w:rPr>
        <w:t>–</w:t>
      </w:r>
      <w:r w:rsidR="000B2B01" w:rsidRPr="005B7A17">
        <w:rPr>
          <w:rFonts w:ascii="Arial" w:hAnsi="Arial"/>
          <w:sz w:val="16"/>
          <w:szCs w:val="24"/>
        </w:rPr>
        <w:t xml:space="preserve"> </w:t>
      </w:r>
      <w:r w:rsidR="00222245" w:rsidRPr="005B7A17">
        <w:rPr>
          <w:rFonts w:ascii="Arial" w:hAnsi="Arial"/>
          <w:sz w:val="16"/>
          <w:szCs w:val="24"/>
        </w:rPr>
        <w:t>2</w:t>
      </w:r>
      <w:r w:rsidR="000671E2" w:rsidRPr="005B7A17">
        <w:rPr>
          <w:rFonts w:ascii="Arial" w:hAnsi="Arial"/>
          <w:sz w:val="16"/>
          <w:szCs w:val="24"/>
        </w:rPr>
        <w:t>7</w:t>
      </w:r>
      <w:r w:rsidRPr="005B7A17">
        <w:rPr>
          <w:rFonts w:ascii="Arial" w:hAnsi="Arial"/>
          <w:sz w:val="16"/>
          <w:szCs w:val="24"/>
        </w:rPr>
        <w:t xml:space="preserve">. </w:t>
      </w:r>
      <w:r w:rsidR="000671E2" w:rsidRPr="005B7A17">
        <w:rPr>
          <w:rFonts w:ascii="Arial" w:hAnsi="Arial"/>
          <w:sz w:val="16"/>
          <w:szCs w:val="24"/>
        </w:rPr>
        <w:t>August</w:t>
      </w:r>
      <w:r w:rsidRPr="005B7A17">
        <w:rPr>
          <w:rFonts w:ascii="Arial" w:hAnsi="Arial"/>
          <w:sz w:val="16"/>
          <w:szCs w:val="24"/>
        </w:rPr>
        <w:t xml:space="preserve"> 202</w:t>
      </w:r>
      <w:r w:rsidR="00AE0AFB" w:rsidRPr="005B7A17">
        <w:rPr>
          <w:rFonts w:ascii="Arial" w:hAnsi="Arial"/>
          <w:sz w:val="16"/>
          <w:szCs w:val="24"/>
        </w:rPr>
        <w:t>1</w:t>
      </w:r>
      <w:r w:rsidRPr="005B7A17">
        <w:rPr>
          <w:rFonts w:ascii="Arial" w:hAnsi="Arial"/>
          <w:sz w:val="16"/>
          <w:szCs w:val="24"/>
        </w:rPr>
        <w:t>)</w:t>
      </w:r>
    </w:p>
    <w:p w14:paraId="19D0F3FB" w14:textId="669BD141" w:rsidR="00277F70" w:rsidRPr="005B7A17" w:rsidRDefault="00277F70" w:rsidP="00277F70">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5B7A17">
        <w:rPr>
          <w:rFonts w:ascii="Arial" w:hAnsi="Arial" w:cs="Arial"/>
          <w:sz w:val="16"/>
          <w:szCs w:val="16"/>
          <w:lang w:eastAsia="en-US"/>
        </w:rPr>
        <w:t xml:space="preserve">Punkt </w:t>
      </w:r>
      <w:r w:rsidR="0009739D">
        <w:rPr>
          <w:rFonts w:ascii="Arial" w:hAnsi="Arial" w:cs="Arial"/>
          <w:sz w:val="16"/>
          <w:szCs w:val="16"/>
          <w:lang w:eastAsia="en-US"/>
        </w:rPr>
        <w:t>5</w:t>
      </w:r>
      <w:r w:rsidR="00863D48" w:rsidRPr="005B7A17">
        <w:rPr>
          <w:rFonts w:ascii="Arial" w:hAnsi="Arial" w:cs="Arial"/>
          <w:sz w:val="16"/>
          <w:szCs w:val="16"/>
          <w:lang w:eastAsia="en-US"/>
        </w:rPr>
        <w:t>)</w:t>
      </w:r>
      <w:r w:rsidRPr="005B7A17">
        <w:rPr>
          <w:rFonts w:ascii="Arial" w:hAnsi="Arial" w:cs="Arial"/>
          <w:sz w:val="16"/>
          <w:szCs w:val="16"/>
          <w:lang w:eastAsia="en-US"/>
        </w:rPr>
        <w:t xml:space="preserve"> </w:t>
      </w:r>
      <w:r w:rsidR="00836F6E" w:rsidRPr="005B7A17">
        <w:rPr>
          <w:rFonts w:ascii="Arial" w:hAnsi="Arial" w:cs="Arial"/>
          <w:sz w:val="16"/>
          <w:szCs w:val="16"/>
          <w:lang w:eastAsia="en-US"/>
        </w:rPr>
        <w:t>der</w:t>
      </w:r>
      <w:r w:rsidRPr="005B7A17">
        <w:rPr>
          <w:rFonts w:ascii="Arial" w:hAnsi="Arial" w:cs="Arial"/>
          <w:sz w:val="16"/>
          <w:szCs w:val="16"/>
          <w:lang w:eastAsia="en-US"/>
        </w:rPr>
        <w:t xml:space="preserve"> vorläufigen Tagesordnung</w:t>
      </w:r>
    </w:p>
    <w:p w14:paraId="4114535C" w14:textId="4B633E3C" w:rsidR="000E12CF" w:rsidRPr="00F94A84" w:rsidRDefault="0009739D"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r w:rsidRPr="0009739D">
        <w:rPr>
          <w:rFonts w:ascii="Arial" w:hAnsi="Arial" w:cs="Arial"/>
          <w:b/>
          <w:bCs/>
          <w:sz w:val="16"/>
          <w:szCs w:val="16"/>
          <w:lang w:eastAsia="en-US"/>
        </w:rPr>
        <w:t>Berichte informeller Arbeitsgruppen</w:t>
      </w:r>
    </w:p>
    <w:p w14:paraId="157E58A7" w14:textId="3724991A" w:rsidR="0009739D" w:rsidRPr="0009739D" w:rsidRDefault="0009739D" w:rsidP="0009739D">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Pr>
          <w:b/>
          <w:sz w:val="28"/>
          <w:lang w:eastAsia="en-US"/>
        </w:rPr>
        <w:tab/>
      </w:r>
      <w:r>
        <w:rPr>
          <w:b/>
          <w:sz w:val="28"/>
          <w:lang w:eastAsia="en-US"/>
        </w:rPr>
        <w:tab/>
      </w:r>
      <w:r w:rsidRPr="0009739D">
        <w:rPr>
          <w:b/>
          <w:sz w:val="28"/>
          <w:lang w:eastAsia="en-US"/>
        </w:rPr>
        <w:t>Bericht über die einundzwanzigste Sitzung der Gruppe der Empfohlenen ADN-Klassifikationsgesellschaften</w:t>
      </w:r>
    </w:p>
    <w:p w14:paraId="2B1BCA59" w14:textId="77777777" w:rsidR="0009739D" w:rsidRPr="0009739D" w:rsidRDefault="0009739D" w:rsidP="0009739D">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lang w:eastAsia="en-US"/>
        </w:rPr>
      </w:pPr>
      <w:r w:rsidRPr="0009739D">
        <w:rPr>
          <w:b/>
          <w:sz w:val="24"/>
          <w:lang w:eastAsia="en-US"/>
        </w:rPr>
        <w:tab/>
      </w:r>
      <w:r w:rsidRPr="0009739D">
        <w:rPr>
          <w:b/>
          <w:sz w:val="24"/>
          <w:lang w:eastAsia="en-US"/>
        </w:rPr>
        <w:tab/>
        <w:t>Eingereicht von der Gruppe der Empfohlenen ADN-Klassifikationsgesellschaften</w:t>
      </w:r>
      <w:r w:rsidRPr="0009739D">
        <w:rPr>
          <w:bCs/>
          <w:lang w:eastAsia="en-US"/>
        </w:rPr>
        <w:footnoteReference w:customMarkFollows="1" w:id="1"/>
        <w:t>*</w:t>
      </w:r>
      <w:r w:rsidRPr="0009739D">
        <w:rPr>
          <w:bCs/>
          <w:vertAlign w:val="superscript"/>
          <w:lang w:eastAsia="en-US"/>
        </w:rPr>
        <w:t>,</w:t>
      </w:r>
      <w:r w:rsidRPr="0009739D">
        <w:rPr>
          <w:b/>
          <w:vertAlign w:val="superscript"/>
          <w:lang w:eastAsia="en-US"/>
        </w:rPr>
        <w:t xml:space="preserve"> </w:t>
      </w:r>
      <w:r w:rsidRPr="0009739D">
        <w:rPr>
          <w:bCs/>
          <w:lang w:eastAsia="en-US"/>
        </w:rPr>
        <w:footnoteReference w:customMarkFollows="1" w:id="2"/>
        <w:t>**</w:t>
      </w:r>
      <w:r w:rsidRPr="0009739D">
        <w:rPr>
          <w:b/>
          <w:sz w:val="24"/>
          <w:lang w:eastAsia="en-US"/>
        </w:rPr>
        <w:t xml:space="preserve"> </w:t>
      </w:r>
    </w:p>
    <w:p w14:paraId="642E7D57" w14:textId="77777777" w:rsidR="0009739D" w:rsidRPr="0009739D" w:rsidRDefault="0009739D" w:rsidP="0009739D">
      <w:pPr>
        <w:widowControl/>
        <w:suppressAutoHyphens/>
        <w:overflowPunct/>
        <w:autoSpaceDE/>
        <w:autoSpaceDN/>
        <w:adjustRightInd/>
        <w:spacing w:after="120" w:line="240" w:lineRule="atLeast"/>
        <w:ind w:right="1134" w:firstLine="0"/>
        <w:textAlignment w:val="auto"/>
        <w:rPr>
          <w:lang w:eastAsia="en-US"/>
        </w:rPr>
      </w:pPr>
      <w:r w:rsidRPr="0009739D">
        <w:rPr>
          <w:lang w:eastAsia="en-US"/>
        </w:rPr>
        <w:t>Termin: 18. März 2021, von 09:30 bis 16:30 Uhr</w:t>
      </w:r>
    </w:p>
    <w:p w14:paraId="668B579B" w14:textId="77777777" w:rsidR="0009739D" w:rsidRPr="0009739D" w:rsidRDefault="0009739D" w:rsidP="0009739D">
      <w:pPr>
        <w:widowControl/>
        <w:suppressAutoHyphens/>
        <w:overflowPunct/>
        <w:autoSpaceDE/>
        <w:autoSpaceDN/>
        <w:adjustRightInd/>
        <w:spacing w:after="120" w:line="240" w:lineRule="atLeast"/>
        <w:ind w:right="1134" w:firstLine="0"/>
        <w:textAlignment w:val="auto"/>
        <w:rPr>
          <w:lang w:eastAsia="en-US"/>
        </w:rPr>
      </w:pPr>
      <w:r w:rsidRPr="0009739D">
        <w:rPr>
          <w:lang w:eastAsia="en-US"/>
        </w:rPr>
        <w:t>Ort: Online - Besprechung über Microsoft Teams</w:t>
      </w:r>
    </w:p>
    <w:p w14:paraId="0AACCFD2" w14:textId="77777777" w:rsidR="0009739D" w:rsidRPr="0009739D" w:rsidRDefault="0009739D" w:rsidP="0009739D">
      <w:pPr>
        <w:widowControl/>
        <w:suppressAutoHyphens/>
        <w:overflowPunct/>
        <w:autoSpaceDE/>
        <w:autoSpaceDN/>
        <w:adjustRightInd/>
        <w:spacing w:after="120" w:line="240" w:lineRule="atLeast"/>
        <w:ind w:right="1134" w:firstLine="0"/>
        <w:textAlignment w:val="auto"/>
        <w:rPr>
          <w:lang w:eastAsia="en-US"/>
        </w:rPr>
      </w:pPr>
      <w:r w:rsidRPr="0009739D">
        <w:rPr>
          <w:lang w:eastAsia="en-US"/>
        </w:rPr>
        <w:t>Teilnehmer:</w:t>
      </w:r>
    </w:p>
    <w:p w14:paraId="22AD5E18" w14:textId="77777777" w:rsidR="0009739D" w:rsidRPr="0009739D" w:rsidRDefault="0009739D" w:rsidP="0009739D">
      <w:pPr>
        <w:pStyle w:val="ListParagraph"/>
        <w:widowControl/>
        <w:numPr>
          <w:ilvl w:val="0"/>
          <w:numId w:val="5"/>
        </w:numPr>
        <w:tabs>
          <w:tab w:val="num" w:pos="5132"/>
        </w:tabs>
        <w:suppressAutoHyphens/>
        <w:overflowPunct/>
        <w:autoSpaceDE/>
        <w:autoSpaceDN/>
        <w:adjustRightInd/>
        <w:spacing w:after="120" w:line="240" w:lineRule="atLeast"/>
        <w:ind w:right="1134"/>
        <w:textAlignment w:val="auto"/>
        <w:rPr>
          <w:lang w:eastAsia="en-US"/>
        </w:rPr>
      </w:pPr>
      <w:r w:rsidRPr="0009739D">
        <w:rPr>
          <w:lang w:eastAsia="en-US"/>
        </w:rPr>
        <w:t xml:space="preserve">Bureau Veritas (BV): Herr Guy Jacobs, Herr Raffaele </w:t>
      </w:r>
      <w:proofErr w:type="spellStart"/>
      <w:r w:rsidRPr="0009739D">
        <w:rPr>
          <w:lang w:eastAsia="en-US"/>
        </w:rPr>
        <w:t>Cocito</w:t>
      </w:r>
      <w:proofErr w:type="spellEnd"/>
    </w:p>
    <w:p w14:paraId="6FFF7809" w14:textId="77777777" w:rsidR="0009739D" w:rsidRPr="0009739D" w:rsidRDefault="0009739D" w:rsidP="0009739D">
      <w:pPr>
        <w:pStyle w:val="ListParagraph"/>
        <w:widowControl/>
        <w:numPr>
          <w:ilvl w:val="0"/>
          <w:numId w:val="5"/>
        </w:numPr>
        <w:tabs>
          <w:tab w:val="num" w:pos="5132"/>
        </w:tabs>
        <w:suppressAutoHyphens/>
        <w:overflowPunct/>
        <w:autoSpaceDE/>
        <w:autoSpaceDN/>
        <w:adjustRightInd/>
        <w:spacing w:after="120" w:line="240" w:lineRule="atLeast"/>
        <w:ind w:right="1134"/>
        <w:textAlignment w:val="auto"/>
        <w:rPr>
          <w:lang w:val="en-GB" w:eastAsia="en-US"/>
        </w:rPr>
      </w:pPr>
      <w:r w:rsidRPr="0009739D">
        <w:rPr>
          <w:lang w:val="en-GB" w:eastAsia="en-US"/>
        </w:rPr>
        <w:t xml:space="preserve">Croatian Register of Shipping (CRS): </w:t>
      </w:r>
      <w:bookmarkStart w:id="0" w:name="_Hlk75268269"/>
      <w:r w:rsidRPr="0009739D">
        <w:rPr>
          <w:lang w:val="en-GB" w:eastAsia="en-US"/>
        </w:rPr>
        <w:t xml:space="preserve">Herr </w:t>
      </w:r>
      <w:bookmarkEnd w:id="0"/>
      <w:r w:rsidRPr="0009739D">
        <w:rPr>
          <w:lang w:val="en-GB" w:eastAsia="en-US"/>
        </w:rPr>
        <w:t xml:space="preserve">Ivan </w:t>
      </w:r>
      <w:proofErr w:type="spellStart"/>
      <w:r w:rsidRPr="0009739D">
        <w:rPr>
          <w:lang w:val="en-GB" w:eastAsia="en-US"/>
        </w:rPr>
        <w:t>Bilić</w:t>
      </w:r>
      <w:proofErr w:type="spellEnd"/>
      <w:r w:rsidRPr="0009739D">
        <w:rPr>
          <w:lang w:val="en-GB" w:eastAsia="en-US"/>
        </w:rPr>
        <w:t xml:space="preserve"> </w:t>
      </w:r>
      <w:proofErr w:type="spellStart"/>
      <w:r w:rsidRPr="0009739D">
        <w:rPr>
          <w:lang w:val="en-GB" w:eastAsia="en-US"/>
        </w:rPr>
        <w:t>Prcić</w:t>
      </w:r>
      <w:proofErr w:type="spellEnd"/>
      <w:r w:rsidRPr="0009739D">
        <w:rPr>
          <w:lang w:val="en-GB" w:eastAsia="en-US"/>
        </w:rPr>
        <w:t xml:space="preserve"> (</w:t>
      </w:r>
      <w:proofErr w:type="spellStart"/>
      <w:r w:rsidRPr="0009739D">
        <w:rPr>
          <w:lang w:val="en-GB" w:eastAsia="en-US"/>
        </w:rPr>
        <w:t>Vorsitz</w:t>
      </w:r>
      <w:proofErr w:type="spellEnd"/>
      <w:r w:rsidRPr="0009739D">
        <w:rPr>
          <w:lang w:val="en-GB" w:eastAsia="en-US"/>
        </w:rPr>
        <w:t>)</w:t>
      </w:r>
    </w:p>
    <w:p w14:paraId="36ACEFC0" w14:textId="77777777" w:rsidR="0009739D" w:rsidRPr="0009739D" w:rsidRDefault="0009739D" w:rsidP="0009739D">
      <w:pPr>
        <w:pStyle w:val="ListParagraph"/>
        <w:widowControl/>
        <w:numPr>
          <w:ilvl w:val="0"/>
          <w:numId w:val="5"/>
        </w:numPr>
        <w:tabs>
          <w:tab w:val="num" w:pos="5132"/>
        </w:tabs>
        <w:suppressAutoHyphens/>
        <w:overflowPunct/>
        <w:autoSpaceDE/>
        <w:autoSpaceDN/>
        <w:adjustRightInd/>
        <w:spacing w:after="120" w:line="240" w:lineRule="atLeast"/>
        <w:ind w:right="1134"/>
        <w:textAlignment w:val="auto"/>
        <w:rPr>
          <w:lang w:val="en-GB" w:eastAsia="en-US"/>
        </w:rPr>
      </w:pPr>
      <w:r w:rsidRPr="0009739D">
        <w:rPr>
          <w:lang w:val="en-GB" w:eastAsia="en-US"/>
        </w:rPr>
        <w:t xml:space="preserve">Det Norske Veritas </w:t>
      </w:r>
      <w:r w:rsidRPr="0009739D">
        <w:rPr>
          <w:rFonts w:ascii="Helvetica" w:hAnsi="Helvetica" w:cs="Helvetica"/>
          <w:color w:val="4C4845"/>
          <w:shd w:val="clear" w:color="auto" w:fill="FFFFFF"/>
          <w:lang w:val="en-GB" w:eastAsia="en-US"/>
        </w:rPr>
        <w:t>(</w:t>
      </w:r>
      <w:r w:rsidRPr="0009739D">
        <w:rPr>
          <w:lang w:val="en-GB" w:eastAsia="en-US"/>
        </w:rPr>
        <w:t xml:space="preserve">DNV): Herr </w:t>
      </w:r>
      <w:proofErr w:type="spellStart"/>
      <w:r w:rsidRPr="0009739D">
        <w:rPr>
          <w:lang w:val="en-GB" w:eastAsia="en-US"/>
        </w:rPr>
        <w:t>Torsten</w:t>
      </w:r>
      <w:proofErr w:type="spellEnd"/>
      <w:r w:rsidRPr="0009739D">
        <w:rPr>
          <w:lang w:val="en-GB" w:eastAsia="en-US"/>
        </w:rPr>
        <w:t xml:space="preserve"> </w:t>
      </w:r>
      <w:proofErr w:type="spellStart"/>
      <w:r w:rsidRPr="0009739D">
        <w:rPr>
          <w:lang w:val="en-GB" w:eastAsia="en-US"/>
        </w:rPr>
        <w:t>Dosdahl</w:t>
      </w:r>
      <w:proofErr w:type="spellEnd"/>
      <w:r w:rsidRPr="0009739D">
        <w:rPr>
          <w:lang w:val="en-GB" w:eastAsia="en-US"/>
        </w:rPr>
        <w:t xml:space="preserve"> </w:t>
      </w:r>
    </w:p>
    <w:p w14:paraId="2376639B" w14:textId="77777777" w:rsidR="0009739D" w:rsidRPr="0009739D" w:rsidRDefault="0009739D" w:rsidP="0009739D">
      <w:pPr>
        <w:pStyle w:val="ListParagraph"/>
        <w:widowControl/>
        <w:numPr>
          <w:ilvl w:val="0"/>
          <w:numId w:val="5"/>
        </w:numPr>
        <w:tabs>
          <w:tab w:val="num" w:pos="5132"/>
        </w:tabs>
        <w:suppressAutoHyphens/>
        <w:overflowPunct/>
        <w:autoSpaceDE/>
        <w:autoSpaceDN/>
        <w:adjustRightInd/>
        <w:spacing w:after="120" w:line="240" w:lineRule="atLeast"/>
        <w:ind w:right="1134"/>
        <w:textAlignment w:val="auto"/>
        <w:rPr>
          <w:lang w:val="en-GB" w:eastAsia="en-US"/>
        </w:rPr>
      </w:pPr>
      <w:r w:rsidRPr="0009739D">
        <w:rPr>
          <w:lang w:val="en-GB" w:eastAsia="en-US"/>
        </w:rPr>
        <w:t xml:space="preserve">Lloyds Register (LR): Herr Bas </w:t>
      </w:r>
      <w:proofErr w:type="spellStart"/>
      <w:r w:rsidRPr="0009739D">
        <w:rPr>
          <w:lang w:val="en-GB" w:eastAsia="en-US"/>
        </w:rPr>
        <w:t>Joormann</w:t>
      </w:r>
      <w:proofErr w:type="spellEnd"/>
      <w:r w:rsidRPr="0009739D">
        <w:rPr>
          <w:lang w:val="en-GB" w:eastAsia="en-US"/>
        </w:rPr>
        <w:t xml:space="preserve">, Herr Karel </w:t>
      </w:r>
      <w:proofErr w:type="spellStart"/>
      <w:r w:rsidRPr="0009739D">
        <w:rPr>
          <w:lang w:val="en-GB" w:eastAsia="en-US"/>
        </w:rPr>
        <w:t>Vinke</w:t>
      </w:r>
      <w:proofErr w:type="spellEnd"/>
    </w:p>
    <w:p w14:paraId="0FD7F665" w14:textId="77777777" w:rsidR="0009739D" w:rsidRPr="0009739D" w:rsidRDefault="0009739D" w:rsidP="0009739D">
      <w:pPr>
        <w:pStyle w:val="ListParagraph"/>
        <w:widowControl/>
        <w:numPr>
          <w:ilvl w:val="0"/>
          <w:numId w:val="5"/>
        </w:numPr>
        <w:tabs>
          <w:tab w:val="num" w:pos="5132"/>
        </w:tabs>
        <w:suppressAutoHyphens/>
        <w:overflowPunct/>
        <w:autoSpaceDE/>
        <w:autoSpaceDN/>
        <w:adjustRightInd/>
        <w:spacing w:after="120" w:line="240" w:lineRule="atLeast"/>
        <w:ind w:right="1134"/>
        <w:textAlignment w:val="auto"/>
        <w:rPr>
          <w:lang w:val="en-GB" w:eastAsia="en-US"/>
        </w:rPr>
      </w:pPr>
      <w:proofErr w:type="spellStart"/>
      <w:r w:rsidRPr="0009739D">
        <w:rPr>
          <w:lang w:val="en-GB" w:eastAsia="en-US"/>
        </w:rPr>
        <w:t>Registro</w:t>
      </w:r>
      <w:proofErr w:type="spellEnd"/>
      <w:r w:rsidRPr="0009739D">
        <w:rPr>
          <w:lang w:val="en-GB" w:eastAsia="en-US"/>
        </w:rPr>
        <w:t xml:space="preserve"> </w:t>
      </w:r>
      <w:proofErr w:type="spellStart"/>
      <w:r w:rsidRPr="0009739D">
        <w:rPr>
          <w:lang w:val="en-GB" w:eastAsia="en-US"/>
        </w:rPr>
        <w:t>Italiano</w:t>
      </w:r>
      <w:proofErr w:type="spellEnd"/>
      <w:r w:rsidRPr="0009739D">
        <w:rPr>
          <w:lang w:val="en-GB" w:eastAsia="en-US"/>
        </w:rPr>
        <w:t xml:space="preserve"> </w:t>
      </w:r>
      <w:proofErr w:type="spellStart"/>
      <w:r w:rsidRPr="0009739D">
        <w:rPr>
          <w:lang w:val="en-GB" w:eastAsia="en-US"/>
        </w:rPr>
        <w:t>Navale</w:t>
      </w:r>
      <w:proofErr w:type="spellEnd"/>
      <w:r w:rsidRPr="0009739D">
        <w:rPr>
          <w:lang w:val="en-GB" w:eastAsia="en-US"/>
        </w:rPr>
        <w:t xml:space="preserve"> (RINA): Herr Patrizio Di Francesco</w:t>
      </w:r>
    </w:p>
    <w:p w14:paraId="6B14464C" w14:textId="77777777" w:rsidR="0009739D" w:rsidRPr="0009739D" w:rsidRDefault="0009739D" w:rsidP="0009739D">
      <w:pPr>
        <w:pStyle w:val="ListParagraph"/>
        <w:widowControl/>
        <w:numPr>
          <w:ilvl w:val="0"/>
          <w:numId w:val="5"/>
        </w:numPr>
        <w:tabs>
          <w:tab w:val="num" w:pos="5132"/>
        </w:tabs>
        <w:suppressAutoHyphens/>
        <w:overflowPunct/>
        <w:autoSpaceDE/>
        <w:autoSpaceDN/>
        <w:adjustRightInd/>
        <w:spacing w:after="120" w:line="240" w:lineRule="atLeast"/>
        <w:ind w:right="1134"/>
        <w:textAlignment w:val="auto"/>
        <w:rPr>
          <w:lang w:val="en-GB" w:eastAsia="en-US"/>
        </w:rPr>
      </w:pPr>
      <w:r w:rsidRPr="0009739D">
        <w:rPr>
          <w:lang w:val="en-GB" w:eastAsia="en-US"/>
        </w:rPr>
        <w:t xml:space="preserve">Russian Maritime Register of Shipping (RS): Herr Sergey </w:t>
      </w:r>
      <w:proofErr w:type="spellStart"/>
      <w:r w:rsidRPr="0009739D">
        <w:rPr>
          <w:lang w:val="en-GB" w:eastAsia="en-US"/>
        </w:rPr>
        <w:t>Legusha</w:t>
      </w:r>
      <w:proofErr w:type="spellEnd"/>
      <w:r w:rsidRPr="0009739D">
        <w:rPr>
          <w:lang w:val="en-GB" w:eastAsia="en-US"/>
        </w:rPr>
        <w:t xml:space="preserve"> </w:t>
      </w:r>
    </w:p>
    <w:p w14:paraId="03D9C800" w14:textId="77777777" w:rsidR="0009739D" w:rsidRPr="0009739D" w:rsidRDefault="0009739D" w:rsidP="0009739D">
      <w:pPr>
        <w:pStyle w:val="ListParagraph"/>
        <w:widowControl/>
        <w:numPr>
          <w:ilvl w:val="0"/>
          <w:numId w:val="5"/>
        </w:numPr>
        <w:tabs>
          <w:tab w:val="num" w:pos="5132"/>
        </w:tabs>
        <w:suppressAutoHyphens/>
        <w:overflowPunct/>
        <w:autoSpaceDE/>
        <w:autoSpaceDN/>
        <w:adjustRightInd/>
        <w:spacing w:after="120" w:line="240" w:lineRule="atLeast"/>
        <w:ind w:right="1134"/>
        <w:textAlignment w:val="auto"/>
        <w:rPr>
          <w:lang w:eastAsia="en-US"/>
        </w:rPr>
      </w:pPr>
      <w:proofErr w:type="spellStart"/>
      <w:r w:rsidRPr="0009739D">
        <w:rPr>
          <w:lang w:eastAsia="en-US"/>
        </w:rPr>
        <w:t>Russian</w:t>
      </w:r>
      <w:proofErr w:type="spellEnd"/>
      <w:r w:rsidRPr="0009739D">
        <w:rPr>
          <w:lang w:eastAsia="en-US"/>
        </w:rPr>
        <w:t xml:space="preserve"> River Register (RRR): Herr Michael </w:t>
      </w:r>
      <w:proofErr w:type="spellStart"/>
      <w:r w:rsidRPr="0009739D">
        <w:rPr>
          <w:lang w:eastAsia="en-US"/>
        </w:rPr>
        <w:t>Kozin</w:t>
      </w:r>
      <w:proofErr w:type="spellEnd"/>
    </w:p>
    <w:p w14:paraId="54DA5B2D" w14:textId="77777777" w:rsidR="0009739D" w:rsidRPr="0009739D" w:rsidRDefault="0009739D" w:rsidP="0009739D">
      <w:pPr>
        <w:pStyle w:val="ListParagraph"/>
        <w:widowControl/>
        <w:numPr>
          <w:ilvl w:val="0"/>
          <w:numId w:val="5"/>
        </w:numPr>
        <w:tabs>
          <w:tab w:val="num" w:pos="5132"/>
        </w:tabs>
        <w:suppressAutoHyphens/>
        <w:overflowPunct/>
        <w:autoSpaceDE/>
        <w:autoSpaceDN/>
        <w:adjustRightInd/>
        <w:spacing w:after="120" w:line="240" w:lineRule="atLeast"/>
        <w:ind w:right="1134"/>
        <w:textAlignment w:val="auto"/>
        <w:rPr>
          <w:lang w:val="en-GB" w:eastAsia="en-US"/>
        </w:rPr>
      </w:pPr>
      <w:r w:rsidRPr="0009739D">
        <w:rPr>
          <w:lang w:val="en-GB" w:eastAsia="en-US"/>
        </w:rPr>
        <w:t xml:space="preserve">Shipping Register of Ukraine (SRU): Herr </w:t>
      </w:r>
      <w:proofErr w:type="spellStart"/>
      <w:r w:rsidRPr="0009739D">
        <w:rPr>
          <w:lang w:val="en-GB" w:eastAsia="en-US"/>
        </w:rPr>
        <w:t>Mykola</w:t>
      </w:r>
      <w:proofErr w:type="spellEnd"/>
      <w:r w:rsidRPr="0009739D">
        <w:rPr>
          <w:lang w:val="en-GB" w:eastAsia="en-US"/>
        </w:rPr>
        <w:t xml:space="preserve"> </w:t>
      </w:r>
      <w:proofErr w:type="spellStart"/>
      <w:r w:rsidRPr="0009739D">
        <w:rPr>
          <w:lang w:val="en-GB" w:eastAsia="en-US"/>
        </w:rPr>
        <w:t>Slozko</w:t>
      </w:r>
      <w:proofErr w:type="spellEnd"/>
    </w:p>
    <w:p w14:paraId="57E8A982" w14:textId="77777777" w:rsidR="0009739D" w:rsidRPr="0009739D" w:rsidRDefault="0009739D" w:rsidP="0009739D">
      <w:pPr>
        <w:widowControl/>
        <w:suppressAutoHyphens/>
        <w:overflowPunct/>
        <w:autoSpaceDE/>
        <w:autoSpaceDN/>
        <w:adjustRightInd/>
        <w:spacing w:after="120" w:line="240" w:lineRule="atLeast"/>
        <w:ind w:right="1134" w:firstLine="0"/>
        <w:textAlignment w:val="auto"/>
        <w:rPr>
          <w:lang w:eastAsia="en-US"/>
        </w:rPr>
      </w:pPr>
      <w:r w:rsidRPr="0009739D">
        <w:rPr>
          <w:lang w:eastAsia="en-US"/>
        </w:rPr>
        <w:t xml:space="preserve">ADN-Sicherheitsausschuss: </w:t>
      </w:r>
    </w:p>
    <w:p w14:paraId="13BBCA1A" w14:textId="77777777" w:rsidR="0009739D" w:rsidRPr="0009739D" w:rsidRDefault="0009739D" w:rsidP="0009739D">
      <w:pPr>
        <w:pStyle w:val="ListParagraph"/>
        <w:widowControl/>
        <w:numPr>
          <w:ilvl w:val="0"/>
          <w:numId w:val="6"/>
        </w:numPr>
        <w:tabs>
          <w:tab w:val="num" w:pos="5132"/>
        </w:tabs>
        <w:suppressAutoHyphens/>
        <w:overflowPunct/>
        <w:autoSpaceDE/>
        <w:autoSpaceDN/>
        <w:adjustRightInd/>
        <w:spacing w:after="120" w:line="240" w:lineRule="atLeast"/>
        <w:ind w:right="1134"/>
        <w:textAlignment w:val="auto"/>
        <w:rPr>
          <w:lang w:eastAsia="en-US"/>
        </w:rPr>
      </w:pPr>
      <w:r w:rsidRPr="0009739D">
        <w:rPr>
          <w:lang w:eastAsia="en-US"/>
        </w:rPr>
        <w:t>Herr Niels Remers (Niederlande, Beobachter)</w:t>
      </w:r>
    </w:p>
    <w:p w14:paraId="2645142C" w14:textId="77777777" w:rsidR="0009739D" w:rsidRPr="0009739D" w:rsidRDefault="0009739D" w:rsidP="0009739D">
      <w:pPr>
        <w:pStyle w:val="ListParagraph"/>
        <w:widowControl/>
        <w:numPr>
          <w:ilvl w:val="0"/>
          <w:numId w:val="6"/>
        </w:numPr>
        <w:tabs>
          <w:tab w:val="num" w:pos="5132"/>
        </w:tabs>
        <w:suppressAutoHyphens/>
        <w:overflowPunct/>
        <w:autoSpaceDE/>
        <w:autoSpaceDN/>
        <w:adjustRightInd/>
        <w:spacing w:after="120" w:line="240" w:lineRule="atLeast"/>
        <w:ind w:right="1134"/>
        <w:textAlignment w:val="auto"/>
        <w:rPr>
          <w:lang w:eastAsia="en-US"/>
        </w:rPr>
      </w:pPr>
      <w:r w:rsidRPr="0009739D">
        <w:rPr>
          <w:lang w:eastAsia="en-US"/>
        </w:rPr>
        <w:t>Herr Henk Langenberg (Vorsitzender des ADN-Sicherheitsausschusses)</w:t>
      </w:r>
    </w:p>
    <w:p w14:paraId="4323B5D3" w14:textId="77777777" w:rsidR="0009739D" w:rsidRPr="0009739D" w:rsidRDefault="0009739D" w:rsidP="0009739D">
      <w:pPr>
        <w:widowControl/>
        <w:suppressAutoHyphens/>
        <w:overflowPunct/>
        <w:autoSpaceDE/>
        <w:autoSpaceDN/>
        <w:adjustRightInd/>
        <w:spacing w:after="120" w:line="240" w:lineRule="atLeast"/>
        <w:ind w:right="1134" w:firstLine="0"/>
        <w:textAlignment w:val="auto"/>
        <w:rPr>
          <w:lang w:eastAsia="en-US"/>
        </w:rPr>
      </w:pPr>
      <w:r w:rsidRPr="0009739D">
        <w:rPr>
          <w:lang w:eastAsia="en-US"/>
        </w:rPr>
        <w:t>Nicht anwesend (mit Hinweisen):</w:t>
      </w:r>
    </w:p>
    <w:p w14:paraId="4C033153" w14:textId="77777777" w:rsidR="0009739D" w:rsidRPr="0009739D" w:rsidRDefault="0009739D" w:rsidP="0009739D">
      <w:pPr>
        <w:pStyle w:val="ListParagraph"/>
        <w:widowControl/>
        <w:numPr>
          <w:ilvl w:val="0"/>
          <w:numId w:val="7"/>
        </w:numPr>
        <w:tabs>
          <w:tab w:val="num" w:pos="5132"/>
        </w:tabs>
        <w:suppressAutoHyphens/>
        <w:overflowPunct/>
        <w:autoSpaceDE/>
        <w:autoSpaceDN/>
        <w:adjustRightInd/>
        <w:spacing w:after="120" w:line="240" w:lineRule="atLeast"/>
        <w:ind w:right="1134"/>
        <w:textAlignment w:val="auto"/>
        <w:rPr>
          <w:lang w:eastAsia="en-US"/>
        </w:rPr>
      </w:pPr>
      <w:r w:rsidRPr="0009739D">
        <w:rPr>
          <w:lang w:eastAsia="en-US"/>
        </w:rPr>
        <w:t xml:space="preserve">Pavlos </w:t>
      </w:r>
      <w:proofErr w:type="spellStart"/>
      <w:r w:rsidRPr="0009739D">
        <w:rPr>
          <w:lang w:eastAsia="en-US"/>
        </w:rPr>
        <w:t>Safralis</w:t>
      </w:r>
      <w:proofErr w:type="spellEnd"/>
      <w:r w:rsidRPr="0009739D">
        <w:rPr>
          <w:lang w:eastAsia="en-US"/>
        </w:rPr>
        <w:t xml:space="preserve"> (RINA)</w:t>
      </w:r>
    </w:p>
    <w:p w14:paraId="6EE12A18" w14:textId="77777777" w:rsidR="0009739D" w:rsidRDefault="0009739D">
      <w:pPr>
        <w:widowControl/>
        <w:overflowPunct/>
        <w:autoSpaceDE/>
        <w:autoSpaceDN/>
        <w:adjustRightInd/>
        <w:ind w:left="0" w:firstLine="0"/>
        <w:jc w:val="left"/>
        <w:textAlignment w:val="auto"/>
        <w:rPr>
          <w:b/>
          <w:sz w:val="28"/>
          <w:lang w:eastAsia="en-US"/>
        </w:rPr>
      </w:pPr>
      <w:r>
        <w:rPr>
          <w:b/>
          <w:sz w:val="28"/>
          <w:lang w:eastAsia="en-US"/>
        </w:rPr>
        <w:br w:type="page"/>
      </w:r>
    </w:p>
    <w:p w14:paraId="3188168B" w14:textId="66BCAA61" w:rsidR="0009739D" w:rsidRPr="0009739D" w:rsidRDefault="0009739D" w:rsidP="0009739D">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sidRPr="0009739D">
        <w:rPr>
          <w:b/>
          <w:sz w:val="28"/>
          <w:lang w:eastAsia="en-US"/>
        </w:rPr>
        <w:lastRenderedPageBreak/>
        <w:tab/>
        <w:t>I.</w:t>
      </w:r>
      <w:r w:rsidRPr="0009739D">
        <w:rPr>
          <w:b/>
          <w:sz w:val="28"/>
          <w:lang w:eastAsia="en-US"/>
        </w:rPr>
        <w:tab/>
        <w:t>Eröffnung</w:t>
      </w:r>
    </w:p>
    <w:p w14:paraId="4CD5A0B9"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lang w:eastAsia="en-US"/>
        </w:rPr>
      </w:pPr>
      <w:r w:rsidRPr="0009739D">
        <w:rPr>
          <w:lang w:eastAsia="en-US"/>
        </w:rPr>
        <w:t>1.</w:t>
      </w:r>
      <w:r w:rsidRPr="0009739D">
        <w:rPr>
          <w:lang w:eastAsia="en-US"/>
        </w:rPr>
        <w:tab/>
        <w:t xml:space="preserve">Der Vorsitzende begrüßt die Teilnehmer zu dieser Online-Sitzung und stellt zwei neue Teilnehmer vor, Herrn </w:t>
      </w:r>
      <w:proofErr w:type="spellStart"/>
      <w:r w:rsidRPr="0009739D">
        <w:rPr>
          <w:lang w:eastAsia="en-US"/>
        </w:rPr>
        <w:t>Cocito</w:t>
      </w:r>
      <w:proofErr w:type="spellEnd"/>
      <w:r w:rsidRPr="0009739D">
        <w:rPr>
          <w:lang w:eastAsia="en-US"/>
        </w:rPr>
        <w:t xml:space="preserve"> von BV und Herrn Remers von der niederländischen Delegation.</w:t>
      </w:r>
    </w:p>
    <w:p w14:paraId="3A83A4F6" w14:textId="77777777" w:rsidR="0009739D" w:rsidRPr="0009739D" w:rsidRDefault="0009739D" w:rsidP="0009739D">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sidRPr="0009739D">
        <w:rPr>
          <w:b/>
          <w:sz w:val="28"/>
          <w:lang w:eastAsia="en-US"/>
        </w:rPr>
        <w:tab/>
        <w:t>II.</w:t>
      </w:r>
      <w:r w:rsidRPr="0009739D">
        <w:rPr>
          <w:b/>
          <w:sz w:val="28"/>
          <w:lang w:eastAsia="en-US"/>
        </w:rPr>
        <w:tab/>
        <w:t>Protokoll der zwanzigsten Sitzung, Maßnahmenpunkte – Dokument 20 IG 10</w:t>
      </w:r>
    </w:p>
    <w:p w14:paraId="675C3D58"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lang w:eastAsia="en-US"/>
        </w:rPr>
      </w:pPr>
      <w:bookmarkStart w:id="1" w:name="_Hlk66878600"/>
      <w:r w:rsidRPr="0009739D">
        <w:rPr>
          <w:lang w:eastAsia="en-US"/>
        </w:rPr>
        <w:t>2.</w:t>
      </w:r>
      <w:r w:rsidRPr="0009739D">
        <w:rPr>
          <w:lang w:eastAsia="en-US"/>
        </w:rPr>
        <w:tab/>
        <w:t>Die Liste der Maßnahmenpunkte wurde diskutiert.</w:t>
      </w:r>
    </w:p>
    <w:bookmarkEnd w:id="1"/>
    <w:p w14:paraId="58AA39DA" w14:textId="77777777" w:rsidR="0009739D" w:rsidRPr="0009739D" w:rsidRDefault="0009739D" w:rsidP="0009739D">
      <w:pPr>
        <w:keepNext/>
        <w:keepLines/>
        <w:widowControl/>
        <w:tabs>
          <w:tab w:val="right" w:pos="851"/>
          <w:tab w:val="left" w:pos="1701"/>
        </w:tabs>
        <w:suppressAutoHyphens/>
        <w:overflowPunct/>
        <w:autoSpaceDE/>
        <w:autoSpaceDN/>
        <w:adjustRightInd/>
        <w:spacing w:before="240" w:after="120" w:line="240" w:lineRule="exact"/>
        <w:ind w:right="1134"/>
        <w:jc w:val="left"/>
        <w:textAlignment w:val="auto"/>
        <w:rPr>
          <w:b/>
          <w:lang w:eastAsia="en-US"/>
        </w:rPr>
      </w:pPr>
      <w:r w:rsidRPr="0009739D">
        <w:rPr>
          <w:b/>
          <w:lang w:eastAsia="en-US"/>
        </w:rPr>
        <w:tab/>
        <w:t>a)</w:t>
      </w:r>
      <w:r w:rsidRPr="0009739D">
        <w:rPr>
          <w:b/>
          <w:lang w:eastAsia="en-US"/>
        </w:rPr>
        <w:tab/>
        <w:t>Propylenoxid (Alle / LR) – Dokument 17 IG 02a</w:t>
      </w:r>
    </w:p>
    <w:p w14:paraId="157A34B8"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lang w:eastAsia="en-US"/>
        </w:rPr>
      </w:pPr>
      <w:r w:rsidRPr="0009739D">
        <w:rPr>
          <w:lang w:eastAsia="en-US"/>
        </w:rPr>
        <w:t>3.</w:t>
      </w:r>
      <w:r w:rsidRPr="0009739D">
        <w:rPr>
          <w:lang w:eastAsia="en-US"/>
        </w:rPr>
        <w:tab/>
        <w:t>LR wird weiter an diesem Thema arbeiten und ein Beispiel für das Handbuch zur Besprechung in der nächsten Sitzung vorbereiten. (Maßnahme LR)</w:t>
      </w:r>
    </w:p>
    <w:p w14:paraId="0C452621" w14:textId="77777777" w:rsidR="0009739D" w:rsidRPr="0009739D" w:rsidRDefault="0009739D" w:rsidP="0009739D">
      <w:pPr>
        <w:keepNext/>
        <w:keepLines/>
        <w:widowControl/>
        <w:tabs>
          <w:tab w:val="right" w:pos="851"/>
          <w:tab w:val="left" w:pos="1701"/>
        </w:tabs>
        <w:suppressAutoHyphens/>
        <w:overflowPunct/>
        <w:autoSpaceDE/>
        <w:autoSpaceDN/>
        <w:adjustRightInd/>
        <w:spacing w:before="240" w:after="120" w:line="240" w:lineRule="exact"/>
        <w:ind w:right="1134"/>
        <w:jc w:val="left"/>
        <w:textAlignment w:val="auto"/>
        <w:rPr>
          <w:b/>
          <w:lang w:eastAsia="en-US"/>
        </w:rPr>
      </w:pPr>
      <w:r w:rsidRPr="0009739D">
        <w:rPr>
          <w:b/>
          <w:lang w:eastAsia="en-US"/>
        </w:rPr>
        <w:tab/>
        <w:t>b)</w:t>
      </w:r>
      <w:r w:rsidRPr="0009739D">
        <w:rPr>
          <w:b/>
          <w:lang w:eastAsia="en-US"/>
        </w:rPr>
        <w:tab/>
        <w:t>Arbeitsgruppe zu Abschnitt 9.3.4 – (Punkt 22 des Berichts ECE/TRANS/WP.15/AC.2/74; INF.10 und INF.25 der sechsunddreißigsten Sitzung des ADN-Sicherheitsausschusses) (LR)</w:t>
      </w:r>
    </w:p>
    <w:p w14:paraId="53D464B4"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lang w:eastAsia="en-US"/>
        </w:rPr>
      </w:pPr>
      <w:r w:rsidRPr="0009739D">
        <w:rPr>
          <w:lang w:eastAsia="en-US"/>
        </w:rPr>
        <w:t>4.</w:t>
      </w:r>
      <w:r w:rsidRPr="0009739D">
        <w:rPr>
          <w:lang w:eastAsia="en-US"/>
        </w:rPr>
        <w:tab/>
        <w:t xml:space="preserve">LR berichtet über den aktuellen Stand. Die </w:t>
      </w:r>
      <w:proofErr w:type="gramStart"/>
      <w:r w:rsidRPr="0009739D">
        <w:rPr>
          <w:lang w:eastAsia="en-US"/>
        </w:rPr>
        <w:t>Niederländische</w:t>
      </w:r>
      <w:proofErr w:type="gramEnd"/>
      <w:r w:rsidRPr="0009739D">
        <w:rPr>
          <w:lang w:eastAsia="en-US"/>
        </w:rPr>
        <w:t xml:space="preserve"> Organisation für Angewandte Naturwissenschaftliche Forschung (TNO https://www.tno.nl/en/) wird mit dem Projekt zur Aktualisierung von Abschnitt 9.3.4. einschließlich der möglichen Verwendung von größeren Ladetanks beginnen. Das Projekt wird von der Industrie finanziert. Das Kick-off-Meeting fand am 1. April 2021 mit allen beteiligten Akteuren statt. Das Projekt soll im November 2021 abgeschlossen werden, damit der Vorschlag für den ADN-Sicherheitsausschuss im Januar 2022 vorgelegt werden kann. (Maßnahme LR)</w:t>
      </w:r>
    </w:p>
    <w:p w14:paraId="16282762" w14:textId="77777777" w:rsidR="0009739D" w:rsidRPr="0009739D" w:rsidRDefault="0009739D" w:rsidP="0009739D">
      <w:pPr>
        <w:keepNext/>
        <w:keepLines/>
        <w:widowControl/>
        <w:tabs>
          <w:tab w:val="right" w:pos="851"/>
          <w:tab w:val="left" w:pos="1701"/>
        </w:tabs>
        <w:suppressAutoHyphens/>
        <w:overflowPunct/>
        <w:autoSpaceDE/>
        <w:autoSpaceDN/>
        <w:adjustRightInd/>
        <w:spacing w:before="240" w:after="120" w:line="240" w:lineRule="exact"/>
        <w:ind w:right="1134"/>
        <w:jc w:val="left"/>
        <w:textAlignment w:val="auto"/>
        <w:rPr>
          <w:b/>
          <w:lang w:eastAsia="en-US"/>
        </w:rPr>
      </w:pPr>
      <w:r w:rsidRPr="0009739D">
        <w:rPr>
          <w:b/>
          <w:lang w:eastAsia="en-US"/>
        </w:rPr>
        <w:tab/>
        <w:t>c)</w:t>
      </w:r>
      <w:r w:rsidRPr="0009739D">
        <w:rPr>
          <w:b/>
          <w:lang w:eastAsia="en-US"/>
        </w:rPr>
        <w:tab/>
        <w:t>Hochgeschwindigkeitsventile in Verbindung mit höheren Temperaturen (BV) – Dokument 19 IG 02h</w:t>
      </w:r>
    </w:p>
    <w:p w14:paraId="1D7B93D9"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u w:val="single"/>
          <w:lang w:eastAsia="en-US"/>
        </w:rPr>
      </w:pPr>
      <w:r w:rsidRPr="0009739D">
        <w:rPr>
          <w:lang w:eastAsia="en-US"/>
        </w:rPr>
        <w:t>5.</w:t>
      </w:r>
      <w:r w:rsidRPr="0009739D">
        <w:rPr>
          <w:lang w:eastAsia="en-US"/>
        </w:rPr>
        <w:tab/>
        <w:t xml:space="preserve">BV erläutert die Situation, für die eine Gleichwertigkeit gefunden werden soll.  Eine Prüfung bei höherer Temperatur ist nach Auskunft von </w:t>
      </w:r>
      <w:proofErr w:type="spellStart"/>
      <w:r w:rsidRPr="0009739D">
        <w:rPr>
          <w:lang w:eastAsia="en-US"/>
        </w:rPr>
        <w:t>Protego</w:t>
      </w:r>
      <w:proofErr w:type="spellEnd"/>
      <w:r w:rsidRPr="0009739D">
        <w:rPr>
          <w:lang w:eastAsia="en-US"/>
        </w:rPr>
        <w:t xml:space="preserve"> nicht möglich. LR schlägt eine Lösung in einem Betriebsverfahren vor, wenn Produkte mit diesen Temperaturen befördert werden. RINA wird einen zweiten Hersteller um Rat fragen und BV und LR ein Dokument als Vorschlag für die nächste Sitzung vorlegen. (Maßnahme BV + RINA)</w:t>
      </w:r>
    </w:p>
    <w:p w14:paraId="28E3BCFB" w14:textId="619575B3" w:rsidR="0009739D" w:rsidRPr="0009739D" w:rsidRDefault="0009739D" w:rsidP="0009739D">
      <w:pPr>
        <w:keepNext/>
        <w:keepLines/>
        <w:widowControl/>
        <w:tabs>
          <w:tab w:val="right" w:pos="851"/>
          <w:tab w:val="left" w:pos="1701"/>
        </w:tabs>
        <w:suppressAutoHyphens/>
        <w:overflowPunct/>
        <w:autoSpaceDE/>
        <w:autoSpaceDN/>
        <w:adjustRightInd/>
        <w:spacing w:before="240" w:after="120" w:line="240" w:lineRule="exact"/>
        <w:ind w:right="1134"/>
        <w:jc w:val="left"/>
        <w:textAlignment w:val="auto"/>
        <w:rPr>
          <w:b/>
          <w:lang w:eastAsia="en-US"/>
        </w:rPr>
      </w:pPr>
      <w:r w:rsidRPr="0009739D">
        <w:rPr>
          <w:b/>
          <w:lang w:eastAsia="en-US"/>
        </w:rPr>
        <w:tab/>
        <w:t>d)</w:t>
      </w:r>
      <w:r w:rsidRPr="0009739D">
        <w:rPr>
          <w:b/>
          <w:lang w:eastAsia="en-US"/>
        </w:rPr>
        <w:tab/>
        <w:t>Probeentnahmeeinrichtungen auf Tankschiffen des Typs N (LR) – Dokument</w:t>
      </w:r>
      <w:r w:rsidR="007B6557">
        <w:rPr>
          <w:b/>
          <w:lang w:eastAsia="en-US"/>
        </w:rPr>
        <w:t> </w:t>
      </w:r>
      <w:r w:rsidRPr="0009739D">
        <w:rPr>
          <w:b/>
          <w:lang w:eastAsia="en-US"/>
        </w:rPr>
        <w:t xml:space="preserve">17 IG 04j </w:t>
      </w:r>
      <w:r w:rsidRPr="0009739D">
        <w:rPr>
          <w:b/>
          <w:iCs/>
          <w:lang w:eastAsia="en-US"/>
        </w:rPr>
        <w:t xml:space="preserve"> </w:t>
      </w:r>
    </w:p>
    <w:p w14:paraId="43D5B828"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u w:val="single"/>
          <w:lang w:eastAsia="en-US"/>
        </w:rPr>
      </w:pPr>
      <w:r w:rsidRPr="0009739D">
        <w:rPr>
          <w:iCs/>
          <w:lang w:eastAsia="en-US"/>
        </w:rPr>
        <w:t>6.</w:t>
      </w:r>
      <w:r w:rsidRPr="0009739D">
        <w:rPr>
          <w:iCs/>
          <w:lang w:eastAsia="en-US"/>
        </w:rPr>
        <w:tab/>
        <w:t xml:space="preserve">LR schlägt vor, diesen Punkt zu streichen, da die Europäische Binnenschifffahrts-Union (EBU) im Moment ebenfalls an einem Vorschlag zu diesem Thema arbeitet. LR ist an diesen Diskussionen beteiligt. </w:t>
      </w:r>
      <w:r w:rsidRPr="0009739D">
        <w:rPr>
          <w:lang w:eastAsia="en-US"/>
        </w:rPr>
        <w:t>(Maßnahmenpunkt abgeschlossen)</w:t>
      </w:r>
    </w:p>
    <w:p w14:paraId="7906C19A" w14:textId="3F0D7725" w:rsidR="0009739D" w:rsidRPr="0009739D" w:rsidRDefault="0009739D" w:rsidP="0009739D">
      <w:pPr>
        <w:keepNext/>
        <w:keepLines/>
        <w:widowControl/>
        <w:tabs>
          <w:tab w:val="right" w:pos="851"/>
          <w:tab w:val="left" w:pos="1701"/>
        </w:tabs>
        <w:suppressAutoHyphens/>
        <w:overflowPunct/>
        <w:autoSpaceDE/>
        <w:autoSpaceDN/>
        <w:adjustRightInd/>
        <w:spacing w:before="240" w:after="120" w:line="240" w:lineRule="exact"/>
        <w:ind w:right="1134"/>
        <w:jc w:val="left"/>
        <w:textAlignment w:val="auto"/>
        <w:rPr>
          <w:b/>
          <w:lang w:eastAsia="en-US"/>
        </w:rPr>
      </w:pPr>
      <w:r w:rsidRPr="0009739D">
        <w:rPr>
          <w:b/>
          <w:lang w:eastAsia="en-US"/>
        </w:rPr>
        <w:tab/>
        <w:t>e)</w:t>
      </w:r>
      <w:r w:rsidRPr="0009739D">
        <w:rPr>
          <w:b/>
          <w:lang w:eastAsia="en-US"/>
        </w:rPr>
        <w:tab/>
        <w:t xml:space="preserve">Liste und Inspektion NICHT-elektrischer Geräte (RINA) – </w:t>
      </w:r>
      <w:r w:rsidR="007B6557">
        <w:rPr>
          <w:b/>
          <w:lang w:eastAsia="en-US"/>
        </w:rPr>
        <w:br/>
      </w:r>
      <w:r w:rsidRPr="0009739D">
        <w:rPr>
          <w:b/>
          <w:lang w:eastAsia="en-US"/>
        </w:rPr>
        <w:t>Dokument 17 IG 04l</w:t>
      </w:r>
    </w:p>
    <w:p w14:paraId="133E2071"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u w:val="single"/>
          <w:lang w:eastAsia="en-US"/>
        </w:rPr>
      </w:pPr>
      <w:r w:rsidRPr="0009739D">
        <w:rPr>
          <w:iCs/>
          <w:lang w:eastAsia="en-US"/>
        </w:rPr>
        <w:t>7.</w:t>
      </w:r>
      <w:r w:rsidRPr="0009739D">
        <w:rPr>
          <w:iCs/>
          <w:lang w:eastAsia="en-US"/>
        </w:rPr>
        <w:tab/>
        <w:t xml:space="preserve">RINA stellt das Dokument vor. Herr Remers nennt einige zusätzliche Punkte, die in die Liste aufgenommen werden könnten. Allerdings ist der Zweck der Liste für den Gebrauch durch Klassifikationsgesellschaften unklar. </w:t>
      </w:r>
      <w:r w:rsidRPr="0009739D">
        <w:rPr>
          <w:lang w:eastAsia="en-US"/>
        </w:rPr>
        <w:t>(Maßnahme RINA)</w:t>
      </w:r>
    </w:p>
    <w:p w14:paraId="2F89E320" w14:textId="77777777" w:rsidR="00970903" w:rsidRDefault="00970903">
      <w:pPr>
        <w:widowControl/>
        <w:overflowPunct/>
        <w:autoSpaceDE/>
        <w:autoSpaceDN/>
        <w:adjustRightInd/>
        <w:ind w:left="0" w:firstLine="0"/>
        <w:jc w:val="left"/>
        <w:textAlignment w:val="auto"/>
        <w:rPr>
          <w:b/>
          <w:lang w:eastAsia="en-US"/>
        </w:rPr>
      </w:pPr>
      <w:r>
        <w:rPr>
          <w:b/>
          <w:lang w:eastAsia="en-US"/>
        </w:rPr>
        <w:br w:type="page"/>
      </w:r>
    </w:p>
    <w:p w14:paraId="516F4D51" w14:textId="2B6A7EA9" w:rsidR="0009739D" w:rsidRPr="0009739D" w:rsidRDefault="007B6557" w:rsidP="0009739D">
      <w:pPr>
        <w:keepNext/>
        <w:keepLines/>
        <w:widowControl/>
        <w:tabs>
          <w:tab w:val="right" w:pos="851"/>
          <w:tab w:val="left" w:pos="1701"/>
        </w:tabs>
        <w:suppressAutoHyphens/>
        <w:overflowPunct/>
        <w:autoSpaceDE/>
        <w:autoSpaceDN/>
        <w:adjustRightInd/>
        <w:spacing w:before="240" w:after="120" w:line="240" w:lineRule="exact"/>
        <w:ind w:right="1134"/>
        <w:jc w:val="left"/>
        <w:textAlignment w:val="auto"/>
        <w:rPr>
          <w:b/>
          <w:lang w:eastAsia="en-US"/>
        </w:rPr>
      </w:pPr>
      <w:r>
        <w:rPr>
          <w:b/>
          <w:lang w:eastAsia="en-US"/>
        </w:rPr>
        <w:lastRenderedPageBreak/>
        <w:tab/>
      </w:r>
      <w:r w:rsidR="0009739D" w:rsidRPr="0009739D">
        <w:rPr>
          <w:b/>
          <w:lang w:eastAsia="en-US"/>
        </w:rPr>
        <w:t>f)</w:t>
      </w:r>
      <w:r w:rsidR="0009739D" w:rsidRPr="0009739D">
        <w:rPr>
          <w:b/>
          <w:lang w:eastAsia="en-US"/>
        </w:rPr>
        <w:tab/>
        <w:t>Deflagration, Detonation und Dauerbrand (BV/All) – Dokument 17 IG 04u, Dokument 20 IG 02i, INF.22 der fünfunddreißigsten Sitzung des ADN-Sicherheitsausschusses</w:t>
      </w:r>
    </w:p>
    <w:p w14:paraId="35F5F418"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u w:val="single"/>
          <w:lang w:eastAsia="en-US"/>
        </w:rPr>
      </w:pPr>
      <w:r w:rsidRPr="0009739D">
        <w:rPr>
          <w:iCs/>
          <w:lang w:eastAsia="en-US"/>
        </w:rPr>
        <w:t>8.</w:t>
      </w:r>
      <w:r w:rsidRPr="0009739D">
        <w:rPr>
          <w:iCs/>
          <w:lang w:eastAsia="en-US"/>
        </w:rPr>
        <w:tab/>
        <w:t xml:space="preserve">BV führt in das Thema ein und erklärt, dass es einen Unterschied zwischen Deflagration und Detonation gebe, so sei beachten, dass eine Detonation stärker ist als eine Deflagration. Dies führe zu Unsicherheiten. DNV schlägt vor, das Dokument entsprechend dem ADN 2021 zu aktualisieren. Herr Remers schlägt auch einige Verbesserungen in dem Dokument vor. BV wird sich darum kümmern. Das überarbeitete Dokument mit der Frage zu Deflagration und Detonation wird dem ADN-Sicherheitsausschuss nach Bestätigung per E-Mail in der Gruppe vorgelegt werden. </w:t>
      </w:r>
      <w:r w:rsidRPr="0009739D">
        <w:rPr>
          <w:lang w:eastAsia="en-US"/>
        </w:rPr>
        <w:t>(Maßnahme BV)</w:t>
      </w:r>
    </w:p>
    <w:p w14:paraId="37A20420" w14:textId="77777777" w:rsidR="0009739D" w:rsidRPr="0009739D" w:rsidRDefault="0009739D" w:rsidP="0009739D">
      <w:pPr>
        <w:keepNext/>
        <w:keepLines/>
        <w:widowControl/>
        <w:tabs>
          <w:tab w:val="right" w:pos="851"/>
          <w:tab w:val="left" w:pos="1701"/>
        </w:tabs>
        <w:suppressAutoHyphens/>
        <w:overflowPunct/>
        <w:autoSpaceDE/>
        <w:autoSpaceDN/>
        <w:adjustRightInd/>
        <w:spacing w:before="240" w:after="120" w:line="240" w:lineRule="exact"/>
        <w:ind w:right="1134"/>
        <w:jc w:val="left"/>
        <w:textAlignment w:val="auto"/>
        <w:rPr>
          <w:b/>
          <w:lang w:eastAsia="en-US"/>
        </w:rPr>
      </w:pPr>
      <w:r w:rsidRPr="0009739D">
        <w:rPr>
          <w:b/>
          <w:lang w:eastAsia="en-US"/>
        </w:rPr>
        <w:tab/>
        <w:t>g)</w:t>
      </w:r>
      <w:r w:rsidRPr="0009739D">
        <w:rPr>
          <w:b/>
          <w:lang w:eastAsia="en-US"/>
        </w:rPr>
        <w:tab/>
        <w:t xml:space="preserve">ADN 2019 Auslegungen und Fragen – Dokument 18 IG 04c Punkt 4 – LR wird für die nächste Sitzung einen Vorschlag ausarbeiten (LR)  </w:t>
      </w:r>
    </w:p>
    <w:p w14:paraId="5D851D6F"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lang w:eastAsia="en-US"/>
        </w:rPr>
      </w:pPr>
      <w:r w:rsidRPr="0009739D">
        <w:rPr>
          <w:iCs/>
          <w:lang w:eastAsia="en-US"/>
        </w:rPr>
        <w:t>9.</w:t>
      </w:r>
      <w:r w:rsidRPr="0009739D">
        <w:rPr>
          <w:iCs/>
          <w:lang w:eastAsia="en-US"/>
        </w:rPr>
        <w:tab/>
        <w:t xml:space="preserve">Da das ADN 2021 hinsichtlich der Explosionsschutzanforderungen verbessert wurde und diese Änderungen in das neue ADN 2021 aufgenommen wurden, brauchen die Auslegungen zum ADN 2019 nicht mehr diskutiert zu werden. </w:t>
      </w:r>
      <w:r w:rsidRPr="0009739D">
        <w:rPr>
          <w:lang w:eastAsia="en-US"/>
        </w:rPr>
        <w:t>(Maßnahmenpunkt abgeschlossen)</w:t>
      </w:r>
    </w:p>
    <w:p w14:paraId="56C7150C" w14:textId="77777777" w:rsidR="0009739D" w:rsidRPr="0009739D" w:rsidRDefault="0009739D" w:rsidP="0009739D">
      <w:pPr>
        <w:keepNext/>
        <w:keepLines/>
        <w:widowControl/>
        <w:tabs>
          <w:tab w:val="right" w:pos="851"/>
          <w:tab w:val="left" w:pos="1701"/>
        </w:tabs>
        <w:suppressAutoHyphens/>
        <w:overflowPunct/>
        <w:autoSpaceDE/>
        <w:autoSpaceDN/>
        <w:adjustRightInd/>
        <w:spacing w:before="240" w:after="120" w:line="240" w:lineRule="exact"/>
        <w:ind w:right="1134"/>
        <w:jc w:val="left"/>
        <w:textAlignment w:val="auto"/>
        <w:rPr>
          <w:b/>
          <w:lang w:eastAsia="en-US"/>
        </w:rPr>
      </w:pPr>
      <w:r w:rsidRPr="0009739D">
        <w:rPr>
          <w:b/>
          <w:lang w:eastAsia="en-US"/>
        </w:rPr>
        <w:tab/>
        <w:t>h)</w:t>
      </w:r>
      <w:r w:rsidRPr="0009739D">
        <w:rPr>
          <w:b/>
          <w:lang w:eastAsia="en-US"/>
        </w:rPr>
        <w:tab/>
        <w:t>Einhaltung der Norm EN ISO/IEC 17020:2012 – Dokument 19 IG 03 b (verteilt in der 19. Sitzung), Punkte 24 und 25 des Protokolls über die sechsunddreißigste Sitzung des ADN-Sicherheitsausschusses (Alle)</w:t>
      </w:r>
    </w:p>
    <w:p w14:paraId="2E7F5284"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iCs/>
          <w:lang w:eastAsia="en-US"/>
        </w:rPr>
      </w:pPr>
      <w:r w:rsidRPr="0009739D">
        <w:rPr>
          <w:iCs/>
          <w:lang w:eastAsia="en-US"/>
        </w:rPr>
        <w:t>10.</w:t>
      </w:r>
      <w:r w:rsidRPr="0009739D">
        <w:rPr>
          <w:iCs/>
          <w:lang w:eastAsia="en-US"/>
        </w:rPr>
        <w:tab/>
        <w:t>Da zum jetzigen Zeitpunkt nicht klar ist, was erwartet wird, wird beschlossen, dass Herr Langenberg die Gruppe nach der Sitzung der EU-Expertengruppe für die Beförderung gefährlicher Güter informiert. Es wird darauf hingewiesen, dass es genügt, auf der Sitzung des ADN-Sicherheitsausschusses zu reagieren.</w:t>
      </w:r>
    </w:p>
    <w:p w14:paraId="658D4DAB" w14:textId="77777777" w:rsidR="0009739D" w:rsidRPr="0009739D" w:rsidRDefault="0009739D" w:rsidP="0009739D">
      <w:pPr>
        <w:keepNext/>
        <w:keepLines/>
        <w:widowControl/>
        <w:tabs>
          <w:tab w:val="right" w:pos="851"/>
          <w:tab w:val="left" w:pos="1701"/>
        </w:tabs>
        <w:suppressAutoHyphens/>
        <w:overflowPunct/>
        <w:autoSpaceDE/>
        <w:autoSpaceDN/>
        <w:adjustRightInd/>
        <w:spacing w:before="240" w:after="120" w:line="240" w:lineRule="exact"/>
        <w:ind w:right="1134"/>
        <w:jc w:val="left"/>
        <w:textAlignment w:val="auto"/>
        <w:rPr>
          <w:b/>
          <w:lang w:eastAsia="en-US"/>
        </w:rPr>
      </w:pPr>
      <w:r w:rsidRPr="0009739D">
        <w:rPr>
          <w:b/>
          <w:lang w:eastAsia="en-US"/>
        </w:rPr>
        <w:tab/>
        <w:t>i)</w:t>
      </w:r>
      <w:r w:rsidRPr="0009739D">
        <w:rPr>
          <w:b/>
          <w:lang w:eastAsia="en-US"/>
        </w:rPr>
        <w:tab/>
        <w:t>Tauchpumpen in Ladetanks von Gastankschiffen, Bescheinigung für Zone 0 (Maßnahme Alle) - aktuell kein Dokument</w:t>
      </w:r>
    </w:p>
    <w:p w14:paraId="78E99067" w14:textId="4A77D550"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lang w:eastAsia="en-US"/>
        </w:rPr>
      </w:pPr>
      <w:r w:rsidRPr="0009739D">
        <w:rPr>
          <w:lang w:eastAsia="en-US"/>
        </w:rPr>
        <w:t>11.</w:t>
      </w:r>
      <w:r w:rsidRPr="0009739D">
        <w:rPr>
          <w:lang w:eastAsia="en-US"/>
        </w:rPr>
        <w:tab/>
        <w:t>Es wurden keine neuen Informationen vorgelegt und die Gruppe kam überein, die weitere Diskussion des von Deutschland eingereichten Dokuments ECE/TRANS/WP.15/AC.2/2020/29 im ADN-Sicherheitsausschuss abzuwarten. Der Punkt bleibt auf der Tagesordnung. (Maßnahme Alle) – Vermerk in Dokument</w:t>
      </w:r>
      <w:r w:rsidR="007B6557">
        <w:rPr>
          <w:lang w:eastAsia="en-US"/>
        </w:rPr>
        <w:t> </w:t>
      </w:r>
      <w:r w:rsidRPr="0009739D">
        <w:rPr>
          <w:lang w:eastAsia="en-US"/>
        </w:rPr>
        <w:t>20</w:t>
      </w:r>
      <w:r w:rsidR="007B6557">
        <w:rPr>
          <w:lang w:eastAsia="en-US"/>
        </w:rPr>
        <w:t> </w:t>
      </w:r>
      <w:r w:rsidRPr="0009739D">
        <w:rPr>
          <w:lang w:eastAsia="en-US"/>
        </w:rPr>
        <w:t>IG</w:t>
      </w:r>
      <w:r w:rsidR="007B6557">
        <w:rPr>
          <w:lang w:eastAsia="en-US"/>
        </w:rPr>
        <w:t> </w:t>
      </w:r>
      <w:r w:rsidRPr="0009739D">
        <w:rPr>
          <w:lang w:eastAsia="en-US"/>
        </w:rPr>
        <w:t>10</w:t>
      </w:r>
    </w:p>
    <w:p w14:paraId="3355C637"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iCs/>
          <w:lang w:eastAsia="en-US"/>
        </w:rPr>
      </w:pPr>
      <w:r w:rsidRPr="0009739D">
        <w:rPr>
          <w:iCs/>
          <w:lang w:eastAsia="en-US"/>
        </w:rPr>
        <w:t>12.</w:t>
      </w:r>
      <w:r w:rsidRPr="0009739D">
        <w:rPr>
          <w:iCs/>
          <w:lang w:eastAsia="en-US"/>
        </w:rPr>
        <w:tab/>
        <w:t xml:space="preserve">Für Tankschiffe zur Beförderung von Chemikalien gibt es bereits Pumpen und Bescheinigungen. Da unklar ist, ob die für Gastankschiffe verfügbaren Pumpen den Anforderungen für Zone 0 entsprechen, muss diese Frage untersucht werden. Auch ein Vorschlag für eine Änderung des ADN zur Zulassung von Pumpen nach dem Internationalen Code für den Bau und die Ausrüstung von Schiffen, die Flüssiggas als Massengut befördern (IGC-Code) kann erwogen werden. </w:t>
      </w:r>
      <w:r w:rsidRPr="0009739D">
        <w:rPr>
          <w:lang w:eastAsia="en-US"/>
        </w:rPr>
        <w:t xml:space="preserve">(Maßnahme </w:t>
      </w:r>
      <w:proofErr w:type="gramStart"/>
      <w:r w:rsidRPr="0009739D">
        <w:rPr>
          <w:lang w:eastAsia="en-US"/>
        </w:rPr>
        <w:t>RINA  und</w:t>
      </w:r>
      <w:proofErr w:type="gramEnd"/>
      <w:r w:rsidRPr="0009739D">
        <w:rPr>
          <w:lang w:eastAsia="en-US"/>
        </w:rPr>
        <w:t xml:space="preserve"> LR)</w:t>
      </w:r>
    </w:p>
    <w:p w14:paraId="7CA1FD20" w14:textId="77777777" w:rsidR="0009739D" w:rsidRPr="0009739D" w:rsidRDefault="0009739D" w:rsidP="00970903">
      <w:pPr>
        <w:keepNext/>
        <w:keepLines/>
        <w:widowControl/>
        <w:tabs>
          <w:tab w:val="right" w:pos="851"/>
          <w:tab w:val="left" w:pos="1701"/>
        </w:tabs>
        <w:suppressAutoHyphens/>
        <w:overflowPunct/>
        <w:autoSpaceDE/>
        <w:autoSpaceDN/>
        <w:adjustRightInd/>
        <w:spacing w:before="360" w:after="240" w:line="300" w:lineRule="exact"/>
        <w:ind w:right="567"/>
        <w:jc w:val="left"/>
        <w:textAlignment w:val="auto"/>
        <w:rPr>
          <w:b/>
          <w:sz w:val="28"/>
          <w:lang w:eastAsia="en-US"/>
        </w:rPr>
      </w:pPr>
      <w:r w:rsidRPr="0009739D">
        <w:rPr>
          <w:b/>
          <w:sz w:val="28"/>
          <w:lang w:eastAsia="en-US"/>
        </w:rPr>
        <w:tab/>
        <w:t>III.</w:t>
      </w:r>
      <w:r w:rsidRPr="0009739D">
        <w:rPr>
          <w:b/>
          <w:sz w:val="28"/>
          <w:lang w:eastAsia="en-US"/>
        </w:rPr>
        <w:tab/>
        <w:t>Themen der letzten Sitzung des ADN-Sicherheitsausschusses (Dokument ECE/TRANS/WP.15/AC.2/76)</w:t>
      </w:r>
    </w:p>
    <w:p w14:paraId="6D78A9F6" w14:textId="77777777" w:rsidR="0009739D" w:rsidRPr="0009739D" w:rsidRDefault="0009739D" w:rsidP="00970903">
      <w:pPr>
        <w:keepNext/>
        <w:keepLines/>
        <w:widowControl/>
        <w:tabs>
          <w:tab w:val="right" w:pos="851"/>
          <w:tab w:val="left" w:pos="1701"/>
        </w:tabs>
        <w:suppressAutoHyphens/>
        <w:overflowPunct/>
        <w:autoSpaceDE/>
        <w:autoSpaceDN/>
        <w:adjustRightInd/>
        <w:spacing w:before="240" w:after="120" w:line="240" w:lineRule="exact"/>
        <w:ind w:right="567"/>
        <w:jc w:val="left"/>
        <w:textAlignment w:val="auto"/>
        <w:rPr>
          <w:b/>
          <w:lang w:eastAsia="en-US"/>
        </w:rPr>
      </w:pPr>
      <w:r w:rsidRPr="0009739D">
        <w:rPr>
          <w:b/>
          <w:lang w:eastAsia="en-US"/>
        </w:rPr>
        <w:tab/>
        <w:t>a)</w:t>
      </w:r>
      <w:r w:rsidRPr="0009739D">
        <w:rPr>
          <w:b/>
          <w:lang w:eastAsia="en-US"/>
        </w:rPr>
        <w:tab/>
        <w:t>Zoneneinteilung nach Abschnitt 1.2.1 ADN; Protokoll des ADN-Sicherheitsausschusses – Dokument ECE/TRANS/WP.15/AC.2/2020/29 (Deutschland) und Dokument ECE/TRANS/WP.15/AC.2/76 (TOP 20)</w:t>
      </w:r>
    </w:p>
    <w:p w14:paraId="491D2D97"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iCs/>
          <w:lang w:eastAsia="en-US"/>
        </w:rPr>
      </w:pPr>
      <w:r w:rsidRPr="0009739D">
        <w:rPr>
          <w:iCs/>
          <w:lang w:eastAsia="en-US"/>
        </w:rPr>
        <w:t>13.</w:t>
      </w:r>
      <w:r w:rsidRPr="0009739D">
        <w:rPr>
          <w:iCs/>
          <w:lang w:eastAsia="en-US"/>
        </w:rPr>
        <w:tab/>
        <w:t>Weitere Diskussion, die Frage von Herrn Weiner im ADN-Sicherheitsausschuss zur Diskussion des Dokuments ECE/TRANS/WP.15/AC.2/2020/29 über die Zoneneinteilung spiegelt die Aussage von Herrn Vinke wider, dass für nicht-elektrische und mechanische Betriebsmittel und deren Anlagen eine Übergangsbestimmung bis 2034 besteht.</w:t>
      </w:r>
    </w:p>
    <w:p w14:paraId="7F6AD0FE"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iCs/>
          <w:lang w:eastAsia="en-US"/>
        </w:rPr>
      </w:pPr>
      <w:r w:rsidRPr="0009739D">
        <w:rPr>
          <w:iCs/>
          <w:lang w:eastAsia="en-US"/>
        </w:rPr>
        <w:t>14.</w:t>
      </w:r>
      <w:r w:rsidRPr="0009739D">
        <w:rPr>
          <w:iCs/>
          <w:lang w:eastAsia="en-US"/>
        </w:rPr>
        <w:tab/>
        <w:t>Nach Herrn Weiners Meinung ist diese Aussage nicht richtig. Die Übergangsbestimmung in Absatz 1.6.7.2.2.2 zu Absatz 9.3.x.53.1 ADN bezieht sich nur auf „Art und Aufstellungsort der elektrischen Anlagen und Geräte“.</w:t>
      </w:r>
    </w:p>
    <w:p w14:paraId="3FE0A9FE"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iCs/>
          <w:lang w:eastAsia="en-US"/>
        </w:rPr>
      </w:pPr>
      <w:r w:rsidRPr="0009739D">
        <w:rPr>
          <w:iCs/>
          <w:lang w:eastAsia="en-US"/>
        </w:rPr>
        <w:lastRenderedPageBreak/>
        <w:t>15.</w:t>
      </w:r>
      <w:r w:rsidRPr="0009739D">
        <w:rPr>
          <w:iCs/>
          <w:lang w:eastAsia="en-US"/>
        </w:rPr>
        <w:tab/>
        <w:t>Für nicht-elektrische Betriebsmittel und Anlagen gibt es keine Übergangsbestimmung. Das in Dokument ECE/TRANS/WP.15/AC.2/2020/29 angesprochene Problem bleibt offen. Die fehlende Übergangsbestimmung und die Notwendigkeit einer möglichen sofortigen Änderung der Anlagen an Bord muss im August erneut thematisiert werden.</w:t>
      </w:r>
    </w:p>
    <w:p w14:paraId="28E649B8"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u w:val="single"/>
          <w:lang w:eastAsia="en-US"/>
        </w:rPr>
      </w:pPr>
      <w:r w:rsidRPr="0009739D">
        <w:rPr>
          <w:iCs/>
          <w:lang w:eastAsia="en-US"/>
        </w:rPr>
        <w:t>16.</w:t>
      </w:r>
      <w:r w:rsidRPr="0009739D">
        <w:rPr>
          <w:iCs/>
          <w:lang w:eastAsia="en-US"/>
        </w:rPr>
        <w:tab/>
        <w:t xml:space="preserve">Herr Vinke erklärt, dass die bisher vertretene Auslegung schon seit vielen Jahren angewendet werde. In der Vergangenheit wurden nicht-elektrische Betriebsmittel nie berücksichtigt. Der Rest der Gruppe stimmt dem zu und stellt fest, dass Herrn Weiners Auffassung nicht geteilt wird. Es wird kein weiterer Handlungsbedarf gesehen. </w:t>
      </w:r>
      <w:r w:rsidRPr="0009739D">
        <w:rPr>
          <w:lang w:eastAsia="en-US"/>
        </w:rPr>
        <w:t>(Maßnahmenpunkt abgeschlossen)</w:t>
      </w:r>
    </w:p>
    <w:p w14:paraId="25A6E685" w14:textId="77777777" w:rsidR="0009739D" w:rsidRPr="0009739D" w:rsidRDefault="0009739D" w:rsidP="0009739D">
      <w:pPr>
        <w:keepNext/>
        <w:keepLines/>
        <w:widowControl/>
        <w:tabs>
          <w:tab w:val="right" w:pos="851"/>
          <w:tab w:val="left" w:pos="1701"/>
        </w:tabs>
        <w:suppressAutoHyphens/>
        <w:overflowPunct/>
        <w:autoSpaceDE/>
        <w:autoSpaceDN/>
        <w:adjustRightInd/>
        <w:spacing w:before="240" w:after="120" w:line="240" w:lineRule="exact"/>
        <w:ind w:right="1134"/>
        <w:jc w:val="left"/>
        <w:textAlignment w:val="auto"/>
        <w:rPr>
          <w:b/>
          <w:lang w:eastAsia="en-US"/>
        </w:rPr>
      </w:pPr>
      <w:r w:rsidRPr="0009739D">
        <w:rPr>
          <w:b/>
          <w:lang w:eastAsia="en-US"/>
        </w:rPr>
        <w:tab/>
        <w:t>b)</w:t>
      </w:r>
      <w:r w:rsidRPr="0009739D">
        <w:rPr>
          <w:b/>
          <w:lang w:eastAsia="en-US"/>
        </w:rPr>
        <w:tab/>
        <w:t>Auslegung von Absatz 9.3.3.12.2 –- Dokument 20 IG 02m und Punkt 3 a) der 18. Sitzung der Gruppe der Empfohlenen ADN-Klassifikationsgesellschaften</w:t>
      </w:r>
    </w:p>
    <w:p w14:paraId="0EE64B85"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lang w:eastAsia="en-US"/>
        </w:rPr>
      </w:pPr>
      <w:r w:rsidRPr="0009739D">
        <w:rPr>
          <w:lang w:eastAsia="en-US"/>
        </w:rPr>
        <w:t>17.</w:t>
      </w:r>
      <w:r w:rsidRPr="0009739D">
        <w:rPr>
          <w:lang w:eastAsia="en-US"/>
        </w:rPr>
        <w:tab/>
        <w:t>Was Dokument ECE/TRANS/WP.15/AC.2/2021/10 betrifft, so wurden die Empfohlenen ADN-Klassifikationsgesellschaften gebeten, gegebenenfalls einen Änderungsvorschlag zu erarbeiten, der vom Sicherheitsausschuss in einer weiteren Sitzung geprüft werden soll.</w:t>
      </w:r>
    </w:p>
    <w:p w14:paraId="33EBE092"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iCs/>
          <w:lang w:eastAsia="en-US"/>
        </w:rPr>
      </w:pPr>
      <w:r w:rsidRPr="0009739D">
        <w:rPr>
          <w:iCs/>
          <w:lang w:eastAsia="en-US"/>
        </w:rPr>
        <w:t>18.</w:t>
      </w:r>
      <w:r w:rsidRPr="0009739D">
        <w:rPr>
          <w:iCs/>
          <w:lang w:eastAsia="en-US"/>
        </w:rPr>
        <w:tab/>
        <w:t xml:space="preserve">Die Klassifikationsgesellschaften erörterten diese Auslegungen bereits auf ihrer 18. Sitzung mit dem Ergebnis, dass die Gruppe gegen die Auslegung des ADN-Sicherheitsausschusses im zweiten Aufzählungspunkt, wonach „... </w:t>
      </w:r>
      <w:proofErr w:type="spellStart"/>
      <w:r w:rsidRPr="0009739D">
        <w:rPr>
          <w:i/>
          <w:lang w:eastAsia="en-US"/>
        </w:rPr>
        <w:t>Lukenabdeckungen</w:t>
      </w:r>
      <w:proofErr w:type="spellEnd"/>
      <w:r w:rsidRPr="0009739D">
        <w:rPr>
          <w:i/>
          <w:lang w:eastAsia="en-US"/>
        </w:rPr>
        <w:t xml:space="preserve"> als ‚Lüftungssystem‘ geeignet sind und verwendet werden können</w:t>
      </w:r>
      <w:r w:rsidRPr="0009739D">
        <w:rPr>
          <w:iCs/>
          <w:lang w:eastAsia="en-US"/>
        </w:rPr>
        <w:t>“, Bedenken hat, weil</w:t>
      </w:r>
    </w:p>
    <w:p w14:paraId="7B12FDCD" w14:textId="77777777" w:rsidR="0009739D" w:rsidRPr="0009739D" w:rsidRDefault="0009739D" w:rsidP="00970903">
      <w:pPr>
        <w:pStyle w:val="ListParagraph"/>
        <w:widowControl/>
        <w:numPr>
          <w:ilvl w:val="0"/>
          <w:numId w:val="9"/>
        </w:numPr>
        <w:tabs>
          <w:tab w:val="left" w:pos="1701"/>
          <w:tab w:val="num" w:pos="5132"/>
        </w:tabs>
        <w:suppressAutoHyphens/>
        <w:overflowPunct/>
        <w:autoSpaceDE/>
        <w:autoSpaceDN/>
        <w:adjustRightInd/>
        <w:spacing w:after="120" w:line="240" w:lineRule="atLeast"/>
        <w:ind w:left="1560" w:right="1134"/>
        <w:textAlignment w:val="auto"/>
        <w:rPr>
          <w:lang w:eastAsia="en-US"/>
        </w:rPr>
      </w:pPr>
      <w:r w:rsidRPr="0009739D">
        <w:rPr>
          <w:lang w:eastAsia="en-US"/>
        </w:rPr>
        <w:t>die Klassenvorschriften eine Lüftungsleitung für Leerräume verlangen und</w:t>
      </w:r>
    </w:p>
    <w:p w14:paraId="229FAD97" w14:textId="77777777" w:rsidR="0009739D" w:rsidRPr="0009739D" w:rsidRDefault="0009739D" w:rsidP="00970903">
      <w:pPr>
        <w:pStyle w:val="ListParagraph"/>
        <w:widowControl/>
        <w:numPr>
          <w:ilvl w:val="0"/>
          <w:numId w:val="9"/>
        </w:numPr>
        <w:tabs>
          <w:tab w:val="left" w:pos="1701"/>
          <w:tab w:val="num" w:pos="5132"/>
        </w:tabs>
        <w:suppressAutoHyphens/>
        <w:overflowPunct/>
        <w:autoSpaceDE/>
        <w:autoSpaceDN/>
        <w:adjustRightInd/>
        <w:spacing w:after="120" w:line="240" w:lineRule="atLeast"/>
        <w:ind w:left="1560" w:right="1134"/>
        <w:textAlignment w:val="auto"/>
        <w:rPr>
          <w:lang w:eastAsia="en-US"/>
        </w:rPr>
      </w:pPr>
      <w:r w:rsidRPr="0009739D">
        <w:rPr>
          <w:lang w:eastAsia="en-US"/>
        </w:rPr>
        <w:t xml:space="preserve">eine geöffnete </w:t>
      </w:r>
      <w:proofErr w:type="spellStart"/>
      <w:r w:rsidRPr="0009739D">
        <w:rPr>
          <w:lang w:eastAsia="en-US"/>
        </w:rPr>
        <w:t>Lukenabdeckung</w:t>
      </w:r>
      <w:proofErr w:type="spellEnd"/>
      <w:r w:rsidRPr="0009739D">
        <w:rPr>
          <w:lang w:eastAsia="en-US"/>
        </w:rPr>
        <w:t xml:space="preserve"> in Bezug auf Stabilitätsberechnungen eine undefinierte Öffnung (Situation) ist.</w:t>
      </w:r>
    </w:p>
    <w:p w14:paraId="62D3471B"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u w:val="single"/>
          <w:lang w:eastAsia="en-US"/>
        </w:rPr>
      </w:pPr>
      <w:r w:rsidRPr="0009739D">
        <w:rPr>
          <w:iCs/>
          <w:lang w:eastAsia="en-US"/>
        </w:rPr>
        <w:t>19.</w:t>
      </w:r>
      <w:r w:rsidRPr="0009739D">
        <w:rPr>
          <w:iCs/>
          <w:lang w:eastAsia="en-US"/>
        </w:rPr>
        <w:tab/>
        <w:t xml:space="preserve">Die bisherige Auslegung der Klassifikationsgesellschaften ist weiterhin gültig. Daher wird kein weiterer Handlungsbedarf gesehen. </w:t>
      </w:r>
      <w:r w:rsidRPr="0009739D">
        <w:rPr>
          <w:lang w:eastAsia="en-US"/>
        </w:rPr>
        <w:t>(Maßnahmenpunkt abgeschlossen)</w:t>
      </w:r>
    </w:p>
    <w:p w14:paraId="5E5BBB10" w14:textId="77777777" w:rsidR="0009739D" w:rsidRPr="0009739D" w:rsidRDefault="0009739D" w:rsidP="0009739D">
      <w:pPr>
        <w:keepNext/>
        <w:keepLines/>
        <w:widowControl/>
        <w:tabs>
          <w:tab w:val="right" w:pos="851"/>
          <w:tab w:val="left" w:pos="1701"/>
        </w:tabs>
        <w:suppressAutoHyphens/>
        <w:overflowPunct/>
        <w:autoSpaceDE/>
        <w:autoSpaceDN/>
        <w:adjustRightInd/>
        <w:spacing w:before="240" w:after="120" w:line="240" w:lineRule="exact"/>
        <w:ind w:right="1134"/>
        <w:jc w:val="left"/>
        <w:textAlignment w:val="auto"/>
        <w:rPr>
          <w:b/>
          <w:lang w:eastAsia="en-US"/>
        </w:rPr>
      </w:pPr>
      <w:r w:rsidRPr="0009739D">
        <w:rPr>
          <w:b/>
          <w:lang w:eastAsia="en-US"/>
        </w:rPr>
        <w:tab/>
        <w:t>c)</w:t>
      </w:r>
      <w:r w:rsidRPr="0009739D">
        <w:rPr>
          <w:b/>
          <w:lang w:eastAsia="en-US"/>
        </w:rPr>
        <w:tab/>
        <w:t xml:space="preserve">Abweichung für den Bau eines LNG-Bunkerschiffes mit Ladetanks größer als 1000 m³ – </w:t>
      </w:r>
      <w:bookmarkStart w:id="2" w:name="_Hlk75348449"/>
      <w:r w:rsidRPr="0009739D">
        <w:rPr>
          <w:b/>
          <w:lang w:eastAsia="en-US"/>
        </w:rPr>
        <w:t xml:space="preserve">Dokument </w:t>
      </w:r>
      <w:bookmarkEnd w:id="2"/>
      <w:r w:rsidRPr="0009739D">
        <w:rPr>
          <w:b/>
          <w:lang w:eastAsia="en-US"/>
        </w:rPr>
        <w:t>ECE/TRANS/WP.15/AC.2/76 (TOP 16) und Dokument INF.17 und Add.1 der siebenunddreißigsten Sitzung des ADN-Sicherheitsausschusses (Belgien)</w:t>
      </w:r>
    </w:p>
    <w:p w14:paraId="00243001"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lang w:eastAsia="en-US"/>
        </w:rPr>
      </w:pPr>
      <w:r w:rsidRPr="0009739D">
        <w:rPr>
          <w:lang w:eastAsia="en-US"/>
        </w:rPr>
        <w:t>20.</w:t>
      </w:r>
      <w:r w:rsidRPr="0009739D">
        <w:rPr>
          <w:lang w:eastAsia="en-US"/>
        </w:rPr>
        <w:tab/>
        <w:t>Zum Antrag auf Einsetzung einer informellen Arbeitsgruppe befand der Sicherheitsausschuss, dass es hierfür zu früh sei. Der Sicherheitsausschuss schlug vor, die Empfohlenen ADN-Klassifikationsgesellschaften zu ersuchen, die technischen Aspekte solcher größeren Schiffe zu untersuchen und dabei auch die Vorschriften des ES-TRIN</w:t>
      </w:r>
      <w:r w:rsidRPr="0009739D">
        <w:rPr>
          <w:vertAlign w:val="superscript"/>
          <w:lang w:eastAsia="en-US"/>
        </w:rPr>
        <w:footnoteReference w:id="3"/>
      </w:r>
      <w:r w:rsidRPr="0009739D">
        <w:rPr>
          <w:lang w:eastAsia="en-US"/>
        </w:rPr>
        <w:t xml:space="preserve"> und des CESNI</w:t>
      </w:r>
      <w:r w:rsidRPr="0009739D">
        <w:rPr>
          <w:vertAlign w:val="superscript"/>
          <w:lang w:eastAsia="en-US"/>
        </w:rPr>
        <w:footnoteReference w:id="4"/>
      </w:r>
      <w:r w:rsidRPr="0009739D">
        <w:rPr>
          <w:lang w:eastAsia="en-US"/>
        </w:rPr>
        <w:t xml:space="preserve"> zu berücksichtigen.</w:t>
      </w:r>
    </w:p>
    <w:p w14:paraId="07524C04"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u w:val="single"/>
          <w:lang w:eastAsia="en-US"/>
        </w:rPr>
      </w:pPr>
      <w:r w:rsidRPr="0009739D">
        <w:rPr>
          <w:iCs/>
          <w:lang w:eastAsia="en-US"/>
        </w:rPr>
        <w:t>21.</w:t>
      </w:r>
      <w:r w:rsidRPr="0009739D">
        <w:rPr>
          <w:iCs/>
          <w:lang w:eastAsia="en-US"/>
        </w:rPr>
        <w:tab/>
        <w:t xml:space="preserve">Da dies Teil des Vorhabens zur Aktualisierung von Abschnitt 9.3.4 ADN sein wird und der Eigner dieses speziellen Schiffes auch an diesem Vorhaben beteiligt ist, wird eine weitere Diskussion zum jetzigen Zeitpunkt als nicht erforderlich erachtet. </w:t>
      </w:r>
      <w:r w:rsidRPr="0009739D">
        <w:rPr>
          <w:lang w:eastAsia="en-US"/>
        </w:rPr>
        <w:t>(Maßnahmenpunkt abgeschlossen)</w:t>
      </w:r>
    </w:p>
    <w:p w14:paraId="342C2CA8" w14:textId="77777777" w:rsidR="000E6178" w:rsidRDefault="000E6178">
      <w:pPr>
        <w:widowControl/>
        <w:overflowPunct/>
        <w:autoSpaceDE/>
        <w:autoSpaceDN/>
        <w:adjustRightInd/>
        <w:ind w:left="0" w:firstLine="0"/>
        <w:jc w:val="left"/>
        <w:textAlignment w:val="auto"/>
        <w:rPr>
          <w:b/>
          <w:lang w:eastAsia="en-US"/>
        </w:rPr>
      </w:pPr>
      <w:r>
        <w:rPr>
          <w:b/>
          <w:lang w:eastAsia="en-US"/>
        </w:rPr>
        <w:br w:type="page"/>
      </w:r>
    </w:p>
    <w:p w14:paraId="7B3AEB06" w14:textId="0D489296" w:rsidR="0009739D" w:rsidRPr="0009739D" w:rsidRDefault="0009739D" w:rsidP="0009739D">
      <w:pPr>
        <w:keepNext/>
        <w:keepLines/>
        <w:widowControl/>
        <w:tabs>
          <w:tab w:val="right" w:pos="851"/>
          <w:tab w:val="left" w:pos="1701"/>
        </w:tabs>
        <w:suppressAutoHyphens/>
        <w:overflowPunct/>
        <w:autoSpaceDE/>
        <w:autoSpaceDN/>
        <w:adjustRightInd/>
        <w:spacing w:before="240" w:after="120" w:line="240" w:lineRule="exact"/>
        <w:ind w:right="1134"/>
        <w:jc w:val="left"/>
        <w:textAlignment w:val="auto"/>
        <w:rPr>
          <w:b/>
          <w:lang w:eastAsia="en-US"/>
        </w:rPr>
      </w:pPr>
      <w:r w:rsidRPr="0009739D">
        <w:rPr>
          <w:b/>
          <w:lang w:eastAsia="en-US"/>
        </w:rPr>
        <w:lastRenderedPageBreak/>
        <w:tab/>
        <w:t>d)</w:t>
      </w:r>
      <w:r w:rsidRPr="0009739D">
        <w:rPr>
          <w:b/>
          <w:lang w:eastAsia="en-US"/>
        </w:rPr>
        <w:tab/>
        <w:t>Zuständige Behörde (Maßnahme CRS) – Dokument 19 IG 2f rev.1 und Anlage des informellen Dokuments INF.6 der siebenunddreißigsten Sitzung des ADN-Sicherheitsausschusses</w:t>
      </w:r>
    </w:p>
    <w:p w14:paraId="1E574EE4"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lang w:eastAsia="en-US"/>
        </w:rPr>
      </w:pPr>
      <w:r w:rsidRPr="0009739D">
        <w:rPr>
          <w:lang w:eastAsia="en-US"/>
        </w:rPr>
        <w:t>22.</w:t>
      </w:r>
      <w:r w:rsidRPr="0009739D">
        <w:rPr>
          <w:lang w:eastAsia="en-US"/>
        </w:rPr>
        <w:tab/>
        <w:t>Die Frage von Herrn Weiner im ADN-Sicherheitsausschuss zum letzten Satz in den Punkten 5 bis 8 (8-11) wird weiter diskutiert:</w:t>
      </w:r>
    </w:p>
    <w:p w14:paraId="167A45FD"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lang w:eastAsia="en-US"/>
        </w:rPr>
      </w:pPr>
      <w:r w:rsidRPr="0009739D">
        <w:rPr>
          <w:lang w:eastAsia="en-US"/>
        </w:rPr>
        <w:t>„In den anderen Fällen müssen sie von einem von der zuständigen Behörde für den vorgesehenen Zweck zugelassenen Typ sein.“ – Dabei handelt es sich um Fälle, in denen die betreffenden Teile letztmalig vor 2001 ersetzt oder geändert wurden. Die Gruppe überlegt, ob noch Geräte oder Anlagen in Betrieb sind, die unangetastet und älter als 20 Jahre sind.</w:t>
      </w:r>
    </w:p>
    <w:p w14:paraId="6BDBC77C"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lang w:eastAsia="en-US"/>
        </w:rPr>
      </w:pPr>
      <w:r w:rsidRPr="0009739D">
        <w:rPr>
          <w:iCs/>
          <w:lang w:eastAsia="en-US"/>
        </w:rPr>
        <w:t>23.</w:t>
      </w:r>
      <w:r w:rsidRPr="0009739D">
        <w:rPr>
          <w:iCs/>
          <w:lang w:eastAsia="en-US"/>
        </w:rPr>
        <w:tab/>
        <w:t xml:space="preserve">CRS gibt eine Einführung. Es wird kein weiterer Handlungsbedarf gesehen. </w:t>
      </w:r>
      <w:r w:rsidRPr="0009739D">
        <w:rPr>
          <w:lang w:eastAsia="en-US"/>
        </w:rPr>
        <w:t>(Maßnahmenpunkt abgeschlossen)</w:t>
      </w:r>
    </w:p>
    <w:p w14:paraId="6980D24F" w14:textId="77777777" w:rsidR="0009739D" w:rsidRPr="0009739D" w:rsidRDefault="0009739D" w:rsidP="000E6178">
      <w:pPr>
        <w:keepNext/>
        <w:keepLines/>
        <w:widowControl/>
        <w:tabs>
          <w:tab w:val="right" w:pos="851"/>
          <w:tab w:val="left" w:pos="1701"/>
        </w:tabs>
        <w:suppressAutoHyphens/>
        <w:overflowPunct/>
        <w:autoSpaceDE/>
        <w:autoSpaceDN/>
        <w:adjustRightInd/>
        <w:spacing w:before="240" w:after="120" w:line="240" w:lineRule="exact"/>
        <w:ind w:right="1134"/>
        <w:textAlignment w:val="auto"/>
        <w:rPr>
          <w:b/>
          <w:lang w:eastAsia="en-US"/>
        </w:rPr>
      </w:pPr>
      <w:r w:rsidRPr="0009739D">
        <w:rPr>
          <w:b/>
          <w:lang w:eastAsia="en-US"/>
        </w:rPr>
        <w:tab/>
        <w:t>e)</w:t>
      </w:r>
      <w:r w:rsidRPr="0009739D">
        <w:rPr>
          <w:b/>
          <w:lang w:eastAsia="en-US"/>
        </w:rPr>
        <w:tab/>
        <w:t>Elektrische Antriebsanlagen und Energiespeicherung: Vorschlag zur Bewertung des Bedarfs an zusätzlichen ADN-Vorschriften für die sichere Beförderung gefährlicher Güter mit Schiffen, die elektrische Antriebsanlagen verwenden – Dokument ECE/TRANS/WP.15/AC.2/2021/6 (ZKR)</w:t>
      </w:r>
    </w:p>
    <w:p w14:paraId="0E11210E"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lang w:eastAsia="en-US"/>
        </w:rPr>
      </w:pPr>
      <w:r w:rsidRPr="0009739D">
        <w:rPr>
          <w:lang w:eastAsia="en-US"/>
        </w:rPr>
        <w:t>24.</w:t>
      </w:r>
      <w:r w:rsidRPr="0009739D">
        <w:rPr>
          <w:lang w:eastAsia="en-US"/>
        </w:rPr>
        <w:tab/>
        <w:t>Der Sicherheitsausschuss bat die Empfohlenen ADN-Klassifikationsgesellschaften, sich auf ihrer Sitzung im März mit den in den Absätzen 24 bis 29 des Dokuments aufgeführten Schlussfolgerungen zu befassen und auf der nächsten Sitzung Bericht zu erstatten. Es wurde festgestellt, dass im CESNI Arbeiten im Gange sind, die berücksichtigt werden sollten, um Doppelarbeit zu vermeiden.</w:t>
      </w:r>
    </w:p>
    <w:p w14:paraId="422DCF55"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lang w:eastAsia="en-US"/>
        </w:rPr>
      </w:pPr>
      <w:r w:rsidRPr="0009739D">
        <w:rPr>
          <w:i/>
          <w:iCs/>
          <w:lang w:eastAsia="en-US"/>
        </w:rPr>
        <w:t>Hinweis:</w:t>
      </w:r>
      <w:r w:rsidRPr="0009739D">
        <w:rPr>
          <w:lang w:eastAsia="en-US"/>
        </w:rPr>
        <w:t xml:space="preserve"> Je nach den Ergebnissen wird der Sicherheitsausschuss die Möglichkeit der Einsetzung einer Arbeitsgruppe auf der Grundlage des Entwurfs der Aufgabenstellung prüfen. </w:t>
      </w:r>
    </w:p>
    <w:p w14:paraId="7277C106"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u w:val="single"/>
          <w:lang w:eastAsia="en-US"/>
        </w:rPr>
      </w:pPr>
      <w:r w:rsidRPr="0009739D">
        <w:rPr>
          <w:iCs/>
          <w:lang w:eastAsia="en-US"/>
        </w:rPr>
        <w:t>25.</w:t>
      </w:r>
      <w:r w:rsidRPr="0009739D">
        <w:rPr>
          <w:iCs/>
          <w:lang w:eastAsia="en-US"/>
        </w:rPr>
        <w:tab/>
        <w:t xml:space="preserve">Da dieses Thema bereits im CESNI behandelt wird, und sich hieraus technische Vorschriften für den ES-TRIN ergeben haben, werden zusätzliche Vorschriften im ADN bisher nicht für notwendig erachtet, um eine mögliche Dopplung von Vorschriften zu vermeiden. Bei weiteren Diskussionen in der Arbeitsgruppe CESNI/PT wird die mögliche Betroffenheit des ADN bei Bedarf berücksichtigt werden. </w:t>
      </w:r>
      <w:r w:rsidRPr="0009739D">
        <w:rPr>
          <w:lang w:eastAsia="en-US"/>
        </w:rPr>
        <w:t>(Maßnahmenpunkt abgeschlossen)</w:t>
      </w:r>
    </w:p>
    <w:p w14:paraId="7734F884" w14:textId="77777777" w:rsidR="0009739D" w:rsidRPr="0009739D" w:rsidRDefault="0009739D" w:rsidP="0009739D">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sidRPr="0009739D">
        <w:rPr>
          <w:b/>
          <w:sz w:val="28"/>
          <w:lang w:eastAsia="en-US"/>
        </w:rPr>
        <w:tab/>
        <w:t>IV.</w:t>
      </w:r>
      <w:r w:rsidRPr="0009739D">
        <w:rPr>
          <w:b/>
          <w:sz w:val="28"/>
          <w:lang w:eastAsia="en-US"/>
        </w:rPr>
        <w:tab/>
        <w:t>Technische Fragen</w:t>
      </w:r>
    </w:p>
    <w:p w14:paraId="462ECB2D"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lang w:eastAsia="en-US"/>
        </w:rPr>
      </w:pPr>
      <w:r w:rsidRPr="0009739D">
        <w:rPr>
          <w:lang w:eastAsia="en-US"/>
        </w:rPr>
        <w:t>26.</w:t>
      </w:r>
      <w:r w:rsidRPr="0009739D">
        <w:rPr>
          <w:lang w:eastAsia="en-US"/>
        </w:rPr>
        <w:tab/>
        <w:t>Es werden keine neuen Fragen angesprochen.</w:t>
      </w:r>
    </w:p>
    <w:p w14:paraId="0C35547E" w14:textId="77777777" w:rsidR="0009739D" w:rsidRPr="0009739D" w:rsidRDefault="0009739D" w:rsidP="0009739D">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sidRPr="0009739D">
        <w:rPr>
          <w:b/>
          <w:sz w:val="28"/>
          <w:lang w:eastAsia="en-US"/>
        </w:rPr>
        <w:tab/>
        <w:t>V.</w:t>
      </w:r>
      <w:r w:rsidRPr="0009739D">
        <w:rPr>
          <w:b/>
          <w:sz w:val="28"/>
          <w:lang w:eastAsia="en-US"/>
        </w:rPr>
        <w:tab/>
        <w:t>Verschiedenes</w:t>
      </w:r>
    </w:p>
    <w:p w14:paraId="74F722C3" w14:textId="77777777" w:rsidR="0009739D" w:rsidRPr="0009739D" w:rsidRDefault="0009739D" w:rsidP="0009739D">
      <w:pPr>
        <w:keepNext/>
        <w:keepLines/>
        <w:widowControl/>
        <w:tabs>
          <w:tab w:val="right" w:pos="851"/>
          <w:tab w:val="left" w:pos="1701"/>
        </w:tabs>
        <w:suppressAutoHyphens/>
        <w:overflowPunct/>
        <w:autoSpaceDE/>
        <w:autoSpaceDN/>
        <w:adjustRightInd/>
        <w:spacing w:before="240" w:after="120" w:line="240" w:lineRule="exact"/>
        <w:ind w:right="1134"/>
        <w:jc w:val="left"/>
        <w:textAlignment w:val="auto"/>
        <w:rPr>
          <w:b/>
          <w:lang w:eastAsia="en-US"/>
        </w:rPr>
      </w:pPr>
      <w:r w:rsidRPr="0009739D">
        <w:rPr>
          <w:b/>
          <w:lang w:eastAsia="en-US"/>
        </w:rPr>
        <w:tab/>
        <w:t>a)</w:t>
      </w:r>
      <w:r w:rsidRPr="0009739D">
        <w:rPr>
          <w:b/>
          <w:lang w:eastAsia="en-US"/>
        </w:rPr>
        <w:tab/>
        <w:t>UN-Nr. 3082 – … (BILGENWASSER, ENTHÄLT ÖLSCHLAMM)</w:t>
      </w:r>
    </w:p>
    <w:p w14:paraId="47FD8D7F"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lang w:eastAsia="en-US"/>
        </w:rPr>
      </w:pPr>
      <w:r w:rsidRPr="0009739D">
        <w:rPr>
          <w:lang w:eastAsia="en-US"/>
        </w:rPr>
        <w:t>27.</w:t>
      </w:r>
      <w:r w:rsidRPr="0009739D">
        <w:rPr>
          <w:lang w:eastAsia="en-US"/>
        </w:rPr>
        <w:tab/>
        <w:t>Auf der letzten Sitzung hatte die Gruppe der Empfohlenen ADN-Klassifikationsgesellschaften beschlossen, die einzelnen Behörden der beteiligten ADN-Mitgliedsstaaten um ihre Auslegung zur Beförderung dieses Produkts zu ersuchen.</w:t>
      </w:r>
    </w:p>
    <w:p w14:paraId="652A2850"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iCs/>
          <w:lang w:val="en-GB" w:eastAsia="en-US"/>
        </w:rPr>
      </w:pPr>
      <w:r w:rsidRPr="0009739D">
        <w:rPr>
          <w:iCs/>
          <w:lang w:eastAsia="en-US"/>
        </w:rPr>
        <w:t>28.</w:t>
      </w:r>
      <w:r w:rsidRPr="0009739D">
        <w:rPr>
          <w:iCs/>
          <w:lang w:eastAsia="en-US"/>
        </w:rPr>
        <w:tab/>
        <w:t xml:space="preserve">LR teilt mit, dass diese Frage mit der niederländischen Schifffahrtsinspektion besprochen worden sei und dass </w:t>
      </w:r>
      <w:proofErr w:type="spellStart"/>
      <w:r w:rsidRPr="0009739D">
        <w:rPr>
          <w:iCs/>
          <w:lang w:eastAsia="en-US"/>
        </w:rPr>
        <w:t>Bilgenboote</w:t>
      </w:r>
      <w:proofErr w:type="spellEnd"/>
      <w:r w:rsidRPr="0009739D">
        <w:rPr>
          <w:iCs/>
          <w:lang w:eastAsia="en-US"/>
        </w:rPr>
        <w:t>, die vor dem 1.1.2009 UN-Nr. 3082 Bilgenwasser befördern durften, bis zum 31. Dezember 2038 alle drei neuen Positionen unter UN-Nr. 3082 in Bezug auf Schlamm befördern dürften.</w:t>
      </w:r>
    </w:p>
    <w:p w14:paraId="24C19298" w14:textId="77777777" w:rsidR="000E6178" w:rsidRDefault="000E6178">
      <w:pPr>
        <w:widowControl/>
        <w:overflowPunct/>
        <w:autoSpaceDE/>
        <w:autoSpaceDN/>
        <w:adjustRightInd/>
        <w:ind w:left="0" w:firstLine="0"/>
        <w:jc w:val="left"/>
        <w:textAlignment w:val="auto"/>
        <w:rPr>
          <w:iCs/>
          <w:lang w:eastAsia="en-US"/>
        </w:rPr>
      </w:pPr>
      <w:r>
        <w:rPr>
          <w:iCs/>
          <w:lang w:eastAsia="en-US"/>
        </w:rPr>
        <w:br w:type="page"/>
      </w:r>
    </w:p>
    <w:p w14:paraId="1D596379" w14:textId="6966B884"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iCs/>
          <w:lang w:eastAsia="en-US"/>
        </w:rPr>
      </w:pPr>
      <w:r w:rsidRPr="0009739D">
        <w:rPr>
          <w:iCs/>
          <w:lang w:eastAsia="en-US"/>
        </w:rPr>
        <w:lastRenderedPageBreak/>
        <w:t>29.</w:t>
      </w:r>
      <w:r w:rsidRPr="0009739D">
        <w:rPr>
          <w:iCs/>
          <w:lang w:eastAsia="en-US"/>
        </w:rPr>
        <w:tab/>
        <w:t xml:space="preserve">DNV hat diesen Punkt mit den deutschen Behörden besprochen und die Information erhalten, dass, wenn die regelmäßige Beförderung von UN-Nr. 3082 UMWELTGEFÄHRDENDER STOFF, FLÜSSIG, N.A.G. oder UN-Nr. 3257 ERWÄRMTER FLÜSSIGER STOFF, N.A.G. oder Stoffnummer 9001 für ein bestimmtes Schiff für den Zeitraum vor dem 31.12.2008 nachgewiesen werden kann, UN-Nr. 3082 in Verbindung mit Schlamm in die Schiffsstoffliste aufgenommen werden kann. Eine schriftliche Stellungnahme zu dieser Vorgehensweise liegt derzeit nicht vor. </w:t>
      </w:r>
    </w:p>
    <w:p w14:paraId="0949EDB4"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iCs/>
          <w:lang w:eastAsia="en-US"/>
        </w:rPr>
      </w:pPr>
      <w:r w:rsidRPr="0009739D">
        <w:rPr>
          <w:iCs/>
          <w:lang w:eastAsia="en-US"/>
        </w:rPr>
        <w:t>30.</w:t>
      </w:r>
      <w:r w:rsidRPr="0009739D">
        <w:rPr>
          <w:iCs/>
          <w:lang w:eastAsia="en-US"/>
        </w:rPr>
        <w:tab/>
        <w:t>Es wird festgestellt, dass die Gruppe wegen der anderen Vorgehensweise Bedenken hat.</w:t>
      </w:r>
    </w:p>
    <w:p w14:paraId="7430D693" w14:textId="123EBA17" w:rsidR="0009739D" w:rsidRPr="0009739D" w:rsidRDefault="0009739D" w:rsidP="0009739D">
      <w:pPr>
        <w:keepNext/>
        <w:keepLines/>
        <w:widowControl/>
        <w:tabs>
          <w:tab w:val="right" w:pos="851"/>
          <w:tab w:val="left" w:pos="1701"/>
        </w:tabs>
        <w:suppressAutoHyphens/>
        <w:overflowPunct/>
        <w:autoSpaceDE/>
        <w:autoSpaceDN/>
        <w:adjustRightInd/>
        <w:spacing w:before="240" w:after="120" w:line="240" w:lineRule="exact"/>
        <w:ind w:right="1134"/>
        <w:jc w:val="left"/>
        <w:textAlignment w:val="auto"/>
        <w:rPr>
          <w:b/>
          <w:lang w:eastAsia="en-US"/>
        </w:rPr>
      </w:pPr>
      <w:r w:rsidRPr="0009739D">
        <w:rPr>
          <w:b/>
          <w:lang w:eastAsia="en-US"/>
        </w:rPr>
        <w:tab/>
        <w:t>b)</w:t>
      </w:r>
      <w:r w:rsidRPr="0009739D">
        <w:rPr>
          <w:b/>
          <w:lang w:eastAsia="en-US"/>
        </w:rPr>
        <w:tab/>
        <w:t>LR stellt eine Frage zum Multilateralen Abkommen 18</w:t>
      </w:r>
    </w:p>
    <w:p w14:paraId="10A4AA7C"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lang w:eastAsia="en-US"/>
        </w:rPr>
      </w:pPr>
      <w:r w:rsidRPr="0009739D">
        <w:rPr>
          <w:iCs/>
          <w:lang w:eastAsia="en-US"/>
        </w:rPr>
        <w:t>31.</w:t>
      </w:r>
      <w:r w:rsidRPr="0009739D">
        <w:rPr>
          <w:iCs/>
          <w:lang w:eastAsia="en-US"/>
        </w:rPr>
        <w:tab/>
        <w:t>Es wird beschlossen, dass die niederländischen Behörden eine Prüfung vornehmen und in den nächsten Wochen antworten sollen.</w:t>
      </w:r>
    </w:p>
    <w:p w14:paraId="182D0BE0" w14:textId="77777777" w:rsidR="0009739D" w:rsidRPr="0009739D" w:rsidRDefault="0009739D" w:rsidP="0009739D">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sidRPr="0009739D">
        <w:rPr>
          <w:b/>
          <w:sz w:val="28"/>
          <w:lang w:eastAsia="en-US"/>
        </w:rPr>
        <w:tab/>
        <w:t>VI.</w:t>
      </w:r>
      <w:r w:rsidRPr="0009739D">
        <w:rPr>
          <w:b/>
          <w:sz w:val="28"/>
          <w:lang w:eastAsia="en-US"/>
        </w:rPr>
        <w:tab/>
        <w:t>Termin und Ort der nächsten Sitzung</w:t>
      </w:r>
    </w:p>
    <w:p w14:paraId="132D4607"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lang w:eastAsia="en-US"/>
        </w:rPr>
      </w:pPr>
      <w:r w:rsidRPr="0009739D">
        <w:rPr>
          <w:iCs/>
          <w:lang w:eastAsia="en-US"/>
        </w:rPr>
        <w:t>32.</w:t>
      </w:r>
      <w:r w:rsidRPr="0009739D">
        <w:rPr>
          <w:iCs/>
          <w:lang w:eastAsia="en-US"/>
        </w:rPr>
        <w:tab/>
        <w:t>Die nächste Sitzung ist für den 20. Oktober 2021 in Zagreb geplant.</w:t>
      </w:r>
    </w:p>
    <w:p w14:paraId="4AE4301E" w14:textId="77777777" w:rsidR="0009739D" w:rsidRPr="0009739D" w:rsidRDefault="0009739D" w:rsidP="0009739D">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sidRPr="0009739D">
        <w:rPr>
          <w:b/>
          <w:sz w:val="28"/>
          <w:lang w:eastAsia="en-US"/>
        </w:rPr>
        <w:tab/>
        <w:t>VII.</w:t>
      </w:r>
      <w:r w:rsidRPr="0009739D">
        <w:rPr>
          <w:b/>
          <w:sz w:val="28"/>
          <w:lang w:eastAsia="en-US"/>
        </w:rPr>
        <w:tab/>
        <w:t>Beendigung der Sitzung</w:t>
      </w:r>
    </w:p>
    <w:p w14:paraId="2F16C3DE" w14:textId="77777777" w:rsidR="0009739D" w:rsidRPr="0009739D" w:rsidRDefault="0009739D" w:rsidP="0009739D">
      <w:pPr>
        <w:widowControl/>
        <w:tabs>
          <w:tab w:val="left" w:pos="1701"/>
        </w:tabs>
        <w:suppressAutoHyphens/>
        <w:overflowPunct/>
        <w:autoSpaceDE/>
        <w:autoSpaceDN/>
        <w:adjustRightInd/>
        <w:spacing w:after="120" w:line="240" w:lineRule="atLeast"/>
        <w:ind w:right="1134" w:firstLine="0"/>
        <w:textAlignment w:val="auto"/>
        <w:rPr>
          <w:lang w:eastAsia="en-US"/>
        </w:rPr>
      </w:pPr>
      <w:r w:rsidRPr="0009739D">
        <w:rPr>
          <w:iCs/>
          <w:lang w:eastAsia="en-US"/>
        </w:rPr>
        <w:t>33.</w:t>
      </w:r>
      <w:r w:rsidRPr="0009739D">
        <w:rPr>
          <w:iCs/>
          <w:lang w:eastAsia="en-US"/>
        </w:rPr>
        <w:tab/>
        <w:t>Die einundzwanzigste Sitzung ist geschlossen.</w:t>
      </w:r>
    </w:p>
    <w:p w14:paraId="46C05A50" w14:textId="6276A26B" w:rsidR="0063076E" w:rsidRPr="00173DD7" w:rsidRDefault="0063076E" w:rsidP="0009739D">
      <w:pPr>
        <w:tabs>
          <w:tab w:val="left" w:pos="1418"/>
          <w:tab w:val="left" w:pos="1701"/>
        </w:tabs>
        <w:spacing w:line="240" w:lineRule="atLeast"/>
        <w:ind w:firstLine="0"/>
        <w:jc w:val="center"/>
      </w:pPr>
      <w:bookmarkStart w:id="3" w:name="_Hlk33099984"/>
      <w:r w:rsidRPr="005B7A17">
        <w:t>***</w:t>
      </w:r>
      <w:bookmarkEnd w:id="3"/>
    </w:p>
    <w:sectPr w:rsidR="0063076E" w:rsidRPr="00173DD7" w:rsidSect="00D36741">
      <w:headerReference w:type="even" r:id="rId11"/>
      <w:headerReference w:type="default" r:id="rId12"/>
      <w:footerReference w:type="even" r:id="rId13"/>
      <w:footerReference w:type="defaul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FCC7E" w14:textId="77777777" w:rsidR="00277F70" w:rsidRDefault="00277F70" w:rsidP="00277F70">
      <w:r>
        <w:separator/>
      </w:r>
    </w:p>
  </w:endnote>
  <w:endnote w:type="continuationSeparator" w:id="0">
    <w:p w14:paraId="15BF02D3" w14:textId="77777777" w:rsidR="00277F70" w:rsidRDefault="00277F70"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E73BF" w14:textId="77777777" w:rsidR="0009739D" w:rsidRPr="003664FC" w:rsidRDefault="0009739D" w:rsidP="0009739D">
    <w:pPr>
      <w:widowControl/>
      <w:suppressAutoHyphens/>
      <w:overflowPunct/>
      <w:autoSpaceDE/>
      <w:autoSpaceDN/>
      <w:adjustRightInd/>
      <w:ind w:left="0" w:firstLine="0"/>
      <w:jc w:val="right"/>
      <w:textAlignment w:val="auto"/>
      <w:rPr>
        <w:lang w:val="fr-FR"/>
      </w:rPr>
    </w:pPr>
    <w:r>
      <w:rPr>
        <w:rFonts w:ascii="Arial" w:hAnsi="Arial"/>
        <w:noProof/>
        <w:snapToGrid w:val="0"/>
        <w:sz w:val="12"/>
        <w:szCs w:val="12"/>
        <w:lang w:val="fr-FR"/>
      </w:rPr>
      <w:t>m</w:t>
    </w:r>
    <w:r w:rsidRPr="003664FC">
      <w:rPr>
        <w:rFonts w:ascii="Arial" w:hAnsi="Arial"/>
        <w:noProof/>
        <w:snapToGrid w:val="0"/>
        <w:sz w:val="12"/>
        <w:szCs w:val="12"/>
        <w:lang w:val="fr-FR"/>
      </w:rPr>
      <w:t>m</w:t>
    </w:r>
    <w:r>
      <w:rPr>
        <w:rFonts w:ascii="Arial" w:hAnsi="Arial"/>
        <w:noProof/>
        <w:snapToGrid w:val="0"/>
        <w:sz w:val="12"/>
        <w:szCs w:val="12"/>
        <w:lang w:val="fr-FR"/>
      </w:rPr>
      <w:t>_ba</w:t>
    </w:r>
    <w:r w:rsidRPr="003664FC">
      <w:rPr>
        <w:rFonts w:ascii="Arial" w:hAnsi="Arial"/>
        <w:noProof/>
        <w:snapToGrid w:val="0"/>
        <w:sz w:val="12"/>
        <w:szCs w:val="12"/>
        <w:lang w:val="fr-FR"/>
      </w:rPr>
      <w:t>/adn_wp15_ac2_2021_</w:t>
    </w:r>
    <w:r>
      <w:rPr>
        <w:rFonts w:ascii="Arial" w:hAnsi="Arial"/>
        <w:noProof/>
        <w:snapToGrid w:val="0"/>
        <w:sz w:val="12"/>
        <w:szCs w:val="12"/>
        <w:lang w:val="fr-FR"/>
      </w:rPr>
      <w:t>18</w:t>
    </w:r>
    <w:r w:rsidRPr="003664FC">
      <w:rPr>
        <w:rFonts w:ascii="Arial" w:hAnsi="Arial"/>
        <w:noProof/>
        <w:snapToGrid w:val="0"/>
        <w:sz w:val="12"/>
        <w:szCs w:val="12"/>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2762" w14:textId="7E65B7A4" w:rsidR="00D36741" w:rsidRPr="000671E2" w:rsidRDefault="000671E2" w:rsidP="00D36741">
    <w:pPr>
      <w:widowControl/>
      <w:suppressAutoHyphens/>
      <w:overflowPunct/>
      <w:autoSpaceDE/>
      <w:autoSpaceDN/>
      <w:adjustRightInd/>
      <w:ind w:left="0" w:firstLine="0"/>
      <w:jc w:val="right"/>
      <w:textAlignment w:val="auto"/>
      <w:rPr>
        <w:lang w:val="fr-FR"/>
      </w:rPr>
    </w:pPr>
    <w:r w:rsidRPr="000671E2">
      <w:rPr>
        <w:rFonts w:ascii="Arial" w:hAnsi="Arial"/>
        <w:noProof/>
        <w:snapToGrid w:val="0"/>
        <w:sz w:val="12"/>
        <w:szCs w:val="24"/>
        <w:lang w:val="fr-FR"/>
      </w:rPr>
      <w:t>m</w:t>
    </w:r>
    <w:r w:rsidR="00D36741" w:rsidRPr="000671E2">
      <w:rPr>
        <w:rFonts w:ascii="Arial" w:hAnsi="Arial"/>
        <w:noProof/>
        <w:snapToGrid w:val="0"/>
        <w:sz w:val="12"/>
        <w:szCs w:val="24"/>
        <w:lang w:val="fr-FR"/>
      </w:rPr>
      <w:t>m</w:t>
    </w:r>
    <w:r w:rsidRPr="000671E2">
      <w:rPr>
        <w:rFonts w:ascii="Arial" w:hAnsi="Arial"/>
        <w:noProof/>
        <w:snapToGrid w:val="0"/>
        <w:sz w:val="12"/>
        <w:szCs w:val="24"/>
        <w:lang w:val="fr-FR"/>
      </w:rPr>
      <w:t>_ba</w:t>
    </w:r>
    <w:r w:rsidR="00D36741" w:rsidRPr="000671E2">
      <w:rPr>
        <w:rFonts w:ascii="Arial" w:hAnsi="Arial"/>
        <w:noProof/>
        <w:snapToGrid w:val="0"/>
        <w:sz w:val="12"/>
        <w:szCs w:val="24"/>
        <w:lang w:val="fr-FR"/>
      </w:rPr>
      <w:t>/adn_wp15_ac2_202</w:t>
    </w:r>
    <w:r w:rsidR="00830501" w:rsidRPr="000671E2">
      <w:rPr>
        <w:rFonts w:ascii="Arial" w:hAnsi="Arial"/>
        <w:noProof/>
        <w:snapToGrid w:val="0"/>
        <w:sz w:val="12"/>
        <w:szCs w:val="24"/>
        <w:lang w:val="fr-FR"/>
      </w:rPr>
      <w:t>1</w:t>
    </w:r>
    <w:r w:rsidR="00D36741" w:rsidRPr="000671E2">
      <w:rPr>
        <w:rFonts w:ascii="Arial" w:hAnsi="Arial"/>
        <w:noProof/>
        <w:snapToGrid w:val="0"/>
        <w:sz w:val="12"/>
        <w:szCs w:val="24"/>
        <w:lang w:val="fr-FR"/>
      </w:rPr>
      <w:t>_</w:t>
    </w:r>
    <w:r w:rsidR="00254551">
      <w:rPr>
        <w:rFonts w:ascii="Arial" w:hAnsi="Arial"/>
        <w:noProof/>
        <w:snapToGrid w:val="0"/>
        <w:sz w:val="12"/>
        <w:szCs w:val="24"/>
        <w:lang w:val="fr-FR"/>
      </w:rPr>
      <w:t>1</w:t>
    </w:r>
    <w:r w:rsidR="0009739D">
      <w:rPr>
        <w:rFonts w:ascii="Arial" w:hAnsi="Arial"/>
        <w:noProof/>
        <w:snapToGrid w:val="0"/>
        <w:sz w:val="12"/>
        <w:szCs w:val="24"/>
        <w:lang w:val="fr-FR"/>
      </w:rPr>
      <w:t>8</w:t>
    </w:r>
    <w:r w:rsidR="00D36741" w:rsidRPr="000671E2">
      <w:rPr>
        <w:rFonts w:ascii="Arial" w:hAnsi="Arial"/>
        <w:noProof/>
        <w:snapToGrid w:val="0"/>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A111B" w14:textId="77777777" w:rsidR="00277F70" w:rsidRDefault="00277F70" w:rsidP="00277F70">
      <w:r>
        <w:separator/>
      </w:r>
    </w:p>
  </w:footnote>
  <w:footnote w:type="continuationSeparator" w:id="0">
    <w:p w14:paraId="5AA4B363" w14:textId="77777777" w:rsidR="00277F70" w:rsidRDefault="00277F70" w:rsidP="00277F70">
      <w:r>
        <w:continuationSeparator/>
      </w:r>
    </w:p>
  </w:footnote>
  <w:footnote w:id="1">
    <w:p w14:paraId="1764F4BE" w14:textId="77777777" w:rsidR="0009739D" w:rsidRPr="0009739D" w:rsidRDefault="0009739D" w:rsidP="0009739D">
      <w:pPr>
        <w:pStyle w:val="FootnoteText"/>
        <w:rPr>
          <w:sz w:val="16"/>
          <w:szCs w:val="16"/>
        </w:rPr>
      </w:pPr>
      <w:r w:rsidRPr="0009739D">
        <w:rPr>
          <w:rStyle w:val="FootnoteReference"/>
          <w:sz w:val="16"/>
          <w:szCs w:val="16"/>
        </w:rPr>
        <w:tab/>
        <w:t>*</w:t>
      </w:r>
      <w:r w:rsidRPr="0009739D">
        <w:rPr>
          <w:rStyle w:val="FootnoteReference"/>
          <w:sz w:val="16"/>
          <w:szCs w:val="16"/>
        </w:rPr>
        <w:tab/>
      </w:r>
      <w:r w:rsidRPr="0009739D">
        <w:rPr>
          <w:sz w:val="16"/>
          <w:szCs w:val="16"/>
        </w:rPr>
        <w:t>Von der UNECE in Englisch, Französisch und Russisch unter dem Aktenzeichen ECE/TRANS/WP.15/AC.2/2021/18 verteilt.</w:t>
      </w:r>
    </w:p>
  </w:footnote>
  <w:footnote w:id="2">
    <w:p w14:paraId="170DCF61" w14:textId="77777777" w:rsidR="0009739D" w:rsidRPr="0009739D" w:rsidRDefault="0009739D" w:rsidP="0009739D">
      <w:pPr>
        <w:pStyle w:val="FootnoteText"/>
        <w:rPr>
          <w:sz w:val="16"/>
          <w:szCs w:val="16"/>
        </w:rPr>
      </w:pPr>
      <w:r w:rsidRPr="0009739D">
        <w:rPr>
          <w:rStyle w:val="FootnoteReference"/>
          <w:sz w:val="16"/>
          <w:szCs w:val="16"/>
        </w:rPr>
        <w:tab/>
        <w:t>**</w:t>
      </w:r>
      <w:r w:rsidRPr="0009739D">
        <w:rPr>
          <w:rStyle w:val="FootnoteReference"/>
          <w:sz w:val="16"/>
          <w:szCs w:val="16"/>
        </w:rPr>
        <w:tab/>
      </w:r>
      <w:r w:rsidRPr="0009739D">
        <w:rPr>
          <w:sz w:val="16"/>
          <w:szCs w:val="16"/>
        </w:rPr>
        <w:t>Entsprechend dem Arbeitsprogramm des Binnenverkehrsausschusses für 2021 gemäß dem Entwurf des Programmhaushalts für 2021 (A/75/6 (Kap. 20) Abs. 20.51).</w:t>
      </w:r>
    </w:p>
  </w:footnote>
  <w:footnote w:id="3">
    <w:p w14:paraId="07D9721E" w14:textId="77777777" w:rsidR="0009739D" w:rsidRPr="000E6178" w:rsidRDefault="0009739D" w:rsidP="0009739D">
      <w:pPr>
        <w:pStyle w:val="FootnoteText"/>
        <w:rPr>
          <w:sz w:val="16"/>
          <w:szCs w:val="16"/>
        </w:rPr>
      </w:pPr>
      <w:r w:rsidRPr="0087152F">
        <w:tab/>
      </w:r>
      <w:r w:rsidRPr="000E6178">
        <w:rPr>
          <w:rStyle w:val="FootnoteReference"/>
          <w:sz w:val="16"/>
          <w:szCs w:val="16"/>
        </w:rPr>
        <w:footnoteRef/>
      </w:r>
      <w:r w:rsidRPr="000E6178">
        <w:rPr>
          <w:sz w:val="16"/>
          <w:szCs w:val="16"/>
        </w:rPr>
        <w:tab/>
        <w:t>Europäischer Standard der technischen Vorschriften für Binnenschiffe (ES-TRIN, www.cesni.eu/de/types/technische-vorschriften/).</w:t>
      </w:r>
    </w:p>
  </w:footnote>
  <w:footnote w:id="4">
    <w:p w14:paraId="3BFB8D04" w14:textId="77777777" w:rsidR="0009739D" w:rsidRPr="000E6178" w:rsidRDefault="0009739D" w:rsidP="0009739D">
      <w:pPr>
        <w:pStyle w:val="FootnoteText"/>
        <w:rPr>
          <w:sz w:val="16"/>
          <w:szCs w:val="16"/>
        </w:rPr>
      </w:pPr>
      <w:r w:rsidRPr="000E6178">
        <w:rPr>
          <w:sz w:val="16"/>
          <w:szCs w:val="16"/>
        </w:rPr>
        <w:tab/>
      </w:r>
      <w:r w:rsidRPr="000E6178">
        <w:rPr>
          <w:rStyle w:val="FootnoteReference"/>
          <w:sz w:val="16"/>
          <w:szCs w:val="16"/>
        </w:rPr>
        <w:footnoteRef/>
      </w:r>
      <w:r w:rsidRPr="000E6178">
        <w:rPr>
          <w:sz w:val="16"/>
          <w:szCs w:val="16"/>
        </w:rPr>
        <w:tab/>
        <w:t>Europäischer Ausschuss zur Ausarbeitung von Standards im Bereich der Binnenschifffahrt (www.cesni.eu).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395E" w14:textId="0DCA65C6"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w:t>
    </w:r>
    <w:r w:rsidR="00830501">
      <w:rPr>
        <w:rFonts w:ascii="Arial" w:hAnsi="Arial"/>
        <w:snapToGrid w:val="0"/>
        <w:sz w:val="16"/>
        <w:szCs w:val="16"/>
        <w:lang w:val="en-US"/>
      </w:rPr>
      <w:t>1</w:t>
    </w:r>
    <w:r w:rsidRPr="00FF3208">
      <w:rPr>
        <w:rFonts w:ascii="Arial" w:hAnsi="Arial"/>
        <w:snapToGrid w:val="0"/>
        <w:sz w:val="16"/>
        <w:szCs w:val="16"/>
        <w:lang w:val="en-US"/>
      </w:rPr>
      <w:t>/</w:t>
    </w:r>
    <w:r w:rsidR="0009739D">
      <w:rPr>
        <w:rFonts w:ascii="Arial" w:hAnsi="Arial"/>
        <w:snapToGrid w:val="0"/>
        <w:sz w:val="16"/>
        <w:szCs w:val="16"/>
        <w:lang w:val="en-US"/>
      </w:rPr>
      <w:t>18</w:t>
    </w:r>
  </w:p>
  <w:p w14:paraId="5014E70E" w14:textId="6C61F175"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3</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7E64" w14:textId="2EA99056"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4" w:name="_Hlk19605293"/>
    <w:bookmarkStart w:id="5" w:name="_Hlk19605294"/>
    <w:r w:rsidRPr="00FF3208">
      <w:rPr>
        <w:rFonts w:ascii="Arial" w:hAnsi="Arial"/>
        <w:snapToGrid w:val="0"/>
        <w:sz w:val="16"/>
        <w:szCs w:val="16"/>
        <w:lang w:val="en-US"/>
      </w:rPr>
      <w:t>CCNR-ZKR/ADN/WP.15/AC.2/20</w:t>
    </w:r>
    <w:r>
      <w:rPr>
        <w:rFonts w:ascii="Arial" w:hAnsi="Arial"/>
        <w:snapToGrid w:val="0"/>
        <w:sz w:val="16"/>
        <w:szCs w:val="16"/>
        <w:lang w:val="en-US"/>
      </w:rPr>
      <w:t>2</w:t>
    </w:r>
    <w:r w:rsidR="00830501">
      <w:rPr>
        <w:rFonts w:ascii="Arial" w:hAnsi="Arial"/>
        <w:snapToGrid w:val="0"/>
        <w:sz w:val="16"/>
        <w:szCs w:val="16"/>
        <w:lang w:val="en-US"/>
      </w:rPr>
      <w:t>1</w:t>
    </w:r>
    <w:r w:rsidRPr="00FF3208">
      <w:rPr>
        <w:rFonts w:ascii="Arial" w:hAnsi="Arial"/>
        <w:snapToGrid w:val="0"/>
        <w:sz w:val="16"/>
        <w:szCs w:val="16"/>
        <w:lang w:val="en-US"/>
      </w:rPr>
      <w:t>/</w:t>
    </w:r>
    <w:r w:rsidR="005E13D8">
      <w:rPr>
        <w:rFonts w:ascii="Arial" w:hAnsi="Arial"/>
        <w:snapToGrid w:val="0"/>
        <w:sz w:val="16"/>
        <w:szCs w:val="16"/>
        <w:lang w:val="en-US"/>
      </w:rPr>
      <w:t>1</w:t>
    </w:r>
    <w:r w:rsidR="0009739D">
      <w:rPr>
        <w:rFonts w:ascii="Arial" w:hAnsi="Arial"/>
        <w:snapToGrid w:val="0"/>
        <w:sz w:val="16"/>
        <w:szCs w:val="16"/>
        <w:lang w:val="en-US"/>
      </w:rPr>
      <w:t>8</w:t>
    </w:r>
  </w:p>
  <w:p w14:paraId="038C26D2" w14:textId="08D4F8AA"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8F3"/>
    <w:multiLevelType w:val="hybridMultilevel"/>
    <w:tmpl w:val="39AE2808"/>
    <w:lvl w:ilvl="0" w:tplc="BB8EB098">
      <w:numFmt w:val="bullet"/>
      <w:lvlText w:val="-"/>
      <w:lvlJc w:val="left"/>
      <w:pPr>
        <w:ind w:left="1494" w:hanging="360"/>
      </w:pPr>
      <w:rPr>
        <w:rFonts w:ascii="Times New Roman" w:eastAsia="Corbel"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0EB85D75"/>
    <w:multiLevelType w:val="hybridMultilevel"/>
    <w:tmpl w:val="4F28414E"/>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 w15:restartNumberingAfterBreak="0">
    <w:nsid w:val="1DF57BBE"/>
    <w:multiLevelType w:val="hybridMultilevel"/>
    <w:tmpl w:val="DE088C34"/>
    <w:lvl w:ilvl="0" w:tplc="040C0001">
      <w:start w:val="1"/>
      <w:numFmt w:val="bullet"/>
      <w:lvlText w:val=""/>
      <w:lvlJc w:val="left"/>
      <w:pPr>
        <w:ind w:left="2421" w:hanging="360"/>
      </w:pPr>
      <w:rPr>
        <w:rFonts w:ascii="Symbol" w:hAnsi="Symbol" w:hint="default"/>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3"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395668F1"/>
    <w:multiLevelType w:val="hybridMultilevel"/>
    <w:tmpl w:val="4BF2F188"/>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5" w15:restartNumberingAfterBreak="0">
    <w:nsid w:val="580A3142"/>
    <w:multiLevelType w:val="hybridMultilevel"/>
    <w:tmpl w:val="D00CF16C"/>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6" w15:restartNumberingAfterBreak="0">
    <w:nsid w:val="67EF157C"/>
    <w:multiLevelType w:val="hybridMultilevel"/>
    <w:tmpl w:val="D4A2CBC4"/>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7"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8"/>
  </w:num>
  <w:num w:numId="2">
    <w:abstractNumId w:val="7"/>
  </w:num>
  <w:num w:numId="3">
    <w:abstractNumId w:val="3"/>
  </w:num>
  <w:num w:numId="4">
    <w:abstractNumId w:val="0"/>
  </w:num>
  <w:num w:numId="5">
    <w:abstractNumId w:val="4"/>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16D83"/>
    <w:rsid w:val="000671E2"/>
    <w:rsid w:val="00081764"/>
    <w:rsid w:val="0009215A"/>
    <w:rsid w:val="00094A98"/>
    <w:rsid w:val="0009739D"/>
    <w:rsid w:val="000A563B"/>
    <w:rsid w:val="000B2B01"/>
    <w:rsid w:val="000C6E63"/>
    <w:rsid w:val="000D2922"/>
    <w:rsid w:val="000D45A5"/>
    <w:rsid w:val="000E12CF"/>
    <w:rsid w:val="000E6178"/>
    <w:rsid w:val="00105090"/>
    <w:rsid w:val="001123B6"/>
    <w:rsid w:val="00114024"/>
    <w:rsid w:val="00124AC9"/>
    <w:rsid w:val="00131A8F"/>
    <w:rsid w:val="00133AF9"/>
    <w:rsid w:val="00155C7C"/>
    <w:rsid w:val="00160AF1"/>
    <w:rsid w:val="00173DD7"/>
    <w:rsid w:val="00174C3C"/>
    <w:rsid w:val="00194D43"/>
    <w:rsid w:val="00197A65"/>
    <w:rsid w:val="001C60D6"/>
    <w:rsid w:val="001E1012"/>
    <w:rsid w:val="00222245"/>
    <w:rsid w:val="00225E1F"/>
    <w:rsid w:val="0023573E"/>
    <w:rsid w:val="00254551"/>
    <w:rsid w:val="00277F70"/>
    <w:rsid w:val="002B7A8C"/>
    <w:rsid w:val="002E6F67"/>
    <w:rsid w:val="002E759A"/>
    <w:rsid w:val="00342E4B"/>
    <w:rsid w:val="003664FC"/>
    <w:rsid w:val="00386F46"/>
    <w:rsid w:val="00387BCB"/>
    <w:rsid w:val="003B3B76"/>
    <w:rsid w:val="003C0141"/>
    <w:rsid w:val="003E12AD"/>
    <w:rsid w:val="003E170E"/>
    <w:rsid w:val="003E6913"/>
    <w:rsid w:val="003F5E68"/>
    <w:rsid w:val="00405C20"/>
    <w:rsid w:val="004076CE"/>
    <w:rsid w:val="004448E3"/>
    <w:rsid w:val="00446B6D"/>
    <w:rsid w:val="00454F9B"/>
    <w:rsid w:val="00473E92"/>
    <w:rsid w:val="00483782"/>
    <w:rsid w:val="00493A40"/>
    <w:rsid w:val="004A7663"/>
    <w:rsid w:val="004B1F08"/>
    <w:rsid w:val="004C1F19"/>
    <w:rsid w:val="004C5A4B"/>
    <w:rsid w:val="004E2AEF"/>
    <w:rsid w:val="004E64FE"/>
    <w:rsid w:val="004F06F2"/>
    <w:rsid w:val="00510C03"/>
    <w:rsid w:val="00574349"/>
    <w:rsid w:val="00577B93"/>
    <w:rsid w:val="00591A7D"/>
    <w:rsid w:val="005B7A17"/>
    <w:rsid w:val="005C2135"/>
    <w:rsid w:val="005D238A"/>
    <w:rsid w:val="005D56E2"/>
    <w:rsid w:val="005E13D8"/>
    <w:rsid w:val="005F4151"/>
    <w:rsid w:val="00605C9C"/>
    <w:rsid w:val="006257E8"/>
    <w:rsid w:val="0063076E"/>
    <w:rsid w:val="00635226"/>
    <w:rsid w:val="00643AEA"/>
    <w:rsid w:val="006672D7"/>
    <w:rsid w:val="00685194"/>
    <w:rsid w:val="0069704F"/>
    <w:rsid w:val="006B10A8"/>
    <w:rsid w:val="006B2794"/>
    <w:rsid w:val="006B4FAE"/>
    <w:rsid w:val="006E493E"/>
    <w:rsid w:val="00720516"/>
    <w:rsid w:val="00724A3F"/>
    <w:rsid w:val="00724E6F"/>
    <w:rsid w:val="00724FD7"/>
    <w:rsid w:val="00744FFD"/>
    <w:rsid w:val="00751575"/>
    <w:rsid w:val="0076310E"/>
    <w:rsid w:val="007B6557"/>
    <w:rsid w:val="007C4366"/>
    <w:rsid w:val="007C72B0"/>
    <w:rsid w:val="007D2C1E"/>
    <w:rsid w:val="007F7513"/>
    <w:rsid w:val="00816FB9"/>
    <w:rsid w:val="0082314C"/>
    <w:rsid w:val="0082636A"/>
    <w:rsid w:val="00827D8E"/>
    <w:rsid w:val="00830501"/>
    <w:rsid w:val="00836F6E"/>
    <w:rsid w:val="00857646"/>
    <w:rsid w:val="00863D48"/>
    <w:rsid w:val="008915C3"/>
    <w:rsid w:val="00895F87"/>
    <w:rsid w:val="008A4F51"/>
    <w:rsid w:val="008A7569"/>
    <w:rsid w:val="008B0942"/>
    <w:rsid w:val="008B1195"/>
    <w:rsid w:val="008B32C8"/>
    <w:rsid w:val="008C6675"/>
    <w:rsid w:val="008E0E25"/>
    <w:rsid w:val="008F4F6A"/>
    <w:rsid w:val="00935AFF"/>
    <w:rsid w:val="009545CD"/>
    <w:rsid w:val="009643C6"/>
    <w:rsid w:val="00970903"/>
    <w:rsid w:val="009873A1"/>
    <w:rsid w:val="009A5ADD"/>
    <w:rsid w:val="009B27C7"/>
    <w:rsid w:val="009C033F"/>
    <w:rsid w:val="009D5560"/>
    <w:rsid w:val="009E2B4D"/>
    <w:rsid w:val="00A0258A"/>
    <w:rsid w:val="00A02FB6"/>
    <w:rsid w:val="00A03B61"/>
    <w:rsid w:val="00A55BE0"/>
    <w:rsid w:val="00A61678"/>
    <w:rsid w:val="00A857CC"/>
    <w:rsid w:val="00A97CEA"/>
    <w:rsid w:val="00AC15CE"/>
    <w:rsid w:val="00AC78AF"/>
    <w:rsid w:val="00AC7F3E"/>
    <w:rsid w:val="00AE0AFB"/>
    <w:rsid w:val="00AE5AF2"/>
    <w:rsid w:val="00B302EA"/>
    <w:rsid w:val="00B313AB"/>
    <w:rsid w:val="00B33872"/>
    <w:rsid w:val="00B4424C"/>
    <w:rsid w:val="00B4533C"/>
    <w:rsid w:val="00B57331"/>
    <w:rsid w:val="00B72BC1"/>
    <w:rsid w:val="00B92D4C"/>
    <w:rsid w:val="00BB0DBC"/>
    <w:rsid w:val="00BB43A1"/>
    <w:rsid w:val="00BE25FE"/>
    <w:rsid w:val="00C125FE"/>
    <w:rsid w:val="00C52EB3"/>
    <w:rsid w:val="00C67DBE"/>
    <w:rsid w:val="00C94048"/>
    <w:rsid w:val="00CA03D5"/>
    <w:rsid w:val="00CD18A5"/>
    <w:rsid w:val="00CF1246"/>
    <w:rsid w:val="00CF33FD"/>
    <w:rsid w:val="00D12776"/>
    <w:rsid w:val="00D15348"/>
    <w:rsid w:val="00D25F16"/>
    <w:rsid w:val="00D36741"/>
    <w:rsid w:val="00D45DD4"/>
    <w:rsid w:val="00D4726C"/>
    <w:rsid w:val="00D63E14"/>
    <w:rsid w:val="00D813F2"/>
    <w:rsid w:val="00D82CDD"/>
    <w:rsid w:val="00D95D26"/>
    <w:rsid w:val="00DA42D3"/>
    <w:rsid w:val="00DB1DF7"/>
    <w:rsid w:val="00DB57E7"/>
    <w:rsid w:val="00DE53D4"/>
    <w:rsid w:val="00DE6165"/>
    <w:rsid w:val="00E03BF3"/>
    <w:rsid w:val="00E04049"/>
    <w:rsid w:val="00E063DA"/>
    <w:rsid w:val="00E20EDC"/>
    <w:rsid w:val="00E35306"/>
    <w:rsid w:val="00E37FFD"/>
    <w:rsid w:val="00E41049"/>
    <w:rsid w:val="00E565DE"/>
    <w:rsid w:val="00E569AC"/>
    <w:rsid w:val="00E727CB"/>
    <w:rsid w:val="00E83D57"/>
    <w:rsid w:val="00E87B9A"/>
    <w:rsid w:val="00EC3467"/>
    <w:rsid w:val="00ED557F"/>
    <w:rsid w:val="00EE0339"/>
    <w:rsid w:val="00EE66ED"/>
    <w:rsid w:val="00F11FC0"/>
    <w:rsid w:val="00F234B3"/>
    <w:rsid w:val="00F60DDF"/>
    <w:rsid w:val="00F70737"/>
    <w:rsid w:val="00F94A84"/>
    <w:rsid w:val="00FA20A1"/>
    <w:rsid w:val="00FC1E27"/>
    <w:rsid w:val="00FD023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BC1"/>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lattetekstinspringen31">
    <w:name w:val="Platte tekst inspringen 31"/>
    <w:basedOn w:val="Normal"/>
    <w:rsid w:val="007D2C1E"/>
    <w:pPr>
      <w:widowControl/>
      <w:tabs>
        <w:tab w:val="left" w:pos="284"/>
        <w:tab w:val="left" w:pos="1134"/>
        <w:tab w:val="left" w:pos="1418"/>
        <w:tab w:val="left" w:pos="1701"/>
        <w:tab w:val="left" w:pos="8222"/>
      </w:tabs>
      <w:spacing w:line="240" w:lineRule="atLeast"/>
      <w:ind w:left="1701" w:hanging="1417"/>
    </w:pPr>
    <w:rPr>
      <w:lang w:eastAsia="nl-NL"/>
    </w:rPr>
  </w:style>
  <w:style w:type="character" w:styleId="CommentReference">
    <w:name w:val="annotation reference"/>
    <w:basedOn w:val="DefaultParagraphFont"/>
    <w:semiHidden/>
    <w:unhideWhenUsed/>
    <w:rsid w:val="00173DD7"/>
    <w:rPr>
      <w:sz w:val="16"/>
      <w:szCs w:val="16"/>
    </w:rPr>
  </w:style>
  <w:style w:type="paragraph" w:styleId="CommentText">
    <w:name w:val="annotation text"/>
    <w:basedOn w:val="Normal"/>
    <w:link w:val="CommentTextChar"/>
    <w:semiHidden/>
    <w:unhideWhenUsed/>
    <w:rsid w:val="00173DD7"/>
  </w:style>
  <w:style w:type="character" w:customStyle="1" w:styleId="CommentTextChar">
    <w:name w:val="Comment Text Char"/>
    <w:basedOn w:val="DefaultParagraphFont"/>
    <w:link w:val="CommentText"/>
    <w:semiHidden/>
    <w:rsid w:val="00173DD7"/>
    <w:rPr>
      <w:lang w:eastAsia="fr-FR"/>
    </w:rPr>
  </w:style>
  <w:style w:type="paragraph" w:styleId="CommentSubject">
    <w:name w:val="annotation subject"/>
    <w:basedOn w:val="CommentText"/>
    <w:next w:val="CommentText"/>
    <w:link w:val="CommentSubjectChar"/>
    <w:semiHidden/>
    <w:unhideWhenUsed/>
    <w:rsid w:val="00173DD7"/>
    <w:rPr>
      <w:b/>
      <w:bCs/>
    </w:rPr>
  </w:style>
  <w:style w:type="character" w:customStyle="1" w:styleId="CommentSubjectChar">
    <w:name w:val="Comment Subject Char"/>
    <w:basedOn w:val="CommentTextChar"/>
    <w:link w:val="CommentSubject"/>
    <w:semiHidden/>
    <w:rsid w:val="00173DD7"/>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32777">
      <w:bodyDiv w:val="1"/>
      <w:marLeft w:val="0"/>
      <w:marRight w:val="0"/>
      <w:marTop w:val="0"/>
      <w:marBottom w:val="0"/>
      <w:divBdr>
        <w:top w:val="none" w:sz="0" w:space="0" w:color="auto"/>
        <w:left w:val="none" w:sz="0" w:space="0" w:color="auto"/>
        <w:bottom w:val="none" w:sz="0" w:space="0" w:color="auto"/>
        <w:right w:val="none" w:sz="0" w:space="0" w:color="auto"/>
      </w:divBdr>
    </w:div>
    <w:div w:id="11934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33DFF0-7559-46C7-B177-C55DE4E11278}">
  <ds:schemaRefs>
    <ds:schemaRef ds:uri="http://schemas.microsoft.com/sharepoint/v3/contenttype/forms"/>
  </ds:schemaRefs>
</ds:datastoreItem>
</file>

<file path=customXml/itemProps2.xml><?xml version="1.0" encoding="utf-8"?>
<ds:datastoreItem xmlns:ds="http://schemas.openxmlformats.org/officeDocument/2006/customXml" ds:itemID="{54F37065-9E40-46CA-9D3C-958CF62EA82E}"/>
</file>

<file path=customXml/itemProps3.xml><?xml version="1.0" encoding="utf-8"?>
<ds:datastoreItem xmlns:ds="http://schemas.openxmlformats.org/officeDocument/2006/customXml" ds:itemID="{458BE46A-36DB-4B8E-93AF-9AE62EAB370B}">
  <ds:schemaRefs>
    <ds:schemaRef ds:uri="http://purl.org/dc/dcmitype/"/>
    <ds:schemaRef ds:uri="http://purl.org/dc/elements/1.1/"/>
    <ds:schemaRef ds:uri="http://schemas.microsoft.com/office/2006/metadata/properties"/>
    <ds:schemaRef ds:uri="4b4a1c0d-4a69-4996-a84a-fc699b9f49de"/>
    <ds:schemaRef ds:uri="http://schemas.microsoft.com/office/2006/documentManagement/types"/>
    <ds:schemaRef ds:uri="http://schemas.openxmlformats.org/package/2006/metadata/core-properties"/>
    <ds:schemaRef ds:uri="http://schemas.microsoft.com/office/infopath/2007/PartnerControls"/>
    <ds:schemaRef ds:uri="acccb6d4-dbe5-46d2-b4d3-5733603d8cc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2004</Words>
  <Characters>11426</Characters>
  <Application>Microsoft Office Word</Application>
  <DocSecurity>4</DocSecurity>
  <Lines>95</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Secretariat</cp:lastModifiedBy>
  <cp:revision>2</cp:revision>
  <cp:lastPrinted>2019-11-12T10:07:00Z</cp:lastPrinted>
  <dcterms:created xsi:type="dcterms:W3CDTF">2021-07-01T06:54:00Z</dcterms:created>
  <dcterms:modified xsi:type="dcterms:W3CDTF">2021-07-01T06:54:00Z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