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4850B11" w14:textId="77777777" w:rsidTr="00B20551">
        <w:trPr>
          <w:cantSplit/>
          <w:trHeight w:hRule="exact" w:val="851"/>
        </w:trPr>
        <w:tc>
          <w:tcPr>
            <w:tcW w:w="1276" w:type="dxa"/>
            <w:tcBorders>
              <w:bottom w:val="single" w:sz="4" w:space="0" w:color="auto"/>
            </w:tcBorders>
            <w:vAlign w:val="bottom"/>
          </w:tcPr>
          <w:p w14:paraId="1CCF6625" w14:textId="77777777" w:rsidR="009E6CB7" w:rsidRDefault="009E6CB7" w:rsidP="00B20551">
            <w:pPr>
              <w:spacing w:after="80"/>
            </w:pPr>
          </w:p>
        </w:tc>
        <w:tc>
          <w:tcPr>
            <w:tcW w:w="2268" w:type="dxa"/>
            <w:tcBorders>
              <w:bottom w:val="single" w:sz="4" w:space="0" w:color="auto"/>
            </w:tcBorders>
            <w:vAlign w:val="bottom"/>
          </w:tcPr>
          <w:p w14:paraId="5B8E651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0CA1B46" w14:textId="7F253BE8" w:rsidR="009E6CB7" w:rsidRPr="00D47EEA" w:rsidRDefault="007F0033" w:rsidP="007F0033">
            <w:pPr>
              <w:jc w:val="right"/>
            </w:pPr>
            <w:r w:rsidRPr="007F0033">
              <w:rPr>
                <w:sz w:val="40"/>
              </w:rPr>
              <w:t>ECE</w:t>
            </w:r>
            <w:r>
              <w:t>/TRANS/WP.15/AC.1/2021/42</w:t>
            </w:r>
          </w:p>
        </w:tc>
      </w:tr>
      <w:tr w:rsidR="009E6CB7" w14:paraId="2892365C" w14:textId="77777777" w:rsidTr="00B20551">
        <w:trPr>
          <w:cantSplit/>
          <w:trHeight w:hRule="exact" w:val="2835"/>
        </w:trPr>
        <w:tc>
          <w:tcPr>
            <w:tcW w:w="1276" w:type="dxa"/>
            <w:tcBorders>
              <w:top w:val="single" w:sz="4" w:space="0" w:color="auto"/>
              <w:bottom w:val="single" w:sz="12" w:space="0" w:color="auto"/>
            </w:tcBorders>
          </w:tcPr>
          <w:p w14:paraId="5F0685AF" w14:textId="77777777" w:rsidR="009E6CB7" w:rsidRDefault="00686A48" w:rsidP="00B20551">
            <w:pPr>
              <w:spacing w:before="120"/>
            </w:pPr>
            <w:r>
              <w:rPr>
                <w:noProof/>
                <w:lang w:val="de-DE" w:eastAsia="de-DE"/>
              </w:rPr>
              <w:drawing>
                <wp:inline distT="0" distB="0" distL="0" distR="0" wp14:anchorId="797BF43D" wp14:editId="2355CF8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8436F35"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EF4CE35" w14:textId="77777777" w:rsidR="009E6CB7" w:rsidRDefault="007F0033" w:rsidP="007F0033">
            <w:pPr>
              <w:spacing w:before="240" w:line="240" w:lineRule="exact"/>
            </w:pPr>
            <w:r>
              <w:t>Distr.: General</w:t>
            </w:r>
          </w:p>
          <w:p w14:paraId="0A2217D3" w14:textId="463318CF" w:rsidR="007F0033" w:rsidRDefault="008478BD" w:rsidP="007F0033">
            <w:pPr>
              <w:spacing w:line="240" w:lineRule="exact"/>
            </w:pPr>
            <w:r>
              <w:t>6</w:t>
            </w:r>
            <w:r w:rsidR="007F0033">
              <w:t xml:space="preserve"> July 2021</w:t>
            </w:r>
          </w:p>
          <w:p w14:paraId="594FC30D" w14:textId="77777777" w:rsidR="007F0033" w:rsidRDefault="007F0033" w:rsidP="007F0033">
            <w:pPr>
              <w:spacing w:line="240" w:lineRule="exact"/>
            </w:pPr>
          </w:p>
          <w:p w14:paraId="6E0DF58E" w14:textId="63FABF22" w:rsidR="007F0033" w:rsidRDefault="007F0033" w:rsidP="007F0033">
            <w:pPr>
              <w:spacing w:line="240" w:lineRule="exact"/>
            </w:pPr>
            <w:r>
              <w:t>Original: English</w:t>
            </w:r>
          </w:p>
        </w:tc>
      </w:tr>
    </w:tbl>
    <w:p w14:paraId="1B3A1F4E" w14:textId="77777777" w:rsidR="00D57731" w:rsidRDefault="00D57731" w:rsidP="00D57731">
      <w:pPr>
        <w:spacing w:before="120"/>
        <w:rPr>
          <w:b/>
          <w:sz w:val="28"/>
          <w:szCs w:val="28"/>
        </w:rPr>
      </w:pPr>
      <w:r>
        <w:rPr>
          <w:b/>
          <w:sz w:val="28"/>
          <w:szCs w:val="28"/>
        </w:rPr>
        <w:t>Economic Commission for Europe</w:t>
      </w:r>
    </w:p>
    <w:p w14:paraId="1FCFC60F" w14:textId="77777777" w:rsidR="00D57731" w:rsidRDefault="00D57731" w:rsidP="00D57731">
      <w:pPr>
        <w:spacing w:before="120"/>
        <w:rPr>
          <w:sz w:val="28"/>
          <w:szCs w:val="28"/>
        </w:rPr>
      </w:pPr>
      <w:r>
        <w:rPr>
          <w:sz w:val="28"/>
          <w:szCs w:val="28"/>
        </w:rPr>
        <w:t>Inland Transport Committee</w:t>
      </w:r>
    </w:p>
    <w:p w14:paraId="00EDF54F" w14:textId="77777777" w:rsidR="00D57731" w:rsidRDefault="00D57731" w:rsidP="00D57731">
      <w:pPr>
        <w:spacing w:before="120" w:after="120"/>
        <w:rPr>
          <w:b/>
          <w:sz w:val="24"/>
          <w:szCs w:val="24"/>
        </w:rPr>
      </w:pPr>
      <w:r>
        <w:rPr>
          <w:b/>
          <w:sz w:val="24"/>
          <w:szCs w:val="24"/>
        </w:rPr>
        <w:t>Working Party on the Transport of Dangerous Goods</w:t>
      </w:r>
    </w:p>
    <w:p w14:paraId="43E89298" w14:textId="77777777" w:rsidR="00D57731" w:rsidRDefault="00D57731" w:rsidP="00D57731">
      <w:pPr>
        <w:rPr>
          <w:b/>
          <w:bCs/>
        </w:rPr>
      </w:pPr>
      <w:r>
        <w:rPr>
          <w:b/>
          <w:bCs/>
        </w:rPr>
        <w:t>Joint Meeting of the RID Committee of Experts and the</w:t>
      </w:r>
      <w:r>
        <w:rPr>
          <w:b/>
          <w:bCs/>
        </w:rPr>
        <w:br/>
        <w:t>Working Party on the Transport of Dangerous Goods</w:t>
      </w:r>
    </w:p>
    <w:p w14:paraId="4C4CA238" w14:textId="77777777" w:rsidR="00D57731" w:rsidRDefault="00D57731" w:rsidP="00D57731">
      <w:pPr>
        <w:rPr>
          <w:lang w:val="en-US"/>
        </w:rPr>
      </w:pPr>
      <w:r>
        <w:rPr>
          <w:lang w:val="en-US"/>
        </w:rPr>
        <w:t>Geneva, 21 September – 1 October 2021</w:t>
      </w:r>
    </w:p>
    <w:p w14:paraId="32F80AD9" w14:textId="77777777" w:rsidR="00D57731" w:rsidRDefault="00D57731" w:rsidP="00D57731">
      <w:pPr>
        <w:rPr>
          <w:lang w:val="en-US"/>
        </w:rPr>
      </w:pPr>
      <w:r>
        <w:rPr>
          <w:lang w:val="en-US"/>
        </w:rPr>
        <w:t>Item 2 of the provisional agenda</w:t>
      </w:r>
    </w:p>
    <w:p w14:paraId="70C4EBC3" w14:textId="5CA7F92D" w:rsidR="00D57731" w:rsidRDefault="00D57731" w:rsidP="00D57731">
      <w:pPr>
        <w:rPr>
          <w:b/>
          <w:bCs/>
        </w:rPr>
      </w:pPr>
      <w:r>
        <w:rPr>
          <w:b/>
          <w:bCs/>
        </w:rPr>
        <w:t>Tanks</w:t>
      </w:r>
    </w:p>
    <w:p w14:paraId="38ABA482" w14:textId="66453230" w:rsidR="00626CFE" w:rsidRDefault="00626CFE" w:rsidP="00626CFE">
      <w:pPr>
        <w:pStyle w:val="HChG"/>
        <w:ind w:firstLine="0"/>
      </w:pPr>
      <w:r>
        <w:t xml:space="preserve">Filling degree of substances carried at and above 50 </w:t>
      </w:r>
      <w:r w:rsidRPr="0046543C">
        <w:rPr>
          <w:vertAlign w:val="superscript"/>
        </w:rPr>
        <w:t>0</w:t>
      </w:r>
      <w:r>
        <w:t>C</w:t>
      </w:r>
    </w:p>
    <w:p w14:paraId="2BD2D609" w14:textId="1B8659A4" w:rsidR="00626CFE" w:rsidRDefault="00626CFE" w:rsidP="00626CFE">
      <w:pPr>
        <w:suppressAutoHyphens w:val="0"/>
        <w:spacing w:line="240" w:lineRule="auto"/>
        <w:rPr>
          <w:sz w:val="24"/>
          <w:szCs w:val="24"/>
          <w:lang w:eastAsia="zh-CN"/>
        </w:rPr>
      </w:pPr>
      <w:r w:rsidRPr="00B573A9">
        <w:tab/>
      </w:r>
      <w:r w:rsidRPr="00B573A9">
        <w:tab/>
      </w:r>
      <w:r w:rsidRPr="00550A66">
        <w:rPr>
          <w:rStyle w:val="H1GChar"/>
        </w:rPr>
        <w:t xml:space="preserve">Transmitted by the Government of </w:t>
      </w:r>
      <w:r>
        <w:rPr>
          <w:rStyle w:val="H1GChar"/>
        </w:rPr>
        <w:t>the Netherlands</w:t>
      </w:r>
      <w:r w:rsidR="00B33040" w:rsidRPr="00773216">
        <w:rPr>
          <w:rStyle w:val="FootnoteReference"/>
          <w:b/>
          <w:bCs/>
          <w:sz w:val="20"/>
          <w:shd w:val="clear" w:color="auto" w:fill="FFFFFF"/>
        </w:rPr>
        <w:footnoteReference w:customMarkFollows="1" w:id="2"/>
        <w:sym w:font="Symbol" w:char="F02A"/>
      </w:r>
      <w:r w:rsidR="00B33040" w:rsidRPr="00773216">
        <w:rPr>
          <w:b/>
          <w:bCs/>
          <w:shd w:val="clear" w:color="auto" w:fill="FFFFFF"/>
          <w:vertAlign w:val="superscript"/>
        </w:rPr>
        <w:t>,</w:t>
      </w:r>
      <w:r w:rsidR="00B33040" w:rsidRPr="00773216">
        <w:rPr>
          <w:b/>
          <w:bCs/>
        </w:rPr>
        <w:t xml:space="preserve"> </w:t>
      </w:r>
      <w:r w:rsidR="00B33040" w:rsidRPr="00773216">
        <w:rPr>
          <w:rStyle w:val="FootnoteReference"/>
          <w:b/>
          <w:bCs/>
          <w:sz w:val="20"/>
        </w:rPr>
        <w:footnoteReference w:customMarkFollows="1" w:id="3"/>
        <w:sym w:font="Symbol" w:char="F02A"/>
      </w:r>
      <w:r w:rsidR="00B33040" w:rsidRPr="00773216">
        <w:rPr>
          <w:rStyle w:val="FootnoteReference"/>
          <w:b/>
          <w:bCs/>
          <w:sz w:val="20"/>
        </w:rPr>
        <w:sym w:font="Symbol" w:char="F02A"/>
      </w:r>
      <w:r w:rsidR="00B33040" w:rsidRPr="00773216">
        <w:rPr>
          <w:b/>
          <w:bCs/>
          <w:shd w:val="clear" w:color="auto" w:fill="FFFFFF"/>
          <w:vertAlign w:val="superscript"/>
        </w:rPr>
        <w:t xml:space="preserve">, </w:t>
      </w:r>
      <w:r w:rsidR="00B33040" w:rsidRPr="00773216">
        <w:rPr>
          <w:rStyle w:val="FootnoteReference"/>
          <w:b/>
          <w:bCs/>
          <w:sz w:val="20"/>
          <w:shd w:val="clear" w:color="auto" w:fill="FFFFFF"/>
        </w:rPr>
        <w:footnoteReference w:customMarkFollows="1" w:id="4"/>
        <w:sym w:font="Symbol" w:char="F02A"/>
      </w:r>
      <w:r w:rsidR="00B33040" w:rsidRPr="00773216">
        <w:rPr>
          <w:rStyle w:val="FootnoteReference"/>
          <w:b/>
          <w:bCs/>
          <w:sz w:val="20"/>
          <w:shd w:val="clear" w:color="auto" w:fill="FFFFFF"/>
        </w:rPr>
        <w:sym w:font="Symbol" w:char="F02A"/>
      </w:r>
      <w:r w:rsidR="00B33040" w:rsidRPr="00773216">
        <w:rPr>
          <w:rStyle w:val="FootnoteReference"/>
          <w:b/>
          <w:bCs/>
          <w:sz w:val="20"/>
          <w:shd w:val="clear" w:color="auto" w:fill="FFFFFF"/>
        </w:rPr>
        <w:sym w:font="Symbol" w:char="F02A"/>
      </w:r>
    </w:p>
    <w:p w14:paraId="630EF29E" w14:textId="4F7E7EB9" w:rsidR="008735B8" w:rsidRDefault="008735B8" w:rsidP="00D57731">
      <w:pPr>
        <w:rPr>
          <w:b/>
          <w:bCs/>
        </w:rPr>
      </w:pP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082"/>
      </w:tblGrid>
      <w:tr w:rsidR="008735B8" w:rsidRPr="00B107B4" w14:paraId="2CF0A1A3" w14:textId="77777777" w:rsidTr="00AC138B">
        <w:trPr>
          <w:jc w:val="center"/>
        </w:trPr>
        <w:tc>
          <w:tcPr>
            <w:tcW w:w="9082" w:type="dxa"/>
            <w:tcBorders>
              <w:bottom w:val="nil"/>
            </w:tcBorders>
            <w:shd w:val="clear" w:color="auto" w:fill="auto"/>
          </w:tcPr>
          <w:p w14:paraId="0D55BAEC" w14:textId="77777777" w:rsidR="008735B8" w:rsidRPr="00B107B4" w:rsidRDefault="008735B8" w:rsidP="00AC138B">
            <w:pPr>
              <w:tabs>
                <w:tab w:val="left" w:pos="255"/>
              </w:tabs>
              <w:spacing w:before="240" w:after="120"/>
              <w:rPr>
                <w:sz w:val="24"/>
              </w:rPr>
            </w:pPr>
            <w:r w:rsidRPr="00B107B4">
              <w:tab/>
            </w:r>
            <w:r w:rsidRPr="00B107B4">
              <w:rPr>
                <w:i/>
                <w:sz w:val="24"/>
              </w:rPr>
              <w:t>Summary</w:t>
            </w:r>
          </w:p>
        </w:tc>
      </w:tr>
      <w:tr w:rsidR="008735B8" w:rsidRPr="00B107B4" w14:paraId="29029D09" w14:textId="77777777" w:rsidTr="00AC138B">
        <w:trPr>
          <w:jc w:val="center"/>
        </w:trPr>
        <w:tc>
          <w:tcPr>
            <w:tcW w:w="9082" w:type="dxa"/>
            <w:tcBorders>
              <w:top w:val="nil"/>
              <w:bottom w:val="nil"/>
            </w:tcBorders>
            <w:shd w:val="clear" w:color="auto" w:fill="auto"/>
          </w:tcPr>
          <w:p w14:paraId="7EA20765" w14:textId="5FDA54D8" w:rsidR="008735B8" w:rsidRPr="00B107B4" w:rsidRDefault="008735B8" w:rsidP="00A908F3">
            <w:pPr>
              <w:pBdr>
                <w:top w:val="nil"/>
                <w:left w:val="nil"/>
                <w:bottom w:val="nil"/>
                <w:right w:val="nil"/>
                <w:between w:val="nil"/>
                <w:bar w:val="nil"/>
              </w:pBdr>
              <w:spacing w:after="120"/>
              <w:ind w:left="3402" w:right="713" w:hanging="2268"/>
              <w:jc w:val="both"/>
            </w:pPr>
            <w:r w:rsidRPr="00B107B4">
              <w:rPr>
                <w:b/>
                <w:lang w:eastAsia="en-US"/>
              </w:rPr>
              <w:t>Executive summary</w:t>
            </w:r>
            <w:r w:rsidRPr="00B107B4">
              <w:rPr>
                <w:lang w:eastAsia="en-US"/>
              </w:rPr>
              <w:t>:</w:t>
            </w:r>
            <w:r w:rsidRPr="00B107B4">
              <w:rPr>
                <w:lang w:eastAsia="en-US"/>
              </w:rPr>
              <w:tab/>
            </w:r>
            <w:r w:rsidRPr="008735B8">
              <w:t xml:space="preserve">The </w:t>
            </w:r>
            <w:r w:rsidRPr="00A908F3">
              <w:rPr>
                <w:bCs/>
                <w:szCs w:val="22"/>
              </w:rPr>
              <w:t>requirements</w:t>
            </w:r>
            <w:r w:rsidRPr="008735B8">
              <w:t xml:space="preserve"> concerning the filling degree of substances</w:t>
            </w:r>
            <w:r>
              <w:t xml:space="preserve"> </w:t>
            </w:r>
            <w:r w:rsidRPr="008735B8">
              <w:t>above 50 °C do not represent the practice.</w:t>
            </w:r>
          </w:p>
        </w:tc>
      </w:tr>
      <w:tr w:rsidR="008735B8" w:rsidRPr="00B107B4" w14:paraId="4E4ED504" w14:textId="77777777" w:rsidTr="00AC138B">
        <w:trPr>
          <w:jc w:val="center"/>
        </w:trPr>
        <w:tc>
          <w:tcPr>
            <w:tcW w:w="9082" w:type="dxa"/>
            <w:tcBorders>
              <w:top w:val="nil"/>
              <w:bottom w:val="nil"/>
            </w:tcBorders>
            <w:shd w:val="clear" w:color="auto" w:fill="auto"/>
          </w:tcPr>
          <w:p w14:paraId="170B0D40" w14:textId="1F247AE9" w:rsidR="008735B8" w:rsidRDefault="008735B8" w:rsidP="00AC138B">
            <w:pPr>
              <w:spacing w:after="120"/>
              <w:ind w:left="3402" w:right="713" w:hanging="2268"/>
              <w:jc w:val="both"/>
              <w:rPr>
                <w:bCs/>
                <w:szCs w:val="22"/>
              </w:rPr>
            </w:pPr>
            <w:r w:rsidRPr="00B107B4">
              <w:rPr>
                <w:b/>
              </w:rPr>
              <w:t>Action to be taken</w:t>
            </w:r>
            <w:r w:rsidRPr="00B107B4">
              <w:t>:</w:t>
            </w:r>
            <w:r w:rsidRPr="00B107B4">
              <w:tab/>
            </w:r>
            <w:r w:rsidRPr="003B3844">
              <w:rPr>
                <w:bCs/>
              </w:rPr>
              <w:t>A</w:t>
            </w:r>
            <w:r w:rsidRPr="003B3844">
              <w:rPr>
                <w:bCs/>
                <w:szCs w:val="22"/>
              </w:rPr>
              <w:t xml:space="preserve">mend 4.3.2.2.3 </w:t>
            </w:r>
            <w:r w:rsidR="00122794">
              <w:rPr>
                <w:bCs/>
                <w:szCs w:val="22"/>
              </w:rPr>
              <w:t>in</w:t>
            </w:r>
            <w:r w:rsidRPr="003B3844">
              <w:rPr>
                <w:bCs/>
                <w:szCs w:val="22"/>
              </w:rPr>
              <w:t xml:space="preserve"> line </w:t>
            </w:r>
            <w:r w:rsidR="00122794">
              <w:rPr>
                <w:bCs/>
                <w:szCs w:val="22"/>
              </w:rPr>
              <w:t>with</w:t>
            </w:r>
            <w:r w:rsidRPr="003B3844">
              <w:rPr>
                <w:bCs/>
                <w:szCs w:val="22"/>
              </w:rPr>
              <w:t xml:space="preserve"> 4.2.1.9.5</w:t>
            </w:r>
            <w:r>
              <w:rPr>
                <w:bCs/>
                <w:szCs w:val="22"/>
              </w:rPr>
              <w:t>.</w:t>
            </w:r>
          </w:p>
          <w:p w14:paraId="644F391C" w14:textId="747FC738" w:rsidR="008735B8" w:rsidRPr="00B107B4" w:rsidRDefault="008735B8" w:rsidP="008735B8">
            <w:pPr>
              <w:spacing w:after="120"/>
              <w:ind w:left="3402" w:right="713" w:hanging="2268"/>
              <w:jc w:val="both"/>
              <w:rPr>
                <w:lang w:val="en-US"/>
              </w:rPr>
            </w:pPr>
            <w:r w:rsidRPr="00E14BA5">
              <w:rPr>
                <w:b/>
              </w:rPr>
              <w:t>Related documents:</w:t>
            </w:r>
            <w:r>
              <w:rPr>
                <w:b/>
              </w:rPr>
              <w:tab/>
            </w:r>
            <w:r w:rsidRPr="008735B8">
              <w:rPr>
                <w:bCs/>
              </w:rPr>
              <w:t>Informal document</w:t>
            </w:r>
            <w:r>
              <w:rPr>
                <w:b/>
              </w:rPr>
              <w:t xml:space="preserve"> </w:t>
            </w:r>
            <w:r w:rsidRPr="003B3844">
              <w:rPr>
                <w:bCs/>
              </w:rPr>
              <w:t>INF</w:t>
            </w:r>
            <w:r>
              <w:rPr>
                <w:bCs/>
              </w:rPr>
              <w:t>.</w:t>
            </w:r>
            <w:r w:rsidRPr="003B3844">
              <w:rPr>
                <w:bCs/>
              </w:rPr>
              <w:t xml:space="preserve">12 of the March 2021 session of the </w:t>
            </w:r>
            <w:r w:rsidR="00E905E3" w:rsidRPr="00FF62BA">
              <w:t>RID/ADR/A</w:t>
            </w:r>
            <w:r w:rsidR="00E905E3">
              <w:t>D</w:t>
            </w:r>
            <w:r w:rsidR="00E905E3" w:rsidRPr="00FF62BA">
              <w:t xml:space="preserve">N </w:t>
            </w:r>
            <w:r w:rsidRPr="003B3844">
              <w:rPr>
                <w:bCs/>
              </w:rPr>
              <w:t xml:space="preserve">Joint </w:t>
            </w:r>
            <w:r>
              <w:rPr>
                <w:bCs/>
              </w:rPr>
              <w:t>M</w:t>
            </w:r>
            <w:r w:rsidRPr="003B3844">
              <w:rPr>
                <w:bCs/>
              </w:rPr>
              <w:t xml:space="preserve">eeting </w:t>
            </w:r>
            <w:r w:rsidR="001A3481">
              <w:rPr>
                <w:bCs/>
              </w:rPr>
              <w:t xml:space="preserve">and </w:t>
            </w:r>
            <w:r w:rsidRPr="003B3844">
              <w:rPr>
                <w:bCs/>
              </w:rPr>
              <w:t>paragraphs 19 to 21 of ECE/TRANS/WP.15/AC.1/160/Add.1</w:t>
            </w:r>
            <w:r>
              <w:rPr>
                <w:bCs/>
              </w:rPr>
              <w:t>.</w:t>
            </w:r>
          </w:p>
        </w:tc>
      </w:tr>
      <w:tr w:rsidR="008735B8" w:rsidRPr="00B107B4" w14:paraId="09D6C00A" w14:textId="77777777" w:rsidTr="00AC138B">
        <w:trPr>
          <w:trHeight w:val="66"/>
          <w:jc w:val="center"/>
        </w:trPr>
        <w:tc>
          <w:tcPr>
            <w:tcW w:w="9082" w:type="dxa"/>
            <w:tcBorders>
              <w:top w:val="nil"/>
            </w:tcBorders>
            <w:shd w:val="clear" w:color="auto" w:fill="auto"/>
          </w:tcPr>
          <w:p w14:paraId="414EDF3B" w14:textId="77777777" w:rsidR="008735B8" w:rsidRPr="00B107B4" w:rsidRDefault="008735B8" w:rsidP="00AC138B"/>
        </w:tc>
      </w:tr>
    </w:tbl>
    <w:p w14:paraId="7AEFE7BD" w14:textId="77777777" w:rsidR="00626CFE" w:rsidRDefault="00626CFE" w:rsidP="00626CFE">
      <w:pPr>
        <w:pStyle w:val="HChG"/>
        <w:rPr>
          <w:w w:val="110"/>
        </w:rPr>
      </w:pPr>
      <w:r>
        <w:rPr>
          <w:w w:val="110"/>
        </w:rPr>
        <w:tab/>
      </w:r>
      <w:r>
        <w:rPr>
          <w:w w:val="110"/>
        </w:rPr>
        <w:tab/>
      </w:r>
      <w:r w:rsidRPr="00043804">
        <w:rPr>
          <w:w w:val="110"/>
        </w:rPr>
        <w:t>Introduction</w:t>
      </w:r>
    </w:p>
    <w:p w14:paraId="609A32D9" w14:textId="10A13158" w:rsidR="00626CFE" w:rsidRDefault="0055190C" w:rsidP="0055190C">
      <w:pPr>
        <w:pStyle w:val="SingleTxtG"/>
      </w:pPr>
      <w:r>
        <w:t>1.</w:t>
      </w:r>
      <w:r>
        <w:tab/>
      </w:r>
      <w:r w:rsidR="00626CFE" w:rsidRPr="002E055A">
        <w:t xml:space="preserve">Recently </w:t>
      </w:r>
      <w:r w:rsidR="00626CFE" w:rsidRPr="009A57BA">
        <w:t>in the Netherlands</w:t>
      </w:r>
      <w:r w:rsidR="00626CFE">
        <w:t xml:space="preserve"> </w:t>
      </w:r>
      <w:r w:rsidR="00626CFE" w:rsidRPr="002E055A">
        <w:t xml:space="preserve">an incident </w:t>
      </w:r>
      <w:r w:rsidR="00626CFE">
        <w:t xml:space="preserve">occurred in which a substance was spilled from a tank due to overfilling. The tank was filled with a molten substance above 50 </w:t>
      </w:r>
      <w:r w:rsidR="00626CFE" w:rsidRPr="00B32ACE">
        <w:rPr>
          <w:iCs/>
        </w:rPr>
        <w:t>°C</w:t>
      </w:r>
      <w:r w:rsidR="00626CFE">
        <w:t>, that solidified during carriage and was liquefied again by heating above the initial filling temperature not far from the intended point of discharge. In the leg of the journey from the point of heating to the point of discharge the spill occurred.</w:t>
      </w:r>
    </w:p>
    <w:p w14:paraId="350F7A78" w14:textId="189FACCA" w:rsidR="00626CFE" w:rsidRDefault="0055190C" w:rsidP="0055190C">
      <w:pPr>
        <w:pStyle w:val="SingleTxtG"/>
      </w:pPr>
      <w:r>
        <w:t>2.</w:t>
      </w:r>
      <w:r>
        <w:tab/>
      </w:r>
      <w:r w:rsidR="00626CFE">
        <w:t>I</w:t>
      </w:r>
      <w:r w:rsidR="00626CFE" w:rsidRPr="0000168F">
        <w:t xml:space="preserve">t was noted that the wording of 4.3.2.2.3 </w:t>
      </w:r>
      <w:r w:rsidR="00626CFE">
        <w:t xml:space="preserve">only regulated a </w:t>
      </w:r>
      <w:r w:rsidR="00626CFE" w:rsidRPr="0000168F">
        <w:t>filling degree of 95</w:t>
      </w:r>
      <w:r w:rsidR="00626CFE">
        <w:t xml:space="preserve"> </w:t>
      </w:r>
      <w:r w:rsidR="00626CFE" w:rsidRPr="0000168F">
        <w:t xml:space="preserve">% </w:t>
      </w:r>
      <w:r w:rsidR="00626CFE">
        <w:t xml:space="preserve">if the tank would be </w:t>
      </w:r>
      <w:r w:rsidR="00626CFE" w:rsidRPr="0000168F">
        <w:t xml:space="preserve">equipped with a heating device. Also, it was noted that it would not be allowed to heat </w:t>
      </w:r>
      <w:r w:rsidR="00626CFE">
        <w:t xml:space="preserve">up </w:t>
      </w:r>
      <w:r w:rsidR="00626CFE" w:rsidRPr="0000168F">
        <w:t xml:space="preserve">above the filling temperature, what is not the practice. Based on a discussion on </w:t>
      </w:r>
      <w:r w:rsidR="000510A9">
        <w:t xml:space="preserve">informal document </w:t>
      </w:r>
      <w:r w:rsidR="00626CFE" w:rsidRPr="0000168F">
        <w:t>INF</w:t>
      </w:r>
      <w:r w:rsidR="00C42EE3">
        <w:t>.</w:t>
      </w:r>
      <w:r w:rsidR="00626CFE" w:rsidRPr="0000168F">
        <w:t xml:space="preserve">12 at the March 2021 session of the Joint Meeting it </w:t>
      </w:r>
      <w:r w:rsidR="00626CFE" w:rsidRPr="0000168F">
        <w:lastRenderedPageBreak/>
        <w:t xml:space="preserve">was suggested to redraft 4.3.2.2.3 </w:t>
      </w:r>
      <w:r w:rsidR="004C4A30">
        <w:t>in line with</w:t>
      </w:r>
      <w:r w:rsidR="00626CFE" w:rsidRPr="0000168F">
        <w:t xml:space="preserve"> 4.2.1.9.5</w:t>
      </w:r>
      <w:r w:rsidR="00626CFE">
        <w:t xml:space="preserve"> that is less restrictive and more appropriate.</w:t>
      </w:r>
    </w:p>
    <w:p w14:paraId="2DDA0B1C" w14:textId="77777777" w:rsidR="00626CFE" w:rsidRDefault="00626CFE" w:rsidP="00626CFE">
      <w:pPr>
        <w:pStyle w:val="HChG"/>
        <w:rPr>
          <w:w w:val="110"/>
        </w:rPr>
      </w:pPr>
      <w:r>
        <w:rPr>
          <w:w w:val="110"/>
        </w:rPr>
        <w:tab/>
      </w:r>
      <w:r>
        <w:rPr>
          <w:w w:val="110"/>
        </w:rPr>
        <w:tab/>
      </w:r>
      <w:r w:rsidRPr="00043804">
        <w:rPr>
          <w:w w:val="110"/>
        </w:rPr>
        <w:t>Proposal</w:t>
      </w:r>
    </w:p>
    <w:p w14:paraId="20E90FE2" w14:textId="3CA825CC" w:rsidR="00626CFE" w:rsidRDefault="00626CFE" w:rsidP="0055190C">
      <w:pPr>
        <w:pStyle w:val="SingleTxtG"/>
      </w:pPr>
      <w:r>
        <w:t>Amend 4.3.2.2.3 to read:</w:t>
      </w:r>
    </w:p>
    <w:p w14:paraId="000D4C20" w14:textId="303A17AD" w:rsidR="00626CFE" w:rsidRPr="00FA73D1" w:rsidRDefault="00B64743" w:rsidP="0055190C">
      <w:pPr>
        <w:ind w:left="2268" w:right="1134" w:hanging="1134"/>
        <w:rPr>
          <w:iCs/>
        </w:rPr>
      </w:pPr>
      <w:r w:rsidRPr="00FD468B">
        <w:t>“</w:t>
      </w:r>
      <w:r w:rsidR="00626CFE" w:rsidRPr="00FA73D1">
        <w:rPr>
          <w:iCs/>
        </w:rPr>
        <w:t>4.3.2.2.3</w:t>
      </w:r>
      <w:r w:rsidR="00626CFE" w:rsidRPr="00FA73D1">
        <w:rPr>
          <w:iCs/>
        </w:rPr>
        <w:tab/>
        <w:t>The provisions of 4.3.2.2.1 (a) to (d) above shall not apply to tanks carrying liquids at a temperature above 50</w:t>
      </w:r>
      <w:r w:rsidR="00626CFE" w:rsidRPr="00FA73D1">
        <w:rPr>
          <w:bCs/>
          <w:iCs/>
        </w:rPr>
        <w:t> </w:t>
      </w:r>
      <w:r w:rsidR="00626CFE" w:rsidRPr="00FA73D1">
        <w:rPr>
          <w:iCs/>
        </w:rPr>
        <w:t>°C.</w:t>
      </w:r>
    </w:p>
    <w:p w14:paraId="13694D44" w14:textId="77777777" w:rsidR="0055190C" w:rsidRPr="00FA73D1" w:rsidRDefault="00626CFE" w:rsidP="0055190C">
      <w:pPr>
        <w:pStyle w:val="SingleTxtG"/>
        <w:spacing w:before="120"/>
        <w:ind w:left="2268"/>
        <w:rPr>
          <w:iCs/>
        </w:rPr>
      </w:pPr>
      <w:r w:rsidRPr="00FA73D1">
        <w:rPr>
          <w:iCs/>
        </w:rPr>
        <w:tab/>
        <w:t>The degree of filling of;</w:t>
      </w:r>
    </w:p>
    <w:p w14:paraId="18A45395" w14:textId="10EE9F78" w:rsidR="0055190C" w:rsidRPr="00FA73D1" w:rsidRDefault="00626CFE" w:rsidP="008D1B74">
      <w:pPr>
        <w:pStyle w:val="SingleTxtG"/>
        <w:ind w:left="2552" w:hanging="284"/>
        <w:rPr>
          <w:iCs/>
        </w:rPr>
      </w:pPr>
      <w:r w:rsidRPr="00FA73D1">
        <w:rPr>
          <w:iCs/>
        </w:rPr>
        <w:t>-</w:t>
      </w:r>
      <w:r w:rsidR="0055190C" w:rsidRPr="00FA73D1">
        <w:rPr>
          <w:iCs/>
        </w:rPr>
        <w:tab/>
      </w:r>
      <w:r w:rsidRPr="00FA73D1">
        <w:rPr>
          <w:iCs/>
        </w:rPr>
        <w:t>liquid substances carried at a temperature above 50</w:t>
      </w:r>
      <w:r w:rsidRPr="00FA73D1">
        <w:rPr>
          <w:bCs/>
          <w:iCs/>
        </w:rPr>
        <w:t> </w:t>
      </w:r>
      <w:r w:rsidRPr="00FA73D1">
        <w:rPr>
          <w:iCs/>
        </w:rPr>
        <w:t>°C</w:t>
      </w:r>
      <w:r w:rsidR="000C5CBC" w:rsidRPr="00FA73D1">
        <w:rPr>
          <w:iCs/>
        </w:rPr>
        <w:t>;</w:t>
      </w:r>
    </w:p>
    <w:p w14:paraId="00E3CC96" w14:textId="447C272C" w:rsidR="0055190C" w:rsidRPr="00FA73D1" w:rsidRDefault="00626CFE" w:rsidP="008D1B74">
      <w:pPr>
        <w:pStyle w:val="SingleTxtG"/>
        <w:ind w:left="2552" w:hanging="284"/>
        <w:rPr>
          <w:iCs/>
        </w:rPr>
      </w:pPr>
      <w:r w:rsidRPr="00FA73D1">
        <w:rPr>
          <w:iCs/>
        </w:rPr>
        <w:t>-</w:t>
      </w:r>
      <w:r w:rsidR="0055190C" w:rsidRPr="00FA73D1">
        <w:rPr>
          <w:iCs/>
        </w:rPr>
        <w:tab/>
      </w:r>
      <w:r w:rsidRPr="00FA73D1">
        <w:rPr>
          <w:iCs/>
        </w:rPr>
        <w:t>liquid substances filled below 50 °C but intended to be heated above 50</w:t>
      </w:r>
      <w:r w:rsidR="008D1B74">
        <w:rPr>
          <w:iCs/>
        </w:rPr>
        <w:t> </w:t>
      </w:r>
      <w:r w:rsidRPr="00FA73D1">
        <w:rPr>
          <w:iCs/>
        </w:rPr>
        <w:t>°C during the carriage operation, and</w:t>
      </w:r>
    </w:p>
    <w:p w14:paraId="1ABB3023" w14:textId="73EC0D1B" w:rsidR="00626CFE" w:rsidRPr="00FA73D1" w:rsidRDefault="00626CFE" w:rsidP="008D1B74">
      <w:pPr>
        <w:pStyle w:val="SingleTxtG"/>
        <w:ind w:left="2552" w:hanging="284"/>
        <w:rPr>
          <w:iCs/>
        </w:rPr>
      </w:pPr>
      <w:r w:rsidRPr="00FA73D1">
        <w:rPr>
          <w:iCs/>
        </w:rPr>
        <w:t>-</w:t>
      </w:r>
      <w:r w:rsidR="0055190C" w:rsidRPr="00FA73D1">
        <w:rPr>
          <w:iCs/>
        </w:rPr>
        <w:tab/>
      </w:r>
      <w:r w:rsidRPr="00FA73D1">
        <w:rPr>
          <w:iCs/>
        </w:rPr>
        <w:t>solids carried above their melting point,</w:t>
      </w:r>
      <w:r w:rsidR="0055190C" w:rsidRPr="00FA73D1">
        <w:rPr>
          <w:iCs/>
        </w:rPr>
        <w:t xml:space="preserve"> </w:t>
      </w:r>
      <w:r w:rsidRPr="00FA73D1">
        <w:rPr>
          <w:iCs/>
        </w:rPr>
        <w:t xml:space="preserve">shall at the outset be such that the tank is not more than 95 % full at any time during carriage. </w:t>
      </w:r>
    </w:p>
    <w:p w14:paraId="1A32655C" w14:textId="77777777" w:rsidR="00626CFE" w:rsidRPr="00FA73D1" w:rsidRDefault="00626CFE" w:rsidP="0055190C">
      <w:pPr>
        <w:pStyle w:val="SingleTxtG"/>
        <w:ind w:left="2268"/>
        <w:rPr>
          <w:iCs/>
        </w:rPr>
      </w:pPr>
      <w:r w:rsidRPr="00FA73D1">
        <w:rPr>
          <w:iCs/>
        </w:rPr>
        <w:tab/>
        <w:t>The filling degree at filling shall be determined by the following formula:</w:t>
      </w:r>
    </w:p>
    <w:p w14:paraId="1A6735FE" w14:textId="645C8042" w:rsidR="00626CFE" w:rsidRPr="00FA73D1" w:rsidRDefault="005657F6" w:rsidP="000A5A7D">
      <w:pPr>
        <w:keepNext/>
        <w:keepLines/>
        <w:tabs>
          <w:tab w:val="left" w:pos="1076"/>
          <w:tab w:val="left" w:pos="1700"/>
          <w:tab w:val="left" w:pos="2835"/>
          <w:tab w:val="left" w:pos="3378"/>
          <w:tab w:val="left" w:pos="3945"/>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spacing w:after="200"/>
        <w:ind w:left="2977" w:hanging="142"/>
        <w:rPr>
          <w:iCs/>
        </w:rPr>
      </w:pPr>
      <w:r w:rsidRPr="00FA73D1">
        <w:rPr>
          <w:iCs/>
          <w:position w:val="-28"/>
        </w:rPr>
        <w:object w:dxaOrig="2260" w:dyaOrig="639" w14:anchorId="1105C9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28.5pt" o:ole="">
            <v:imagedata r:id="rId12" o:title=""/>
          </v:shape>
          <o:OLEObject Type="Embed" ProgID="Equation.3" ShapeID="_x0000_i1025" DrawAspect="Content" ObjectID="_1687082000" r:id="rId13"/>
        </w:object>
      </w:r>
    </w:p>
    <w:p w14:paraId="048F1443" w14:textId="77777777" w:rsidR="00626CFE" w:rsidRPr="00FA73D1" w:rsidRDefault="00626CFE" w:rsidP="0055190C">
      <w:pPr>
        <w:pStyle w:val="SingleTxtG"/>
        <w:ind w:left="2268"/>
        <w:rPr>
          <w:b/>
          <w:bCs/>
          <w:iCs/>
        </w:rPr>
      </w:pPr>
      <w:r w:rsidRPr="00FA73D1">
        <w:rPr>
          <w:bCs/>
          <w:iCs/>
        </w:rPr>
        <w:t>in which d</w:t>
      </w:r>
      <w:r w:rsidRPr="00FA73D1">
        <w:rPr>
          <w:bCs/>
          <w:iCs/>
          <w:vertAlign w:val="subscript"/>
        </w:rPr>
        <w:t>f</w:t>
      </w:r>
      <w:r w:rsidRPr="00FA73D1">
        <w:rPr>
          <w:bCs/>
          <w:iCs/>
        </w:rPr>
        <w:t xml:space="preserve"> and d</w:t>
      </w:r>
      <w:r w:rsidRPr="00FA73D1">
        <w:rPr>
          <w:bCs/>
          <w:iCs/>
          <w:vertAlign w:val="subscript"/>
        </w:rPr>
        <w:t>r</w:t>
      </w:r>
      <w:r w:rsidRPr="00FA73D1">
        <w:rPr>
          <w:bCs/>
          <w:iCs/>
        </w:rPr>
        <w:t xml:space="preserve"> are the densities of the substance at the mean temperature during filling and the maximum mean bulk temperature during carriage respectively.</w:t>
      </w:r>
    </w:p>
    <w:p w14:paraId="76D0A6FD" w14:textId="4BB14934" w:rsidR="00626CFE" w:rsidRPr="00FA73D1" w:rsidRDefault="00626CFE" w:rsidP="0055190C">
      <w:pPr>
        <w:pStyle w:val="SingleTxtG"/>
        <w:ind w:left="2268"/>
        <w:rPr>
          <w:iCs/>
        </w:rPr>
      </w:pPr>
      <w:r w:rsidRPr="00FA73D1">
        <w:rPr>
          <w:iCs/>
        </w:rPr>
        <w:t>Tanks with a heating device shall have the temperature so regulated that the maximum filling degree of 95 % is not exceeded at any time during carriage.</w:t>
      </w:r>
      <w:r w:rsidR="00B64743">
        <w:t>”</w:t>
      </w:r>
    </w:p>
    <w:p w14:paraId="247E7CB9" w14:textId="14547547" w:rsidR="00626CFE" w:rsidRPr="00793902" w:rsidRDefault="0055190C" w:rsidP="0055190C">
      <w:pPr>
        <w:pStyle w:val="HChG"/>
        <w:rPr>
          <w:w w:val="110"/>
        </w:rPr>
      </w:pPr>
      <w:r>
        <w:rPr>
          <w:w w:val="110"/>
        </w:rPr>
        <w:tab/>
      </w:r>
      <w:r>
        <w:rPr>
          <w:w w:val="110"/>
        </w:rPr>
        <w:tab/>
      </w:r>
      <w:r w:rsidR="00626CFE" w:rsidRPr="00793902">
        <w:rPr>
          <w:w w:val="110"/>
        </w:rPr>
        <w:t>Justification</w:t>
      </w:r>
    </w:p>
    <w:p w14:paraId="095CF959" w14:textId="2EBF74CD" w:rsidR="00626CFE" w:rsidRDefault="0055190C" w:rsidP="0055190C">
      <w:pPr>
        <w:pStyle w:val="SingleTxtG"/>
      </w:pPr>
      <w:r>
        <w:t>3.</w:t>
      </w:r>
      <w:r>
        <w:tab/>
      </w:r>
      <w:r w:rsidR="00626CFE">
        <w:t xml:space="preserve">A </w:t>
      </w:r>
      <w:r w:rsidR="00626CFE" w:rsidRPr="00FF62BA">
        <w:t xml:space="preserve">practice is that substances are heated at the end of the journey before discharge. This is not always done on the point of discharge but close to the discharge point at </w:t>
      </w:r>
      <w:r w:rsidR="00626CFE">
        <w:t xml:space="preserve">a </w:t>
      </w:r>
      <w:r w:rsidR="00626CFE" w:rsidRPr="00FF62BA">
        <w:t xml:space="preserve">stop with appropriate equipment. In such </w:t>
      </w:r>
      <w:r w:rsidR="00626CFE">
        <w:t xml:space="preserve">situations </w:t>
      </w:r>
      <w:r w:rsidR="00626CFE" w:rsidRPr="00FF62BA">
        <w:t xml:space="preserve">the filling temperature </w:t>
      </w:r>
      <w:r w:rsidR="00626CFE">
        <w:t xml:space="preserve">and degree </w:t>
      </w:r>
      <w:r w:rsidR="00626CFE" w:rsidRPr="00FF62BA">
        <w:t xml:space="preserve">could be </w:t>
      </w:r>
      <w:r w:rsidR="00626CFE">
        <w:t>exceeded.</w:t>
      </w:r>
    </w:p>
    <w:p w14:paraId="16D9D0B8" w14:textId="40B487D1" w:rsidR="00626CFE" w:rsidRDefault="0055190C" w:rsidP="0055190C">
      <w:pPr>
        <w:pStyle w:val="SingleTxtG"/>
      </w:pPr>
      <w:r>
        <w:t>4.</w:t>
      </w:r>
      <w:r>
        <w:tab/>
      </w:r>
      <w:r w:rsidR="00626CFE">
        <w:t xml:space="preserve">The </w:t>
      </w:r>
      <w:r w:rsidR="00626CFE" w:rsidRPr="00FF62BA">
        <w:t xml:space="preserve">outcome of the discussion in the Working Group </w:t>
      </w:r>
      <w:r w:rsidR="00626CFE">
        <w:t xml:space="preserve">on Tanks during </w:t>
      </w:r>
      <w:r w:rsidR="00626CFE" w:rsidRPr="00FF62BA">
        <w:t xml:space="preserve">the March 2021 </w:t>
      </w:r>
      <w:r w:rsidR="00626CFE">
        <w:t xml:space="preserve">session of the </w:t>
      </w:r>
      <w:r w:rsidR="00626CFE" w:rsidRPr="00FF62BA">
        <w:t>RID/ADR/A</w:t>
      </w:r>
      <w:r w:rsidR="00626CFE">
        <w:t>D</w:t>
      </w:r>
      <w:r w:rsidR="00626CFE" w:rsidRPr="00FF62BA">
        <w:t xml:space="preserve">N Joint </w:t>
      </w:r>
      <w:r w:rsidR="00626CFE">
        <w:t>M</w:t>
      </w:r>
      <w:r w:rsidR="00626CFE" w:rsidRPr="00FF62BA">
        <w:t xml:space="preserve">eeting confirmed that 4.3.2.2.3 could benefit of an up-date along the lines of 4.2.1.9.5 which is less specific that a heating system </w:t>
      </w:r>
      <w:r w:rsidR="00626CFE">
        <w:t>is</w:t>
      </w:r>
      <w:r w:rsidR="00626CFE" w:rsidRPr="00FF62BA">
        <w:t xml:space="preserve"> fitted or used and does</w:t>
      </w:r>
      <w:r w:rsidR="009B3378">
        <w:t xml:space="preserve"> </w:t>
      </w:r>
      <w:r w:rsidR="00626CFE" w:rsidRPr="00FF62BA">
        <w:t>n</w:t>
      </w:r>
      <w:r w:rsidR="009B3378">
        <w:t>o</w:t>
      </w:r>
      <w:r w:rsidR="00626CFE" w:rsidRPr="00FF62BA">
        <w:t xml:space="preserve">t restrict to higher temperatures than at filling as long </w:t>
      </w:r>
      <w:r w:rsidR="00626CFE">
        <w:t>a</w:t>
      </w:r>
      <w:r w:rsidR="00626CFE" w:rsidRPr="00FF62BA">
        <w:t xml:space="preserve">s the filling degree is not </w:t>
      </w:r>
      <w:r w:rsidR="00626CFE">
        <w:t>exceeded.</w:t>
      </w:r>
    </w:p>
    <w:p w14:paraId="6211E0B4" w14:textId="68CB2CDF" w:rsidR="00626CFE" w:rsidRDefault="0055190C" w:rsidP="0055190C">
      <w:pPr>
        <w:pStyle w:val="SingleTxtG"/>
      </w:pPr>
      <w:r>
        <w:t>5.</w:t>
      </w:r>
      <w:r>
        <w:tab/>
      </w:r>
      <w:r w:rsidR="00626CFE" w:rsidRPr="00FF62BA">
        <w:t xml:space="preserve">The first sentence of the proposal applies 4.3.2.2.3 to liquids carried above 50 </w:t>
      </w:r>
      <w:r w:rsidR="00626CFE" w:rsidRPr="00D731F9">
        <w:rPr>
          <w:iCs/>
        </w:rPr>
        <w:t>°C</w:t>
      </w:r>
      <w:r w:rsidR="00626CFE" w:rsidRPr="00FF62BA">
        <w:t xml:space="preserve"> and excludes them </w:t>
      </w:r>
      <w:r w:rsidR="009B3378" w:rsidRPr="00FF62BA">
        <w:t>f</w:t>
      </w:r>
      <w:r w:rsidR="009B3378">
        <w:t>ro</w:t>
      </w:r>
      <w:r w:rsidR="009B3378" w:rsidRPr="00FF62BA">
        <w:t xml:space="preserve">m </w:t>
      </w:r>
      <w:r w:rsidR="00626CFE" w:rsidRPr="00FF62BA">
        <w:t xml:space="preserve">4.3.2.2.1 (a) to (d). As 4.3.2.2.1 does not apply to solids in a molten state they need not be named </w:t>
      </w:r>
      <w:r w:rsidR="00626CFE">
        <w:t>here.</w:t>
      </w:r>
    </w:p>
    <w:p w14:paraId="344DEFD9" w14:textId="4559B072" w:rsidR="00626CFE" w:rsidRPr="00E91853" w:rsidRDefault="0055190C" w:rsidP="0055190C">
      <w:pPr>
        <w:pStyle w:val="SingleTxtG"/>
      </w:pPr>
      <w:r>
        <w:t>6.</w:t>
      </w:r>
      <w:r>
        <w:tab/>
      </w:r>
      <w:r w:rsidR="00626CFE">
        <w:t xml:space="preserve">The </w:t>
      </w:r>
      <w:r w:rsidR="00626CFE" w:rsidRPr="00FF62BA">
        <w:t xml:space="preserve">second paragraph explains to which situations the provisions on 4.3.2.2.3 applies. A new situation was identified where liquids could be filled below 50 </w:t>
      </w:r>
      <w:r w:rsidR="00626CFE" w:rsidRPr="00FC0376">
        <w:rPr>
          <w:iCs/>
        </w:rPr>
        <w:t>°C</w:t>
      </w:r>
      <w:r w:rsidR="00626CFE" w:rsidRPr="00FF62BA">
        <w:t xml:space="preserve"> but were carried or discharged above </w:t>
      </w:r>
      <w:r w:rsidR="00626CFE" w:rsidRPr="00FC0376">
        <w:rPr>
          <w:iCs/>
        </w:rPr>
        <w:t>50</w:t>
      </w:r>
      <w:r w:rsidR="00626CFE" w:rsidRPr="00FC0376">
        <w:rPr>
          <w:bCs/>
          <w:iCs/>
        </w:rPr>
        <w:t> </w:t>
      </w:r>
      <w:r w:rsidR="00626CFE" w:rsidRPr="00FC0376">
        <w:rPr>
          <w:iCs/>
        </w:rPr>
        <w:t>°C</w:t>
      </w:r>
      <w:r w:rsidR="00626CFE">
        <w:rPr>
          <w:i/>
        </w:rPr>
        <w:t>.</w:t>
      </w:r>
    </w:p>
    <w:p w14:paraId="20EBF429" w14:textId="3D3644D9" w:rsidR="00626CFE" w:rsidRDefault="0055190C" w:rsidP="0055190C">
      <w:pPr>
        <w:pStyle w:val="SingleTxtG"/>
      </w:pPr>
      <w:r>
        <w:t>7.</w:t>
      </w:r>
      <w:r>
        <w:tab/>
      </w:r>
      <w:r w:rsidR="00626CFE">
        <w:t xml:space="preserve">The </w:t>
      </w:r>
      <w:r w:rsidR="00626CFE" w:rsidRPr="00FF62BA">
        <w:t xml:space="preserve">third paragraph is mainly a copy </w:t>
      </w:r>
      <w:r w:rsidR="00626CFE">
        <w:t xml:space="preserve">of </w:t>
      </w:r>
      <w:r w:rsidR="00626CFE" w:rsidRPr="00FF62BA">
        <w:t>4.2.1.9.5.1, tailored to fit in with the rest of 4.3.2.</w:t>
      </w:r>
      <w:r w:rsidR="00626CFE">
        <w:t>2.3.</w:t>
      </w:r>
    </w:p>
    <w:p w14:paraId="57FF3C70" w14:textId="5F3B6374" w:rsidR="00626CFE" w:rsidRDefault="0055190C" w:rsidP="0055190C">
      <w:pPr>
        <w:pStyle w:val="SingleTxtG"/>
      </w:pPr>
      <w:r>
        <w:t>8.</w:t>
      </w:r>
      <w:r>
        <w:tab/>
      </w:r>
      <w:r w:rsidR="00626CFE">
        <w:t>The f</w:t>
      </w:r>
      <w:r w:rsidR="00626CFE" w:rsidRPr="00FF62BA">
        <w:t>ourth and final paragraph addresses temperature regulation of tanks fitted with a heating device</w:t>
      </w:r>
      <w:r w:rsidR="00626CFE">
        <w:t>, c</w:t>
      </w:r>
      <w:r w:rsidR="00626CFE" w:rsidRPr="00FF62BA">
        <w:t>o</w:t>
      </w:r>
      <w:r w:rsidR="00626CFE">
        <w:t>pied</w:t>
      </w:r>
      <w:r w:rsidR="00626CFE" w:rsidRPr="00FF62BA">
        <w:t xml:space="preserve"> from the original 4.3.2.2.3 (</w:t>
      </w:r>
      <w:r w:rsidR="009B3378">
        <w:t>RID/</w:t>
      </w:r>
      <w:r w:rsidR="00626CFE" w:rsidRPr="00FF62BA">
        <w:t xml:space="preserve">ADR </w:t>
      </w:r>
      <w:r w:rsidR="00626CFE">
        <w:t>2021).</w:t>
      </w:r>
    </w:p>
    <w:p w14:paraId="2740F018" w14:textId="77777777" w:rsidR="00626CFE" w:rsidRPr="00550A66" w:rsidRDefault="00626CFE" w:rsidP="00626CFE">
      <w:pPr>
        <w:spacing w:before="240"/>
        <w:jc w:val="center"/>
        <w:rPr>
          <w:u w:val="single"/>
        </w:rPr>
      </w:pPr>
      <w:r>
        <w:rPr>
          <w:u w:val="single"/>
        </w:rPr>
        <w:tab/>
      </w:r>
      <w:r>
        <w:rPr>
          <w:u w:val="single"/>
        </w:rPr>
        <w:tab/>
      </w:r>
      <w:r>
        <w:rPr>
          <w:u w:val="single"/>
        </w:rPr>
        <w:tab/>
      </w:r>
    </w:p>
    <w:sectPr w:rsidR="00626CFE" w:rsidRPr="00550A66" w:rsidSect="007F0033">
      <w:headerReference w:type="even" r:id="rId14"/>
      <w:headerReference w:type="default" r:id="rId15"/>
      <w:footerReference w:type="even" r:id="rId16"/>
      <w:footerReference w:type="defaul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E28C7" w14:textId="77777777" w:rsidR="000B2383" w:rsidRDefault="000B2383"/>
  </w:endnote>
  <w:endnote w:type="continuationSeparator" w:id="0">
    <w:p w14:paraId="3FE3148E" w14:textId="77777777" w:rsidR="000B2383" w:rsidRDefault="000B2383"/>
  </w:endnote>
  <w:endnote w:type="continuationNotice" w:id="1">
    <w:p w14:paraId="43860C1D" w14:textId="77777777" w:rsidR="000B2383" w:rsidRDefault="000B23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F20CD" w14:textId="1C5078C2" w:rsidR="007F0033" w:rsidRPr="007F0033" w:rsidRDefault="007F0033" w:rsidP="007F0033">
    <w:pPr>
      <w:pStyle w:val="Footer"/>
      <w:tabs>
        <w:tab w:val="right" w:pos="9638"/>
      </w:tabs>
      <w:rPr>
        <w:sz w:val="18"/>
      </w:rPr>
    </w:pPr>
    <w:r w:rsidRPr="007F0033">
      <w:rPr>
        <w:b/>
        <w:sz w:val="18"/>
      </w:rPr>
      <w:fldChar w:fldCharType="begin"/>
    </w:r>
    <w:r w:rsidRPr="007F0033">
      <w:rPr>
        <w:b/>
        <w:sz w:val="18"/>
      </w:rPr>
      <w:instrText xml:space="preserve"> PAGE  \* MERGEFORMAT </w:instrText>
    </w:r>
    <w:r w:rsidRPr="007F0033">
      <w:rPr>
        <w:b/>
        <w:sz w:val="18"/>
      </w:rPr>
      <w:fldChar w:fldCharType="separate"/>
    </w:r>
    <w:r w:rsidR="009B3378">
      <w:rPr>
        <w:b/>
        <w:noProof/>
        <w:sz w:val="18"/>
      </w:rPr>
      <w:t>2</w:t>
    </w:r>
    <w:r w:rsidRPr="007F003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92B9C" w14:textId="638C0904" w:rsidR="007F0033" w:rsidRPr="007F0033" w:rsidRDefault="007F0033" w:rsidP="007F0033">
    <w:pPr>
      <w:pStyle w:val="Footer"/>
      <w:tabs>
        <w:tab w:val="right" w:pos="9638"/>
      </w:tabs>
      <w:rPr>
        <w:b/>
        <w:sz w:val="18"/>
      </w:rPr>
    </w:pPr>
    <w:r>
      <w:tab/>
    </w:r>
    <w:r w:rsidRPr="007F0033">
      <w:rPr>
        <w:b/>
        <w:sz w:val="18"/>
      </w:rPr>
      <w:fldChar w:fldCharType="begin"/>
    </w:r>
    <w:r w:rsidRPr="007F0033">
      <w:rPr>
        <w:b/>
        <w:sz w:val="18"/>
      </w:rPr>
      <w:instrText xml:space="preserve"> PAGE  \* MERGEFORMAT </w:instrText>
    </w:r>
    <w:r w:rsidRPr="007F0033">
      <w:rPr>
        <w:b/>
        <w:sz w:val="18"/>
      </w:rPr>
      <w:fldChar w:fldCharType="separate"/>
    </w:r>
    <w:r w:rsidRPr="007F0033">
      <w:rPr>
        <w:b/>
        <w:noProof/>
        <w:sz w:val="18"/>
      </w:rPr>
      <w:t>3</w:t>
    </w:r>
    <w:r w:rsidRPr="007F003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0F7C0" w14:textId="77777777" w:rsidR="000B2383" w:rsidRPr="000B175B" w:rsidRDefault="000B2383" w:rsidP="000B175B">
      <w:pPr>
        <w:tabs>
          <w:tab w:val="right" w:pos="2155"/>
        </w:tabs>
        <w:spacing w:after="80"/>
        <w:ind w:left="680"/>
        <w:rPr>
          <w:u w:val="single"/>
        </w:rPr>
      </w:pPr>
      <w:r>
        <w:rPr>
          <w:u w:val="single"/>
        </w:rPr>
        <w:tab/>
      </w:r>
    </w:p>
  </w:footnote>
  <w:footnote w:type="continuationSeparator" w:id="0">
    <w:p w14:paraId="00B0AC2E" w14:textId="77777777" w:rsidR="000B2383" w:rsidRPr="00FC68B7" w:rsidRDefault="000B2383" w:rsidP="00FC68B7">
      <w:pPr>
        <w:tabs>
          <w:tab w:val="left" w:pos="2155"/>
        </w:tabs>
        <w:spacing w:after="80"/>
        <w:ind w:left="680"/>
        <w:rPr>
          <w:u w:val="single"/>
        </w:rPr>
      </w:pPr>
      <w:r>
        <w:rPr>
          <w:u w:val="single"/>
        </w:rPr>
        <w:tab/>
      </w:r>
    </w:p>
  </w:footnote>
  <w:footnote w:type="continuationNotice" w:id="1">
    <w:p w14:paraId="24956838" w14:textId="77777777" w:rsidR="000B2383" w:rsidRDefault="000B2383"/>
  </w:footnote>
  <w:footnote w:id="2">
    <w:p w14:paraId="0C299C5B" w14:textId="77777777" w:rsidR="00B33040" w:rsidRPr="009B3378" w:rsidRDefault="00B33040" w:rsidP="00B33040">
      <w:pPr>
        <w:pStyle w:val="FootnoteText"/>
        <w:rPr>
          <w:lang w:val="en-US"/>
        </w:rPr>
      </w:pPr>
      <w:r>
        <w:tab/>
      </w:r>
      <w:r>
        <w:rPr>
          <w:rStyle w:val="FootnoteReference"/>
          <w:sz w:val="20"/>
        </w:rPr>
        <w:sym w:font="Symbol" w:char="F02A"/>
      </w:r>
      <w:r>
        <w:tab/>
        <w:t>A/75/6 (Sect.20), para 20.51.</w:t>
      </w:r>
    </w:p>
  </w:footnote>
  <w:footnote w:id="3">
    <w:p w14:paraId="3360163E" w14:textId="45A942F6" w:rsidR="00B33040" w:rsidRPr="009B3378" w:rsidRDefault="00B33040" w:rsidP="00B33040">
      <w:pPr>
        <w:pStyle w:val="FootnoteText"/>
        <w:rPr>
          <w:lang w:val="en-US"/>
        </w:rPr>
      </w:pPr>
      <w:r>
        <w:tab/>
      </w:r>
      <w:r>
        <w:rPr>
          <w:rStyle w:val="FootnoteReference"/>
          <w:sz w:val="20"/>
        </w:rPr>
        <w:sym w:font="Symbol" w:char="F02A"/>
      </w:r>
      <w:r>
        <w:rPr>
          <w:rStyle w:val="FootnoteReference"/>
          <w:sz w:val="20"/>
        </w:rPr>
        <w:sym w:font="Symbol" w:char="F02A"/>
      </w:r>
      <w:r>
        <w:tab/>
      </w:r>
      <w:r>
        <w:rPr>
          <w:szCs w:val="18"/>
        </w:rPr>
        <w:t>Circulated by the Intergovernmental Organisation for International Carriage by Rail (OTIF) under the symbol OTIF/RID/RC/2021/42</w:t>
      </w:r>
      <w:r>
        <w:t>.</w:t>
      </w:r>
    </w:p>
  </w:footnote>
  <w:footnote w:id="4">
    <w:p w14:paraId="0842116F" w14:textId="75675EF6" w:rsidR="00B33040" w:rsidRPr="009B3378" w:rsidRDefault="00B33040" w:rsidP="00B33040">
      <w:pPr>
        <w:pStyle w:val="FootnoteText"/>
        <w:rPr>
          <w:lang w:val="en-US"/>
        </w:rPr>
      </w:pPr>
      <w:r>
        <w:tab/>
      </w:r>
      <w:r>
        <w:rPr>
          <w:rStyle w:val="FootnoteReference"/>
          <w:sz w:val="20"/>
        </w:rPr>
        <w:sym w:font="Symbol" w:char="F02A"/>
      </w:r>
      <w:r>
        <w:rPr>
          <w:rStyle w:val="FootnoteReference"/>
          <w:sz w:val="20"/>
        </w:rPr>
        <w:sym w:font="Symbol" w:char="F02A"/>
      </w:r>
      <w:r>
        <w:rPr>
          <w:rStyle w:val="FootnoteReference"/>
          <w:sz w:val="20"/>
        </w:rPr>
        <w:sym w:font="Symbol" w:char="F02A"/>
      </w:r>
      <w:r>
        <w:tab/>
      </w:r>
      <w:r>
        <w:rPr>
          <w:lang w:val="en-US"/>
        </w:rPr>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166D3" w14:textId="128846B9" w:rsidR="007F0033" w:rsidRPr="007F0033" w:rsidRDefault="008478BD">
    <w:pPr>
      <w:pStyle w:val="Header"/>
    </w:pPr>
    <w:r>
      <w:fldChar w:fldCharType="begin"/>
    </w:r>
    <w:r>
      <w:instrText xml:space="preserve"> TITLE  \* MERGEFORMAT </w:instrText>
    </w:r>
    <w:r>
      <w:fldChar w:fldCharType="separate"/>
    </w:r>
    <w:r w:rsidR="007F0033">
      <w:t>ECE/TRANS/WP.15/AC.1/2021/42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5D96E" w14:textId="071D75EF" w:rsidR="007F0033" w:rsidRPr="007F0033" w:rsidRDefault="008478BD" w:rsidP="007F0033">
    <w:pPr>
      <w:pStyle w:val="Header"/>
      <w:jc w:val="right"/>
    </w:pPr>
    <w:r>
      <w:fldChar w:fldCharType="begin"/>
    </w:r>
    <w:r>
      <w:instrText xml:space="preserve"> TITLE  \* MERGEFORMAT </w:instrText>
    </w:r>
    <w:r>
      <w:fldChar w:fldCharType="separate"/>
    </w:r>
    <w:r w:rsidR="007F0033">
      <w:t>ECE/TRANS/WP.15/AC.1/2021/42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5401BF7"/>
    <w:multiLevelType w:val="hybridMultilevel"/>
    <w:tmpl w:val="BAF00D48"/>
    <w:lvl w:ilvl="0" w:tplc="BAD6241C">
      <w:start w:val="1"/>
      <w:numFmt w:val="decimal"/>
      <w:lvlText w:val="%1."/>
      <w:lvlJc w:val="left"/>
      <w:pPr>
        <w:ind w:left="1710" w:hanging="576"/>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19"/>
  </w:num>
  <w:num w:numId="19">
    <w:abstractNumId w:val="11"/>
  </w:num>
  <w:num w:numId="20">
    <w:abstractNumId w:val="11"/>
  </w:num>
  <w:num w:numId="2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033"/>
    <w:rsid w:val="00002A7D"/>
    <w:rsid w:val="000038A8"/>
    <w:rsid w:val="00006790"/>
    <w:rsid w:val="00027624"/>
    <w:rsid w:val="00050F6B"/>
    <w:rsid w:val="000510A9"/>
    <w:rsid w:val="000678CD"/>
    <w:rsid w:val="00072C8C"/>
    <w:rsid w:val="00081CE0"/>
    <w:rsid w:val="00084D30"/>
    <w:rsid w:val="00090320"/>
    <w:rsid w:val="000931C0"/>
    <w:rsid w:val="0009732C"/>
    <w:rsid w:val="000A01F9"/>
    <w:rsid w:val="000A2E09"/>
    <w:rsid w:val="000A5A7D"/>
    <w:rsid w:val="000B175B"/>
    <w:rsid w:val="000B2383"/>
    <w:rsid w:val="000B3A0F"/>
    <w:rsid w:val="000C5CBC"/>
    <w:rsid w:val="000E0415"/>
    <w:rsid w:val="000F7715"/>
    <w:rsid w:val="00122794"/>
    <w:rsid w:val="00156B99"/>
    <w:rsid w:val="00166124"/>
    <w:rsid w:val="00184DDA"/>
    <w:rsid w:val="001900CD"/>
    <w:rsid w:val="001A0452"/>
    <w:rsid w:val="001A3481"/>
    <w:rsid w:val="001B4B04"/>
    <w:rsid w:val="001B5875"/>
    <w:rsid w:val="001C4B9C"/>
    <w:rsid w:val="001C6663"/>
    <w:rsid w:val="001C7895"/>
    <w:rsid w:val="001D26DF"/>
    <w:rsid w:val="001F1599"/>
    <w:rsid w:val="001F19C4"/>
    <w:rsid w:val="00203D59"/>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C4A30"/>
    <w:rsid w:val="004C55B0"/>
    <w:rsid w:val="004F6BA0"/>
    <w:rsid w:val="00503BEA"/>
    <w:rsid w:val="00533616"/>
    <w:rsid w:val="00535ABA"/>
    <w:rsid w:val="0053768B"/>
    <w:rsid w:val="005420F2"/>
    <w:rsid w:val="0054285C"/>
    <w:rsid w:val="0055190C"/>
    <w:rsid w:val="005657F6"/>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26CFE"/>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0033"/>
    <w:rsid w:val="007F3064"/>
    <w:rsid w:val="007F5CE2"/>
    <w:rsid w:val="007F6611"/>
    <w:rsid w:val="00800522"/>
    <w:rsid w:val="00810BAC"/>
    <w:rsid w:val="008175E9"/>
    <w:rsid w:val="008242D7"/>
    <w:rsid w:val="0082577B"/>
    <w:rsid w:val="008272DD"/>
    <w:rsid w:val="008478BD"/>
    <w:rsid w:val="00866893"/>
    <w:rsid w:val="00866F02"/>
    <w:rsid w:val="00867D18"/>
    <w:rsid w:val="00871F9A"/>
    <w:rsid w:val="00871FD5"/>
    <w:rsid w:val="008735B8"/>
    <w:rsid w:val="0088172E"/>
    <w:rsid w:val="00881EFA"/>
    <w:rsid w:val="008879CB"/>
    <w:rsid w:val="008979B1"/>
    <w:rsid w:val="008A6B25"/>
    <w:rsid w:val="008A6C4F"/>
    <w:rsid w:val="008A77AE"/>
    <w:rsid w:val="008B389E"/>
    <w:rsid w:val="008D045E"/>
    <w:rsid w:val="008D1B74"/>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3378"/>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908F3"/>
    <w:rsid w:val="00AA0FF8"/>
    <w:rsid w:val="00AC0F2C"/>
    <w:rsid w:val="00AC502A"/>
    <w:rsid w:val="00AF58C1"/>
    <w:rsid w:val="00B04A3F"/>
    <w:rsid w:val="00B06643"/>
    <w:rsid w:val="00B15055"/>
    <w:rsid w:val="00B20551"/>
    <w:rsid w:val="00B30179"/>
    <w:rsid w:val="00B33040"/>
    <w:rsid w:val="00B33FC7"/>
    <w:rsid w:val="00B37B15"/>
    <w:rsid w:val="00B45C02"/>
    <w:rsid w:val="00B64743"/>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2EE3"/>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57731"/>
    <w:rsid w:val="00D704E5"/>
    <w:rsid w:val="00D72727"/>
    <w:rsid w:val="00D92298"/>
    <w:rsid w:val="00D978C6"/>
    <w:rsid w:val="00DA0956"/>
    <w:rsid w:val="00DA357F"/>
    <w:rsid w:val="00DA3E12"/>
    <w:rsid w:val="00DC18AD"/>
    <w:rsid w:val="00DF7CAE"/>
    <w:rsid w:val="00E423C0"/>
    <w:rsid w:val="00E6414C"/>
    <w:rsid w:val="00E7260F"/>
    <w:rsid w:val="00E8702D"/>
    <w:rsid w:val="00E905E3"/>
    <w:rsid w:val="00E905F4"/>
    <w:rsid w:val="00E916A9"/>
    <w:rsid w:val="00E916DE"/>
    <w:rsid w:val="00E925AD"/>
    <w:rsid w:val="00E96630"/>
    <w:rsid w:val="00ED18DC"/>
    <w:rsid w:val="00ED6201"/>
    <w:rsid w:val="00ED7A2A"/>
    <w:rsid w:val="00EF1D7F"/>
    <w:rsid w:val="00F0137E"/>
    <w:rsid w:val="00F21786"/>
    <w:rsid w:val="00F3742B"/>
    <w:rsid w:val="00F41FDB"/>
    <w:rsid w:val="00F4333D"/>
    <w:rsid w:val="00F50596"/>
    <w:rsid w:val="00F51F09"/>
    <w:rsid w:val="00F56D63"/>
    <w:rsid w:val="00F609A9"/>
    <w:rsid w:val="00F80C99"/>
    <w:rsid w:val="00F867EC"/>
    <w:rsid w:val="00F91B2B"/>
    <w:rsid w:val="00FA73D1"/>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7ABD03"/>
  <w15:docId w15:val="{8582FA97-4678-409F-9DAE-A60C18CE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1GChar">
    <w:name w:val="_ H_1_G Char"/>
    <w:link w:val="H1G"/>
    <w:rsid w:val="00626CFE"/>
    <w:rPr>
      <w:b/>
      <w:sz w:val="24"/>
      <w:lang w:val="en-GB"/>
    </w:rPr>
  </w:style>
  <w:style w:type="character" w:customStyle="1" w:styleId="FootnoteTextChar">
    <w:name w:val="Footnote Text Char"/>
    <w:aliases w:val="5_G Char,5_GR Char"/>
    <w:link w:val="FootnoteText"/>
    <w:rsid w:val="00626CFE"/>
    <w:rPr>
      <w:sz w:val="18"/>
      <w:lang w:val="en-GB"/>
    </w:rPr>
  </w:style>
  <w:style w:type="character" w:customStyle="1" w:styleId="HChGChar">
    <w:name w:val="_ H _Ch_G Char"/>
    <w:link w:val="HChG"/>
    <w:rsid w:val="00626CFE"/>
    <w:rPr>
      <w:b/>
      <w:sz w:val="28"/>
      <w:lang w:val="en-GB"/>
    </w:rPr>
  </w:style>
  <w:style w:type="paragraph" w:styleId="ListParagraph">
    <w:name w:val="List Paragraph"/>
    <w:basedOn w:val="Normal"/>
    <w:uiPriority w:val="34"/>
    <w:semiHidden/>
    <w:qFormat/>
    <w:rsid w:val="00626CFE"/>
    <w:pPr>
      <w:ind w:left="720"/>
      <w:contextualSpacing/>
    </w:pPr>
  </w:style>
  <w:style w:type="paragraph" w:customStyle="1" w:styleId="Hoofdtekst">
    <w:name w:val="Hoofdtekst"/>
    <w:rsid w:val="008735B8"/>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935D1C-911E-4E08-95BD-42441EA57661}">
  <ds:schemaRefs>
    <ds:schemaRef ds:uri="http://schemas.openxmlformats.org/officeDocument/2006/bibliography"/>
  </ds:schemaRefs>
</ds:datastoreItem>
</file>

<file path=customXml/itemProps2.xml><?xml version="1.0" encoding="utf-8"?>
<ds:datastoreItem xmlns:ds="http://schemas.openxmlformats.org/officeDocument/2006/customXml" ds:itemID="{648FFB77-4BDE-48EB-BEA0-6E1FDA3DB5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09FD77-A266-4975-9C95-2BED7C3D24D0}">
  <ds:schemaRefs>
    <ds:schemaRef ds:uri="http://schemas.microsoft.com/sharepoint/v3/contenttype/forms"/>
  </ds:schemaRefs>
</ds:datastoreItem>
</file>

<file path=customXml/itemProps4.xml><?xml version="1.0" encoding="utf-8"?>
<ds:datastoreItem xmlns:ds="http://schemas.openxmlformats.org/officeDocument/2006/customXml" ds:itemID="{58FFA091-F96D-4C8B-9A02-D96416CCA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TRANS_WP1_24_E.dotm</Template>
  <TotalTime>2</TotalTime>
  <Pages>2</Pages>
  <Words>607</Words>
  <Characters>3465</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ECE/TRANS/WP.15/AC.1/2021/42</dc:title>
  <dc:creator>Christine Barrio-Champeau</dc:creator>
  <cp:lastModifiedBy>Christine Barrio-Champeau</cp:lastModifiedBy>
  <cp:revision>3</cp:revision>
  <cp:lastPrinted>2009-02-18T09:36:00Z</cp:lastPrinted>
  <dcterms:created xsi:type="dcterms:W3CDTF">2021-07-06T11:06:00Z</dcterms:created>
  <dcterms:modified xsi:type="dcterms:W3CDTF">2021-07-06T11:07:00Z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