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433FD" w:rsidRPr="00E1170B" w14:paraId="28F08C31" w14:textId="77777777" w:rsidTr="005316B0">
        <w:trPr>
          <w:trHeight w:hRule="exact" w:val="851"/>
        </w:trPr>
        <w:tc>
          <w:tcPr>
            <w:tcW w:w="1276" w:type="dxa"/>
            <w:tcBorders>
              <w:bottom w:val="single" w:sz="4" w:space="0" w:color="auto"/>
            </w:tcBorders>
          </w:tcPr>
          <w:p w14:paraId="7AFECFA1" w14:textId="77777777" w:rsidR="001433FD" w:rsidRPr="00DB58B5" w:rsidRDefault="001433FD" w:rsidP="0001207F"/>
        </w:tc>
        <w:tc>
          <w:tcPr>
            <w:tcW w:w="2268" w:type="dxa"/>
            <w:tcBorders>
              <w:bottom w:val="single" w:sz="4" w:space="0" w:color="auto"/>
            </w:tcBorders>
            <w:vAlign w:val="bottom"/>
          </w:tcPr>
          <w:p w14:paraId="1C705E55" w14:textId="77777777" w:rsidR="001433FD" w:rsidRPr="00E1170B" w:rsidRDefault="001433FD" w:rsidP="007D3236">
            <w:pPr>
              <w:spacing w:after="80" w:line="300" w:lineRule="exact"/>
              <w:rPr>
                <w:sz w:val="28"/>
              </w:rPr>
            </w:pPr>
            <w:r w:rsidRPr="00E1170B">
              <w:rPr>
                <w:sz w:val="28"/>
              </w:rPr>
              <w:t>Nations Unies</w:t>
            </w:r>
          </w:p>
        </w:tc>
        <w:tc>
          <w:tcPr>
            <w:tcW w:w="6095" w:type="dxa"/>
            <w:gridSpan w:val="2"/>
            <w:tcBorders>
              <w:bottom w:val="single" w:sz="4" w:space="0" w:color="auto"/>
            </w:tcBorders>
            <w:vAlign w:val="bottom"/>
          </w:tcPr>
          <w:p w14:paraId="1DDFACB0" w14:textId="77777777" w:rsidR="001433FD" w:rsidRPr="00E1170B" w:rsidRDefault="00736413" w:rsidP="00736413">
            <w:pPr>
              <w:jc w:val="right"/>
            </w:pPr>
            <w:r w:rsidRPr="00E1170B">
              <w:rPr>
                <w:sz w:val="40"/>
              </w:rPr>
              <w:t>ECE</w:t>
            </w:r>
            <w:r w:rsidRPr="00E1170B">
              <w:t>/TRANS/WP.15/AC.1/2021/41</w:t>
            </w:r>
          </w:p>
        </w:tc>
      </w:tr>
      <w:tr w:rsidR="001433FD" w:rsidRPr="00E1170B" w14:paraId="054B9B69" w14:textId="77777777" w:rsidTr="007D3236">
        <w:trPr>
          <w:trHeight w:hRule="exact" w:val="2835"/>
        </w:trPr>
        <w:tc>
          <w:tcPr>
            <w:tcW w:w="1276" w:type="dxa"/>
            <w:tcBorders>
              <w:top w:val="single" w:sz="4" w:space="0" w:color="auto"/>
              <w:bottom w:val="single" w:sz="12" w:space="0" w:color="auto"/>
            </w:tcBorders>
          </w:tcPr>
          <w:p w14:paraId="2F3F0CBE" w14:textId="77777777" w:rsidR="001433FD" w:rsidRPr="00E1170B" w:rsidRDefault="001433FD" w:rsidP="007D3236">
            <w:pPr>
              <w:spacing w:before="120"/>
              <w:jc w:val="center"/>
            </w:pPr>
            <w:r w:rsidRPr="00E1170B">
              <w:rPr>
                <w:noProof/>
                <w:lang w:eastAsia="fr-CH"/>
              </w:rPr>
              <w:drawing>
                <wp:inline distT="0" distB="0" distL="0" distR="0" wp14:anchorId="4DE0D2DC" wp14:editId="450631F1">
                  <wp:extent cx="714375" cy="590550"/>
                  <wp:effectExtent l="0" t="0" r="9525" b="0"/>
                  <wp:docPr id="3"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0D89FCE" w14:textId="77777777" w:rsidR="001433FD" w:rsidRPr="00E1170B" w:rsidRDefault="001433FD" w:rsidP="007D3236">
            <w:pPr>
              <w:spacing w:before="120" w:line="420" w:lineRule="exact"/>
              <w:rPr>
                <w:b/>
                <w:sz w:val="40"/>
                <w:szCs w:val="40"/>
              </w:rPr>
            </w:pPr>
            <w:r w:rsidRPr="00E1170B">
              <w:rPr>
                <w:b/>
                <w:sz w:val="40"/>
                <w:szCs w:val="40"/>
              </w:rPr>
              <w:t>Conseil économique et social</w:t>
            </w:r>
          </w:p>
        </w:tc>
        <w:tc>
          <w:tcPr>
            <w:tcW w:w="2835" w:type="dxa"/>
            <w:tcBorders>
              <w:top w:val="single" w:sz="4" w:space="0" w:color="auto"/>
              <w:bottom w:val="single" w:sz="12" w:space="0" w:color="auto"/>
            </w:tcBorders>
          </w:tcPr>
          <w:p w14:paraId="31775FF4" w14:textId="77777777" w:rsidR="0001207F" w:rsidRPr="00E1170B" w:rsidRDefault="00736413" w:rsidP="00736413">
            <w:pPr>
              <w:spacing w:before="240" w:line="240" w:lineRule="exact"/>
            </w:pPr>
            <w:r w:rsidRPr="00E1170B">
              <w:t>Distr. générale</w:t>
            </w:r>
          </w:p>
          <w:p w14:paraId="2841552A" w14:textId="50D063DC" w:rsidR="00736413" w:rsidRPr="00E1170B" w:rsidRDefault="00725D76" w:rsidP="00736413">
            <w:pPr>
              <w:spacing w:line="240" w:lineRule="exact"/>
            </w:pPr>
            <w:r>
              <w:t>7 juillet 2021</w:t>
            </w:r>
          </w:p>
          <w:p w14:paraId="6D6CE2F4" w14:textId="77777777" w:rsidR="00736413" w:rsidRPr="00E1170B" w:rsidRDefault="00736413" w:rsidP="00736413">
            <w:pPr>
              <w:spacing w:line="240" w:lineRule="exact"/>
            </w:pPr>
            <w:r w:rsidRPr="00E1170B">
              <w:t>Original : français</w:t>
            </w:r>
          </w:p>
        </w:tc>
      </w:tr>
    </w:tbl>
    <w:p w14:paraId="7684519F" w14:textId="77777777" w:rsidR="000C12EF" w:rsidRPr="00E1170B" w:rsidRDefault="000C12EF" w:rsidP="000C12EF">
      <w:pPr>
        <w:spacing w:before="120"/>
        <w:rPr>
          <w:b/>
          <w:sz w:val="28"/>
          <w:szCs w:val="28"/>
        </w:rPr>
      </w:pPr>
      <w:r w:rsidRPr="00E1170B">
        <w:rPr>
          <w:b/>
          <w:sz w:val="28"/>
          <w:szCs w:val="28"/>
        </w:rPr>
        <w:t>Commission économique pour l’Europe</w:t>
      </w:r>
    </w:p>
    <w:p w14:paraId="4D3C302E" w14:textId="77777777" w:rsidR="000C12EF" w:rsidRPr="00E1170B" w:rsidRDefault="000C12EF" w:rsidP="000C12EF">
      <w:pPr>
        <w:spacing w:before="120"/>
        <w:rPr>
          <w:sz w:val="28"/>
          <w:szCs w:val="28"/>
        </w:rPr>
      </w:pPr>
      <w:r w:rsidRPr="00E1170B">
        <w:rPr>
          <w:sz w:val="28"/>
          <w:szCs w:val="28"/>
        </w:rPr>
        <w:t>Comité des transports intérieurs</w:t>
      </w:r>
    </w:p>
    <w:p w14:paraId="19113273" w14:textId="77777777" w:rsidR="000C12EF" w:rsidRPr="00E1170B" w:rsidRDefault="000C12EF" w:rsidP="000C12EF">
      <w:pPr>
        <w:spacing w:before="120" w:line="240" w:lineRule="auto"/>
        <w:rPr>
          <w:b/>
          <w:sz w:val="24"/>
          <w:szCs w:val="24"/>
        </w:rPr>
      </w:pPr>
      <w:r w:rsidRPr="00E1170B">
        <w:rPr>
          <w:b/>
          <w:sz w:val="24"/>
          <w:szCs w:val="24"/>
        </w:rPr>
        <w:t>Groupe de travail des transports de marchandises dangereuses</w:t>
      </w:r>
    </w:p>
    <w:p w14:paraId="43C9222B" w14:textId="77777777" w:rsidR="000C12EF" w:rsidRPr="00E1170B" w:rsidRDefault="000C12EF" w:rsidP="000C12EF">
      <w:pPr>
        <w:spacing w:before="120" w:line="240" w:lineRule="auto"/>
        <w:rPr>
          <w:b/>
          <w:bCs/>
          <w:szCs w:val="24"/>
        </w:rPr>
      </w:pPr>
      <w:r w:rsidRPr="00E1170B">
        <w:rPr>
          <w:b/>
          <w:bCs/>
          <w:szCs w:val="24"/>
        </w:rPr>
        <w:t xml:space="preserve">Réunion commune de la Commission d’experts du RID et </w:t>
      </w:r>
      <w:r w:rsidRPr="00E1170B">
        <w:rPr>
          <w:b/>
          <w:bCs/>
          <w:szCs w:val="24"/>
        </w:rPr>
        <w:br/>
        <w:t>du Groupe de travail des transports de marchandises dangereuses</w:t>
      </w:r>
    </w:p>
    <w:p w14:paraId="1630B4E6" w14:textId="77777777" w:rsidR="000C12EF" w:rsidRPr="00E1170B" w:rsidRDefault="000C12EF" w:rsidP="000C12EF">
      <w:pPr>
        <w:spacing w:line="240" w:lineRule="auto"/>
        <w:rPr>
          <w:szCs w:val="24"/>
        </w:rPr>
      </w:pPr>
      <w:r w:rsidRPr="00E1170B">
        <w:rPr>
          <w:szCs w:val="24"/>
        </w:rPr>
        <w:t>Genève, 21 septembre – 1</w:t>
      </w:r>
      <w:r w:rsidRPr="00E1170B">
        <w:rPr>
          <w:szCs w:val="24"/>
          <w:vertAlign w:val="superscript"/>
        </w:rPr>
        <w:t>er</w:t>
      </w:r>
      <w:r w:rsidRPr="00E1170B">
        <w:rPr>
          <w:szCs w:val="24"/>
        </w:rPr>
        <w:t xml:space="preserve"> octobre 2021</w:t>
      </w:r>
    </w:p>
    <w:p w14:paraId="659896E5" w14:textId="77777777" w:rsidR="000C12EF" w:rsidRPr="00E1170B" w:rsidRDefault="000C12EF" w:rsidP="000C12EF">
      <w:pPr>
        <w:spacing w:line="240" w:lineRule="auto"/>
        <w:rPr>
          <w:szCs w:val="24"/>
        </w:rPr>
      </w:pPr>
      <w:r w:rsidRPr="00E1170B">
        <w:rPr>
          <w:szCs w:val="24"/>
        </w:rPr>
        <w:t>Point 3 de l’ordre du jour provisoire</w:t>
      </w:r>
    </w:p>
    <w:p w14:paraId="29E1CA00" w14:textId="77777777" w:rsidR="000C12EF" w:rsidRPr="00E1170B" w:rsidRDefault="000C12EF" w:rsidP="000C12EF">
      <w:pPr>
        <w:rPr>
          <w:b/>
          <w:bCs/>
          <w:lang w:val="fr-FR"/>
        </w:rPr>
      </w:pPr>
      <w:r w:rsidRPr="00E1170B">
        <w:rPr>
          <w:b/>
          <w:bCs/>
          <w:lang w:val="fr-FR"/>
        </w:rPr>
        <w:t>Normes</w:t>
      </w:r>
    </w:p>
    <w:p w14:paraId="560F30AC" w14:textId="77777777" w:rsidR="000C12EF" w:rsidRPr="00E1170B" w:rsidRDefault="000C12EF" w:rsidP="000C12EF">
      <w:pPr>
        <w:pStyle w:val="HChG"/>
        <w:jc w:val="both"/>
      </w:pPr>
      <w:r w:rsidRPr="00E1170B">
        <w:rPr>
          <w:lang w:val="fr-FR"/>
        </w:rPr>
        <w:tab/>
      </w:r>
      <w:r w:rsidRPr="00E1170B">
        <w:rPr>
          <w:lang w:val="fr-FR"/>
        </w:rPr>
        <w:tab/>
      </w:r>
      <w:r w:rsidRPr="00E1170B">
        <w:t>Information sur les difficultés d’application d’une norme citée au chapitre 6.2</w:t>
      </w:r>
    </w:p>
    <w:p w14:paraId="1FCB2C0D" w14:textId="60BCB420" w:rsidR="000C12EF" w:rsidRPr="00E1170B" w:rsidRDefault="000C12EF" w:rsidP="000C12EF">
      <w:pPr>
        <w:suppressAutoHyphens w:val="0"/>
        <w:spacing w:after="120" w:line="240" w:lineRule="auto"/>
      </w:pPr>
      <w:r w:rsidRPr="00E1170B">
        <w:rPr>
          <w:rFonts w:eastAsia="Arial"/>
          <w:sz w:val="24"/>
          <w:szCs w:val="24"/>
          <w:lang w:val="fr-FR"/>
        </w:rPr>
        <w:tab/>
      </w:r>
      <w:r w:rsidRPr="00E1170B">
        <w:rPr>
          <w:rFonts w:eastAsia="Arial"/>
          <w:sz w:val="24"/>
          <w:szCs w:val="24"/>
          <w:lang w:val="fr-FR"/>
        </w:rPr>
        <w:tab/>
      </w:r>
      <w:r w:rsidRPr="00E1170B">
        <w:rPr>
          <w:rStyle w:val="H1GChar"/>
          <w:rFonts w:eastAsia="Arial"/>
        </w:rPr>
        <w:t>Communication du Gouvernement de la France</w:t>
      </w:r>
      <w:r w:rsidR="00D25AC6" w:rsidRPr="00E1170B">
        <w:rPr>
          <w:rStyle w:val="FootnoteReference"/>
          <w:bCs/>
          <w:sz w:val="20"/>
        </w:rPr>
        <w:footnoteReference w:customMarkFollows="1" w:id="2"/>
        <w:t>*</w:t>
      </w:r>
      <w:r w:rsidR="00D25AC6" w:rsidRPr="00E1170B">
        <w:rPr>
          <w:bCs/>
          <w:vertAlign w:val="superscript"/>
        </w:rPr>
        <w:t xml:space="preserve">, </w:t>
      </w:r>
      <w:r w:rsidR="00D25AC6" w:rsidRPr="00E1170B">
        <w:rPr>
          <w:rStyle w:val="FootnoteReference"/>
          <w:bCs/>
          <w:sz w:val="20"/>
        </w:rPr>
        <w:footnoteReference w:customMarkFollows="1" w:id="3"/>
        <w:t>**</w:t>
      </w:r>
      <w:r w:rsidR="00D25AC6" w:rsidRPr="00E1170B">
        <w:rPr>
          <w:bCs/>
          <w:vertAlign w:val="superscript"/>
        </w:rPr>
        <w:t xml:space="preserve">, </w:t>
      </w:r>
      <w:r w:rsidR="00D25AC6" w:rsidRPr="00E1170B">
        <w:rPr>
          <w:rStyle w:val="FootnoteReference"/>
          <w:bCs/>
          <w:sz w:val="20"/>
        </w:rPr>
        <w:footnoteReference w:customMarkFollows="1" w:id="4"/>
        <w:sym w:font="Symbol" w:char="F02A"/>
      </w:r>
      <w:r w:rsidR="00D25AC6" w:rsidRPr="00E1170B">
        <w:rPr>
          <w:rStyle w:val="FootnoteReference"/>
          <w:bCs/>
          <w:sz w:val="20"/>
        </w:rPr>
        <w:sym w:font="Symbol" w:char="F02A"/>
      </w:r>
      <w:r w:rsidR="00D25AC6" w:rsidRPr="00E1170B">
        <w:rPr>
          <w:rStyle w:val="FootnoteReference"/>
          <w:bCs/>
          <w:sz w:val="20"/>
        </w:rPr>
        <w:sym w:font="Symbol" w:char="F02A"/>
      </w:r>
    </w:p>
    <w:tbl>
      <w:tblPr>
        <w:tblW w:w="9629" w:type="dxa"/>
        <w:jc w:val="center"/>
        <w:tblBorders>
          <w:top w:val="single" w:sz="4" w:space="0" w:color="auto"/>
          <w:left w:val="single" w:sz="4" w:space="0" w:color="auto"/>
          <w:bottom w:val="single" w:sz="4" w:space="0" w:color="auto"/>
          <w:right w:val="single" w:sz="4" w:space="0" w:color="auto"/>
        </w:tblBorders>
        <w:tblCellMar>
          <w:left w:w="5" w:type="dxa"/>
          <w:right w:w="5" w:type="dxa"/>
        </w:tblCellMar>
        <w:tblLook w:val="01E0" w:firstRow="1" w:lastRow="1" w:firstColumn="1" w:lastColumn="1" w:noHBand="0" w:noVBand="0"/>
      </w:tblPr>
      <w:tblGrid>
        <w:gridCol w:w="9629"/>
      </w:tblGrid>
      <w:tr w:rsidR="000C12EF" w:rsidRPr="00E1170B" w14:paraId="6603B096" w14:textId="77777777" w:rsidTr="00AC138B">
        <w:trPr>
          <w:jc w:val="center"/>
        </w:trPr>
        <w:tc>
          <w:tcPr>
            <w:tcW w:w="9629" w:type="dxa"/>
            <w:shd w:val="clear" w:color="auto" w:fill="auto"/>
            <w:tcMar>
              <w:left w:w="5" w:type="dxa"/>
            </w:tcMar>
          </w:tcPr>
          <w:p w14:paraId="5065A1F9" w14:textId="77777777" w:rsidR="000C12EF" w:rsidRPr="00E1170B" w:rsidRDefault="000C12EF" w:rsidP="00AC138B">
            <w:pPr>
              <w:spacing w:before="240" w:after="120"/>
              <w:ind w:left="255"/>
              <w:rPr>
                <w:i/>
                <w:sz w:val="24"/>
              </w:rPr>
            </w:pPr>
            <w:r w:rsidRPr="00E1170B">
              <w:rPr>
                <w:i/>
                <w:sz w:val="24"/>
              </w:rPr>
              <w:t>Résumé</w:t>
            </w:r>
          </w:p>
        </w:tc>
      </w:tr>
      <w:tr w:rsidR="000C12EF" w:rsidRPr="00E1170B" w14:paraId="59054DFD" w14:textId="77777777" w:rsidTr="00AC138B">
        <w:trPr>
          <w:jc w:val="center"/>
        </w:trPr>
        <w:tc>
          <w:tcPr>
            <w:tcW w:w="9629" w:type="dxa"/>
            <w:shd w:val="clear" w:color="auto" w:fill="auto"/>
            <w:tcMar>
              <w:left w:w="5" w:type="dxa"/>
            </w:tcMar>
          </w:tcPr>
          <w:p w14:paraId="369A503F" w14:textId="77777777" w:rsidR="000C12EF" w:rsidRPr="00E1170B" w:rsidRDefault="000C12EF" w:rsidP="00AC138B">
            <w:pPr>
              <w:pStyle w:val="SingleTxtG"/>
              <w:tabs>
                <w:tab w:val="left" w:pos="3686"/>
              </w:tabs>
              <w:ind w:left="3686" w:hanging="2552"/>
            </w:pPr>
            <w:r w:rsidRPr="00E1170B">
              <w:rPr>
                <w:b/>
              </w:rPr>
              <w:t>Résumé analytique :</w:t>
            </w:r>
            <w:r w:rsidRPr="00E1170B">
              <w:rPr>
                <w:b/>
              </w:rPr>
              <w:tab/>
            </w:r>
            <w:r w:rsidRPr="00E1170B">
              <w:t>Ce document vise à informer la Réunion commune sur les difficultés d’application d’une norme d’application obligatoire citée au chapitre 6.2.</w:t>
            </w:r>
          </w:p>
        </w:tc>
      </w:tr>
      <w:tr w:rsidR="000C12EF" w:rsidRPr="00E1170B" w14:paraId="4707C980" w14:textId="77777777" w:rsidTr="00AC138B">
        <w:trPr>
          <w:jc w:val="center"/>
        </w:trPr>
        <w:tc>
          <w:tcPr>
            <w:tcW w:w="9629" w:type="dxa"/>
            <w:shd w:val="clear" w:color="auto" w:fill="auto"/>
            <w:tcMar>
              <w:left w:w="5" w:type="dxa"/>
            </w:tcMar>
          </w:tcPr>
          <w:p w14:paraId="3B8DB93A" w14:textId="53490E15" w:rsidR="000C12EF" w:rsidRPr="00E1170B" w:rsidRDefault="000C12EF" w:rsidP="00AC138B">
            <w:pPr>
              <w:pStyle w:val="SingleTxtG"/>
              <w:tabs>
                <w:tab w:val="left" w:pos="3686"/>
              </w:tabs>
              <w:ind w:left="3686" w:hanging="2552"/>
              <w:rPr>
                <w:b/>
              </w:rPr>
            </w:pPr>
            <w:r w:rsidRPr="00E1170B">
              <w:rPr>
                <w:b/>
              </w:rPr>
              <w:t>Mesures à prendre :</w:t>
            </w:r>
            <w:r w:rsidRPr="00E1170B">
              <w:rPr>
                <w:b/>
              </w:rPr>
              <w:tab/>
            </w:r>
            <w:r w:rsidRPr="00E1170B">
              <w:t xml:space="preserve">Prise de décisions concernant les actions à entreprendre en lien avec le Groupe de travail des normes et le </w:t>
            </w:r>
            <w:r w:rsidR="002A19C0" w:rsidRPr="002A19C0">
              <w:t xml:space="preserve">Comité européen de normalisation </w:t>
            </w:r>
            <w:r w:rsidR="002A19C0">
              <w:t>(</w:t>
            </w:r>
            <w:r w:rsidRPr="00E1170B">
              <w:t>CEN</w:t>
            </w:r>
            <w:r w:rsidR="002A19C0">
              <w:t>)</w:t>
            </w:r>
            <w:r w:rsidRPr="00E1170B">
              <w:t>.</w:t>
            </w:r>
          </w:p>
        </w:tc>
      </w:tr>
      <w:tr w:rsidR="000C12EF" w:rsidRPr="00E1170B" w14:paraId="32A531D2" w14:textId="77777777" w:rsidTr="00AC138B">
        <w:trPr>
          <w:jc w:val="center"/>
        </w:trPr>
        <w:tc>
          <w:tcPr>
            <w:tcW w:w="9629" w:type="dxa"/>
            <w:shd w:val="clear" w:color="auto" w:fill="auto"/>
            <w:tcMar>
              <w:left w:w="5" w:type="dxa"/>
            </w:tcMar>
          </w:tcPr>
          <w:p w14:paraId="10CA0EC4" w14:textId="77777777" w:rsidR="000C12EF" w:rsidRPr="00E1170B" w:rsidRDefault="000C12EF" w:rsidP="00AC138B">
            <w:pPr>
              <w:pStyle w:val="SingleTxtG"/>
              <w:tabs>
                <w:tab w:val="left" w:pos="3686"/>
              </w:tabs>
              <w:ind w:left="3686" w:hanging="2552"/>
              <w:rPr>
                <w:b/>
              </w:rPr>
            </w:pPr>
          </w:p>
        </w:tc>
      </w:tr>
    </w:tbl>
    <w:p w14:paraId="1CAD2F38" w14:textId="77777777" w:rsidR="004D32C4" w:rsidRDefault="000C12EF" w:rsidP="004D32C4">
      <w:pPr>
        <w:pStyle w:val="HChG"/>
        <w:ind w:right="850"/>
        <w:rPr>
          <w:lang w:val="fr-FR"/>
        </w:rPr>
      </w:pPr>
      <w:r w:rsidRPr="00E1170B">
        <w:tab/>
      </w:r>
      <w:r w:rsidRPr="00E1170B">
        <w:rPr>
          <w:lang w:val="fr-FR"/>
        </w:rPr>
        <w:tab/>
      </w:r>
      <w:r w:rsidR="004D32C4">
        <w:rPr>
          <w:lang w:val="fr-FR"/>
        </w:rPr>
        <w:tab/>
        <w:t>Introduction</w:t>
      </w:r>
    </w:p>
    <w:p w14:paraId="3AF946EB" w14:textId="6E9F636E" w:rsidR="004D32C4" w:rsidRDefault="004D32C4" w:rsidP="004D32C4">
      <w:pPr>
        <w:pStyle w:val="SingleTxtG"/>
        <w:numPr>
          <w:ilvl w:val="0"/>
          <w:numId w:val="14"/>
        </w:numPr>
        <w:ind w:left="1134" w:firstLine="0"/>
        <w:rPr>
          <w:lang w:val="fr-FR"/>
        </w:rPr>
      </w:pPr>
      <w:r>
        <w:rPr>
          <w:lang w:val="fr-FR"/>
        </w:rPr>
        <w:t>Les autorités françaises de surveillance du marché ont procédé à une action sur plusieurs types de récipients à pression métalliques non rechargeables contenant de l’hélium. Dans le cadre de cette action de surveillance du marché, un certain nombre de non-conformités ont été relevées et des dispositions d’interdiction de mise sur le marché ont été prises.</w:t>
      </w:r>
    </w:p>
    <w:p w14:paraId="08227B78" w14:textId="77777777" w:rsidR="004D32C4" w:rsidRPr="007A49AF" w:rsidRDefault="004D32C4" w:rsidP="004D32C4">
      <w:pPr>
        <w:pStyle w:val="SingleTxtG"/>
        <w:numPr>
          <w:ilvl w:val="0"/>
          <w:numId w:val="14"/>
        </w:numPr>
        <w:ind w:left="1134" w:firstLine="0"/>
      </w:pPr>
      <w:r w:rsidRPr="005207BE">
        <w:rPr>
          <w:lang w:val="fr-FR"/>
        </w:rPr>
        <w:t>Cette action</w:t>
      </w:r>
      <w:r>
        <w:rPr>
          <w:lang w:val="fr-FR"/>
        </w:rPr>
        <w:t xml:space="preserve"> de surveillance du marché</w:t>
      </w:r>
      <w:r w:rsidRPr="005207BE">
        <w:rPr>
          <w:lang w:val="fr-FR"/>
        </w:rPr>
        <w:t xml:space="preserve"> a permis de mettre en avant certain</w:t>
      </w:r>
      <w:r>
        <w:rPr>
          <w:lang w:val="fr-FR"/>
        </w:rPr>
        <w:t>es</w:t>
      </w:r>
      <w:r w:rsidRPr="005207BE">
        <w:rPr>
          <w:lang w:val="fr-FR"/>
        </w:rPr>
        <w:t xml:space="preserve"> difficultés d’application de la norme EN ISO 11118:2015 </w:t>
      </w:r>
      <w:r>
        <w:rPr>
          <w:lang w:val="fr-FR"/>
        </w:rPr>
        <w:t>citée en référence au</w:t>
      </w:r>
      <w:r w:rsidRPr="005207BE">
        <w:rPr>
          <w:lang w:val="fr-FR"/>
        </w:rPr>
        <w:t xml:space="preserve"> 6.2.4 du </w:t>
      </w:r>
      <w:r w:rsidRPr="005207BE">
        <w:rPr>
          <w:lang w:val="fr-FR"/>
        </w:rPr>
        <w:lastRenderedPageBreak/>
        <w:t xml:space="preserve">RID/ADR. Cette norme </w:t>
      </w:r>
      <w:r>
        <w:rPr>
          <w:lang w:val="fr-FR"/>
        </w:rPr>
        <w:t>est d’</w:t>
      </w:r>
      <w:r w:rsidRPr="005207BE">
        <w:rPr>
          <w:lang w:val="fr-FR"/>
        </w:rPr>
        <w:t>application obligatoire pour la délivrance des agréments de type</w:t>
      </w:r>
      <w:r>
        <w:rPr>
          <w:lang w:val="fr-FR"/>
        </w:rPr>
        <w:t>,</w:t>
      </w:r>
      <w:r w:rsidRPr="005207BE">
        <w:rPr>
          <w:lang w:val="fr-FR"/>
        </w:rPr>
        <w:t xml:space="preserve"> jusqu’à nouvel ordre</w:t>
      </w:r>
      <w:r>
        <w:rPr>
          <w:lang w:val="fr-FR"/>
        </w:rPr>
        <w:t>,</w:t>
      </w:r>
      <w:r w:rsidRPr="005207BE">
        <w:rPr>
          <w:lang w:val="fr-FR"/>
        </w:rPr>
        <w:t xml:space="preserve"> pour satisfaire aux</w:t>
      </w:r>
      <w:r>
        <w:rPr>
          <w:lang w:val="fr-FR"/>
        </w:rPr>
        <w:t xml:space="preserve"> prescriptions des </w:t>
      </w:r>
      <w:r w:rsidRPr="005207BE">
        <w:rPr>
          <w:lang w:val="fr-FR"/>
        </w:rPr>
        <w:t>6.2.3.1, 6.2.3.3 et 6.2.3.4.</w:t>
      </w:r>
    </w:p>
    <w:p w14:paraId="2DE752C2" w14:textId="77777777" w:rsidR="004D32C4" w:rsidRDefault="004D32C4" w:rsidP="004D32C4">
      <w:pPr>
        <w:pStyle w:val="SingleTxtG"/>
        <w:numPr>
          <w:ilvl w:val="0"/>
          <w:numId w:val="14"/>
        </w:numPr>
        <w:ind w:left="1134" w:firstLine="0"/>
        <w:rPr>
          <w:lang w:val="fr-FR"/>
        </w:rPr>
      </w:pPr>
      <w:r w:rsidRPr="001F5C60">
        <w:rPr>
          <w:lang w:val="fr-FR"/>
        </w:rPr>
        <w:t>Le présent document vise à donner à la Réunion commune un aperçu</w:t>
      </w:r>
      <w:r>
        <w:rPr>
          <w:lang w:val="fr-FR"/>
        </w:rPr>
        <w:t xml:space="preserve"> de ces difficultés.</w:t>
      </w:r>
    </w:p>
    <w:p w14:paraId="1E5E9DBE" w14:textId="77777777" w:rsidR="004D32C4" w:rsidRDefault="004D32C4" w:rsidP="004D32C4">
      <w:pPr>
        <w:pStyle w:val="HChG"/>
        <w:ind w:right="851"/>
        <w:rPr>
          <w:lang w:val="fr-FR"/>
        </w:rPr>
      </w:pPr>
      <w:r>
        <w:rPr>
          <w:lang w:val="fr-FR"/>
        </w:rPr>
        <w:tab/>
      </w:r>
      <w:r>
        <w:rPr>
          <w:lang w:val="fr-FR"/>
        </w:rPr>
        <w:tab/>
      </w:r>
      <w:r w:rsidRPr="00C059D4">
        <w:rPr>
          <w:lang w:val="fr-FR"/>
        </w:rPr>
        <w:t>Matériaux</w:t>
      </w:r>
    </w:p>
    <w:p w14:paraId="2ED63D85" w14:textId="77D07AD4" w:rsidR="004D32C4" w:rsidRDefault="004D32C4" w:rsidP="004D32C4">
      <w:pPr>
        <w:pStyle w:val="SingleTxtG"/>
        <w:numPr>
          <w:ilvl w:val="0"/>
          <w:numId w:val="14"/>
        </w:numPr>
        <w:ind w:left="1134" w:firstLine="0"/>
        <w:rPr>
          <w:lang w:val="fr-FR"/>
        </w:rPr>
      </w:pPr>
      <w:r>
        <w:rPr>
          <w:lang w:eastAsia="fr-FR"/>
        </w:rPr>
        <w:t>A</w:t>
      </w:r>
      <w:r w:rsidRPr="00366A37">
        <w:rPr>
          <w:lang w:eastAsia="fr-FR"/>
        </w:rPr>
        <w:t>u</w:t>
      </w:r>
      <w:r w:rsidR="00973219">
        <w:rPr>
          <w:lang w:eastAsia="fr-FR"/>
        </w:rPr>
        <w:t xml:space="preserve"> </w:t>
      </w:r>
      <w:r w:rsidRPr="00C059D4">
        <w:rPr>
          <w:lang w:val="fr-FR"/>
        </w:rPr>
        <w:t xml:space="preserve">6.2.1.2.2 </w:t>
      </w:r>
      <w:r>
        <w:rPr>
          <w:lang w:val="fr-FR"/>
        </w:rPr>
        <w:t>du RID/</w:t>
      </w:r>
      <w:r w:rsidRPr="00C059D4">
        <w:rPr>
          <w:lang w:val="fr-FR"/>
        </w:rPr>
        <w:t>ADR</w:t>
      </w:r>
      <w:r>
        <w:rPr>
          <w:lang w:val="fr-FR"/>
        </w:rPr>
        <w:t xml:space="preserve">, il est précisé que : </w:t>
      </w:r>
      <w:r w:rsidRPr="00C059D4">
        <w:rPr>
          <w:lang w:val="fr-FR"/>
        </w:rPr>
        <w:t>« Les récipients à pression et leurs fermetures doivent être construits en matériaux conformes aux normes</w:t>
      </w:r>
      <w:r>
        <w:rPr>
          <w:lang w:val="fr-FR"/>
        </w:rPr>
        <w:t xml:space="preserve"> </w:t>
      </w:r>
      <w:r w:rsidRPr="00C059D4">
        <w:rPr>
          <w:lang w:val="fr-FR"/>
        </w:rPr>
        <w:t>techniques de conception et de construction et aux dispositions d’emballage applicables aux matières</w:t>
      </w:r>
      <w:r>
        <w:rPr>
          <w:lang w:val="fr-FR"/>
        </w:rPr>
        <w:t xml:space="preserve"> </w:t>
      </w:r>
      <w:r w:rsidRPr="00C059D4">
        <w:rPr>
          <w:lang w:val="fr-FR"/>
        </w:rPr>
        <w:t xml:space="preserve">destinées au transport. </w:t>
      </w:r>
      <w:r w:rsidRPr="00C059D4">
        <w:rPr>
          <w:u w:val="single"/>
          <w:lang w:val="fr-FR"/>
        </w:rPr>
        <w:t>Ces matériaux doivent être résistants à la rupture fragile</w:t>
      </w:r>
      <w:r w:rsidRPr="00C059D4">
        <w:rPr>
          <w:lang w:val="fr-FR"/>
        </w:rPr>
        <w:t xml:space="preserve"> et à la fissuration par</w:t>
      </w:r>
      <w:r>
        <w:rPr>
          <w:lang w:val="fr-FR"/>
        </w:rPr>
        <w:t xml:space="preserve"> </w:t>
      </w:r>
      <w:r w:rsidRPr="00C059D4">
        <w:rPr>
          <w:lang w:val="fr-FR"/>
        </w:rPr>
        <w:t xml:space="preserve">corrosion sous tension, </w:t>
      </w:r>
      <w:r w:rsidRPr="00C059D4">
        <w:rPr>
          <w:u w:val="single"/>
          <w:lang w:val="fr-FR"/>
        </w:rPr>
        <w:t>comme indiqué dans les normes techniques de conception et de construction</w:t>
      </w:r>
      <w:r w:rsidRPr="00C059D4">
        <w:rPr>
          <w:lang w:val="fr-FR"/>
        </w:rPr>
        <w:t>.</w:t>
      </w:r>
      <w:r>
        <w:rPr>
          <w:lang w:val="fr-FR"/>
        </w:rPr>
        <w:t> »</w:t>
      </w:r>
    </w:p>
    <w:p w14:paraId="6C02D355" w14:textId="021A8083" w:rsidR="004D32C4" w:rsidRPr="00C059D4" w:rsidRDefault="004D32C4" w:rsidP="004D32C4">
      <w:pPr>
        <w:pStyle w:val="SingleTxtG"/>
        <w:rPr>
          <w:lang w:val="fr-FR"/>
        </w:rPr>
      </w:pPr>
      <w:r>
        <w:rPr>
          <w:lang w:val="fr-FR"/>
        </w:rPr>
        <w:t>La norme EN ISO 11118</w:t>
      </w:r>
      <w:r w:rsidRPr="00C059D4">
        <w:rPr>
          <w:lang w:val="fr-FR"/>
        </w:rPr>
        <w:t xml:space="preserve"> </w:t>
      </w:r>
      <w:r>
        <w:rPr>
          <w:lang w:val="fr-FR"/>
        </w:rPr>
        <w:t>stipule au</w:t>
      </w:r>
      <w:r w:rsidRPr="00C059D4">
        <w:rPr>
          <w:lang w:val="fr-FR"/>
        </w:rPr>
        <w:t xml:space="preserve"> 5.1.6 : « Tous les matériaux doivent pouvoir être utilisés à la température de service</w:t>
      </w:r>
      <w:r>
        <w:rPr>
          <w:lang w:val="fr-FR"/>
        </w:rPr>
        <w:t xml:space="preserve"> </w:t>
      </w:r>
      <w:r w:rsidRPr="00C059D4">
        <w:rPr>
          <w:lang w:val="fr-FR"/>
        </w:rPr>
        <w:t>minimale ou à -20</w:t>
      </w:r>
      <w:r w:rsidR="00D55797">
        <w:rPr>
          <w:lang w:val="fr-FR"/>
        </w:rPr>
        <w:t xml:space="preserve"> </w:t>
      </w:r>
      <w:r w:rsidRPr="00C059D4">
        <w:rPr>
          <w:lang w:val="fr-FR"/>
        </w:rPr>
        <w:t>°C, la valeur retenue étant la plus basse des deux. »</w:t>
      </w:r>
    </w:p>
    <w:p w14:paraId="437250AD" w14:textId="77777777" w:rsidR="004D32C4" w:rsidRPr="00C059D4" w:rsidRDefault="004D32C4" w:rsidP="004D32C4">
      <w:pPr>
        <w:pStyle w:val="SingleTxtG"/>
        <w:rPr>
          <w:lang w:val="fr-FR"/>
        </w:rPr>
      </w:pPr>
      <w:r>
        <w:rPr>
          <w:lang w:val="fr-FR"/>
        </w:rPr>
        <w:t>Cette</w:t>
      </w:r>
      <w:r w:rsidRPr="00C059D4">
        <w:rPr>
          <w:lang w:val="fr-FR"/>
        </w:rPr>
        <w:t xml:space="preserve"> norme</w:t>
      </w:r>
      <w:r>
        <w:rPr>
          <w:lang w:val="fr-FR"/>
        </w:rPr>
        <w:t xml:space="preserve"> </w:t>
      </w:r>
      <w:r w:rsidRPr="00C059D4">
        <w:rPr>
          <w:lang w:val="fr-FR"/>
        </w:rPr>
        <w:t>ne fixe aucun critère afin d’apprécier la résistance du matériau à la</w:t>
      </w:r>
      <w:r>
        <w:rPr>
          <w:lang w:val="fr-FR"/>
        </w:rPr>
        <w:t xml:space="preserve"> rupture fragile.</w:t>
      </w:r>
    </w:p>
    <w:p w14:paraId="138DCCCD" w14:textId="77777777" w:rsidR="004D32C4" w:rsidRPr="00023713" w:rsidRDefault="004D32C4" w:rsidP="004D32C4">
      <w:pPr>
        <w:pStyle w:val="SingleTxtG"/>
        <w:rPr>
          <w:lang w:eastAsia="fr-FR"/>
        </w:rPr>
      </w:pPr>
      <w:r w:rsidRPr="00023713">
        <w:rPr>
          <w:lang w:eastAsia="fr-FR"/>
        </w:rPr>
        <w:t>Lorsque ces matériaux sont utilisés avec une faible épaisseur, le risque de rupture fragile est beaucoup moins important.</w:t>
      </w:r>
      <w:r>
        <w:rPr>
          <w:lang w:eastAsia="fr-FR"/>
        </w:rPr>
        <w:t xml:space="preserve"> </w:t>
      </w:r>
      <w:r w:rsidRPr="00023713">
        <w:rPr>
          <w:lang w:eastAsia="fr-FR"/>
        </w:rPr>
        <w:t xml:space="preserve">Ceci </w:t>
      </w:r>
      <w:r>
        <w:rPr>
          <w:lang w:eastAsia="fr-FR"/>
        </w:rPr>
        <w:t>pour</w:t>
      </w:r>
      <w:r w:rsidRPr="00023713">
        <w:rPr>
          <w:lang w:eastAsia="fr-FR"/>
        </w:rPr>
        <w:t>rait être dével</w:t>
      </w:r>
      <w:r>
        <w:rPr>
          <w:lang w:eastAsia="fr-FR"/>
        </w:rPr>
        <w:t>oppé et précisé dans la</w:t>
      </w:r>
      <w:r w:rsidRPr="00023713">
        <w:rPr>
          <w:lang w:eastAsia="fr-FR"/>
        </w:rPr>
        <w:t xml:space="preserve"> norme</w:t>
      </w:r>
      <w:r>
        <w:rPr>
          <w:lang w:val="fr-FR"/>
        </w:rPr>
        <w:t>.</w:t>
      </w:r>
      <w:r w:rsidRPr="00023713">
        <w:rPr>
          <w:lang w:eastAsia="fr-FR"/>
        </w:rPr>
        <w:t xml:space="preserve"> D’autre part, lorsque le matériau est trop fin pour réaliser des essais de flexion par choc, une analyse par mécanique de la rupture pourrait être utilisée pour justifier du choix du matériau.</w:t>
      </w:r>
    </w:p>
    <w:p w14:paraId="41F680AE" w14:textId="77777777" w:rsidR="004D32C4" w:rsidRDefault="004D32C4" w:rsidP="004D32C4">
      <w:pPr>
        <w:pStyle w:val="SingleTxtG"/>
        <w:rPr>
          <w:lang w:val="fr-FR"/>
        </w:rPr>
      </w:pPr>
      <w:r w:rsidRPr="00023713">
        <w:rPr>
          <w:lang w:eastAsia="fr-FR"/>
        </w:rPr>
        <w:t>Il pourrait être pertinent d’imposer que les matériaux soient choisis dans des normes donnant des garanties suffisantes en terme de résilience.</w:t>
      </w:r>
    </w:p>
    <w:p w14:paraId="28B3737F" w14:textId="77777777" w:rsidR="004D32C4" w:rsidRDefault="004D32C4" w:rsidP="004D32C4">
      <w:pPr>
        <w:pStyle w:val="SingleTxtG"/>
        <w:spacing w:before="240" w:after="240"/>
        <w:rPr>
          <w:lang w:val="fr-FR"/>
        </w:rPr>
      </w:pPr>
      <w:r w:rsidRPr="00023713">
        <w:rPr>
          <w:b/>
          <w:sz w:val="28"/>
          <w:lang w:val="fr-FR"/>
        </w:rPr>
        <w:t xml:space="preserve">Qualité de </w:t>
      </w:r>
      <w:r>
        <w:rPr>
          <w:b/>
          <w:sz w:val="28"/>
          <w:lang w:val="fr-FR"/>
        </w:rPr>
        <w:t>fabrica</w:t>
      </w:r>
      <w:r w:rsidRPr="00023713">
        <w:rPr>
          <w:b/>
          <w:sz w:val="28"/>
          <w:lang w:val="fr-FR"/>
        </w:rPr>
        <w:t>tion</w:t>
      </w:r>
    </w:p>
    <w:p w14:paraId="07629247" w14:textId="77777777" w:rsidR="004D32C4" w:rsidRPr="003E63B2" w:rsidRDefault="004D32C4" w:rsidP="004D32C4">
      <w:pPr>
        <w:pStyle w:val="SingleTxtG"/>
        <w:rPr>
          <w:lang w:val="fr-FR"/>
        </w:rPr>
      </w:pPr>
      <w:r>
        <w:rPr>
          <w:lang w:val="fr-FR"/>
        </w:rPr>
        <w:t>5</w:t>
      </w:r>
      <w:r w:rsidRPr="002E047B">
        <w:rPr>
          <w:lang w:val="fr-FR"/>
        </w:rPr>
        <w:t>.</w:t>
      </w:r>
      <w:r w:rsidRPr="002E047B">
        <w:rPr>
          <w:lang w:val="fr-FR"/>
        </w:rPr>
        <w:tab/>
      </w:r>
      <w:r>
        <w:rPr>
          <w:lang w:val="fr-FR"/>
        </w:rPr>
        <w:t>L’article 8.2 c) de la norme EN ISO 11118</w:t>
      </w:r>
      <w:r w:rsidRPr="00C059D4">
        <w:rPr>
          <w:lang w:val="fr-FR"/>
        </w:rPr>
        <w:t xml:space="preserve"> </w:t>
      </w:r>
      <w:r>
        <w:rPr>
          <w:lang w:val="fr-FR"/>
        </w:rPr>
        <w:t>stipule que</w:t>
      </w:r>
      <w:r w:rsidRPr="003E63B2">
        <w:rPr>
          <w:lang w:val="fr-FR"/>
        </w:rPr>
        <w:t xml:space="preserve"> : « une fois tous les joints soudés/brasés réalisés, la soudure ne doit pas présenter</w:t>
      </w:r>
      <w:r>
        <w:rPr>
          <w:lang w:val="fr-FR"/>
        </w:rPr>
        <w:t xml:space="preserve"> </w:t>
      </w:r>
      <w:r w:rsidRPr="003E63B2">
        <w:rPr>
          <w:lang w:val="fr-FR"/>
        </w:rPr>
        <w:t>de concavités, de creusements ou de brusques irrégularités, ou encore de fissurations ou autres défauts ; »</w:t>
      </w:r>
    </w:p>
    <w:p w14:paraId="6B9257AD" w14:textId="77777777" w:rsidR="004D32C4" w:rsidRDefault="004D32C4" w:rsidP="004D32C4">
      <w:pPr>
        <w:pStyle w:val="SingleTxtG"/>
        <w:rPr>
          <w:lang w:val="fr-FR"/>
        </w:rPr>
      </w:pPr>
      <w:r w:rsidRPr="003E63B2">
        <w:rPr>
          <w:lang w:val="fr-FR"/>
        </w:rPr>
        <w:t xml:space="preserve">La norme </w:t>
      </w:r>
      <w:r>
        <w:rPr>
          <w:lang w:val="fr-FR"/>
        </w:rPr>
        <w:t xml:space="preserve">EN ISO 11118 </w:t>
      </w:r>
      <w:r w:rsidRPr="003E63B2">
        <w:rPr>
          <w:lang w:val="fr-FR"/>
        </w:rPr>
        <w:t>ne</w:t>
      </w:r>
      <w:r w:rsidRPr="00543238">
        <w:t xml:space="preserve"> </w:t>
      </w:r>
      <w:r w:rsidRPr="00543238">
        <w:rPr>
          <w:lang w:val="fr-FR"/>
        </w:rPr>
        <w:t>fixe pas de critères pour les niveaux d’acceptabilité des défauts et ne fait référence à aucun autre référentiel normatif (par exemple la norme EN ISO 5817</w:t>
      </w:r>
      <w:r>
        <w:rPr>
          <w:lang w:val="fr-FR"/>
        </w:rPr>
        <w:t xml:space="preserve"> </w:t>
      </w:r>
      <w:r w:rsidRPr="00543238">
        <w:rPr>
          <w:lang w:val="fr-FR"/>
        </w:rPr>
        <w:t>« Soudage - Assemblages en acier, nickel, titane et leurs alliages soudés par fusion (soudage par faisceau exclu) - Niveaux de qualité par rapport aux défauts »)</w:t>
      </w:r>
      <w:r>
        <w:rPr>
          <w:lang w:val="fr-FR"/>
        </w:rPr>
        <w:t>.</w:t>
      </w:r>
    </w:p>
    <w:p w14:paraId="683A764A" w14:textId="77777777" w:rsidR="004D32C4" w:rsidRDefault="004D32C4" w:rsidP="004D32C4">
      <w:pPr>
        <w:pStyle w:val="SingleTxtG"/>
        <w:rPr>
          <w:lang w:val="fr-FR"/>
        </w:rPr>
      </w:pPr>
      <w:r>
        <w:rPr>
          <w:b/>
          <w:lang w:val="fr-FR"/>
        </w:rPr>
        <w:tab/>
      </w:r>
      <w:r>
        <w:rPr>
          <w:lang w:val="fr-FR"/>
        </w:rPr>
        <w:t>Il n’est donc pas</w:t>
      </w:r>
      <w:r w:rsidRPr="00543238">
        <w:rPr>
          <w:lang w:val="fr-FR"/>
        </w:rPr>
        <w:t xml:space="preserve"> possible d’évaluer les défaut</w:t>
      </w:r>
      <w:r>
        <w:rPr>
          <w:lang w:val="fr-FR"/>
        </w:rPr>
        <w:t>s dans les joints soudés/brasés.</w:t>
      </w:r>
      <w:r w:rsidRPr="00543238">
        <w:rPr>
          <w:lang w:val="fr-FR"/>
        </w:rPr>
        <w:t xml:space="preserve"> </w:t>
      </w:r>
      <w:r>
        <w:rPr>
          <w:lang w:val="fr-FR"/>
        </w:rPr>
        <w:t>Les défauts acceptables ne sont pas définis.</w:t>
      </w:r>
    </w:p>
    <w:p w14:paraId="25D8EB32" w14:textId="77777777" w:rsidR="004D32C4" w:rsidRDefault="004D32C4" w:rsidP="004D32C4">
      <w:pPr>
        <w:pStyle w:val="SingleTxtG"/>
        <w:spacing w:before="240" w:after="240"/>
        <w:rPr>
          <w:b/>
          <w:sz w:val="28"/>
          <w:lang w:val="fr-FR"/>
        </w:rPr>
      </w:pPr>
      <w:r w:rsidRPr="00E53AB6">
        <w:rPr>
          <w:b/>
          <w:sz w:val="28"/>
          <w:lang w:val="fr-FR"/>
        </w:rPr>
        <w:t>Qualification des soudeurs</w:t>
      </w:r>
    </w:p>
    <w:p w14:paraId="0DC3AFBD" w14:textId="77777777" w:rsidR="004D32C4" w:rsidRDefault="004D32C4" w:rsidP="004D32C4">
      <w:pPr>
        <w:pStyle w:val="SingleTxtG"/>
        <w:rPr>
          <w:lang w:val="fr-FR"/>
        </w:rPr>
      </w:pPr>
      <w:r>
        <w:rPr>
          <w:lang w:val="fr-FR"/>
        </w:rPr>
        <w:t>6</w:t>
      </w:r>
      <w:r w:rsidRPr="00F66173">
        <w:rPr>
          <w:lang w:val="fr-FR"/>
        </w:rPr>
        <w:t>.</w:t>
      </w:r>
      <w:r w:rsidRPr="00F66173">
        <w:rPr>
          <w:lang w:val="fr-FR"/>
        </w:rPr>
        <w:tab/>
      </w:r>
      <w:r w:rsidRPr="00E53AB6">
        <w:rPr>
          <w:lang w:val="fr-FR"/>
        </w:rPr>
        <w:t>Le 8.1.1.2.2</w:t>
      </w:r>
      <w:r>
        <w:rPr>
          <w:lang w:val="fr-FR"/>
        </w:rPr>
        <w:t>.1 de la norme EN ISO 11118</w:t>
      </w:r>
      <w:r w:rsidRPr="00E53AB6">
        <w:rPr>
          <w:lang w:val="fr-FR"/>
        </w:rPr>
        <w:t xml:space="preserve"> stipule que</w:t>
      </w:r>
      <w:r w:rsidRPr="00E53AB6">
        <w:t xml:space="preserve"> </w:t>
      </w:r>
      <w:r>
        <w:rPr>
          <w:lang w:val="fr-FR"/>
        </w:rPr>
        <w:t xml:space="preserve">: « a) Tous les </w:t>
      </w:r>
      <w:r w:rsidRPr="00E53AB6">
        <w:rPr>
          <w:lang w:val="fr-FR"/>
        </w:rPr>
        <w:t>opérateurs et modes opératoires de soudage doivent être approuvés conformément aux exigences de 8.1.1.2.2 à 8.1.1.2.2.9 ou à celles des ISO 9606-1, ISO 15613 et ISO 15614-1. »</w:t>
      </w:r>
    </w:p>
    <w:p w14:paraId="27399F95" w14:textId="77777777" w:rsidR="004D32C4" w:rsidRDefault="004D32C4" w:rsidP="004D32C4">
      <w:pPr>
        <w:pStyle w:val="SingleTxtG"/>
      </w:pPr>
      <w:r>
        <w:t>Toutefois :</w:t>
      </w:r>
    </w:p>
    <w:p w14:paraId="68ABDA43" w14:textId="50CA89A0" w:rsidR="004D32C4" w:rsidRDefault="003A7438" w:rsidP="004D32C4">
      <w:pPr>
        <w:pStyle w:val="SingleTxtG"/>
      </w:pPr>
      <w:r>
        <w:tab/>
      </w:r>
      <w:r>
        <w:tab/>
      </w:r>
      <w:r w:rsidR="004D32C4">
        <w:t>-</w:t>
      </w:r>
      <w:r>
        <w:tab/>
      </w:r>
      <w:r w:rsidR="004D32C4">
        <w:t>La norme EN ISO 11118</w:t>
      </w:r>
      <w:r w:rsidR="004D32C4" w:rsidRPr="00E53AB6">
        <w:t xml:space="preserve"> ne précise pas les examens et essais requis pour la qualification des modes opératoires de soudage dans le cas où les normes EN </w:t>
      </w:r>
      <w:r w:rsidR="004D32C4">
        <w:t>ISO</w:t>
      </w:r>
      <w:r w:rsidR="004D32C4" w:rsidRPr="00E53AB6">
        <w:t xml:space="preserve"> 15613 ou 15614-1 ne sont pas mises en œuvre.</w:t>
      </w:r>
    </w:p>
    <w:p w14:paraId="23E132F4" w14:textId="3FB703E9" w:rsidR="004D32C4" w:rsidRDefault="003A7438" w:rsidP="004D32C4">
      <w:pPr>
        <w:pStyle w:val="SingleTxtG"/>
      </w:pPr>
      <w:r>
        <w:tab/>
      </w:r>
      <w:r>
        <w:tab/>
      </w:r>
      <w:r w:rsidR="004D32C4">
        <w:t>-</w:t>
      </w:r>
      <w:r>
        <w:tab/>
      </w:r>
      <w:r w:rsidR="004D32C4">
        <w:t>La norme EN ISO 11118</w:t>
      </w:r>
      <w:r w:rsidR="004D32C4" w:rsidRPr="00E53AB6">
        <w:t xml:space="preserve"> définit uniquement les essais de qualification des soudeurs, comme suit :</w:t>
      </w:r>
    </w:p>
    <w:p w14:paraId="116C82BA" w14:textId="5AA7CB52" w:rsidR="004D32C4" w:rsidRPr="003B5A31" w:rsidRDefault="004D32C4" w:rsidP="004D32C4">
      <w:pPr>
        <w:pStyle w:val="SingleTxtG"/>
        <w:rPr>
          <w:b/>
        </w:rPr>
      </w:pPr>
      <w:r>
        <w:rPr>
          <w:b/>
        </w:rPr>
        <w:t>« </w:t>
      </w:r>
      <w:r w:rsidRPr="003B5A31">
        <w:rPr>
          <w:b/>
        </w:rPr>
        <w:t>8.1.1.2.2.8</w:t>
      </w:r>
      <w:r w:rsidR="00B16C53">
        <w:rPr>
          <w:b/>
        </w:rPr>
        <w:tab/>
      </w:r>
      <w:r w:rsidRPr="003B5A31">
        <w:rPr>
          <w:b/>
        </w:rPr>
        <w:t>Essais de qualification des soudeurs</w:t>
      </w:r>
    </w:p>
    <w:p w14:paraId="0ADFC302" w14:textId="70FEB24C" w:rsidR="004D32C4" w:rsidRPr="003B5A31" w:rsidRDefault="004D32C4" w:rsidP="003A7438">
      <w:pPr>
        <w:pStyle w:val="SingleTxtG"/>
        <w:ind w:left="1701"/>
      </w:pPr>
      <w:r w:rsidRPr="003B5A31">
        <w:t>a)</w:t>
      </w:r>
      <w:r w:rsidR="003A7438">
        <w:tab/>
      </w:r>
      <w:r w:rsidRPr="003B5A31">
        <w:t>Pour les soudures longitudinales:</w:t>
      </w:r>
    </w:p>
    <w:p w14:paraId="4548E85C" w14:textId="23539BFD" w:rsidR="004D32C4" w:rsidRPr="003B5A31" w:rsidRDefault="004D32C4" w:rsidP="003A7438">
      <w:pPr>
        <w:pStyle w:val="SingleTxtG"/>
        <w:ind w:left="2268"/>
      </w:pPr>
      <w:r w:rsidRPr="003B5A31">
        <w:t>1)</w:t>
      </w:r>
      <w:r w:rsidR="003A7438">
        <w:tab/>
      </w:r>
      <w:r w:rsidRPr="003B5A31">
        <w:t>essai de pliage, base de la soudure;</w:t>
      </w:r>
    </w:p>
    <w:p w14:paraId="1906F9F3" w14:textId="73FF7D0A" w:rsidR="004D32C4" w:rsidRPr="003B5A31" w:rsidRDefault="004D32C4" w:rsidP="003A7438">
      <w:pPr>
        <w:pStyle w:val="SingleTxtG"/>
        <w:ind w:left="2268"/>
      </w:pPr>
      <w:r w:rsidRPr="003B5A31">
        <w:lastRenderedPageBreak/>
        <w:t>2)</w:t>
      </w:r>
      <w:r w:rsidR="003A7438">
        <w:tab/>
      </w:r>
      <w:r w:rsidRPr="003B5A31">
        <w:t>essai de traction des soudures.</w:t>
      </w:r>
    </w:p>
    <w:p w14:paraId="3BAFA1AA" w14:textId="156701F6" w:rsidR="004D32C4" w:rsidRPr="003B5A31" w:rsidRDefault="004D32C4" w:rsidP="003A7438">
      <w:pPr>
        <w:pStyle w:val="SingleTxtG"/>
        <w:ind w:left="1701"/>
      </w:pPr>
      <w:r w:rsidRPr="003B5A31">
        <w:t>b)</w:t>
      </w:r>
      <w:r w:rsidR="003A7438">
        <w:tab/>
      </w:r>
      <w:r w:rsidRPr="003B5A31">
        <w:t>Pour les soudures circulaires:</w:t>
      </w:r>
    </w:p>
    <w:p w14:paraId="5BD9CE0C" w14:textId="05C9F77D" w:rsidR="004D32C4" w:rsidRPr="003B5A31" w:rsidRDefault="004D32C4" w:rsidP="0007107A">
      <w:pPr>
        <w:pStyle w:val="SingleTxtG"/>
        <w:ind w:left="2268"/>
      </w:pPr>
      <w:r w:rsidRPr="003B5A31">
        <w:t>1)</w:t>
      </w:r>
      <w:r w:rsidR="0007107A">
        <w:tab/>
      </w:r>
      <w:r w:rsidRPr="003B5A31">
        <w:t>essai macrographique;</w:t>
      </w:r>
    </w:p>
    <w:p w14:paraId="4DC293A7" w14:textId="1131CBC0" w:rsidR="004D32C4" w:rsidRPr="003B5A31" w:rsidRDefault="004D32C4" w:rsidP="0007107A">
      <w:pPr>
        <w:pStyle w:val="SingleTxtG"/>
        <w:ind w:left="2268"/>
      </w:pPr>
      <w:r w:rsidRPr="003B5A31">
        <w:t>2)</w:t>
      </w:r>
      <w:r w:rsidR="0007107A">
        <w:tab/>
      </w:r>
      <w:r w:rsidRPr="003B5A31">
        <w:t>essai de traction des soudures.</w:t>
      </w:r>
    </w:p>
    <w:p w14:paraId="3CA739B9" w14:textId="637A1303" w:rsidR="004D32C4" w:rsidRPr="003B5A31" w:rsidRDefault="004D32C4" w:rsidP="0007107A">
      <w:pPr>
        <w:pStyle w:val="SingleTxtG"/>
        <w:ind w:left="1701"/>
      </w:pPr>
      <w:r w:rsidRPr="003B5A31">
        <w:t>c)</w:t>
      </w:r>
      <w:r w:rsidR="0007107A">
        <w:tab/>
      </w:r>
      <w:r w:rsidRPr="003B5A31">
        <w:t>Pour les raccords filetés aux extrémités de la bouteille: essais macrographiques, à des</w:t>
      </w:r>
      <w:r>
        <w:t xml:space="preserve"> </w:t>
      </w:r>
      <w:r w:rsidRPr="003B5A31">
        <w:t>intervalles de 180°.</w:t>
      </w:r>
    </w:p>
    <w:p w14:paraId="765E2FB1" w14:textId="5323E0FD" w:rsidR="004D32C4" w:rsidRPr="003B5A31" w:rsidRDefault="004D32C4" w:rsidP="0007107A">
      <w:pPr>
        <w:pStyle w:val="SingleTxtG"/>
        <w:ind w:left="1701"/>
      </w:pPr>
      <w:r w:rsidRPr="003B5A31">
        <w:t>d)</w:t>
      </w:r>
      <w:r w:rsidR="0007107A">
        <w:tab/>
      </w:r>
      <w:r w:rsidRPr="003B5A31">
        <w:t>Pour les fixations, les frettes de pied, les collerettes ou les oreilles soudées: essai macrographique.</w:t>
      </w:r>
    </w:p>
    <w:p w14:paraId="16589011" w14:textId="6CB4E4C7" w:rsidR="004D32C4" w:rsidRPr="003B5A31" w:rsidRDefault="004D32C4" w:rsidP="0007107A">
      <w:pPr>
        <w:pStyle w:val="SingleTxtG"/>
        <w:ind w:left="1701"/>
      </w:pPr>
      <w:r w:rsidRPr="003B5A31">
        <w:t>e)</w:t>
      </w:r>
      <w:r w:rsidR="0007107A">
        <w:tab/>
      </w:r>
      <w:r w:rsidRPr="003B5A31">
        <w:t>Pour les soudures d’angle: essais macrographiques, à des intervalles de 180°.</w:t>
      </w:r>
      <w:r>
        <w:t> »</w:t>
      </w:r>
    </w:p>
    <w:p w14:paraId="105311CF" w14:textId="77777777" w:rsidR="004D32C4" w:rsidRDefault="004D32C4" w:rsidP="008A590C">
      <w:pPr>
        <w:pStyle w:val="SingleTxtG"/>
        <w:rPr>
          <w:lang w:val="fr-FR"/>
        </w:rPr>
      </w:pPr>
      <w:r w:rsidRPr="00E53AB6">
        <w:rPr>
          <w:lang w:val="fr-FR"/>
        </w:rPr>
        <w:t>Les exigences sont sensiblemen</w:t>
      </w:r>
      <w:r>
        <w:rPr>
          <w:lang w:val="fr-FR"/>
        </w:rPr>
        <w:t>t différentes entre la norme EN ISO 11118 et la norme ISO 9606-1</w:t>
      </w:r>
      <w:r w:rsidRPr="00E53AB6">
        <w:rPr>
          <w:lang w:val="fr-FR"/>
        </w:rPr>
        <w:t>.</w:t>
      </w:r>
    </w:p>
    <w:p w14:paraId="5DDEF376" w14:textId="77777777" w:rsidR="004D32C4" w:rsidRDefault="004D32C4" w:rsidP="004D32C4">
      <w:pPr>
        <w:pStyle w:val="SingleTxtG"/>
        <w:jc w:val="left"/>
        <w:rPr>
          <w:lang w:val="fr-FR"/>
        </w:rPr>
      </w:pPr>
      <w:r>
        <w:rPr>
          <w:lang w:val="fr-FR"/>
        </w:rPr>
        <w:t>Extrait de la norme ISO 9606-1</w:t>
      </w:r>
      <w:r w:rsidRPr="00E53AB6">
        <w:rPr>
          <w:lang w:val="fr-FR"/>
        </w:rPr>
        <w:t> :</w:t>
      </w:r>
    </w:p>
    <w:p w14:paraId="4D2ED7B9" w14:textId="77777777" w:rsidR="004D32C4" w:rsidRPr="00214610" w:rsidRDefault="004D32C4" w:rsidP="004D32C4">
      <w:pPr>
        <w:pStyle w:val="SingleTxtG"/>
        <w:jc w:val="center"/>
        <w:rPr>
          <w:b/>
          <w:lang w:val="fr-FR"/>
        </w:rPr>
      </w:pPr>
      <w:r w:rsidRPr="00214610">
        <w:rPr>
          <w:b/>
          <w:lang w:val="fr-FR"/>
        </w:rPr>
        <w:t>Tableau 13 — Méthodes de contrôles et d'essais</w:t>
      </w:r>
    </w:p>
    <w:tbl>
      <w:tblPr>
        <w:tblStyle w:val="TableGrid"/>
        <w:tblW w:w="0" w:type="auto"/>
        <w:tblInd w:w="1134" w:type="dxa"/>
        <w:tblLook w:val="04A0" w:firstRow="1" w:lastRow="0" w:firstColumn="1" w:lastColumn="0" w:noHBand="0" w:noVBand="1"/>
      </w:tblPr>
      <w:tblGrid>
        <w:gridCol w:w="3539"/>
        <w:gridCol w:w="2126"/>
        <w:gridCol w:w="2127"/>
      </w:tblGrid>
      <w:tr w:rsidR="004D32C4" w14:paraId="0777B8F4" w14:textId="77777777" w:rsidTr="0014467F">
        <w:tc>
          <w:tcPr>
            <w:tcW w:w="3539" w:type="dxa"/>
          </w:tcPr>
          <w:p w14:paraId="1916B697" w14:textId="77777777" w:rsidR="004D32C4" w:rsidRPr="00DB608A" w:rsidRDefault="004D32C4" w:rsidP="0014467F">
            <w:pPr>
              <w:pStyle w:val="SingleTxtG"/>
              <w:ind w:left="278" w:right="131"/>
              <w:jc w:val="center"/>
              <w:rPr>
                <w:b/>
                <w:sz w:val="18"/>
                <w:szCs w:val="18"/>
                <w:lang w:val="fr-FR"/>
              </w:rPr>
            </w:pPr>
            <w:r w:rsidRPr="00DB608A">
              <w:rPr>
                <w:b/>
                <w:sz w:val="18"/>
                <w:szCs w:val="18"/>
                <w:lang w:val="fr-FR"/>
              </w:rPr>
              <w:t>Méthode de contrôles et d'essais</w:t>
            </w:r>
          </w:p>
        </w:tc>
        <w:tc>
          <w:tcPr>
            <w:tcW w:w="2126" w:type="dxa"/>
          </w:tcPr>
          <w:p w14:paraId="1767854A" w14:textId="77777777" w:rsidR="004D32C4" w:rsidRPr="00DB608A" w:rsidRDefault="004D32C4" w:rsidP="0014467F">
            <w:pPr>
              <w:pStyle w:val="SingleTxtG"/>
              <w:tabs>
                <w:tab w:val="left" w:pos="1665"/>
              </w:tabs>
              <w:ind w:left="182" w:right="129"/>
              <w:jc w:val="center"/>
              <w:rPr>
                <w:b/>
                <w:sz w:val="18"/>
                <w:szCs w:val="18"/>
                <w:lang w:val="fr-FR"/>
              </w:rPr>
            </w:pPr>
            <w:r w:rsidRPr="00DB608A">
              <w:rPr>
                <w:b/>
                <w:sz w:val="18"/>
                <w:szCs w:val="18"/>
                <w:lang w:val="fr-FR"/>
              </w:rPr>
              <w:t>Soudure bout à bout (de plaques ou de tubes)</w:t>
            </w:r>
          </w:p>
        </w:tc>
        <w:tc>
          <w:tcPr>
            <w:tcW w:w="2127" w:type="dxa"/>
          </w:tcPr>
          <w:p w14:paraId="797137D4" w14:textId="77777777" w:rsidR="004D32C4" w:rsidRPr="00DB608A" w:rsidRDefault="004D32C4" w:rsidP="0014467F">
            <w:pPr>
              <w:pStyle w:val="SingleTxtG"/>
              <w:ind w:left="196" w:right="144"/>
              <w:jc w:val="center"/>
              <w:rPr>
                <w:b/>
                <w:sz w:val="18"/>
                <w:szCs w:val="18"/>
                <w:lang w:val="fr-FR"/>
              </w:rPr>
            </w:pPr>
            <w:r w:rsidRPr="00DB608A">
              <w:rPr>
                <w:b/>
                <w:sz w:val="18"/>
                <w:szCs w:val="18"/>
                <w:lang w:val="fr-FR"/>
              </w:rPr>
              <w:t>Soudure d'angle et piquage</w:t>
            </w:r>
          </w:p>
        </w:tc>
      </w:tr>
      <w:tr w:rsidR="004D32C4" w14:paraId="4E15CA07" w14:textId="77777777" w:rsidTr="0014467F">
        <w:tc>
          <w:tcPr>
            <w:tcW w:w="3539" w:type="dxa"/>
          </w:tcPr>
          <w:p w14:paraId="16FF22B6" w14:textId="77777777" w:rsidR="004D32C4" w:rsidRPr="00DB608A" w:rsidRDefault="004D32C4" w:rsidP="0014467F">
            <w:pPr>
              <w:pStyle w:val="SingleTxtG"/>
              <w:ind w:left="136" w:right="131"/>
              <w:jc w:val="left"/>
              <w:rPr>
                <w:sz w:val="18"/>
                <w:szCs w:val="18"/>
                <w:lang w:val="fr-FR"/>
              </w:rPr>
            </w:pPr>
            <w:r w:rsidRPr="00DB608A">
              <w:rPr>
                <w:sz w:val="18"/>
                <w:szCs w:val="18"/>
                <w:lang w:val="fr-FR"/>
              </w:rPr>
              <w:t>Contrôle visuel selon l'ISO 17637</w:t>
            </w:r>
          </w:p>
        </w:tc>
        <w:tc>
          <w:tcPr>
            <w:tcW w:w="2126" w:type="dxa"/>
          </w:tcPr>
          <w:p w14:paraId="54E37130" w14:textId="77777777" w:rsidR="004D32C4" w:rsidRPr="00DB608A" w:rsidRDefault="004D32C4" w:rsidP="0014467F">
            <w:pPr>
              <w:pStyle w:val="SingleTxtG"/>
              <w:ind w:left="182" w:right="129"/>
              <w:jc w:val="center"/>
              <w:rPr>
                <w:sz w:val="18"/>
                <w:szCs w:val="18"/>
                <w:lang w:val="fr-FR"/>
              </w:rPr>
            </w:pPr>
            <w:r w:rsidRPr="00DB608A">
              <w:rPr>
                <w:sz w:val="18"/>
                <w:szCs w:val="18"/>
                <w:lang w:val="fr-FR"/>
              </w:rPr>
              <w:t>obligatoire</w:t>
            </w:r>
          </w:p>
        </w:tc>
        <w:tc>
          <w:tcPr>
            <w:tcW w:w="2127" w:type="dxa"/>
          </w:tcPr>
          <w:p w14:paraId="347A2CCF" w14:textId="77777777" w:rsidR="004D32C4" w:rsidRPr="00DB608A" w:rsidRDefault="004D32C4" w:rsidP="0014467F">
            <w:pPr>
              <w:pStyle w:val="SingleTxtG"/>
              <w:ind w:left="140" w:right="280"/>
              <w:jc w:val="center"/>
              <w:rPr>
                <w:sz w:val="18"/>
                <w:szCs w:val="18"/>
                <w:lang w:val="fr-FR"/>
              </w:rPr>
            </w:pPr>
            <w:r w:rsidRPr="00DB608A">
              <w:rPr>
                <w:sz w:val="18"/>
                <w:szCs w:val="18"/>
                <w:lang w:val="fr-FR"/>
              </w:rPr>
              <w:t>obligatoire</w:t>
            </w:r>
          </w:p>
        </w:tc>
      </w:tr>
      <w:tr w:rsidR="004D32C4" w14:paraId="20EE2F1A" w14:textId="77777777" w:rsidTr="0014467F">
        <w:tc>
          <w:tcPr>
            <w:tcW w:w="3539" w:type="dxa"/>
          </w:tcPr>
          <w:p w14:paraId="34F45DAA" w14:textId="77777777" w:rsidR="004D32C4" w:rsidRPr="00DB608A" w:rsidRDefault="004D32C4" w:rsidP="0014467F">
            <w:pPr>
              <w:pStyle w:val="SingleTxtG"/>
              <w:ind w:left="136" w:right="131"/>
              <w:jc w:val="left"/>
              <w:rPr>
                <w:sz w:val="18"/>
                <w:szCs w:val="18"/>
                <w:lang w:val="fr-FR"/>
              </w:rPr>
            </w:pPr>
            <w:r w:rsidRPr="00DB608A">
              <w:rPr>
                <w:sz w:val="18"/>
                <w:szCs w:val="18"/>
                <w:lang w:val="fr-FR"/>
              </w:rPr>
              <w:t>Contrôle par radiographie selon l'ISO 17636</w:t>
            </w:r>
          </w:p>
        </w:tc>
        <w:tc>
          <w:tcPr>
            <w:tcW w:w="2126" w:type="dxa"/>
          </w:tcPr>
          <w:p w14:paraId="1DBA048C" w14:textId="77777777" w:rsidR="004D32C4" w:rsidRPr="00DB608A" w:rsidRDefault="004D32C4" w:rsidP="0014467F">
            <w:pPr>
              <w:pStyle w:val="SingleTxtG"/>
              <w:ind w:left="182" w:right="129"/>
              <w:jc w:val="center"/>
              <w:rPr>
                <w:sz w:val="18"/>
                <w:szCs w:val="18"/>
                <w:lang w:val="fr-FR"/>
              </w:rPr>
            </w:pPr>
            <w:r w:rsidRPr="00DB608A">
              <w:rPr>
                <w:sz w:val="18"/>
                <w:szCs w:val="18"/>
                <w:lang w:val="fr-FR"/>
              </w:rPr>
              <w:t>obligatoire</w:t>
            </w:r>
            <w:r>
              <w:rPr>
                <w:sz w:val="18"/>
                <w:szCs w:val="18"/>
                <w:lang w:val="fr-FR"/>
              </w:rPr>
              <w:t xml:space="preserve"> </w:t>
            </w:r>
            <w:r w:rsidRPr="00DB608A">
              <w:rPr>
                <w:sz w:val="18"/>
                <w:szCs w:val="18"/>
                <w:lang w:val="fr-FR"/>
              </w:rPr>
              <w:t>a,b,c</w:t>
            </w:r>
          </w:p>
        </w:tc>
        <w:tc>
          <w:tcPr>
            <w:tcW w:w="2127" w:type="dxa"/>
          </w:tcPr>
          <w:p w14:paraId="044D34C5" w14:textId="77777777" w:rsidR="004D32C4" w:rsidRPr="00DB608A" w:rsidRDefault="004D32C4" w:rsidP="0014467F">
            <w:pPr>
              <w:pStyle w:val="SingleTxtG"/>
              <w:ind w:left="140" w:right="280"/>
              <w:jc w:val="center"/>
              <w:rPr>
                <w:sz w:val="18"/>
                <w:szCs w:val="18"/>
                <w:lang w:val="fr-FR"/>
              </w:rPr>
            </w:pPr>
            <w:r w:rsidRPr="00DB608A">
              <w:rPr>
                <w:sz w:val="18"/>
                <w:szCs w:val="18"/>
                <w:lang w:val="fr-FR"/>
              </w:rPr>
              <w:t>non obligatoire</w:t>
            </w:r>
          </w:p>
        </w:tc>
      </w:tr>
      <w:tr w:rsidR="004D32C4" w14:paraId="3CB9F159" w14:textId="77777777" w:rsidTr="0014467F">
        <w:tc>
          <w:tcPr>
            <w:tcW w:w="3539" w:type="dxa"/>
          </w:tcPr>
          <w:p w14:paraId="6C91C17F" w14:textId="77777777" w:rsidR="004D32C4" w:rsidRPr="00DB608A" w:rsidRDefault="004D32C4" w:rsidP="0014467F">
            <w:pPr>
              <w:pStyle w:val="SingleTxtG"/>
              <w:ind w:left="136" w:right="131"/>
              <w:jc w:val="left"/>
              <w:rPr>
                <w:sz w:val="18"/>
                <w:szCs w:val="18"/>
                <w:lang w:val="fr-FR"/>
              </w:rPr>
            </w:pPr>
            <w:r w:rsidRPr="00DB608A">
              <w:rPr>
                <w:sz w:val="18"/>
                <w:szCs w:val="18"/>
                <w:lang w:val="fr-FR"/>
              </w:rPr>
              <w:t>Essai de pliage selon l'ISO 5173</w:t>
            </w:r>
          </w:p>
        </w:tc>
        <w:tc>
          <w:tcPr>
            <w:tcW w:w="2126" w:type="dxa"/>
          </w:tcPr>
          <w:p w14:paraId="2EB92929" w14:textId="77777777" w:rsidR="004D32C4" w:rsidRPr="00DB608A" w:rsidRDefault="004D32C4" w:rsidP="0014467F">
            <w:pPr>
              <w:pStyle w:val="SingleTxtG"/>
              <w:ind w:left="182" w:right="129"/>
              <w:jc w:val="center"/>
              <w:rPr>
                <w:sz w:val="18"/>
                <w:szCs w:val="18"/>
                <w:lang w:val="fr-FR"/>
              </w:rPr>
            </w:pPr>
            <w:r w:rsidRPr="00DB608A">
              <w:rPr>
                <w:sz w:val="18"/>
                <w:szCs w:val="18"/>
                <w:lang w:val="fr-FR"/>
              </w:rPr>
              <w:t>obligatoire</w:t>
            </w:r>
            <w:r>
              <w:rPr>
                <w:sz w:val="18"/>
                <w:szCs w:val="18"/>
                <w:lang w:val="fr-FR"/>
              </w:rPr>
              <w:t xml:space="preserve"> </w:t>
            </w:r>
            <w:r w:rsidRPr="00DB608A">
              <w:rPr>
                <w:sz w:val="18"/>
                <w:szCs w:val="18"/>
                <w:lang w:val="fr-FR"/>
              </w:rPr>
              <w:t>a,b,d</w:t>
            </w:r>
          </w:p>
        </w:tc>
        <w:tc>
          <w:tcPr>
            <w:tcW w:w="2127" w:type="dxa"/>
          </w:tcPr>
          <w:p w14:paraId="106CE5D6" w14:textId="77777777" w:rsidR="004D32C4" w:rsidRPr="00DB608A" w:rsidRDefault="004D32C4" w:rsidP="0014467F">
            <w:pPr>
              <w:pStyle w:val="SingleTxtG"/>
              <w:ind w:left="140" w:right="280"/>
              <w:jc w:val="center"/>
              <w:rPr>
                <w:sz w:val="18"/>
                <w:szCs w:val="18"/>
                <w:lang w:val="fr-FR"/>
              </w:rPr>
            </w:pPr>
            <w:r w:rsidRPr="00DB608A">
              <w:rPr>
                <w:sz w:val="18"/>
                <w:szCs w:val="18"/>
                <w:lang w:val="fr-FR"/>
              </w:rPr>
              <w:t>non applicable</w:t>
            </w:r>
          </w:p>
        </w:tc>
      </w:tr>
      <w:tr w:rsidR="004D32C4" w14:paraId="7A602B6E" w14:textId="77777777" w:rsidTr="0014467F">
        <w:tc>
          <w:tcPr>
            <w:tcW w:w="3539" w:type="dxa"/>
          </w:tcPr>
          <w:p w14:paraId="446CBC6C" w14:textId="77777777" w:rsidR="004D32C4" w:rsidRPr="00DB608A" w:rsidRDefault="004D32C4" w:rsidP="0014467F">
            <w:pPr>
              <w:pStyle w:val="SingleTxtG"/>
              <w:ind w:left="136" w:right="131"/>
              <w:jc w:val="left"/>
              <w:rPr>
                <w:sz w:val="18"/>
                <w:szCs w:val="18"/>
                <w:lang w:val="fr-FR"/>
              </w:rPr>
            </w:pPr>
            <w:r w:rsidRPr="00DB608A">
              <w:rPr>
                <w:sz w:val="18"/>
                <w:szCs w:val="18"/>
                <w:lang w:val="fr-FR"/>
              </w:rPr>
              <w:t>Essai de texture selon l'ISO 9017</w:t>
            </w:r>
          </w:p>
        </w:tc>
        <w:tc>
          <w:tcPr>
            <w:tcW w:w="2126" w:type="dxa"/>
          </w:tcPr>
          <w:p w14:paraId="1A8553F4" w14:textId="77777777" w:rsidR="004D32C4" w:rsidRPr="00DB608A" w:rsidRDefault="004D32C4" w:rsidP="0014467F">
            <w:pPr>
              <w:pStyle w:val="SingleTxtG"/>
              <w:ind w:left="182" w:right="129"/>
              <w:jc w:val="center"/>
              <w:rPr>
                <w:sz w:val="18"/>
                <w:szCs w:val="18"/>
                <w:lang w:val="fr-FR"/>
              </w:rPr>
            </w:pPr>
            <w:r w:rsidRPr="00DB608A">
              <w:rPr>
                <w:sz w:val="18"/>
                <w:szCs w:val="18"/>
                <w:lang w:val="fr-FR"/>
              </w:rPr>
              <w:t>obligatoire</w:t>
            </w:r>
            <w:r>
              <w:rPr>
                <w:sz w:val="18"/>
                <w:szCs w:val="18"/>
                <w:lang w:val="fr-FR"/>
              </w:rPr>
              <w:t xml:space="preserve"> </w:t>
            </w:r>
            <w:r w:rsidRPr="00DB608A">
              <w:rPr>
                <w:sz w:val="18"/>
                <w:szCs w:val="18"/>
                <w:lang w:val="fr-FR"/>
              </w:rPr>
              <w:t>a,b,d</w:t>
            </w:r>
          </w:p>
        </w:tc>
        <w:tc>
          <w:tcPr>
            <w:tcW w:w="2127" w:type="dxa"/>
          </w:tcPr>
          <w:p w14:paraId="07F26D85" w14:textId="77777777" w:rsidR="004D32C4" w:rsidRPr="00DB608A" w:rsidRDefault="004D32C4" w:rsidP="0014467F">
            <w:pPr>
              <w:pStyle w:val="SingleTxtG"/>
              <w:ind w:left="140" w:right="280"/>
              <w:jc w:val="center"/>
              <w:rPr>
                <w:sz w:val="18"/>
                <w:szCs w:val="18"/>
                <w:lang w:val="fr-FR"/>
              </w:rPr>
            </w:pPr>
            <w:r w:rsidRPr="00DB608A">
              <w:rPr>
                <w:sz w:val="18"/>
                <w:szCs w:val="18"/>
                <w:lang w:val="fr-FR"/>
              </w:rPr>
              <w:t>obligatoire e,f</w:t>
            </w:r>
          </w:p>
        </w:tc>
      </w:tr>
      <w:tr w:rsidR="004D32C4" w14:paraId="2B526EBB" w14:textId="77777777" w:rsidTr="0014467F">
        <w:tc>
          <w:tcPr>
            <w:tcW w:w="7792" w:type="dxa"/>
            <w:gridSpan w:val="3"/>
          </w:tcPr>
          <w:p w14:paraId="566F09EE" w14:textId="430668FF" w:rsidR="004D32C4" w:rsidRPr="00DB608A" w:rsidRDefault="004D32C4" w:rsidP="0014467F">
            <w:pPr>
              <w:pStyle w:val="SingleTxtG"/>
              <w:ind w:left="136" w:right="230"/>
              <w:jc w:val="left"/>
              <w:rPr>
                <w:sz w:val="18"/>
                <w:szCs w:val="18"/>
                <w:lang w:val="fr-FR"/>
              </w:rPr>
            </w:pPr>
            <w:r w:rsidRPr="00DB608A">
              <w:rPr>
                <w:sz w:val="18"/>
                <w:szCs w:val="18"/>
                <w:lang w:val="fr-FR"/>
              </w:rPr>
              <w:t>a</w:t>
            </w:r>
            <w:r w:rsidR="00784FA5">
              <w:rPr>
                <w:sz w:val="18"/>
                <w:szCs w:val="18"/>
                <w:lang w:val="fr-FR"/>
              </w:rPr>
              <w:t>)</w:t>
            </w:r>
            <w:r w:rsidR="00280606">
              <w:rPr>
                <w:sz w:val="18"/>
                <w:szCs w:val="18"/>
                <w:lang w:val="fr-FR"/>
              </w:rPr>
              <w:tab/>
            </w:r>
            <w:r w:rsidRPr="00DB608A">
              <w:rPr>
                <w:sz w:val="18"/>
                <w:szCs w:val="18"/>
                <w:lang w:val="fr-FR"/>
              </w:rPr>
              <w:t>Soit un contrôle par radiographie, soit un essai de pliage ou un essai de texture doit être réalisé.</w:t>
            </w:r>
          </w:p>
          <w:p w14:paraId="7CDCC9BF" w14:textId="67F6C9F0" w:rsidR="004D32C4" w:rsidRPr="00DB608A" w:rsidRDefault="00280606" w:rsidP="0014467F">
            <w:pPr>
              <w:pStyle w:val="SingleTxtG"/>
              <w:ind w:left="136" w:right="230"/>
              <w:jc w:val="left"/>
              <w:rPr>
                <w:sz w:val="18"/>
                <w:szCs w:val="18"/>
                <w:lang w:val="fr-FR"/>
              </w:rPr>
            </w:pPr>
            <w:r>
              <w:rPr>
                <w:sz w:val="18"/>
                <w:szCs w:val="18"/>
                <w:lang w:val="fr-FR"/>
              </w:rPr>
              <w:t>b</w:t>
            </w:r>
            <w:r w:rsidR="00784FA5">
              <w:rPr>
                <w:sz w:val="18"/>
                <w:szCs w:val="18"/>
                <w:lang w:val="fr-FR"/>
              </w:rPr>
              <w:t>)</w:t>
            </w:r>
            <w:r>
              <w:rPr>
                <w:sz w:val="18"/>
                <w:szCs w:val="18"/>
                <w:lang w:val="fr-FR"/>
              </w:rPr>
              <w:tab/>
            </w:r>
            <w:r w:rsidR="004D32C4" w:rsidRPr="00DB608A">
              <w:rPr>
                <w:sz w:val="18"/>
                <w:szCs w:val="18"/>
                <w:lang w:val="fr-FR"/>
              </w:rPr>
              <w:t>Si le contrôle par radiographie est effectué, l'essai de pliage ou l'essai de texture supplémentaire est obligatoire pour les procédés de soudage 131, 135, 138 et 311.</w:t>
            </w:r>
          </w:p>
          <w:p w14:paraId="3D349FDE" w14:textId="633BD4C5" w:rsidR="004D32C4" w:rsidRPr="00DB608A" w:rsidRDefault="00506C2B" w:rsidP="0014467F">
            <w:pPr>
              <w:pStyle w:val="SingleTxtG"/>
              <w:ind w:left="136" w:right="230"/>
              <w:jc w:val="left"/>
              <w:rPr>
                <w:sz w:val="18"/>
                <w:szCs w:val="18"/>
                <w:lang w:val="fr-FR"/>
              </w:rPr>
            </w:pPr>
            <w:r>
              <w:rPr>
                <w:sz w:val="18"/>
                <w:szCs w:val="18"/>
                <w:lang w:val="fr-FR"/>
              </w:rPr>
              <w:t>c)</w:t>
            </w:r>
            <w:r>
              <w:rPr>
                <w:sz w:val="18"/>
                <w:szCs w:val="18"/>
                <w:lang w:val="fr-FR"/>
              </w:rPr>
              <w:tab/>
            </w:r>
            <w:r w:rsidR="004D32C4" w:rsidRPr="00DB608A">
              <w:rPr>
                <w:sz w:val="18"/>
                <w:szCs w:val="18"/>
                <w:lang w:val="fr-FR"/>
              </w:rPr>
              <w:t>Le contrôle par radiographie peut être remplacé par un contrôle par ultrasons effectué conformément à l'ISO 17640</w:t>
            </w:r>
            <w:r w:rsidR="004D32C4" w:rsidRPr="00280606">
              <w:rPr>
                <w:sz w:val="18"/>
                <w:szCs w:val="18"/>
                <w:lang w:val="fr-FR"/>
              </w:rPr>
              <w:t>[19]</w:t>
            </w:r>
            <w:r w:rsidR="004D32C4" w:rsidRPr="00DB608A">
              <w:rPr>
                <w:sz w:val="18"/>
                <w:szCs w:val="18"/>
                <w:lang w:val="fr-FR"/>
              </w:rPr>
              <w:t xml:space="preserve"> pour une épaisseur ≥ 8 mm sur les aciers ferritiques seulement. Dans ce cas, les essais supplémentaires mentionnés dans la note de bas de tableau b ne sont pas requis.</w:t>
            </w:r>
          </w:p>
          <w:p w14:paraId="26E5EEAD" w14:textId="206E1EEC" w:rsidR="004D32C4" w:rsidRPr="00DB608A" w:rsidRDefault="00506C2B" w:rsidP="0014467F">
            <w:pPr>
              <w:pStyle w:val="SingleTxtG"/>
              <w:ind w:left="136" w:right="230"/>
              <w:jc w:val="left"/>
              <w:rPr>
                <w:sz w:val="18"/>
                <w:szCs w:val="18"/>
                <w:lang w:val="fr-FR"/>
              </w:rPr>
            </w:pPr>
            <w:r>
              <w:rPr>
                <w:sz w:val="18"/>
                <w:szCs w:val="18"/>
                <w:lang w:val="fr-FR"/>
              </w:rPr>
              <w:t>d)</w:t>
            </w:r>
            <w:r>
              <w:rPr>
                <w:sz w:val="18"/>
                <w:szCs w:val="18"/>
                <w:lang w:val="fr-FR"/>
              </w:rPr>
              <w:tab/>
            </w:r>
            <w:r w:rsidR="004D32C4" w:rsidRPr="00DB608A">
              <w:rPr>
                <w:sz w:val="18"/>
                <w:szCs w:val="18"/>
                <w:lang w:val="fr-FR"/>
              </w:rPr>
              <w:t xml:space="preserve">Pour un tube de diamètre extérieur D </w:t>
            </w:r>
            <w:r w:rsidR="004D32C4">
              <w:rPr>
                <w:sz w:val="18"/>
                <w:szCs w:val="18"/>
                <w:lang w:val="fr-FR"/>
              </w:rPr>
              <w:t>≤</w:t>
            </w:r>
            <w:r w:rsidR="004D32C4" w:rsidRPr="00DB608A">
              <w:rPr>
                <w:sz w:val="18"/>
                <w:szCs w:val="18"/>
                <w:lang w:val="fr-FR"/>
              </w:rPr>
              <w:t xml:space="preserve"> 25 mm, les essais de pliage ou de texture peuvent être remplacés par un essai de traction avec entaille sur la totalité de l'assemblage de qualification (un exemple est donné dans la Figure 9).</w:t>
            </w:r>
          </w:p>
          <w:p w14:paraId="5E023352" w14:textId="78A31609" w:rsidR="004D32C4" w:rsidRPr="00DB608A" w:rsidRDefault="00506C2B" w:rsidP="0014467F">
            <w:pPr>
              <w:pStyle w:val="SingleTxtG"/>
              <w:ind w:left="136" w:right="230"/>
              <w:jc w:val="left"/>
              <w:rPr>
                <w:sz w:val="18"/>
                <w:szCs w:val="18"/>
                <w:lang w:val="fr-FR"/>
              </w:rPr>
            </w:pPr>
            <w:r>
              <w:rPr>
                <w:sz w:val="18"/>
                <w:szCs w:val="18"/>
                <w:lang w:val="fr-FR"/>
              </w:rPr>
              <w:t>e</w:t>
            </w:r>
            <w:r w:rsidR="0055227E">
              <w:rPr>
                <w:sz w:val="18"/>
                <w:szCs w:val="18"/>
                <w:lang w:val="fr-FR"/>
              </w:rPr>
              <w:t>)</w:t>
            </w:r>
            <w:r>
              <w:rPr>
                <w:sz w:val="18"/>
                <w:szCs w:val="18"/>
                <w:lang w:val="fr-FR"/>
              </w:rPr>
              <w:tab/>
            </w:r>
            <w:r w:rsidR="004D32C4" w:rsidRPr="00DB608A">
              <w:rPr>
                <w:sz w:val="18"/>
                <w:szCs w:val="18"/>
                <w:lang w:val="fr-FR"/>
              </w:rPr>
              <w:t>L'essai de texture peut être remplacé par un examen macroscopique effectué conformément à l'ISO 17639</w:t>
            </w:r>
            <w:r w:rsidR="004D32C4" w:rsidRPr="00280606">
              <w:rPr>
                <w:sz w:val="18"/>
                <w:szCs w:val="18"/>
                <w:lang w:val="fr-FR"/>
              </w:rPr>
              <w:t>[18]</w:t>
            </w:r>
            <w:r w:rsidR="004D32C4" w:rsidRPr="00DB608A">
              <w:rPr>
                <w:sz w:val="18"/>
                <w:szCs w:val="18"/>
                <w:lang w:val="fr-FR"/>
              </w:rPr>
              <w:t>, d'au moins deux coupes, dont au moins une doit être prélevée dans la zone d'arrêt et de reprise.</w:t>
            </w:r>
          </w:p>
          <w:p w14:paraId="1577ADC7" w14:textId="54D252EF" w:rsidR="004D32C4" w:rsidRPr="00DB608A" w:rsidRDefault="0055227E" w:rsidP="0014467F">
            <w:pPr>
              <w:pStyle w:val="SingleTxtG"/>
              <w:ind w:left="136" w:right="230"/>
              <w:jc w:val="left"/>
              <w:rPr>
                <w:sz w:val="18"/>
                <w:szCs w:val="18"/>
                <w:lang w:val="fr-FR"/>
              </w:rPr>
            </w:pPr>
            <w:r>
              <w:rPr>
                <w:sz w:val="18"/>
                <w:szCs w:val="18"/>
                <w:lang w:val="fr-FR"/>
              </w:rPr>
              <w:t>f)</w:t>
            </w:r>
            <w:r>
              <w:rPr>
                <w:sz w:val="18"/>
                <w:szCs w:val="18"/>
                <w:lang w:val="fr-FR"/>
              </w:rPr>
              <w:tab/>
            </w:r>
            <w:r w:rsidR="004D32C4" w:rsidRPr="00DB608A">
              <w:rPr>
                <w:sz w:val="18"/>
                <w:szCs w:val="18"/>
                <w:lang w:val="fr-FR"/>
              </w:rPr>
              <w:t>L'essai de texture sur tubes peut être remplacé par un contrôle par radiographie.</w:t>
            </w:r>
          </w:p>
        </w:tc>
      </w:tr>
    </w:tbl>
    <w:p w14:paraId="146EC1B2" w14:textId="77777777" w:rsidR="004D32C4" w:rsidRDefault="004D32C4" w:rsidP="004D32C4">
      <w:pPr>
        <w:pStyle w:val="SingleTxtG"/>
        <w:jc w:val="left"/>
        <w:rPr>
          <w:lang w:val="fr-FR"/>
        </w:rPr>
      </w:pPr>
    </w:p>
    <w:p w14:paraId="78098142" w14:textId="77777777" w:rsidR="004D32C4" w:rsidRDefault="004D32C4" w:rsidP="004D32C4">
      <w:pPr>
        <w:pStyle w:val="SingleTxtG"/>
        <w:rPr>
          <w:lang w:val="fr-FR"/>
        </w:rPr>
      </w:pPr>
      <w:r w:rsidRPr="00E53AB6">
        <w:rPr>
          <w:lang w:val="fr-FR"/>
        </w:rPr>
        <w:t>Des ambiguïtés existent entre l’applicati</w:t>
      </w:r>
      <w:r>
        <w:rPr>
          <w:lang w:val="fr-FR"/>
        </w:rPr>
        <w:t>on de la norme EN ISO 11118</w:t>
      </w:r>
      <w:r w:rsidRPr="00E53AB6">
        <w:rPr>
          <w:lang w:val="fr-FR"/>
        </w:rPr>
        <w:t xml:space="preserve"> ou la norme </w:t>
      </w:r>
      <w:r>
        <w:rPr>
          <w:lang w:val="fr-FR"/>
        </w:rPr>
        <w:t>ISO 15614-1 /</w:t>
      </w:r>
      <w:r w:rsidRPr="00E53AB6">
        <w:rPr>
          <w:lang w:val="fr-FR"/>
        </w:rPr>
        <w:t xml:space="preserve"> ISO 9606-1 :</w:t>
      </w:r>
    </w:p>
    <w:p w14:paraId="1FB0B8A4" w14:textId="77777777" w:rsidR="004D32C4" w:rsidRPr="00E53AB6" w:rsidRDefault="004D32C4" w:rsidP="004D32C4">
      <w:pPr>
        <w:pStyle w:val="SingleTxtG"/>
        <w:rPr>
          <w:lang w:val="fr-FR"/>
        </w:rPr>
      </w:pPr>
      <w:r w:rsidRPr="00E53AB6">
        <w:rPr>
          <w:lang w:val="fr-FR"/>
        </w:rPr>
        <w:t xml:space="preserve">La norme EN </w:t>
      </w:r>
      <w:r>
        <w:rPr>
          <w:lang w:val="fr-FR"/>
        </w:rPr>
        <w:t>ISO 11118</w:t>
      </w:r>
      <w:r w:rsidRPr="00E53AB6">
        <w:rPr>
          <w:lang w:val="fr-FR"/>
        </w:rPr>
        <w:t xml:space="preserve"> précise que :</w:t>
      </w:r>
    </w:p>
    <w:p w14:paraId="59A82233" w14:textId="77777777" w:rsidR="004D32C4" w:rsidRPr="00E53AB6" w:rsidRDefault="004D32C4" w:rsidP="004D32C4">
      <w:pPr>
        <w:pStyle w:val="SingleTxtG"/>
        <w:rPr>
          <w:lang w:val="fr-FR"/>
        </w:rPr>
      </w:pPr>
      <w:r w:rsidRPr="00E53AB6">
        <w:rPr>
          <w:lang w:val="fr-FR"/>
        </w:rPr>
        <w:t>« Les procédés de soudage et les qualifications des opérateurs doivent inclure, a minima, des soudures représentatives de celles effectuées en production et tenir compte des différents mat</w:t>
      </w:r>
      <w:r>
        <w:rPr>
          <w:lang w:val="fr-FR"/>
        </w:rPr>
        <w:t>ériaux et procédés utilisés. (</w:t>
      </w:r>
      <w:r w:rsidRPr="00E53AB6">
        <w:rPr>
          <w:lang w:val="fr-FR"/>
        </w:rPr>
        <w:t>8.1.1.2.1). […] Les opérateurs et procédés de soudage doivent avoir réussi les essais d’agrément pour les types particuliers de travail et les spécifications du mode opératoire concernées (8.1.1.2.2.1 d). »</w:t>
      </w:r>
    </w:p>
    <w:p w14:paraId="2234E854" w14:textId="77777777" w:rsidR="004D32C4" w:rsidRDefault="004D32C4" w:rsidP="004D32C4">
      <w:pPr>
        <w:pStyle w:val="SingleTxtG"/>
        <w:rPr>
          <w:lang w:val="fr-FR"/>
        </w:rPr>
      </w:pPr>
      <w:r>
        <w:rPr>
          <w:lang w:val="fr-FR"/>
        </w:rPr>
        <w:t>Cependant les normes ISO 15614-1 et</w:t>
      </w:r>
      <w:r w:rsidRPr="00E53AB6">
        <w:rPr>
          <w:lang w:val="fr-FR"/>
        </w:rPr>
        <w:t xml:space="preserve"> ISO 9606-1 ne sont pas aussi précises pour les qualifications des modes opératoires de soudage ou les qualifications des soudeurs.</w:t>
      </w:r>
    </w:p>
    <w:p w14:paraId="62C1A446" w14:textId="77777777" w:rsidR="004D32C4" w:rsidRPr="00E53AB6" w:rsidRDefault="004D32C4" w:rsidP="004D32C4">
      <w:pPr>
        <w:pStyle w:val="SingleTxtG"/>
        <w:rPr>
          <w:lang w:val="fr-FR"/>
        </w:rPr>
      </w:pPr>
      <w:r w:rsidRPr="00E53AB6">
        <w:rPr>
          <w:lang w:val="fr-FR"/>
        </w:rPr>
        <w:t>Les assemblages de qualification peuvent qualifier différents types de soudures en production, de par le domaine de validité de ces normes.</w:t>
      </w:r>
    </w:p>
    <w:p w14:paraId="39C7EF64" w14:textId="77777777" w:rsidR="004D32C4" w:rsidRPr="00E53AB6" w:rsidRDefault="004D32C4" w:rsidP="004D32C4">
      <w:pPr>
        <w:pStyle w:val="SingleTxtG"/>
        <w:rPr>
          <w:lang w:val="fr-FR"/>
        </w:rPr>
      </w:pPr>
      <w:r>
        <w:rPr>
          <w:lang w:val="fr-FR"/>
        </w:rPr>
        <w:lastRenderedPageBreak/>
        <w:t>L</w:t>
      </w:r>
      <w:r w:rsidRPr="00E53AB6">
        <w:rPr>
          <w:lang w:val="fr-FR"/>
        </w:rPr>
        <w:t>es exi</w:t>
      </w:r>
      <w:r>
        <w:rPr>
          <w:lang w:val="fr-FR"/>
        </w:rPr>
        <w:t>gences de la norme EN ISO 11118</w:t>
      </w:r>
      <w:r w:rsidRPr="00E53AB6">
        <w:rPr>
          <w:lang w:val="fr-FR"/>
        </w:rPr>
        <w:t xml:space="preserve"> </w:t>
      </w:r>
      <w:r>
        <w:rPr>
          <w:lang w:val="fr-FR"/>
        </w:rPr>
        <w:t>devrai</w:t>
      </w:r>
      <w:r w:rsidRPr="00E53AB6">
        <w:rPr>
          <w:lang w:val="fr-FR"/>
        </w:rPr>
        <w:t xml:space="preserve">ent être complémentaires à </w:t>
      </w:r>
      <w:r>
        <w:rPr>
          <w:lang w:val="fr-FR"/>
        </w:rPr>
        <w:t xml:space="preserve">celles fixées par les normes ISO 9606-1, ISO 15613 et </w:t>
      </w:r>
      <w:r w:rsidRPr="00E53AB6">
        <w:rPr>
          <w:lang w:val="fr-FR"/>
        </w:rPr>
        <w:t>ISO 15614-1.</w:t>
      </w:r>
    </w:p>
    <w:p w14:paraId="4637A0A0" w14:textId="77777777" w:rsidR="004D32C4" w:rsidRDefault="004D32C4" w:rsidP="004D32C4">
      <w:pPr>
        <w:pStyle w:val="HChG"/>
        <w:spacing w:before="240"/>
        <w:ind w:right="851"/>
        <w:rPr>
          <w:lang w:val="fr-FR"/>
        </w:rPr>
      </w:pPr>
      <w:r>
        <w:rPr>
          <w:lang w:val="fr-FR"/>
        </w:rPr>
        <w:tab/>
      </w:r>
      <w:r>
        <w:rPr>
          <w:lang w:val="fr-FR"/>
        </w:rPr>
        <w:tab/>
      </w:r>
      <w:r w:rsidRPr="00F66173">
        <w:rPr>
          <w:lang w:val="fr-FR"/>
        </w:rPr>
        <w:t>Mesures d’épaisseurs</w:t>
      </w:r>
    </w:p>
    <w:p w14:paraId="5F19F709" w14:textId="77777777" w:rsidR="004D32C4" w:rsidRPr="00F66173" w:rsidRDefault="004D32C4" w:rsidP="004D32C4">
      <w:pPr>
        <w:pStyle w:val="SingleTxtG"/>
        <w:rPr>
          <w:lang w:val="fr-FR"/>
        </w:rPr>
      </w:pPr>
      <w:r>
        <w:rPr>
          <w:lang w:val="fr-FR"/>
        </w:rPr>
        <w:tab/>
        <w:t>7.</w:t>
      </w:r>
      <w:r>
        <w:rPr>
          <w:lang w:val="fr-FR"/>
        </w:rPr>
        <w:tab/>
        <w:t>La norme EN ISO 11118</w:t>
      </w:r>
      <w:r w:rsidRPr="00F66173">
        <w:rPr>
          <w:lang w:val="fr-FR"/>
        </w:rPr>
        <w:t xml:space="preserve"> n’exige pas de vérifier l’épaisseur minimale durant la fabrication en série des bouteilles.</w:t>
      </w:r>
    </w:p>
    <w:p w14:paraId="0226F71B" w14:textId="77777777" w:rsidR="004D32C4" w:rsidRDefault="004D32C4" w:rsidP="004D32C4">
      <w:pPr>
        <w:pStyle w:val="SingleTxtG"/>
        <w:rPr>
          <w:lang w:val="fr-FR"/>
        </w:rPr>
      </w:pPr>
      <w:r>
        <w:rPr>
          <w:lang w:val="fr-FR"/>
        </w:rPr>
        <w:t xml:space="preserve">Cependant, le </w:t>
      </w:r>
      <w:r w:rsidRPr="00F66173">
        <w:rPr>
          <w:lang w:val="fr-FR"/>
        </w:rPr>
        <w:t xml:space="preserve">6.2.1.5.1 b) </w:t>
      </w:r>
      <w:r>
        <w:rPr>
          <w:lang w:val="fr-FR"/>
        </w:rPr>
        <w:t>du RID/</w:t>
      </w:r>
      <w:r w:rsidRPr="00F66173">
        <w:rPr>
          <w:lang w:val="fr-FR"/>
        </w:rPr>
        <w:t>ADR exige de vérifier l’épaisseur minimale de celles-ci sur un échantillonnage pertinent de récipients à pression (lot test) lors des contrôles et essais initiaux.</w:t>
      </w:r>
    </w:p>
    <w:p w14:paraId="2BE26A53" w14:textId="77777777" w:rsidR="004D32C4" w:rsidRDefault="004D32C4" w:rsidP="004D32C4">
      <w:pPr>
        <w:ind w:left="1134" w:right="1133"/>
        <w:jc w:val="both"/>
        <w:rPr>
          <w:lang w:val="fr-FR"/>
        </w:rPr>
      </w:pPr>
      <w:r w:rsidRPr="00F66173">
        <w:rPr>
          <w:lang w:val="fr-FR"/>
        </w:rPr>
        <w:t xml:space="preserve">L’application de la norme présume </w:t>
      </w:r>
      <w:r>
        <w:rPr>
          <w:lang w:val="fr-FR"/>
        </w:rPr>
        <w:t xml:space="preserve">la </w:t>
      </w:r>
      <w:r w:rsidRPr="00F66173">
        <w:rPr>
          <w:lang w:val="fr-FR"/>
        </w:rPr>
        <w:t>conformité aux</w:t>
      </w:r>
      <w:r>
        <w:rPr>
          <w:lang w:val="fr-FR"/>
        </w:rPr>
        <w:t xml:space="preserve"> </w:t>
      </w:r>
      <w:r w:rsidRPr="00F66173">
        <w:rPr>
          <w:lang w:val="fr-FR"/>
        </w:rPr>
        <w:t>exigences des 6.2.3.1, 6.2.3.3 et 6.2.3.4 d</w:t>
      </w:r>
      <w:r>
        <w:rPr>
          <w:lang w:val="fr-FR"/>
        </w:rPr>
        <w:t>u RID/</w:t>
      </w:r>
      <w:r w:rsidRPr="00F66173">
        <w:rPr>
          <w:lang w:val="fr-FR"/>
        </w:rPr>
        <w:t>ADR.</w:t>
      </w:r>
    </w:p>
    <w:p w14:paraId="2815CFBE" w14:textId="77777777" w:rsidR="004D32C4" w:rsidRDefault="004D32C4" w:rsidP="004D32C4">
      <w:pPr>
        <w:ind w:left="1134" w:right="1133"/>
        <w:jc w:val="both"/>
        <w:rPr>
          <w:lang w:val="fr-FR"/>
        </w:rPr>
      </w:pPr>
    </w:p>
    <w:tbl>
      <w:tblPr>
        <w:tblW w:w="8079"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559"/>
        <w:gridCol w:w="2410"/>
        <w:gridCol w:w="1275"/>
        <w:gridCol w:w="1418"/>
        <w:gridCol w:w="1417"/>
      </w:tblGrid>
      <w:tr w:rsidR="004D32C4" w:rsidRPr="006D1DF9" w14:paraId="0B58180E" w14:textId="77777777" w:rsidTr="0014467F">
        <w:trPr>
          <w:cantSplit/>
          <w:tblHeader/>
        </w:trPr>
        <w:tc>
          <w:tcPr>
            <w:tcW w:w="1559" w:type="dxa"/>
            <w:vAlign w:val="center"/>
          </w:tcPr>
          <w:p w14:paraId="67CF717B" w14:textId="77777777" w:rsidR="004D32C4" w:rsidRPr="00BD15A4" w:rsidRDefault="004D32C4" w:rsidP="0014467F">
            <w:pPr>
              <w:keepNext/>
              <w:spacing w:before="20" w:after="20"/>
              <w:jc w:val="center"/>
              <w:rPr>
                <w:sz w:val="18"/>
                <w:szCs w:val="18"/>
                <w:lang w:eastAsia="fr-FR"/>
              </w:rPr>
            </w:pPr>
            <w:r w:rsidRPr="00BD15A4">
              <w:rPr>
                <w:sz w:val="18"/>
                <w:szCs w:val="18"/>
                <w:lang w:eastAsia="fr-FR"/>
              </w:rPr>
              <w:t>Référence</w:t>
            </w:r>
          </w:p>
        </w:tc>
        <w:tc>
          <w:tcPr>
            <w:tcW w:w="2410" w:type="dxa"/>
            <w:vAlign w:val="center"/>
          </w:tcPr>
          <w:p w14:paraId="1C416423" w14:textId="77777777" w:rsidR="004D32C4" w:rsidRPr="00BD15A4" w:rsidRDefault="004D32C4" w:rsidP="0014467F">
            <w:pPr>
              <w:spacing w:before="20" w:after="20"/>
              <w:jc w:val="center"/>
              <w:rPr>
                <w:sz w:val="18"/>
                <w:szCs w:val="18"/>
                <w:lang w:eastAsia="fr-FR"/>
              </w:rPr>
            </w:pPr>
            <w:r w:rsidRPr="00BD15A4">
              <w:rPr>
                <w:sz w:val="18"/>
                <w:szCs w:val="18"/>
                <w:lang w:eastAsia="fr-FR"/>
              </w:rPr>
              <w:t>Titre du document</w:t>
            </w:r>
          </w:p>
        </w:tc>
        <w:tc>
          <w:tcPr>
            <w:tcW w:w="1275" w:type="dxa"/>
            <w:vAlign w:val="center"/>
          </w:tcPr>
          <w:p w14:paraId="13AB4E23" w14:textId="77777777" w:rsidR="004D32C4" w:rsidRPr="00BD15A4" w:rsidRDefault="004D32C4" w:rsidP="0014467F">
            <w:pPr>
              <w:tabs>
                <w:tab w:val="left" w:pos="1418"/>
              </w:tabs>
              <w:spacing w:before="20" w:after="20"/>
              <w:jc w:val="center"/>
              <w:rPr>
                <w:sz w:val="18"/>
                <w:szCs w:val="18"/>
                <w:lang w:eastAsia="fr-FR"/>
              </w:rPr>
            </w:pPr>
            <w:r w:rsidRPr="00BD15A4">
              <w:rPr>
                <w:sz w:val="18"/>
                <w:szCs w:val="18"/>
                <w:lang w:eastAsia="fr-FR"/>
              </w:rPr>
              <w:t>Sous-sections et paragraphes applicables</w:t>
            </w:r>
          </w:p>
        </w:tc>
        <w:tc>
          <w:tcPr>
            <w:tcW w:w="1418" w:type="dxa"/>
            <w:vAlign w:val="center"/>
          </w:tcPr>
          <w:p w14:paraId="2DE149C4" w14:textId="77777777" w:rsidR="004D32C4" w:rsidRPr="00BD15A4" w:rsidRDefault="004D32C4" w:rsidP="0014467F">
            <w:pPr>
              <w:spacing w:before="20" w:after="20"/>
              <w:jc w:val="center"/>
              <w:rPr>
                <w:sz w:val="18"/>
                <w:szCs w:val="18"/>
                <w:lang w:eastAsia="fr-FR"/>
              </w:rPr>
            </w:pPr>
            <w:r w:rsidRPr="00BD15A4">
              <w:rPr>
                <w:sz w:val="18"/>
                <w:szCs w:val="18"/>
                <w:lang w:eastAsia="fr-FR"/>
              </w:rPr>
              <w:t>Applicable pour les nouveaux agréments de type ou pour les renouvellements</w:t>
            </w:r>
          </w:p>
        </w:tc>
        <w:tc>
          <w:tcPr>
            <w:tcW w:w="1417" w:type="dxa"/>
            <w:vAlign w:val="center"/>
          </w:tcPr>
          <w:p w14:paraId="36D7AEC2" w14:textId="77777777" w:rsidR="004D32C4" w:rsidRPr="00BD15A4" w:rsidRDefault="004D32C4" w:rsidP="0014467F">
            <w:pPr>
              <w:tabs>
                <w:tab w:val="left" w:pos="1418"/>
              </w:tabs>
              <w:spacing w:before="20" w:after="20"/>
              <w:jc w:val="center"/>
              <w:rPr>
                <w:sz w:val="18"/>
                <w:szCs w:val="18"/>
                <w:lang w:eastAsia="fr-FR"/>
              </w:rPr>
            </w:pPr>
            <w:r w:rsidRPr="00BD15A4">
              <w:rPr>
                <w:sz w:val="18"/>
                <w:szCs w:val="18"/>
                <w:lang w:eastAsia="fr-FR"/>
              </w:rPr>
              <w:t>Date ultime pour le retrait des agréments de type existants</w:t>
            </w:r>
          </w:p>
        </w:tc>
      </w:tr>
      <w:tr w:rsidR="004D32C4" w:rsidRPr="006D1DF9" w14:paraId="5390C6E3" w14:textId="77777777" w:rsidTr="0014467F">
        <w:trPr>
          <w:cantSplit/>
          <w:tblHeader/>
        </w:trPr>
        <w:tc>
          <w:tcPr>
            <w:tcW w:w="1559" w:type="dxa"/>
            <w:vAlign w:val="center"/>
          </w:tcPr>
          <w:p w14:paraId="4D9F80D1" w14:textId="77777777" w:rsidR="004D32C4" w:rsidRPr="00BD15A4" w:rsidRDefault="004D32C4" w:rsidP="0014467F">
            <w:pPr>
              <w:keepNext/>
              <w:spacing w:before="20" w:after="20"/>
              <w:jc w:val="center"/>
              <w:rPr>
                <w:sz w:val="18"/>
                <w:szCs w:val="18"/>
                <w:lang w:eastAsia="fr-FR"/>
              </w:rPr>
            </w:pPr>
            <w:r w:rsidRPr="00BD15A4">
              <w:rPr>
                <w:sz w:val="18"/>
                <w:szCs w:val="18"/>
                <w:lang w:eastAsia="fr-FR"/>
              </w:rPr>
              <w:t>1)</w:t>
            </w:r>
          </w:p>
        </w:tc>
        <w:tc>
          <w:tcPr>
            <w:tcW w:w="2410" w:type="dxa"/>
            <w:vAlign w:val="center"/>
          </w:tcPr>
          <w:p w14:paraId="7B1DA073" w14:textId="77777777" w:rsidR="004D32C4" w:rsidRPr="00BD15A4" w:rsidRDefault="004D32C4" w:rsidP="0014467F">
            <w:pPr>
              <w:spacing w:before="20" w:after="20"/>
              <w:jc w:val="center"/>
              <w:rPr>
                <w:sz w:val="18"/>
                <w:szCs w:val="18"/>
                <w:lang w:eastAsia="fr-FR"/>
              </w:rPr>
            </w:pPr>
            <w:r w:rsidRPr="00BD15A4">
              <w:rPr>
                <w:sz w:val="18"/>
                <w:szCs w:val="18"/>
                <w:lang w:eastAsia="fr-FR"/>
              </w:rPr>
              <w:t>2)</w:t>
            </w:r>
          </w:p>
        </w:tc>
        <w:tc>
          <w:tcPr>
            <w:tcW w:w="1275" w:type="dxa"/>
            <w:vAlign w:val="center"/>
          </w:tcPr>
          <w:p w14:paraId="3AA14367" w14:textId="77777777" w:rsidR="004D32C4" w:rsidRPr="00BD15A4" w:rsidRDefault="004D32C4" w:rsidP="0014467F">
            <w:pPr>
              <w:tabs>
                <w:tab w:val="left" w:pos="1418"/>
              </w:tabs>
              <w:spacing w:before="20" w:after="20"/>
              <w:jc w:val="center"/>
              <w:rPr>
                <w:sz w:val="18"/>
                <w:szCs w:val="18"/>
                <w:lang w:eastAsia="fr-FR"/>
              </w:rPr>
            </w:pPr>
            <w:r w:rsidRPr="00BD15A4">
              <w:rPr>
                <w:sz w:val="18"/>
                <w:szCs w:val="18"/>
                <w:lang w:eastAsia="fr-FR"/>
              </w:rPr>
              <w:t>3)</w:t>
            </w:r>
          </w:p>
        </w:tc>
        <w:tc>
          <w:tcPr>
            <w:tcW w:w="1418" w:type="dxa"/>
            <w:vAlign w:val="center"/>
          </w:tcPr>
          <w:p w14:paraId="57A3A859" w14:textId="77777777" w:rsidR="004D32C4" w:rsidRPr="00BD15A4" w:rsidRDefault="004D32C4" w:rsidP="0014467F">
            <w:pPr>
              <w:spacing w:before="20" w:after="20"/>
              <w:jc w:val="center"/>
              <w:rPr>
                <w:sz w:val="18"/>
                <w:szCs w:val="18"/>
                <w:lang w:eastAsia="fr-FR"/>
              </w:rPr>
            </w:pPr>
            <w:r w:rsidRPr="00BD15A4">
              <w:rPr>
                <w:sz w:val="18"/>
                <w:szCs w:val="18"/>
                <w:lang w:eastAsia="fr-FR"/>
              </w:rPr>
              <w:t>4)</w:t>
            </w:r>
          </w:p>
        </w:tc>
        <w:tc>
          <w:tcPr>
            <w:tcW w:w="1417" w:type="dxa"/>
            <w:vAlign w:val="center"/>
          </w:tcPr>
          <w:p w14:paraId="3C7E47AF" w14:textId="77777777" w:rsidR="004D32C4" w:rsidRPr="00BD15A4" w:rsidRDefault="004D32C4" w:rsidP="0014467F">
            <w:pPr>
              <w:tabs>
                <w:tab w:val="left" w:pos="1418"/>
              </w:tabs>
              <w:spacing w:before="20" w:after="20"/>
              <w:jc w:val="center"/>
              <w:rPr>
                <w:sz w:val="18"/>
                <w:szCs w:val="18"/>
                <w:lang w:eastAsia="fr-FR"/>
              </w:rPr>
            </w:pPr>
            <w:r w:rsidRPr="00BD15A4">
              <w:rPr>
                <w:sz w:val="18"/>
                <w:szCs w:val="18"/>
                <w:lang w:eastAsia="fr-FR"/>
              </w:rPr>
              <w:t>5)</w:t>
            </w:r>
          </w:p>
        </w:tc>
      </w:tr>
      <w:tr w:rsidR="004D32C4" w:rsidRPr="006D1DF9" w14:paraId="277F8E6F" w14:textId="77777777" w:rsidTr="0014467F">
        <w:trPr>
          <w:cantSplit/>
        </w:trPr>
        <w:tc>
          <w:tcPr>
            <w:tcW w:w="8079" w:type="dxa"/>
            <w:gridSpan w:val="5"/>
          </w:tcPr>
          <w:p w14:paraId="742AC2C9" w14:textId="77777777" w:rsidR="004D32C4" w:rsidRPr="00BD15A4" w:rsidRDefault="004D32C4" w:rsidP="0014467F">
            <w:pPr>
              <w:keepNext/>
              <w:spacing w:before="20" w:after="20"/>
              <w:rPr>
                <w:sz w:val="18"/>
                <w:szCs w:val="18"/>
                <w:lang w:eastAsia="fr-FR"/>
              </w:rPr>
            </w:pPr>
            <w:r w:rsidRPr="00BD15A4">
              <w:rPr>
                <w:b/>
                <w:i/>
                <w:sz w:val="18"/>
                <w:szCs w:val="18"/>
                <w:lang w:eastAsia="fr-FR"/>
              </w:rPr>
              <w:t>Pour la conception et la fabrication</w:t>
            </w:r>
          </w:p>
        </w:tc>
      </w:tr>
      <w:tr w:rsidR="004D32C4" w:rsidRPr="006D1DF9" w14:paraId="3564E55E" w14:textId="77777777" w:rsidTr="0014467F">
        <w:trPr>
          <w:cantSplit/>
        </w:trPr>
        <w:tc>
          <w:tcPr>
            <w:tcW w:w="1559" w:type="dxa"/>
          </w:tcPr>
          <w:p w14:paraId="63880413" w14:textId="77777777" w:rsidR="004D32C4" w:rsidRPr="00BD15A4" w:rsidRDefault="004D32C4" w:rsidP="0014467F">
            <w:pPr>
              <w:tabs>
                <w:tab w:val="left" w:pos="1985"/>
                <w:tab w:val="left" w:pos="2552"/>
                <w:tab w:val="left" w:pos="3119"/>
              </w:tabs>
              <w:spacing w:before="20" w:after="20"/>
              <w:rPr>
                <w:sz w:val="18"/>
                <w:szCs w:val="18"/>
                <w:lang w:eastAsia="fr-FR"/>
              </w:rPr>
            </w:pPr>
            <w:r w:rsidRPr="00BD15A4">
              <w:rPr>
                <w:rFonts w:cs="Arial"/>
                <w:sz w:val="18"/>
                <w:szCs w:val="18"/>
              </w:rPr>
              <w:t>EN ISO 11118:2015</w:t>
            </w:r>
          </w:p>
        </w:tc>
        <w:tc>
          <w:tcPr>
            <w:tcW w:w="2410" w:type="dxa"/>
          </w:tcPr>
          <w:p w14:paraId="74113F3D" w14:textId="77777777" w:rsidR="004D32C4" w:rsidRPr="00BD15A4" w:rsidRDefault="004D32C4" w:rsidP="0014467F">
            <w:pPr>
              <w:spacing w:before="20" w:after="20"/>
              <w:rPr>
                <w:sz w:val="18"/>
                <w:szCs w:val="18"/>
                <w:lang w:eastAsia="fr-FR"/>
              </w:rPr>
            </w:pPr>
            <w:r w:rsidRPr="00BD15A4">
              <w:rPr>
                <w:rFonts w:cs="Arial"/>
                <w:bCs/>
                <w:sz w:val="18"/>
                <w:szCs w:val="18"/>
              </w:rPr>
              <w:t>Bouteilles à gaz - Bouteilles à gaz métalliques non rechargeables - Spécifications et méthodes d'essai</w:t>
            </w:r>
          </w:p>
        </w:tc>
        <w:tc>
          <w:tcPr>
            <w:tcW w:w="1275" w:type="dxa"/>
          </w:tcPr>
          <w:p w14:paraId="54B40E68" w14:textId="77777777" w:rsidR="004D32C4" w:rsidRPr="00BD15A4" w:rsidRDefault="004D32C4" w:rsidP="0014467F">
            <w:pPr>
              <w:spacing w:before="20" w:after="20"/>
              <w:rPr>
                <w:sz w:val="18"/>
                <w:szCs w:val="18"/>
                <w:lang w:eastAsia="fr-FR"/>
              </w:rPr>
            </w:pPr>
            <w:r w:rsidRPr="00BD15A4">
              <w:rPr>
                <w:rFonts w:cs="Arial"/>
                <w:sz w:val="18"/>
                <w:szCs w:val="18"/>
              </w:rPr>
              <w:t>6.2.3.1, 6.2.3.3 et 6.2.3.4</w:t>
            </w:r>
          </w:p>
        </w:tc>
        <w:tc>
          <w:tcPr>
            <w:tcW w:w="1418" w:type="dxa"/>
          </w:tcPr>
          <w:p w14:paraId="1A998061" w14:textId="77777777" w:rsidR="004D32C4" w:rsidRPr="00BD15A4" w:rsidRDefault="004D32C4" w:rsidP="0014467F">
            <w:pPr>
              <w:spacing w:before="20" w:after="20"/>
              <w:jc w:val="center"/>
              <w:rPr>
                <w:sz w:val="18"/>
                <w:szCs w:val="18"/>
                <w:lang w:eastAsia="fr-FR"/>
              </w:rPr>
            </w:pPr>
            <w:r w:rsidRPr="00BD15A4">
              <w:rPr>
                <w:rFonts w:cs="Arial"/>
                <w:bCs/>
                <w:sz w:val="18"/>
                <w:szCs w:val="18"/>
              </w:rPr>
              <w:t>Jusqu’à nouvel ordre</w:t>
            </w:r>
          </w:p>
        </w:tc>
        <w:tc>
          <w:tcPr>
            <w:tcW w:w="1417" w:type="dxa"/>
            <w:vAlign w:val="center"/>
          </w:tcPr>
          <w:p w14:paraId="0DDEBF7D" w14:textId="77777777" w:rsidR="004D32C4" w:rsidRPr="00BD15A4" w:rsidRDefault="004D32C4" w:rsidP="0014467F">
            <w:pPr>
              <w:spacing w:before="20" w:after="20"/>
              <w:jc w:val="center"/>
              <w:rPr>
                <w:sz w:val="18"/>
                <w:szCs w:val="18"/>
                <w:lang w:eastAsia="fr-FR"/>
              </w:rPr>
            </w:pPr>
          </w:p>
        </w:tc>
      </w:tr>
    </w:tbl>
    <w:p w14:paraId="7AC02182" w14:textId="77777777" w:rsidR="004D32C4" w:rsidRDefault="004D32C4" w:rsidP="004D32C4">
      <w:pPr>
        <w:ind w:left="1134" w:right="1133"/>
        <w:jc w:val="both"/>
        <w:rPr>
          <w:lang w:val="fr-FR"/>
        </w:rPr>
      </w:pPr>
    </w:p>
    <w:p w14:paraId="37D27AAD" w14:textId="77777777" w:rsidR="004D32C4" w:rsidRPr="00F66173" w:rsidRDefault="004D32C4" w:rsidP="004D32C4">
      <w:pPr>
        <w:pStyle w:val="SingleTxtG"/>
        <w:rPr>
          <w:lang w:val="fr-FR"/>
        </w:rPr>
      </w:pPr>
      <w:r>
        <w:rPr>
          <w:lang w:val="fr-FR"/>
        </w:rPr>
        <w:tab/>
        <w:t xml:space="preserve">Le </w:t>
      </w:r>
      <w:r w:rsidRPr="00F66173">
        <w:rPr>
          <w:lang w:val="fr-FR"/>
        </w:rPr>
        <w:t xml:space="preserve">6.2.3.4.1 </w:t>
      </w:r>
      <w:r>
        <w:rPr>
          <w:lang w:val="fr-FR"/>
        </w:rPr>
        <w:t xml:space="preserve">du RID/ADR </w:t>
      </w:r>
      <w:r w:rsidRPr="00F66173">
        <w:rPr>
          <w:lang w:val="fr-FR"/>
        </w:rPr>
        <w:t>précise que : « Les récipients à pression neufs doivent subir les épreuves et les contrôles pendant et après fabrication conformément aux prescriptions du 6.2.1.5. »</w:t>
      </w:r>
    </w:p>
    <w:p w14:paraId="20B921D5" w14:textId="77777777" w:rsidR="004D32C4" w:rsidRDefault="004D32C4" w:rsidP="004D32C4">
      <w:pPr>
        <w:pStyle w:val="SingleTxtG"/>
        <w:rPr>
          <w:lang w:val="fr-FR"/>
        </w:rPr>
      </w:pPr>
      <w:r w:rsidRPr="00F66173">
        <w:rPr>
          <w:lang w:val="fr-FR"/>
        </w:rPr>
        <w:t>L’applica</w:t>
      </w:r>
      <w:r>
        <w:rPr>
          <w:lang w:val="fr-FR"/>
        </w:rPr>
        <w:t>tion de la norme EN ISO 11118</w:t>
      </w:r>
      <w:r w:rsidRPr="00F66173">
        <w:rPr>
          <w:lang w:val="fr-FR"/>
        </w:rPr>
        <w:t xml:space="preserve"> ne permet donc pas de répondre à </w:t>
      </w:r>
      <w:r>
        <w:rPr>
          <w:lang w:val="fr-FR"/>
        </w:rPr>
        <w:t xml:space="preserve">cette </w:t>
      </w:r>
      <w:r w:rsidRPr="00F66173">
        <w:rPr>
          <w:lang w:val="fr-FR"/>
        </w:rPr>
        <w:t xml:space="preserve">exigence </w:t>
      </w:r>
      <w:r>
        <w:rPr>
          <w:lang w:val="fr-FR"/>
        </w:rPr>
        <w:t>du RID/</w:t>
      </w:r>
      <w:r w:rsidRPr="00F66173">
        <w:rPr>
          <w:lang w:val="fr-FR"/>
        </w:rPr>
        <w:t>ADR.</w:t>
      </w:r>
    </w:p>
    <w:p w14:paraId="795399D4" w14:textId="77777777" w:rsidR="004D32C4" w:rsidRPr="002E047B" w:rsidRDefault="004D32C4" w:rsidP="004D32C4">
      <w:pPr>
        <w:pStyle w:val="HChG"/>
        <w:spacing w:before="240"/>
        <w:ind w:right="851"/>
        <w:rPr>
          <w:lang w:val="fr-FR"/>
        </w:rPr>
      </w:pPr>
      <w:r>
        <w:rPr>
          <w:lang w:val="fr-FR"/>
        </w:rPr>
        <w:tab/>
      </w:r>
      <w:r>
        <w:rPr>
          <w:lang w:val="fr-FR"/>
        </w:rPr>
        <w:tab/>
      </w:r>
      <w:r w:rsidRPr="00F66173">
        <w:rPr>
          <w:lang w:val="fr-FR"/>
        </w:rPr>
        <w:t>Dispositif de sécurité</w:t>
      </w:r>
    </w:p>
    <w:p w14:paraId="174155BA" w14:textId="77777777" w:rsidR="004D32C4" w:rsidRPr="00F66173" w:rsidRDefault="004D32C4" w:rsidP="004D32C4">
      <w:pPr>
        <w:pStyle w:val="SingleTxtG"/>
        <w:rPr>
          <w:lang w:val="fr-FR"/>
        </w:rPr>
      </w:pPr>
      <w:r>
        <w:rPr>
          <w:lang w:val="fr-FR"/>
        </w:rPr>
        <w:tab/>
        <w:t>8.</w:t>
      </w:r>
      <w:r>
        <w:rPr>
          <w:lang w:val="fr-FR"/>
        </w:rPr>
        <w:tab/>
      </w:r>
      <w:r w:rsidRPr="00F66173">
        <w:rPr>
          <w:lang w:val="fr-FR"/>
        </w:rPr>
        <w:t>Le 6.2.1.3.4 d</w:t>
      </w:r>
      <w:r>
        <w:rPr>
          <w:lang w:val="fr-FR"/>
        </w:rPr>
        <w:t>u RID/</w:t>
      </w:r>
      <w:r w:rsidRPr="00F66173">
        <w:rPr>
          <w:lang w:val="fr-FR"/>
        </w:rPr>
        <w:t>ADR précise que : « Chaque récipient à pression doit être équipé d’un dispositif de décompression, comme spécifié par l’instruction d’emballage P200 [...] »</w:t>
      </w:r>
    </w:p>
    <w:p w14:paraId="40826FDA" w14:textId="77777777" w:rsidR="004D32C4" w:rsidRPr="00F66173" w:rsidRDefault="004D32C4" w:rsidP="004D32C4">
      <w:pPr>
        <w:pStyle w:val="SingleTxtG"/>
        <w:rPr>
          <w:lang w:val="fr-FR"/>
        </w:rPr>
      </w:pPr>
      <w:r>
        <w:rPr>
          <w:lang w:val="fr-FR"/>
        </w:rPr>
        <w:t>La norme EN ISO 11118</w:t>
      </w:r>
      <w:r w:rsidRPr="00F66173">
        <w:rPr>
          <w:lang w:val="fr-FR"/>
        </w:rPr>
        <w:t xml:space="preserve"> précise </w:t>
      </w:r>
      <w:r>
        <w:rPr>
          <w:lang w:val="fr-FR"/>
        </w:rPr>
        <w:t xml:space="preserve">au </w:t>
      </w:r>
      <w:r w:rsidRPr="00F66173">
        <w:rPr>
          <w:lang w:val="fr-FR"/>
        </w:rPr>
        <w:t>8.1.3 : « Lorsqu’un dispositif de sécurité est solidaire d’une bouteille non-rechargeable, le fabricant de cette dernière doit garantir que le dispositif de sécurité est capable d’empêcher la rupture. »</w:t>
      </w:r>
    </w:p>
    <w:p w14:paraId="6709C945" w14:textId="77777777" w:rsidR="004D32C4" w:rsidRDefault="004D32C4" w:rsidP="004D32C4">
      <w:pPr>
        <w:pStyle w:val="SingleTxtG"/>
        <w:rPr>
          <w:lang w:val="fr-FR"/>
        </w:rPr>
      </w:pPr>
      <w:r w:rsidRPr="00F66173">
        <w:rPr>
          <w:lang w:val="fr-FR"/>
        </w:rPr>
        <w:t>Lorsque le dispositif de sécurité est un disque de rupture, il est supposé avoir été testé selon l</w:t>
      </w:r>
      <w:r>
        <w:rPr>
          <w:lang w:val="fr-FR"/>
        </w:rPr>
        <w:t>’annexe A,</w:t>
      </w:r>
      <w:r w:rsidRPr="00F66173">
        <w:rPr>
          <w:lang w:val="fr-FR"/>
        </w:rPr>
        <w:t xml:space="preserve"> A.4 « Essais de prototypes de disques de ru</w:t>
      </w:r>
      <w:r>
        <w:rPr>
          <w:lang w:val="fr-FR"/>
        </w:rPr>
        <w:t>pture métal » :</w:t>
      </w:r>
    </w:p>
    <w:p w14:paraId="7D7B5C6A" w14:textId="6F50D3A5" w:rsidR="004D32C4" w:rsidRPr="00957646" w:rsidRDefault="004D32C4" w:rsidP="004D32C4">
      <w:pPr>
        <w:pStyle w:val="SingleTxtG"/>
        <w:ind w:left="1418"/>
        <w:rPr>
          <w:lang w:val="fr-FR"/>
        </w:rPr>
      </w:pPr>
      <w:r w:rsidRPr="00957646">
        <w:rPr>
          <w:lang w:val="fr-FR"/>
        </w:rPr>
        <w:t>« Le disque doit réussir l’essai lorsqu’il ne se détache pas de la bouteille non rechargeable, et</w:t>
      </w:r>
      <w:r w:rsidR="00D04781">
        <w:rPr>
          <w:lang w:val="fr-FR"/>
        </w:rPr>
        <w:t>:</w:t>
      </w:r>
    </w:p>
    <w:p w14:paraId="0095547C" w14:textId="1357D325" w:rsidR="004D32C4" w:rsidRPr="00957646" w:rsidRDefault="004D32C4" w:rsidP="00D04781">
      <w:pPr>
        <w:pStyle w:val="SingleTxtG"/>
        <w:ind w:left="1701" w:hanging="283"/>
        <w:rPr>
          <w:lang w:val="fr-FR"/>
        </w:rPr>
      </w:pPr>
      <w:r w:rsidRPr="00957646">
        <w:rPr>
          <w:lang w:val="fr-FR"/>
        </w:rPr>
        <w:t>a)</w:t>
      </w:r>
      <w:r w:rsidR="00A5753A">
        <w:rPr>
          <w:lang w:val="fr-FR"/>
        </w:rPr>
        <w:tab/>
      </w:r>
      <w:r w:rsidRPr="00957646">
        <w:rPr>
          <w:lang w:val="fr-FR"/>
        </w:rPr>
        <w:t>lorsque le disque agit en tant que dispositif de décompression, il libère le contenu à une pression supérieure à la pression d’épreuve sans que la bouteille non rechargeable ne se rompe, ou</w:t>
      </w:r>
    </w:p>
    <w:p w14:paraId="7BD6C3D4" w14:textId="1A6132CE" w:rsidR="004D32C4" w:rsidRPr="00957646" w:rsidRDefault="004D32C4" w:rsidP="00D04781">
      <w:pPr>
        <w:pStyle w:val="SingleTxtG"/>
        <w:ind w:left="1701" w:hanging="283"/>
        <w:rPr>
          <w:lang w:val="fr-FR"/>
        </w:rPr>
      </w:pPr>
      <w:r w:rsidRPr="00957646">
        <w:rPr>
          <w:lang w:val="fr-FR"/>
        </w:rPr>
        <w:t>b)</w:t>
      </w:r>
      <w:r w:rsidR="00A5753A">
        <w:rPr>
          <w:lang w:val="fr-FR"/>
        </w:rPr>
        <w:tab/>
      </w:r>
      <w:r w:rsidRPr="00957646">
        <w:rPr>
          <w:lang w:val="fr-FR"/>
        </w:rPr>
        <w:t>lorsque le disque agit uniquement en tant que dispositif d’étanchéité, la rupture de la bouteille non rechargeable se produit à une pression dépassant 1,6 fois la pression d’épreuve. »</w:t>
      </w:r>
    </w:p>
    <w:p w14:paraId="7923915A" w14:textId="77777777" w:rsidR="004D32C4" w:rsidRPr="00336778" w:rsidRDefault="004D32C4" w:rsidP="004D32C4">
      <w:pPr>
        <w:pStyle w:val="SingleTxtG"/>
        <w:rPr>
          <w:lang w:val="fr-FR"/>
        </w:rPr>
      </w:pPr>
      <w:r w:rsidRPr="00957646">
        <w:rPr>
          <w:lang w:val="fr-FR"/>
        </w:rPr>
        <w:tab/>
        <w:t>Problématique</w:t>
      </w:r>
      <w:r w:rsidRPr="00336778">
        <w:rPr>
          <w:lang w:val="fr-FR"/>
        </w:rPr>
        <w:t xml:space="preserve"> : En règle générale, il est constaté que les organismes </w:t>
      </w:r>
      <w:r>
        <w:rPr>
          <w:lang w:val="fr-FR"/>
        </w:rPr>
        <w:t>de contrôle</w:t>
      </w:r>
      <w:r w:rsidRPr="00336778">
        <w:rPr>
          <w:lang w:val="fr-FR"/>
        </w:rPr>
        <w:t xml:space="preserve"> considèrent </w:t>
      </w:r>
      <w:r>
        <w:rPr>
          <w:lang w:val="fr-FR"/>
        </w:rPr>
        <w:t>cette annexe</w:t>
      </w:r>
      <w:r w:rsidRPr="00336778">
        <w:rPr>
          <w:lang w:val="fr-FR"/>
        </w:rPr>
        <w:t xml:space="preserve"> comme étant « non applicable ».</w:t>
      </w:r>
      <w:r>
        <w:rPr>
          <w:lang w:val="fr-FR"/>
        </w:rPr>
        <w:t xml:space="preserve"> </w:t>
      </w:r>
    </w:p>
    <w:p w14:paraId="648C204E" w14:textId="77777777" w:rsidR="004D32C4" w:rsidRPr="00336778" w:rsidRDefault="004D32C4" w:rsidP="004D32C4">
      <w:pPr>
        <w:pStyle w:val="SingleTxtG"/>
        <w:rPr>
          <w:lang w:val="fr-FR"/>
        </w:rPr>
      </w:pPr>
      <w:r w:rsidRPr="00336778">
        <w:rPr>
          <w:lang w:val="fr-FR"/>
        </w:rPr>
        <w:t>En effet, l’annexe A traite des « dispositifs d’étanchéité non réutilisables – spécifications et essais de prototype. »</w:t>
      </w:r>
    </w:p>
    <w:p w14:paraId="6EC03EDA" w14:textId="0538603E" w:rsidR="004D32C4" w:rsidRPr="00336778" w:rsidRDefault="004D32C4" w:rsidP="004D32C4">
      <w:pPr>
        <w:pStyle w:val="SingleTxtG"/>
        <w:rPr>
          <w:lang w:val="fr-FR"/>
        </w:rPr>
      </w:pPr>
      <w:r w:rsidRPr="00336778">
        <w:rPr>
          <w:lang w:val="fr-FR"/>
        </w:rPr>
        <w:lastRenderedPageBreak/>
        <w:t>Par exemple, dans le cas des bouteilles d’hélium, le dispositif interdisant à nouveau le remplissage est le robinet et non le disque de rupture.</w:t>
      </w:r>
      <w:r>
        <w:rPr>
          <w:lang w:val="fr-FR"/>
        </w:rPr>
        <w:t xml:space="preserve"> </w:t>
      </w:r>
      <w:r w:rsidRPr="00336778">
        <w:rPr>
          <w:lang w:val="fr-FR"/>
        </w:rPr>
        <w:t xml:space="preserve">Cependant, le disque de rupture doit </w:t>
      </w:r>
      <w:r>
        <w:rPr>
          <w:lang w:val="fr-FR"/>
        </w:rPr>
        <w:t xml:space="preserve">répondre aux </w:t>
      </w:r>
      <w:r w:rsidRPr="00336778">
        <w:rPr>
          <w:lang w:val="fr-FR"/>
        </w:rPr>
        <w:t>exigences d</w:t>
      </w:r>
      <w:r>
        <w:rPr>
          <w:lang w:val="fr-FR"/>
        </w:rPr>
        <w:t xml:space="preserve">e l’article </w:t>
      </w:r>
      <w:r w:rsidRPr="00336778">
        <w:rPr>
          <w:lang w:val="fr-FR"/>
        </w:rPr>
        <w:t>8.1.3 de la norme, c’est-à-dire avoir des caractéristiques suffisantes garanties permettant d’empêcher la rupture de la bouteille.</w:t>
      </w:r>
    </w:p>
    <w:p w14:paraId="60382E53" w14:textId="77777777" w:rsidR="004D32C4" w:rsidRDefault="004D32C4" w:rsidP="004D32C4">
      <w:pPr>
        <w:pStyle w:val="SingleTxtG"/>
        <w:rPr>
          <w:lang w:val="fr-FR"/>
        </w:rPr>
      </w:pPr>
      <w:r w:rsidRPr="00336778">
        <w:rPr>
          <w:lang w:val="fr-FR"/>
        </w:rPr>
        <w:t>L</w:t>
      </w:r>
      <w:r>
        <w:rPr>
          <w:lang w:val="fr-FR"/>
        </w:rPr>
        <w:t xml:space="preserve">e paragraphe </w:t>
      </w:r>
      <w:r w:rsidRPr="00336778">
        <w:rPr>
          <w:lang w:val="fr-FR"/>
        </w:rPr>
        <w:t>A.4.3 a) ne devrait pas apparaître dans l’annexe A destinée aux dispositifs d’étanchéité non-réutilisables.</w:t>
      </w:r>
    </w:p>
    <w:p w14:paraId="66560D2D" w14:textId="77777777" w:rsidR="004D32C4" w:rsidRPr="00F66173" w:rsidRDefault="004D32C4" w:rsidP="004D32C4">
      <w:pPr>
        <w:pStyle w:val="HChG"/>
        <w:spacing w:before="240"/>
        <w:ind w:right="851"/>
        <w:rPr>
          <w:lang w:val="fr-FR"/>
        </w:rPr>
      </w:pPr>
      <w:r>
        <w:rPr>
          <w:lang w:val="fr-FR"/>
        </w:rPr>
        <w:tab/>
      </w:r>
      <w:r>
        <w:rPr>
          <w:lang w:val="fr-FR"/>
        </w:rPr>
        <w:tab/>
        <w:t>Proposition</w:t>
      </w:r>
    </w:p>
    <w:p w14:paraId="0E446E30" w14:textId="77777777" w:rsidR="004D32C4" w:rsidRDefault="004D32C4" w:rsidP="004D32C4">
      <w:pPr>
        <w:pStyle w:val="SingleTxtG"/>
      </w:pPr>
      <w:r>
        <w:rPr>
          <w:lang w:val="fr-FR"/>
        </w:rPr>
        <w:t>9.</w:t>
      </w:r>
      <w:r>
        <w:rPr>
          <w:lang w:val="fr-FR"/>
        </w:rPr>
        <w:tab/>
        <w:t xml:space="preserve">Nous invitons </w:t>
      </w:r>
      <w:r>
        <w:t>les participants à la Réunion commune</w:t>
      </w:r>
      <w:r>
        <w:rPr>
          <w:lang w:val="fr-FR"/>
        </w:rPr>
        <w:t xml:space="preserve"> </w:t>
      </w:r>
      <w:r w:rsidRPr="0093090B">
        <w:rPr>
          <w:lang w:val="fr-FR"/>
        </w:rPr>
        <w:t>à</w:t>
      </w:r>
      <w:r>
        <w:rPr>
          <w:snapToGrid w:val="0"/>
        </w:rPr>
        <w:t xml:space="preserve"> communiquer leurs observations concernant </w:t>
      </w:r>
      <w:r>
        <w:rPr>
          <w:lang w:val="fr-FR"/>
        </w:rPr>
        <w:t xml:space="preserve">ces différents points afin, éventuellement, de demander leur </w:t>
      </w:r>
      <w:r w:rsidRPr="004F1CD0">
        <w:rPr>
          <w:lang w:val="fr-FR"/>
        </w:rPr>
        <w:t xml:space="preserve">ajout au programme </w:t>
      </w:r>
      <w:r>
        <w:rPr>
          <w:lang w:val="fr-FR"/>
        </w:rPr>
        <w:t xml:space="preserve">du </w:t>
      </w:r>
      <w:r>
        <w:t>comité technique de normalisation concerné.</w:t>
      </w:r>
    </w:p>
    <w:p w14:paraId="7243DE0F" w14:textId="77777777" w:rsidR="004D32C4" w:rsidRPr="00E00C8A" w:rsidRDefault="004D32C4" w:rsidP="004D32C4">
      <w:pPr>
        <w:spacing w:before="240"/>
        <w:jc w:val="center"/>
        <w:rPr>
          <w:u w:val="single"/>
        </w:rPr>
      </w:pPr>
      <w:r>
        <w:rPr>
          <w:u w:val="single"/>
        </w:rPr>
        <w:tab/>
      </w:r>
      <w:r>
        <w:rPr>
          <w:u w:val="single"/>
        </w:rPr>
        <w:tab/>
      </w:r>
      <w:r>
        <w:rPr>
          <w:u w:val="single"/>
        </w:rPr>
        <w:tab/>
      </w:r>
    </w:p>
    <w:sectPr w:rsidR="004D32C4" w:rsidRPr="00E00C8A" w:rsidSect="00736413">
      <w:headerReference w:type="even" r:id="rId11"/>
      <w:headerReference w:type="default" r:id="rId12"/>
      <w:footerReference w:type="even" r:id="rId13"/>
      <w:footerReference w:type="default" r:id="rId14"/>
      <w:footerReference w:type="first" r:id="rId15"/>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51B30B" w14:textId="77777777" w:rsidR="00437CF6" w:rsidRDefault="00437CF6" w:rsidP="00F95C08">
      <w:pPr>
        <w:spacing w:line="240" w:lineRule="auto"/>
      </w:pPr>
    </w:p>
  </w:endnote>
  <w:endnote w:type="continuationSeparator" w:id="0">
    <w:p w14:paraId="1DE5B074" w14:textId="77777777" w:rsidR="00437CF6" w:rsidRPr="00AC3823" w:rsidRDefault="00437CF6" w:rsidP="00AC3823">
      <w:pPr>
        <w:pStyle w:val="Footer"/>
      </w:pPr>
    </w:p>
  </w:endnote>
  <w:endnote w:type="continuationNotice" w:id="1">
    <w:p w14:paraId="4CE3DD1E" w14:textId="77777777" w:rsidR="00437CF6" w:rsidRDefault="00437CF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702182" w14:textId="77777777" w:rsidR="00736413" w:rsidRPr="00736413" w:rsidRDefault="00736413" w:rsidP="00736413">
    <w:pPr>
      <w:pStyle w:val="Footer"/>
      <w:tabs>
        <w:tab w:val="right" w:pos="9638"/>
      </w:tabs>
      <w:rPr>
        <w:sz w:val="18"/>
      </w:rPr>
    </w:pPr>
    <w:r w:rsidRPr="00736413">
      <w:rPr>
        <w:b/>
        <w:sz w:val="18"/>
      </w:rPr>
      <w:fldChar w:fldCharType="begin"/>
    </w:r>
    <w:r w:rsidRPr="00736413">
      <w:rPr>
        <w:b/>
        <w:sz w:val="18"/>
      </w:rPr>
      <w:instrText xml:space="preserve"> PAGE  \* MERGEFORMAT </w:instrText>
    </w:r>
    <w:r w:rsidRPr="00736413">
      <w:rPr>
        <w:b/>
        <w:sz w:val="18"/>
      </w:rPr>
      <w:fldChar w:fldCharType="separate"/>
    </w:r>
    <w:r w:rsidRPr="00736413">
      <w:rPr>
        <w:b/>
        <w:noProof/>
        <w:sz w:val="18"/>
      </w:rPr>
      <w:t>2</w:t>
    </w:r>
    <w:r w:rsidRPr="00736413">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61DC66" w14:textId="77777777" w:rsidR="00736413" w:rsidRPr="00736413" w:rsidRDefault="00736413" w:rsidP="00736413">
    <w:pPr>
      <w:pStyle w:val="Footer"/>
      <w:tabs>
        <w:tab w:val="right" w:pos="9638"/>
      </w:tabs>
      <w:rPr>
        <w:b/>
        <w:sz w:val="18"/>
      </w:rPr>
    </w:pPr>
    <w:r>
      <w:tab/>
    </w:r>
    <w:r w:rsidRPr="00736413">
      <w:rPr>
        <w:b/>
        <w:sz w:val="18"/>
      </w:rPr>
      <w:fldChar w:fldCharType="begin"/>
    </w:r>
    <w:r w:rsidRPr="00736413">
      <w:rPr>
        <w:b/>
        <w:sz w:val="18"/>
      </w:rPr>
      <w:instrText xml:space="preserve"> PAGE  \* MERGEFORMAT </w:instrText>
    </w:r>
    <w:r w:rsidRPr="00736413">
      <w:rPr>
        <w:b/>
        <w:sz w:val="18"/>
      </w:rPr>
      <w:fldChar w:fldCharType="separate"/>
    </w:r>
    <w:r w:rsidRPr="00736413">
      <w:rPr>
        <w:b/>
        <w:noProof/>
        <w:sz w:val="18"/>
      </w:rPr>
      <w:t>3</w:t>
    </w:r>
    <w:r w:rsidRPr="00736413">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767E3E" w14:textId="62B8D38B" w:rsidR="000D3EE9" w:rsidRPr="00736413" w:rsidRDefault="000D3EE9" w:rsidP="0001207F">
    <w:pPr>
      <w:pStyle w:val="Footer"/>
      <w:spacing w:before="12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466740" w14:textId="77777777" w:rsidR="00437CF6" w:rsidRPr="00AC3823" w:rsidRDefault="00437CF6" w:rsidP="00AC3823">
      <w:pPr>
        <w:pStyle w:val="Footer"/>
        <w:tabs>
          <w:tab w:val="right" w:pos="2155"/>
        </w:tabs>
        <w:spacing w:after="80" w:line="240" w:lineRule="atLeast"/>
        <w:ind w:left="680"/>
        <w:rPr>
          <w:u w:val="single"/>
        </w:rPr>
      </w:pPr>
      <w:r>
        <w:rPr>
          <w:u w:val="single"/>
        </w:rPr>
        <w:tab/>
      </w:r>
    </w:p>
  </w:footnote>
  <w:footnote w:type="continuationSeparator" w:id="0">
    <w:p w14:paraId="7E01BF07" w14:textId="77777777" w:rsidR="00437CF6" w:rsidRPr="00AC3823" w:rsidRDefault="00437CF6" w:rsidP="00AC3823">
      <w:pPr>
        <w:pStyle w:val="Footer"/>
        <w:tabs>
          <w:tab w:val="right" w:pos="2155"/>
        </w:tabs>
        <w:spacing w:after="80" w:line="240" w:lineRule="atLeast"/>
        <w:ind w:left="680"/>
        <w:rPr>
          <w:u w:val="single"/>
        </w:rPr>
      </w:pPr>
      <w:r>
        <w:rPr>
          <w:u w:val="single"/>
        </w:rPr>
        <w:tab/>
      </w:r>
    </w:p>
  </w:footnote>
  <w:footnote w:type="continuationNotice" w:id="1">
    <w:p w14:paraId="3C43289B" w14:textId="77777777" w:rsidR="00437CF6" w:rsidRPr="00AC3823" w:rsidRDefault="00437CF6">
      <w:pPr>
        <w:spacing w:line="240" w:lineRule="auto"/>
        <w:rPr>
          <w:sz w:val="2"/>
          <w:szCs w:val="2"/>
        </w:rPr>
      </w:pPr>
    </w:p>
  </w:footnote>
  <w:footnote w:id="2">
    <w:p w14:paraId="4257184D" w14:textId="77777777" w:rsidR="00D25AC6" w:rsidRDefault="00D25AC6" w:rsidP="00D25AC6">
      <w:pPr>
        <w:pStyle w:val="FootnoteText"/>
      </w:pPr>
      <w:r>
        <w:rPr>
          <w:rStyle w:val="FootnoteReference"/>
          <w:sz w:val="20"/>
        </w:rPr>
        <w:tab/>
      </w:r>
      <w:r w:rsidRPr="002974CE">
        <w:rPr>
          <w:rStyle w:val="FootnoteReference"/>
          <w:b/>
          <w:bCs/>
          <w:sz w:val="20"/>
        </w:rPr>
        <w:t>*</w:t>
      </w:r>
      <w:r>
        <w:rPr>
          <w:rStyle w:val="FootnoteReference"/>
        </w:rPr>
        <w:tab/>
      </w:r>
      <w:r>
        <w:t>A/75/6 (Sect.20), para 20.51.</w:t>
      </w:r>
    </w:p>
  </w:footnote>
  <w:footnote w:id="3">
    <w:p w14:paraId="224C124C" w14:textId="0C2CE857" w:rsidR="00D25AC6" w:rsidRDefault="00D25AC6" w:rsidP="00D25AC6">
      <w:pPr>
        <w:pStyle w:val="FootnoteText"/>
      </w:pPr>
      <w:r>
        <w:rPr>
          <w:rStyle w:val="FootnoteReference"/>
        </w:rPr>
        <w:tab/>
      </w:r>
      <w:r w:rsidRPr="002974CE">
        <w:rPr>
          <w:rStyle w:val="FootnoteReference"/>
          <w:b/>
          <w:bCs/>
          <w:sz w:val="20"/>
        </w:rPr>
        <w:t>**</w:t>
      </w:r>
      <w:r>
        <w:rPr>
          <w:rStyle w:val="FootnoteReference"/>
        </w:rPr>
        <w:tab/>
      </w:r>
      <w:r>
        <w:t>Diffusée par l’Organisation intergouvernementale pour les transports internationaux ferroviaires (OTIF) sous la cote OTIF/RID/RC/2021/41.</w:t>
      </w:r>
    </w:p>
  </w:footnote>
  <w:footnote w:id="4">
    <w:p w14:paraId="5B66BCA8" w14:textId="5B0A0171" w:rsidR="00D25AC6" w:rsidRPr="00172AAB" w:rsidRDefault="00D25AC6" w:rsidP="00D25AC6">
      <w:pPr>
        <w:pStyle w:val="FootnoteText"/>
        <w:rPr>
          <w:sz w:val="20"/>
        </w:rPr>
      </w:pPr>
      <w:r>
        <w:rPr>
          <w:sz w:val="20"/>
        </w:rPr>
        <w:tab/>
      </w:r>
      <w:r w:rsidRPr="00172AAB">
        <w:rPr>
          <w:rStyle w:val="FootnoteReference"/>
          <w:sz w:val="20"/>
        </w:rPr>
        <w:sym w:font="Symbol" w:char="F02A"/>
      </w:r>
      <w:r w:rsidRPr="00172AAB">
        <w:rPr>
          <w:rStyle w:val="FootnoteReference"/>
          <w:sz w:val="20"/>
        </w:rPr>
        <w:sym w:font="Symbol" w:char="F02A"/>
      </w:r>
      <w:r w:rsidRPr="00172AAB">
        <w:rPr>
          <w:rStyle w:val="FootnoteReference"/>
          <w:sz w:val="20"/>
        </w:rPr>
        <w:sym w:font="Symbol" w:char="F02A"/>
      </w:r>
      <w:r>
        <w:rPr>
          <w:sz w:val="20"/>
        </w:rPr>
        <w:tab/>
      </w:r>
      <w:r>
        <w:rPr>
          <w:color w:val="000000"/>
        </w:rPr>
        <w:t>Il a été convenu que le présent document serait publié après la date normale de publication en raison de circonstances indépendantes de la volonté du soumetteur.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F8D269" w14:textId="77777777" w:rsidR="00736413" w:rsidRPr="00736413" w:rsidRDefault="001A5F85">
    <w:pPr>
      <w:pStyle w:val="Header"/>
    </w:pPr>
    <w:fldSimple w:instr=" TITLE  \* MERGEFORMAT ">
      <w:r w:rsidR="00736413">
        <w:t>ECE/TRANS/WP.15/AC.1/2021/41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00676D" w14:textId="77777777" w:rsidR="00736413" w:rsidRPr="00736413" w:rsidRDefault="001A5F85" w:rsidP="00736413">
    <w:pPr>
      <w:pStyle w:val="Header"/>
      <w:jc w:val="right"/>
    </w:pPr>
    <w:fldSimple w:instr=" TITLE  \* MERGEFORMAT ">
      <w:r w:rsidR="00736413">
        <w:t>ECE/TRANS/WP.15/AC.1/2021/41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1AB1D86"/>
    <w:multiLevelType w:val="hybridMultilevel"/>
    <w:tmpl w:val="EC007F88"/>
    <w:lvl w:ilvl="0" w:tplc="CAE41390">
      <w:start w:val="1"/>
      <w:numFmt w:val="decimal"/>
      <w:lvlText w:val="%1."/>
      <w:lvlJc w:val="left"/>
      <w:pPr>
        <w:ind w:left="1689" w:hanging="555"/>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12"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3"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3"/>
  </w:num>
  <w:num w:numId="2">
    <w:abstractNumId w:val="12"/>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567"/>
  <w:hyphenationZone w:val="425"/>
  <w:evenAndOddHeaders/>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5F2324AE-7E1B-46E0-BE39-6171A5137F5D}"/>
    <w:docVar w:name="dgnword-eventsink" w:val="646185176"/>
  </w:docVars>
  <w:rsids>
    <w:rsidRoot w:val="00736413"/>
    <w:rsid w:val="0001207F"/>
    <w:rsid w:val="00017F94"/>
    <w:rsid w:val="00023842"/>
    <w:rsid w:val="0002621C"/>
    <w:rsid w:val="000334F9"/>
    <w:rsid w:val="0004639C"/>
    <w:rsid w:val="00062454"/>
    <w:rsid w:val="00063E18"/>
    <w:rsid w:val="000701A7"/>
    <w:rsid w:val="0007107A"/>
    <w:rsid w:val="0007796D"/>
    <w:rsid w:val="000942EE"/>
    <w:rsid w:val="000A52BF"/>
    <w:rsid w:val="000B7790"/>
    <w:rsid w:val="000C12EF"/>
    <w:rsid w:val="000D3EE9"/>
    <w:rsid w:val="000D62F3"/>
    <w:rsid w:val="000F7547"/>
    <w:rsid w:val="00111F2F"/>
    <w:rsid w:val="001433FD"/>
    <w:rsid w:val="0014365E"/>
    <w:rsid w:val="001541D3"/>
    <w:rsid w:val="00156B77"/>
    <w:rsid w:val="00176178"/>
    <w:rsid w:val="00177140"/>
    <w:rsid w:val="001A5F85"/>
    <w:rsid w:val="001D400F"/>
    <w:rsid w:val="001F525A"/>
    <w:rsid w:val="00223272"/>
    <w:rsid w:val="00240333"/>
    <w:rsid w:val="0024779E"/>
    <w:rsid w:val="00280606"/>
    <w:rsid w:val="002832AC"/>
    <w:rsid w:val="002A19C0"/>
    <w:rsid w:val="002D7C93"/>
    <w:rsid w:val="0037241C"/>
    <w:rsid w:val="003819FF"/>
    <w:rsid w:val="003A7438"/>
    <w:rsid w:val="00437CF6"/>
    <w:rsid w:val="00441C3B"/>
    <w:rsid w:val="00446B0A"/>
    <w:rsid w:val="00446FE5"/>
    <w:rsid w:val="00452396"/>
    <w:rsid w:val="00454806"/>
    <w:rsid w:val="00471288"/>
    <w:rsid w:val="0049687C"/>
    <w:rsid w:val="004D32C4"/>
    <w:rsid w:val="004E468C"/>
    <w:rsid w:val="00506C2B"/>
    <w:rsid w:val="005316B0"/>
    <w:rsid w:val="0054463B"/>
    <w:rsid w:val="005505B7"/>
    <w:rsid w:val="0055227E"/>
    <w:rsid w:val="00573BE5"/>
    <w:rsid w:val="00581219"/>
    <w:rsid w:val="00586ED3"/>
    <w:rsid w:val="00596AA9"/>
    <w:rsid w:val="005A7A93"/>
    <w:rsid w:val="005B4D0F"/>
    <w:rsid w:val="00623AEC"/>
    <w:rsid w:val="006A5D40"/>
    <w:rsid w:val="00703D0F"/>
    <w:rsid w:val="00706363"/>
    <w:rsid w:val="007158BB"/>
    <w:rsid w:val="0071601D"/>
    <w:rsid w:val="00725D76"/>
    <w:rsid w:val="00736413"/>
    <w:rsid w:val="0075410D"/>
    <w:rsid w:val="00784FA5"/>
    <w:rsid w:val="007A62E6"/>
    <w:rsid w:val="007B354B"/>
    <w:rsid w:val="0080684C"/>
    <w:rsid w:val="008204DA"/>
    <w:rsid w:val="008535AD"/>
    <w:rsid w:val="00871C75"/>
    <w:rsid w:val="008767E8"/>
    <w:rsid w:val="008776DC"/>
    <w:rsid w:val="00883605"/>
    <w:rsid w:val="008A590C"/>
    <w:rsid w:val="008D3BB6"/>
    <w:rsid w:val="008E6043"/>
    <w:rsid w:val="008E645A"/>
    <w:rsid w:val="00961E7B"/>
    <w:rsid w:val="009705C8"/>
    <w:rsid w:val="00973219"/>
    <w:rsid w:val="009C1CF4"/>
    <w:rsid w:val="009F02C9"/>
    <w:rsid w:val="009F3B0A"/>
    <w:rsid w:val="00A105D8"/>
    <w:rsid w:val="00A30353"/>
    <w:rsid w:val="00A5753A"/>
    <w:rsid w:val="00A62D91"/>
    <w:rsid w:val="00A718AC"/>
    <w:rsid w:val="00A90D54"/>
    <w:rsid w:val="00AA113A"/>
    <w:rsid w:val="00AC3823"/>
    <w:rsid w:val="00AE323C"/>
    <w:rsid w:val="00AE7CEA"/>
    <w:rsid w:val="00AF774C"/>
    <w:rsid w:val="00B00181"/>
    <w:rsid w:val="00B00B0D"/>
    <w:rsid w:val="00B16C53"/>
    <w:rsid w:val="00B40927"/>
    <w:rsid w:val="00B50E25"/>
    <w:rsid w:val="00B64918"/>
    <w:rsid w:val="00B765F7"/>
    <w:rsid w:val="00BA0CA9"/>
    <w:rsid w:val="00C02897"/>
    <w:rsid w:val="00C1626B"/>
    <w:rsid w:val="00C66A47"/>
    <w:rsid w:val="00C7616F"/>
    <w:rsid w:val="00CA50D1"/>
    <w:rsid w:val="00CB16B5"/>
    <w:rsid w:val="00CE0608"/>
    <w:rsid w:val="00CF14AD"/>
    <w:rsid w:val="00CF3F69"/>
    <w:rsid w:val="00D04781"/>
    <w:rsid w:val="00D25AC6"/>
    <w:rsid w:val="00D3439C"/>
    <w:rsid w:val="00D44CF3"/>
    <w:rsid w:val="00D46C8C"/>
    <w:rsid w:val="00D53936"/>
    <w:rsid w:val="00D55797"/>
    <w:rsid w:val="00DB1831"/>
    <w:rsid w:val="00DD3BFD"/>
    <w:rsid w:val="00DE239D"/>
    <w:rsid w:val="00DF431C"/>
    <w:rsid w:val="00DF6678"/>
    <w:rsid w:val="00E1170B"/>
    <w:rsid w:val="00E428C8"/>
    <w:rsid w:val="00E822DA"/>
    <w:rsid w:val="00EB2FFE"/>
    <w:rsid w:val="00EC231F"/>
    <w:rsid w:val="00EF2E22"/>
    <w:rsid w:val="00F0592C"/>
    <w:rsid w:val="00F06ED4"/>
    <w:rsid w:val="00F42537"/>
    <w:rsid w:val="00F43289"/>
    <w:rsid w:val="00F660DF"/>
    <w:rsid w:val="00F90555"/>
    <w:rsid w:val="00F95C08"/>
    <w:rsid w:val="00FD1581"/>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3829B19"/>
  <w15:docId w15:val="{7AF14905-305C-4BBD-B6CE-F73E6BDBE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0E25"/>
    <w:pPr>
      <w:suppressAutoHyphens/>
      <w:kinsoku w:val="0"/>
      <w:overflowPunct w:val="0"/>
      <w:autoSpaceDE w:val="0"/>
      <w:autoSpaceDN w:val="0"/>
      <w:adjustRightInd w:val="0"/>
      <w:snapToGrid w:val="0"/>
      <w:spacing w:after="0" w:line="240" w:lineRule="atLeast"/>
    </w:p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FootnoteReference">
    <w:name w:val="footnote reference"/>
    <w:aliases w:val="4_G,Footnote Reference/,4_GR"/>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706363"/>
    <w:rPr>
      <w:color w:val="0000FF"/>
      <w:u w:val="none"/>
    </w:rPr>
  </w:style>
  <w:style w:type="character" w:styleId="FollowedHyperlink">
    <w:name w:val="FollowedHyperlink"/>
    <w:basedOn w:val="DefaultParagraphFont"/>
    <w:unhideWhenUsed/>
    <w:rsid w:val="00706363"/>
    <w:rPr>
      <w:color w:val="0000FF"/>
      <w:u w:val="none"/>
    </w:rPr>
  </w:style>
  <w:style w:type="paragraph" w:styleId="FootnoteText">
    <w:name w:val="footnote text"/>
    <w:aliases w:val="5_G,Fußnote,Footnote Text Char Char,single space,footnote text"/>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Fußnote Char,Footnote Text Char Char Char,single space Char,footnote text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433F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33FD"/>
    <w:rPr>
      <w:rFonts w:ascii="Tahoma" w:hAnsi="Tahoma" w:cs="Tahoma"/>
      <w:sz w:val="16"/>
      <w:szCs w:val="16"/>
      <w:lang w:eastAsia="en-US"/>
    </w:rPr>
  </w:style>
  <w:style w:type="character" w:customStyle="1" w:styleId="SingleTxtGChar">
    <w:name w:val="_ Single Txt_G Char"/>
    <w:link w:val="SingleTxtG"/>
    <w:qFormat/>
    <w:rsid w:val="0001207F"/>
    <w:rPr>
      <w:rFonts w:ascii="Times New Roman" w:hAnsi="Times New Roman" w:cs="Times New Roman"/>
      <w:sz w:val="20"/>
      <w:szCs w:val="20"/>
      <w:lang w:eastAsia="en-US"/>
    </w:rPr>
  </w:style>
  <w:style w:type="character" w:customStyle="1" w:styleId="HChGChar">
    <w:name w:val="_ H _Ch_G Char"/>
    <w:link w:val="HChG"/>
    <w:qFormat/>
    <w:rsid w:val="0001207F"/>
    <w:rPr>
      <w:rFonts w:ascii="Times New Roman" w:hAnsi="Times New Roman" w:cs="Times New Roman"/>
      <w:b/>
      <w:sz w:val="28"/>
      <w:szCs w:val="20"/>
      <w:lang w:eastAsia="en-US"/>
    </w:rPr>
  </w:style>
  <w:style w:type="character" w:customStyle="1" w:styleId="H1GChar">
    <w:name w:val="_ H_1_G Char"/>
    <w:link w:val="H1G"/>
    <w:qFormat/>
    <w:locked/>
    <w:rsid w:val="000C12EF"/>
    <w:rPr>
      <w:b/>
      <w:sz w:val="24"/>
    </w:rPr>
  </w:style>
  <w:style w:type="paragraph" w:customStyle="1" w:styleId="NoteHead">
    <w:name w:val="NoteHead"/>
    <w:basedOn w:val="Normal"/>
    <w:next w:val="Normal"/>
    <w:rsid w:val="00623AEC"/>
    <w:pPr>
      <w:suppressAutoHyphens w:val="0"/>
      <w:kinsoku/>
      <w:overflowPunct/>
      <w:autoSpaceDE/>
      <w:autoSpaceDN/>
      <w:adjustRightInd/>
      <w:snapToGrid/>
      <w:spacing w:before="720" w:after="720" w:line="240" w:lineRule="auto"/>
      <w:jc w:val="center"/>
    </w:pPr>
    <w:rPr>
      <w:b/>
      <w:smallCaps/>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3411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TRANS\TRANS_WP1_24_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A709975-3EBC-4388-B739-E1779F2037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B647660-8640-4E8E-AB41-32D9ADD317D9}">
  <ds:schemaRefs>
    <ds:schemaRef ds:uri="4b4a1c0d-4a69-4996-a84a-fc699b9f49de"/>
    <ds:schemaRef ds:uri="http://purl.org/dc/term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http://purl.org/dc/elements/1.1/"/>
    <ds:schemaRef ds:uri="http://schemas.microsoft.com/office/2006/metadata/properties"/>
    <ds:schemaRef ds:uri="acccb6d4-dbe5-46d2-b4d3-5733603d8cc6"/>
    <ds:schemaRef ds:uri="http://www.w3.org/XML/1998/namespace"/>
  </ds:schemaRefs>
</ds:datastoreItem>
</file>

<file path=customXml/itemProps3.xml><?xml version="1.0" encoding="utf-8"?>
<ds:datastoreItem xmlns:ds="http://schemas.openxmlformats.org/officeDocument/2006/customXml" ds:itemID="{E8E938CE-C15B-4103-806C-A3341154C96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TRANS_WP1_24_F.dotm</Template>
  <TotalTime>47</TotalTime>
  <Pages>5</Pages>
  <Words>1614</Words>
  <Characters>9200</Characters>
  <Application>Microsoft Office Word</Application>
  <DocSecurity>0</DocSecurity>
  <Lines>76</Lines>
  <Paragraphs>21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ECE/EX/22</vt:lpstr>
      <vt:lpstr>ECE/EX/22</vt:lpstr>
    </vt:vector>
  </TitlesOfParts>
  <Company>DCM</Company>
  <LinksUpToDate>false</LinksUpToDate>
  <CharactersWithSpaces>10793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ECE/TRANS/WP.15/AC.1/2021/41</dc:title>
  <dc:subject>FINAL</dc:subject>
  <dc:creator>Christine Barrio-Champeau</dc:creator>
  <cp:keywords/>
  <dc:description/>
  <cp:lastModifiedBy>Christine Barrio-Champeau</cp:lastModifiedBy>
  <cp:revision>13</cp:revision>
  <cp:lastPrinted>2014-05-14T10:59:00Z</cp:lastPrinted>
  <dcterms:created xsi:type="dcterms:W3CDTF">2021-07-05T14:08:00Z</dcterms:created>
  <dcterms:modified xsi:type="dcterms:W3CDTF">2021-07-07T07:19:00Z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