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CE12B38" w14:textId="77777777" w:rsidTr="00B20551">
        <w:trPr>
          <w:cantSplit/>
          <w:trHeight w:hRule="exact" w:val="851"/>
        </w:trPr>
        <w:tc>
          <w:tcPr>
            <w:tcW w:w="1276" w:type="dxa"/>
            <w:tcBorders>
              <w:bottom w:val="single" w:sz="4" w:space="0" w:color="auto"/>
            </w:tcBorders>
            <w:vAlign w:val="bottom"/>
          </w:tcPr>
          <w:p w14:paraId="4862EBC0" w14:textId="77777777" w:rsidR="009E6CB7" w:rsidRDefault="009E6CB7" w:rsidP="00B20551">
            <w:pPr>
              <w:spacing w:after="80"/>
            </w:pPr>
          </w:p>
        </w:tc>
        <w:tc>
          <w:tcPr>
            <w:tcW w:w="2268" w:type="dxa"/>
            <w:tcBorders>
              <w:bottom w:val="single" w:sz="4" w:space="0" w:color="auto"/>
            </w:tcBorders>
            <w:vAlign w:val="bottom"/>
          </w:tcPr>
          <w:p w14:paraId="15FB0D2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B335F70" w14:textId="32B58212" w:rsidR="009E6CB7" w:rsidRPr="00D47EEA" w:rsidRDefault="00B922A5" w:rsidP="00B922A5">
            <w:pPr>
              <w:jc w:val="right"/>
            </w:pPr>
            <w:r w:rsidRPr="00B922A5">
              <w:rPr>
                <w:sz w:val="40"/>
              </w:rPr>
              <w:t>ECE</w:t>
            </w:r>
            <w:r>
              <w:t>/TRANS/WP.15/AC.1/2021/37</w:t>
            </w:r>
          </w:p>
        </w:tc>
      </w:tr>
      <w:tr w:rsidR="009E6CB7" w14:paraId="1E5D32F5" w14:textId="77777777" w:rsidTr="00B20551">
        <w:trPr>
          <w:cantSplit/>
          <w:trHeight w:hRule="exact" w:val="2835"/>
        </w:trPr>
        <w:tc>
          <w:tcPr>
            <w:tcW w:w="1276" w:type="dxa"/>
            <w:tcBorders>
              <w:top w:val="single" w:sz="4" w:space="0" w:color="auto"/>
              <w:bottom w:val="single" w:sz="12" w:space="0" w:color="auto"/>
            </w:tcBorders>
          </w:tcPr>
          <w:p w14:paraId="4543F3E3" w14:textId="77777777" w:rsidR="009E6CB7" w:rsidRDefault="00686A48" w:rsidP="00B20551">
            <w:pPr>
              <w:spacing w:before="120"/>
            </w:pPr>
            <w:r>
              <w:rPr>
                <w:noProof/>
                <w:lang w:val="de-DE" w:eastAsia="de-DE"/>
              </w:rPr>
              <w:drawing>
                <wp:inline distT="0" distB="0" distL="0" distR="0" wp14:anchorId="49996E2B" wp14:editId="1E2440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F01E8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257C433" w14:textId="77777777" w:rsidR="009E6CB7" w:rsidRDefault="00B922A5" w:rsidP="00B922A5">
            <w:pPr>
              <w:spacing w:before="240" w:line="240" w:lineRule="exact"/>
            </w:pPr>
            <w:r>
              <w:t>Distr.: General</w:t>
            </w:r>
          </w:p>
          <w:p w14:paraId="472872FC" w14:textId="346FF14D" w:rsidR="00B922A5" w:rsidRDefault="00F36BBF" w:rsidP="00B922A5">
            <w:pPr>
              <w:spacing w:line="240" w:lineRule="exact"/>
            </w:pPr>
            <w:r>
              <w:t>5 July</w:t>
            </w:r>
            <w:r w:rsidR="00B922A5">
              <w:t xml:space="preserve"> 2021</w:t>
            </w:r>
          </w:p>
          <w:p w14:paraId="49B80720" w14:textId="77777777" w:rsidR="00B922A5" w:rsidRDefault="00B922A5" w:rsidP="00B922A5">
            <w:pPr>
              <w:spacing w:line="240" w:lineRule="exact"/>
            </w:pPr>
          </w:p>
          <w:p w14:paraId="48D13EA6" w14:textId="33F640F3" w:rsidR="00B922A5" w:rsidRDefault="00B922A5" w:rsidP="00B922A5">
            <w:pPr>
              <w:spacing w:line="240" w:lineRule="exact"/>
            </w:pPr>
            <w:r>
              <w:t>Original: English</w:t>
            </w:r>
          </w:p>
        </w:tc>
      </w:tr>
    </w:tbl>
    <w:p w14:paraId="42E82645" w14:textId="77777777" w:rsidR="000776CC" w:rsidRDefault="000776CC" w:rsidP="000776CC">
      <w:pPr>
        <w:spacing w:before="120"/>
        <w:rPr>
          <w:b/>
          <w:sz w:val="28"/>
          <w:szCs w:val="28"/>
        </w:rPr>
      </w:pPr>
      <w:r>
        <w:rPr>
          <w:b/>
          <w:sz w:val="28"/>
          <w:szCs w:val="28"/>
        </w:rPr>
        <w:t>Economic Commission for Europe</w:t>
      </w:r>
    </w:p>
    <w:p w14:paraId="5F10F829" w14:textId="77777777" w:rsidR="000776CC" w:rsidRDefault="000776CC" w:rsidP="000776CC">
      <w:pPr>
        <w:spacing w:before="120"/>
        <w:rPr>
          <w:sz w:val="28"/>
          <w:szCs w:val="28"/>
        </w:rPr>
      </w:pPr>
      <w:r>
        <w:rPr>
          <w:sz w:val="28"/>
          <w:szCs w:val="28"/>
        </w:rPr>
        <w:t>Inland Transport Committee</w:t>
      </w:r>
    </w:p>
    <w:p w14:paraId="290D2798" w14:textId="77777777" w:rsidR="000776CC" w:rsidRDefault="000776CC" w:rsidP="000776CC">
      <w:pPr>
        <w:spacing w:before="120" w:after="120"/>
        <w:rPr>
          <w:b/>
          <w:sz w:val="24"/>
          <w:szCs w:val="24"/>
        </w:rPr>
      </w:pPr>
      <w:r>
        <w:rPr>
          <w:b/>
          <w:sz w:val="24"/>
          <w:szCs w:val="24"/>
        </w:rPr>
        <w:t>Working Party on the Transport of Dangerous Goods</w:t>
      </w:r>
    </w:p>
    <w:p w14:paraId="78B4BEDE" w14:textId="77777777" w:rsidR="000776CC" w:rsidRDefault="000776CC" w:rsidP="000776CC">
      <w:pPr>
        <w:rPr>
          <w:b/>
          <w:bCs/>
        </w:rPr>
      </w:pPr>
      <w:r>
        <w:rPr>
          <w:b/>
          <w:bCs/>
        </w:rPr>
        <w:t>Joint Meeting of the RID Committee of Experts and the</w:t>
      </w:r>
      <w:r>
        <w:rPr>
          <w:b/>
          <w:bCs/>
        </w:rPr>
        <w:br/>
        <w:t>Working Party on the Transport of Dangerous Goods</w:t>
      </w:r>
    </w:p>
    <w:p w14:paraId="490B43E2" w14:textId="77777777" w:rsidR="000776CC" w:rsidRPr="003E03E4" w:rsidRDefault="000776CC" w:rsidP="000776CC">
      <w:pPr>
        <w:rPr>
          <w:lang w:val="en-US"/>
        </w:rPr>
      </w:pPr>
      <w:r w:rsidRPr="003E03E4">
        <w:rPr>
          <w:lang w:val="en-US"/>
        </w:rPr>
        <w:t>Geneva, 21 September – 1 October 2021</w:t>
      </w:r>
    </w:p>
    <w:p w14:paraId="50380B0B" w14:textId="77777777" w:rsidR="000776CC" w:rsidRPr="003E03E4" w:rsidRDefault="000776CC" w:rsidP="000776CC">
      <w:r w:rsidRPr="003E03E4">
        <w:t>Item 5 (b) of the provisional agenda</w:t>
      </w:r>
    </w:p>
    <w:p w14:paraId="110C8BF3" w14:textId="77777777" w:rsidR="000776CC" w:rsidRPr="003E03E4" w:rsidRDefault="000776CC" w:rsidP="000776CC">
      <w:pPr>
        <w:rPr>
          <w:b/>
          <w:bCs/>
        </w:rPr>
      </w:pPr>
      <w:r w:rsidRPr="003E03E4">
        <w:rPr>
          <w:b/>
          <w:bCs/>
        </w:rPr>
        <w:t>Proposals for amendments to RID/ADR/ADN:</w:t>
      </w:r>
      <w:r w:rsidRPr="003E03E4">
        <w:rPr>
          <w:b/>
          <w:bCs/>
        </w:rPr>
        <w:br/>
        <w:t>new proposals</w:t>
      </w:r>
    </w:p>
    <w:p w14:paraId="004A7B42" w14:textId="45F9EAEC" w:rsidR="00A22B9F" w:rsidRPr="00311CAA" w:rsidRDefault="00610761" w:rsidP="000776CC">
      <w:pPr>
        <w:pStyle w:val="HChG"/>
      </w:pPr>
      <w:r>
        <w:tab/>
      </w:r>
      <w:r>
        <w:tab/>
      </w:r>
      <w:r w:rsidR="00A22B9F" w:rsidRPr="00311CAA">
        <w:t xml:space="preserve">Paints and </w:t>
      </w:r>
      <w:r w:rsidR="001F6AE8">
        <w:t>p</w:t>
      </w:r>
      <w:r w:rsidR="00A22B9F" w:rsidRPr="00311CAA">
        <w:t xml:space="preserve">rinting </w:t>
      </w:r>
      <w:r w:rsidR="001F6AE8">
        <w:t>i</w:t>
      </w:r>
      <w:r w:rsidR="00A22B9F" w:rsidRPr="00311CAA">
        <w:t xml:space="preserve">nks </w:t>
      </w:r>
      <w:r w:rsidR="00A22B9F">
        <w:t xml:space="preserve">classified as </w:t>
      </w:r>
      <w:r w:rsidR="001F6AE8">
        <w:t>e</w:t>
      </w:r>
      <w:r w:rsidR="00A22B9F" w:rsidRPr="00311CAA">
        <w:t xml:space="preserve">nvironmentally </w:t>
      </w:r>
      <w:r w:rsidR="001F6AE8">
        <w:t>h</w:t>
      </w:r>
      <w:r w:rsidR="00A22B9F" w:rsidRPr="00311CAA">
        <w:t>azardous</w:t>
      </w:r>
      <w:r w:rsidR="00A22B9F">
        <w:t xml:space="preserve"> </w:t>
      </w:r>
      <w:r w:rsidR="001F6AE8">
        <w:t>s</w:t>
      </w:r>
      <w:r w:rsidR="00A22B9F">
        <w:t>ubstance of UN</w:t>
      </w:r>
      <w:r w:rsidR="001F6AE8">
        <w:t> </w:t>
      </w:r>
      <w:r w:rsidR="00A22B9F">
        <w:t>3082 and the requirements for performance tests</w:t>
      </w:r>
    </w:p>
    <w:p w14:paraId="33963AAD" w14:textId="070CB676" w:rsidR="00135104" w:rsidRDefault="00610761" w:rsidP="00135104">
      <w:pPr>
        <w:pStyle w:val="H1G"/>
        <w:rPr>
          <w:szCs w:val="24"/>
          <w:lang w:eastAsia="zh-CN"/>
        </w:rPr>
      </w:pPr>
      <w:r>
        <w:tab/>
      </w:r>
      <w:r>
        <w:tab/>
      </w:r>
      <w:r w:rsidR="00A22B9F" w:rsidRPr="00FF4DF4">
        <w:t>Transmitted by T</w:t>
      </w:r>
      <w:r w:rsidR="00A22B9F" w:rsidRPr="00FF4DF4">
        <w:rPr>
          <w:shd w:val="clear" w:color="auto" w:fill="FFFFFF"/>
        </w:rPr>
        <w:t>he European Council of the Paint, Printing Ink, and Artist’s Colours Industry (CEPE)</w:t>
      </w:r>
      <w:r w:rsidR="00B27294" w:rsidRPr="00773216">
        <w:rPr>
          <w:rStyle w:val="FootnoteReference"/>
          <w:bCs/>
          <w:sz w:val="20"/>
          <w:shd w:val="clear" w:color="auto" w:fill="FFFFFF"/>
        </w:rPr>
        <w:footnoteReference w:customMarkFollows="1" w:id="2"/>
        <w:sym w:font="Symbol" w:char="F02A"/>
      </w:r>
      <w:r w:rsidR="00B27294" w:rsidRPr="00773216">
        <w:rPr>
          <w:bCs/>
          <w:shd w:val="clear" w:color="auto" w:fill="FFFFFF"/>
          <w:vertAlign w:val="superscript"/>
        </w:rPr>
        <w:t>,</w:t>
      </w:r>
      <w:r w:rsidR="00B27294" w:rsidRPr="00773216">
        <w:rPr>
          <w:bCs/>
        </w:rPr>
        <w:t xml:space="preserve"> </w:t>
      </w:r>
      <w:r w:rsidR="00B27294" w:rsidRPr="00773216">
        <w:rPr>
          <w:rStyle w:val="FootnoteReference"/>
          <w:bCs/>
          <w:sz w:val="20"/>
        </w:rPr>
        <w:footnoteReference w:customMarkFollows="1" w:id="3"/>
        <w:sym w:font="Symbol" w:char="F02A"/>
      </w:r>
      <w:r w:rsidR="00B27294" w:rsidRPr="00773216">
        <w:rPr>
          <w:rStyle w:val="FootnoteReference"/>
          <w:bCs/>
          <w:sz w:val="20"/>
        </w:rPr>
        <w:sym w:font="Symbol" w:char="F02A"/>
      </w:r>
      <w:r w:rsidR="00B27294" w:rsidRPr="00773216">
        <w:rPr>
          <w:bCs/>
          <w:shd w:val="clear" w:color="auto" w:fill="FFFFFF"/>
          <w:vertAlign w:val="superscript"/>
        </w:rPr>
        <w:t xml:space="preserve">, </w:t>
      </w:r>
      <w:r w:rsidR="00B27294" w:rsidRPr="00773216">
        <w:rPr>
          <w:rStyle w:val="FootnoteReference"/>
          <w:bCs/>
          <w:sz w:val="20"/>
          <w:shd w:val="clear" w:color="auto" w:fill="FFFFFF"/>
        </w:rPr>
        <w:footnoteReference w:customMarkFollows="1" w:id="4"/>
        <w:sym w:font="Symbol" w:char="F02A"/>
      </w:r>
      <w:r w:rsidR="00B27294" w:rsidRPr="00773216">
        <w:rPr>
          <w:rStyle w:val="FootnoteReference"/>
          <w:bCs/>
          <w:sz w:val="20"/>
          <w:shd w:val="clear" w:color="auto" w:fill="FFFFFF"/>
        </w:rPr>
        <w:sym w:font="Symbol" w:char="F02A"/>
      </w:r>
      <w:r w:rsidR="00B27294" w:rsidRPr="00773216">
        <w:rPr>
          <w:rStyle w:val="FootnoteReference"/>
          <w:bCs/>
          <w:sz w:val="20"/>
          <w:shd w:val="clear" w:color="auto" w:fill="FFFFFF"/>
        </w:rPr>
        <w:sym w:font="Symbol" w:char="F02A"/>
      </w:r>
    </w:p>
    <w:p w14:paraId="4A70D185" w14:textId="1C0A4340" w:rsidR="00A22B9F" w:rsidRDefault="00610761" w:rsidP="00610761">
      <w:pPr>
        <w:pStyle w:val="HChG"/>
      </w:pPr>
      <w:r>
        <w:tab/>
      </w:r>
      <w:r>
        <w:tab/>
      </w:r>
      <w:r w:rsidR="00A22B9F" w:rsidRPr="006B44D5">
        <w:t>Introduction</w:t>
      </w:r>
    </w:p>
    <w:p w14:paraId="6522AE8F" w14:textId="0B369D03" w:rsidR="00A22B9F" w:rsidRDefault="00610761" w:rsidP="00610761">
      <w:pPr>
        <w:pStyle w:val="SingleTxtG"/>
        <w:rPr>
          <w:lang w:eastAsia="en-GB"/>
        </w:rPr>
      </w:pPr>
      <w:r>
        <w:rPr>
          <w:lang w:eastAsia="en-GB"/>
        </w:rPr>
        <w:t>1.</w:t>
      </w:r>
      <w:r>
        <w:rPr>
          <w:lang w:eastAsia="en-GB"/>
        </w:rPr>
        <w:tab/>
      </w:r>
      <w:r w:rsidR="00A22B9F">
        <w:rPr>
          <w:lang w:eastAsia="en-GB"/>
        </w:rPr>
        <w:t xml:space="preserve">At the last session of the </w:t>
      </w:r>
      <w:r w:rsidR="0074149C" w:rsidRPr="00FF62BA">
        <w:t>RID/ADR/A</w:t>
      </w:r>
      <w:r w:rsidR="0074149C">
        <w:t>D</w:t>
      </w:r>
      <w:r w:rsidR="0074149C" w:rsidRPr="00FF62BA">
        <w:t xml:space="preserve">N </w:t>
      </w:r>
      <w:r w:rsidR="00A22B9F">
        <w:rPr>
          <w:lang w:eastAsia="en-GB"/>
        </w:rPr>
        <w:t xml:space="preserve">Joint </w:t>
      </w:r>
      <w:r w:rsidR="00247AE0">
        <w:rPr>
          <w:lang w:eastAsia="en-GB"/>
        </w:rPr>
        <w:t>M</w:t>
      </w:r>
      <w:r w:rsidR="00A22B9F">
        <w:rPr>
          <w:lang w:eastAsia="en-GB"/>
        </w:rPr>
        <w:t xml:space="preserve">eeting in March 2021 CEPE submitted informal document </w:t>
      </w:r>
      <w:r w:rsidR="00A22B9F" w:rsidRPr="008E0011">
        <w:rPr>
          <w:lang w:eastAsia="en-GB"/>
        </w:rPr>
        <w:t>INF.17</w:t>
      </w:r>
      <w:r w:rsidR="00A22B9F">
        <w:rPr>
          <w:lang w:eastAsia="en-GB"/>
        </w:rPr>
        <w:t xml:space="preserve">, which described the issue of paints becoming classified as environmentally hazardous substances due to the implementation of the </w:t>
      </w:r>
      <w:r w:rsidR="000852DD" w:rsidRPr="000852DD">
        <w:rPr>
          <w:lang w:eastAsia="en-GB"/>
        </w:rPr>
        <w:t xml:space="preserve">fifteenth </w:t>
      </w:r>
      <w:r w:rsidR="00D60572">
        <w:rPr>
          <w:lang w:eastAsia="en-GB"/>
        </w:rPr>
        <w:t>A</w:t>
      </w:r>
      <w:r w:rsidR="000852DD" w:rsidRPr="000852DD">
        <w:rPr>
          <w:lang w:eastAsia="en-GB"/>
        </w:rPr>
        <w:t xml:space="preserve">daptation to </w:t>
      </w:r>
      <w:r w:rsidR="00D60572">
        <w:rPr>
          <w:lang w:eastAsia="en-GB"/>
        </w:rPr>
        <w:t>T</w:t>
      </w:r>
      <w:r w:rsidR="000852DD" w:rsidRPr="000852DD">
        <w:rPr>
          <w:lang w:eastAsia="en-GB"/>
        </w:rPr>
        <w:t xml:space="preserve">echnical </w:t>
      </w:r>
      <w:r w:rsidR="00D60572">
        <w:rPr>
          <w:lang w:eastAsia="en-GB"/>
        </w:rPr>
        <w:t>P</w:t>
      </w:r>
      <w:r w:rsidR="000852DD" w:rsidRPr="000852DD">
        <w:rPr>
          <w:lang w:eastAsia="en-GB"/>
        </w:rPr>
        <w:t xml:space="preserve">rogress </w:t>
      </w:r>
      <w:r w:rsidR="00B163A6">
        <w:rPr>
          <w:lang w:eastAsia="en-GB"/>
        </w:rPr>
        <w:t xml:space="preserve">(ATP) </w:t>
      </w:r>
      <w:r w:rsidR="000852DD" w:rsidRPr="000852DD">
        <w:rPr>
          <w:lang w:eastAsia="en-GB"/>
        </w:rPr>
        <w:t xml:space="preserve">of </w:t>
      </w:r>
      <w:r w:rsidR="00C52F71">
        <w:rPr>
          <w:lang w:eastAsia="en-GB"/>
        </w:rPr>
        <w:t xml:space="preserve">the </w:t>
      </w:r>
      <w:r w:rsidR="00604849">
        <w:t xml:space="preserve">European Union </w:t>
      </w:r>
      <w:r w:rsidR="000852DD" w:rsidRPr="000852DD">
        <w:rPr>
          <w:lang w:eastAsia="en-GB"/>
        </w:rPr>
        <w:t xml:space="preserve">Regulation on </w:t>
      </w:r>
      <w:r w:rsidR="007D006C">
        <w:rPr>
          <w:lang w:eastAsia="en-GB"/>
        </w:rPr>
        <w:t>C</w:t>
      </w:r>
      <w:r w:rsidR="000852DD" w:rsidRPr="000852DD">
        <w:rPr>
          <w:lang w:eastAsia="en-GB"/>
        </w:rPr>
        <w:t xml:space="preserve">lassification, </w:t>
      </w:r>
      <w:r w:rsidR="007D006C">
        <w:rPr>
          <w:lang w:eastAsia="en-GB"/>
        </w:rPr>
        <w:t>L</w:t>
      </w:r>
      <w:r w:rsidR="000852DD" w:rsidRPr="000852DD">
        <w:rPr>
          <w:lang w:eastAsia="en-GB"/>
        </w:rPr>
        <w:t xml:space="preserve">abelling and </w:t>
      </w:r>
      <w:r w:rsidR="007D006C">
        <w:rPr>
          <w:lang w:eastAsia="en-GB"/>
        </w:rPr>
        <w:t>P</w:t>
      </w:r>
      <w:r w:rsidR="000852DD" w:rsidRPr="000852DD">
        <w:rPr>
          <w:lang w:eastAsia="en-GB"/>
        </w:rPr>
        <w:t>ackaging of substances and mixtures (CLP Regulation)</w:t>
      </w:r>
      <w:r w:rsidR="00A22B9F">
        <w:rPr>
          <w:lang w:eastAsia="en-GB"/>
        </w:rPr>
        <w:t>. The representative of CEPE was requested to prepare a revised proposal for consideration as an official document</w:t>
      </w:r>
      <w:r w:rsidR="00B22FF5">
        <w:rPr>
          <w:lang w:eastAsia="en-GB"/>
        </w:rPr>
        <w:t xml:space="preserve"> (s</w:t>
      </w:r>
      <w:r w:rsidR="00A22B9F">
        <w:rPr>
          <w:lang w:eastAsia="en-GB"/>
        </w:rPr>
        <w:t xml:space="preserve">ee paragraph 36 of the report </w:t>
      </w:r>
      <w:r w:rsidR="00A22B9F" w:rsidRPr="008E0011">
        <w:rPr>
          <w:lang w:eastAsia="en-GB"/>
        </w:rPr>
        <w:t>ECE/TRANS/WP.15/AC.1/160</w:t>
      </w:r>
      <w:r w:rsidR="00A22B9F">
        <w:rPr>
          <w:lang w:eastAsia="en-GB"/>
        </w:rPr>
        <w:t>).</w:t>
      </w:r>
    </w:p>
    <w:p w14:paraId="6676EAE6" w14:textId="7AEDC075" w:rsidR="00A22B9F" w:rsidRDefault="004760E8" w:rsidP="004760E8">
      <w:pPr>
        <w:pStyle w:val="SingleTxtG"/>
        <w:rPr>
          <w:lang w:eastAsia="en-GB"/>
        </w:rPr>
      </w:pPr>
      <w:r>
        <w:t>2.</w:t>
      </w:r>
      <w:r>
        <w:tab/>
      </w:r>
      <w:r w:rsidR="00A22B9F">
        <w:t xml:space="preserve">There has been a consistent move from solvent-borne paints and inks to water-borne versions. This trend reduces volatile organic solvents (VOCs) to protect the environment. It is done to meet regulatory obligations or, voluntarily, for social responsibility reasons. </w:t>
      </w:r>
      <w:r w:rsidR="00A22B9F" w:rsidRPr="00FF4DF4">
        <w:t xml:space="preserve">The </w:t>
      </w:r>
      <w:r w:rsidR="00A22B9F">
        <w:t xml:space="preserve">move results in an </w:t>
      </w:r>
      <w:r w:rsidR="00A22B9F" w:rsidRPr="00FF4DF4">
        <w:t>increase in the number of paint and printing inks coming into the scope of the transport of dangerous goods regulations because of classification as environmentally hazardous under</w:t>
      </w:r>
      <w:r w:rsidR="00BA5624">
        <w:t xml:space="preserve"> the </w:t>
      </w:r>
      <w:r w:rsidR="00BA5624" w:rsidRPr="00BA5624">
        <w:t>Globally Harmonized System of Classification and Labelling of Chemicals</w:t>
      </w:r>
      <w:r w:rsidR="00A22B9F" w:rsidRPr="00FF4DF4">
        <w:t xml:space="preserve"> </w:t>
      </w:r>
      <w:r w:rsidR="00BA5624">
        <w:t>(</w:t>
      </w:r>
      <w:r w:rsidR="00A22B9F" w:rsidRPr="00FF4DF4">
        <w:t>GHS</w:t>
      </w:r>
      <w:r w:rsidR="00BA5624">
        <w:t>)</w:t>
      </w:r>
      <w:r w:rsidR="00A22B9F">
        <w:t xml:space="preserve">. However, it </w:t>
      </w:r>
      <w:r w:rsidR="00A22B9F" w:rsidRPr="009B6486">
        <w:t>has created problems and concerns within industry</w:t>
      </w:r>
      <w:r w:rsidR="00A22B9F">
        <w:t xml:space="preserve"> as water-borne paints contain biocides to protect against spoilage of the product</w:t>
      </w:r>
      <w:r w:rsidR="00A22B9F" w:rsidRPr="009B6486">
        <w:t>.</w:t>
      </w:r>
      <w:r w:rsidR="00A22B9F" w:rsidRPr="00FF4DF4">
        <w:t xml:space="preserve"> Most recently the </w:t>
      </w:r>
      <w:r w:rsidR="007D006C">
        <w:t>fifteenth</w:t>
      </w:r>
      <w:r w:rsidR="00A22B9F" w:rsidRPr="00FF4DF4">
        <w:t xml:space="preserve"> ATP to</w:t>
      </w:r>
      <w:r w:rsidR="00A22B9F">
        <w:t xml:space="preserve"> the </w:t>
      </w:r>
      <w:r w:rsidR="007D006C" w:rsidRPr="000852DD">
        <w:rPr>
          <w:lang w:eastAsia="en-GB"/>
        </w:rPr>
        <w:t>CLP Regulation</w:t>
      </w:r>
      <w:r w:rsidR="007D006C">
        <w:t xml:space="preserve"> </w:t>
      </w:r>
      <w:r w:rsidR="00A22B9F" w:rsidRPr="00FF4DF4">
        <w:t>has adopted changes in classification which will mean that products containing</w:t>
      </w:r>
      <w:r w:rsidR="00A22B9F">
        <w:t xml:space="preserve"> </w:t>
      </w:r>
      <w:r w:rsidR="004D0583">
        <w:t xml:space="preserve">more </w:t>
      </w:r>
      <w:r w:rsidR="0049757D">
        <w:t xml:space="preserve">or equal </w:t>
      </w:r>
      <w:r w:rsidR="004D0583">
        <w:t>than</w:t>
      </w:r>
      <w:r w:rsidR="00A22B9F">
        <w:t xml:space="preserve"> </w:t>
      </w:r>
      <w:r w:rsidR="00A22B9F" w:rsidRPr="00FF4DF4">
        <w:t>0.025</w:t>
      </w:r>
      <w:r w:rsidR="004D0583">
        <w:t xml:space="preserve"> </w:t>
      </w:r>
      <w:r w:rsidR="00A22B9F" w:rsidRPr="00FF4DF4">
        <w:t xml:space="preserve">% of </w:t>
      </w:r>
      <w:r w:rsidR="00A22B9F">
        <w:t xml:space="preserve">the preservatives </w:t>
      </w:r>
      <w:r w:rsidR="00981E57" w:rsidRPr="00B02A28">
        <w:t>4,5-dichloro-2-</w:t>
      </w:r>
      <w:r w:rsidR="00981E57" w:rsidRPr="00B02A28">
        <w:lastRenderedPageBreak/>
        <w:t xml:space="preserve">octyl-2H-isothiazol-3-one (DCOIT), octhilinone (OIT) and zinc pyrithione (ZnPT) </w:t>
      </w:r>
      <w:r w:rsidR="00A22B9F" w:rsidRPr="00FF4DF4">
        <w:t xml:space="preserve">will </w:t>
      </w:r>
      <w:r w:rsidR="00A22B9F">
        <w:t>be class</w:t>
      </w:r>
      <w:r w:rsidR="001F6AE8">
        <w:t>ifi</w:t>
      </w:r>
      <w:r w:rsidR="00A22B9F">
        <w:t>ed</w:t>
      </w:r>
      <w:r w:rsidR="00A22B9F" w:rsidRPr="00FF4DF4">
        <w:t xml:space="preserve"> as UN</w:t>
      </w:r>
      <w:r w:rsidR="0049757D">
        <w:t xml:space="preserve"> </w:t>
      </w:r>
      <w:r w:rsidR="00A22B9F" w:rsidRPr="00FF4DF4">
        <w:t>3082, PG III.</w:t>
      </w:r>
    </w:p>
    <w:p w14:paraId="6799629D" w14:textId="77777777" w:rsidR="00C072C9" w:rsidRDefault="00C072C9" w:rsidP="00C072C9">
      <w:pPr>
        <w:pStyle w:val="SingleTxtG"/>
      </w:pPr>
      <w:r>
        <w:rPr>
          <w:lang w:val="en-US" w:eastAsia="en-GB"/>
        </w:rPr>
        <w:t>3.</w:t>
      </w:r>
      <w:r>
        <w:rPr>
          <w:lang w:val="en-US" w:eastAsia="en-GB"/>
        </w:rPr>
        <w:tab/>
      </w:r>
      <w:r w:rsidR="00A22B9F">
        <w:rPr>
          <w:lang w:val="en-US" w:eastAsia="en-GB"/>
        </w:rPr>
        <w:t>Preservatives are important to ensure that the per</w:t>
      </w:r>
      <w:r w:rsidR="00A22B9F" w:rsidRPr="001D4EF2">
        <w:rPr>
          <w:lang w:val="en-US" w:eastAsia="en-GB"/>
        </w:rPr>
        <w:t>f</w:t>
      </w:r>
      <w:r w:rsidR="00A22B9F">
        <w:rPr>
          <w:lang w:val="en-US" w:eastAsia="en-GB"/>
        </w:rPr>
        <w:t>ormance and shel</w:t>
      </w:r>
      <w:r w:rsidR="00A22B9F" w:rsidRPr="001D4EF2">
        <w:rPr>
          <w:lang w:val="en-US" w:eastAsia="en-GB"/>
        </w:rPr>
        <w:t>f</w:t>
      </w:r>
      <w:r w:rsidR="00A22B9F">
        <w:rPr>
          <w:lang w:val="en-US" w:eastAsia="en-GB"/>
        </w:rPr>
        <w:t>-li</w:t>
      </w:r>
      <w:r w:rsidR="00A22B9F" w:rsidRPr="001D4EF2">
        <w:rPr>
          <w:lang w:val="en-US" w:eastAsia="en-GB"/>
        </w:rPr>
        <w:t>f</w:t>
      </w:r>
      <w:r w:rsidR="00A22B9F">
        <w:rPr>
          <w:lang w:val="en-US" w:eastAsia="en-GB"/>
        </w:rPr>
        <w:t>e o</w:t>
      </w:r>
      <w:r w:rsidR="00A22B9F" w:rsidRPr="001D4EF2">
        <w:rPr>
          <w:lang w:val="en-US" w:eastAsia="en-GB"/>
        </w:rPr>
        <w:t>f</w:t>
      </w:r>
      <w:r w:rsidR="00A22B9F">
        <w:rPr>
          <w:lang w:val="en-US" w:eastAsia="en-GB"/>
        </w:rPr>
        <w:t xml:space="preserve"> the products are </w:t>
      </w:r>
      <w:r w:rsidR="00A22B9F" w:rsidRPr="0083598F">
        <w:rPr>
          <w:lang w:val="en-US" w:eastAsia="en-GB"/>
        </w:rPr>
        <w:t xml:space="preserve">maintained </w:t>
      </w:r>
      <w:r w:rsidR="00A22B9F">
        <w:rPr>
          <w:lang w:val="en-US" w:eastAsia="en-GB"/>
        </w:rPr>
        <w:t xml:space="preserve">to </w:t>
      </w:r>
      <w:r w:rsidR="00A22B9F" w:rsidRPr="0083598F">
        <w:rPr>
          <w:lang w:val="en-US" w:eastAsia="en-GB"/>
        </w:rPr>
        <w:t xml:space="preserve">avoid </w:t>
      </w:r>
      <w:r w:rsidR="00A22B9F">
        <w:rPr>
          <w:lang w:val="en-US" w:eastAsia="en-GB"/>
        </w:rPr>
        <w:t xml:space="preserve">spoilage and </w:t>
      </w:r>
      <w:r w:rsidR="00A22B9F" w:rsidRPr="0083598F">
        <w:rPr>
          <w:lang w:val="en-US" w:eastAsia="en-GB"/>
        </w:rPr>
        <w:t>unnecessary waste.</w:t>
      </w:r>
      <w:r w:rsidR="00A22B9F">
        <w:rPr>
          <w:lang w:val="en-US" w:eastAsia="en-GB"/>
        </w:rPr>
        <w:t xml:space="preserve"> Due to the lack o</w:t>
      </w:r>
      <w:r w:rsidR="00A22B9F" w:rsidRPr="00CC7AE5">
        <w:rPr>
          <w:lang w:val="en-US" w:eastAsia="en-GB"/>
        </w:rPr>
        <w:t>f</w:t>
      </w:r>
      <w:r w:rsidR="00A22B9F">
        <w:rPr>
          <w:lang w:val="en-US" w:eastAsia="en-GB"/>
        </w:rPr>
        <w:t xml:space="preserve"> availability o</w:t>
      </w:r>
      <w:r w:rsidR="00A22B9F" w:rsidRPr="00CC7AE5">
        <w:rPr>
          <w:lang w:val="en-US" w:eastAsia="en-GB"/>
        </w:rPr>
        <w:t>f</w:t>
      </w:r>
      <w:r w:rsidR="00A22B9F">
        <w:rPr>
          <w:lang w:val="en-US" w:eastAsia="en-GB"/>
        </w:rPr>
        <w:t xml:space="preserve"> alternatives substitution o</w:t>
      </w:r>
      <w:r w:rsidR="00A22B9F" w:rsidRPr="00CC7AE5">
        <w:rPr>
          <w:lang w:val="en-US" w:eastAsia="en-GB"/>
        </w:rPr>
        <w:t>f</w:t>
      </w:r>
      <w:r w:rsidR="00A22B9F">
        <w:rPr>
          <w:lang w:val="en-US" w:eastAsia="en-GB"/>
        </w:rPr>
        <w:t xml:space="preserve"> these preservatives can be di</w:t>
      </w:r>
      <w:r w:rsidR="00A22B9F" w:rsidRPr="00CC7AE5">
        <w:rPr>
          <w:lang w:val="en-US" w:eastAsia="en-GB"/>
        </w:rPr>
        <w:t>ff</w:t>
      </w:r>
      <w:r w:rsidR="00A22B9F">
        <w:rPr>
          <w:lang w:val="en-US" w:eastAsia="en-GB"/>
        </w:rPr>
        <w:t>icult.</w:t>
      </w:r>
    </w:p>
    <w:p w14:paraId="4FD67529" w14:textId="596BBEF7" w:rsidR="00A22B9F" w:rsidRPr="009658F7" w:rsidRDefault="00B02A28" w:rsidP="00C072C9">
      <w:pPr>
        <w:pStyle w:val="SingleTxtG"/>
        <w:rPr>
          <w:lang w:eastAsia="en-GB"/>
        </w:rPr>
      </w:pPr>
      <w:r w:rsidRPr="009658F7">
        <w:t>4.</w:t>
      </w:r>
      <w:r w:rsidRPr="009658F7">
        <w:tab/>
      </w:r>
      <w:r w:rsidR="00A22B9F" w:rsidRPr="009658F7">
        <w:t>Under CLP</w:t>
      </w:r>
      <w:r w:rsidR="00AA5AE0">
        <w:t xml:space="preserve"> Regulation</w:t>
      </w:r>
      <w:r w:rsidR="00A22B9F" w:rsidRPr="009658F7">
        <w:t xml:space="preserve">, companies have </w:t>
      </w:r>
      <w:r w:rsidR="00D57B33">
        <w:t>eighteen</w:t>
      </w:r>
      <w:r w:rsidR="00A22B9F" w:rsidRPr="009658F7">
        <w:t xml:space="preserve"> months to make labelling changes in response to a change in classi</w:t>
      </w:r>
      <w:r w:rsidR="00A22B9F" w:rsidRPr="009658F7">
        <w:rPr>
          <w:lang w:eastAsia="en-GB"/>
        </w:rPr>
        <w:t xml:space="preserve">fication. The </w:t>
      </w:r>
      <w:r w:rsidR="00D57B33">
        <w:rPr>
          <w:lang w:eastAsia="en-GB"/>
        </w:rPr>
        <w:t xml:space="preserve">fifteenth </w:t>
      </w:r>
      <w:r w:rsidR="00A22B9F" w:rsidRPr="009658F7">
        <w:rPr>
          <w:lang w:eastAsia="en-GB"/>
        </w:rPr>
        <w:t xml:space="preserve">ATP applies from </w:t>
      </w:r>
      <w:r w:rsidR="00A22B9F" w:rsidRPr="009658F7">
        <w:rPr>
          <w:b/>
          <w:bCs/>
          <w:lang w:eastAsia="en-GB"/>
        </w:rPr>
        <w:t>1</w:t>
      </w:r>
      <w:r w:rsidR="00D57B33">
        <w:rPr>
          <w:b/>
          <w:bCs/>
          <w:lang w:eastAsia="en-GB"/>
        </w:rPr>
        <w:t> </w:t>
      </w:r>
      <w:r w:rsidR="00A22B9F" w:rsidRPr="009658F7">
        <w:rPr>
          <w:b/>
          <w:bCs/>
          <w:lang w:eastAsia="en-GB"/>
        </w:rPr>
        <w:t>March 2022</w:t>
      </w:r>
      <w:r w:rsidR="00A22B9F" w:rsidRPr="009658F7">
        <w:rPr>
          <w:lang w:eastAsia="en-GB"/>
        </w:rPr>
        <w:t xml:space="preserve">. As dangerous goods, these products will come within </w:t>
      </w:r>
      <w:r w:rsidR="001F6AE8">
        <w:rPr>
          <w:lang w:eastAsia="en-GB"/>
        </w:rPr>
        <w:t xml:space="preserve">the </w:t>
      </w:r>
      <w:r w:rsidR="00A22B9F" w:rsidRPr="009658F7">
        <w:rPr>
          <w:lang w:eastAsia="en-GB"/>
        </w:rPr>
        <w:t>scope of the packaging requirements for dangerous goods.</w:t>
      </w:r>
    </w:p>
    <w:p w14:paraId="10EDC7D4" w14:textId="37A2BD34" w:rsidR="00A22B9F" w:rsidRPr="009658F7" w:rsidRDefault="00B02A28" w:rsidP="004760E8">
      <w:pPr>
        <w:pStyle w:val="SingleTxtG"/>
        <w:rPr>
          <w:lang w:eastAsia="en-GB"/>
        </w:rPr>
      </w:pPr>
      <w:r w:rsidRPr="009658F7">
        <w:rPr>
          <w:lang w:eastAsia="en-GB"/>
        </w:rPr>
        <w:t>5.</w:t>
      </w:r>
      <w:r w:rsidRPr="009658F7">
        <w:rPr>
          <w:lang w:eastAsia="en-GB"/>
        </w:rPr>
        <w:tab/>
      </w:r>
      <w:r w:rsidR="00A22B9F" w:rsidRPr="009658F7">
        <w:rPr>
          <w:lang w:eastAsia="en-GB"/>
        </w:rPr>
        <w:t xml:space="preserve">UN approved packaging required to carry these products in quantities above 5 litres is not yet available for all product types as they are not very well suited for the paint industry. Plastic packaging is predominantly used </w:t>
      </w:r>
      <w:r w:rsidR="00A22B9F" w:rsidRPr="009658F7">
        <w:t>for water-borne paints, due to the type o</w:t>
      </w:r>
      <w:r w:rsidR="00A22B9F" w:rsidRPr="009658F7">
        <w:rPr>
          <w:lang w:eastAsia="en-GB"/>
        </w:rPr>
        <w:t>f closure used allowing for the product to be reopened and closed for in-store tinting. Previously, the r</w:t>
      </w:r>
      <w:r w:rsidR="00A22B9F" w:rsidRPr="009658F7">
        <w:t xml:space="preserve">equirement for UN approved packaging for water-borne decorative paints has been very limited and </w:t>
      </w:r>
      <w:r w:rsidR="006F7B81">
        <w:t xml:space="preserve">the </w:t>
      </w:r>
      <w:r w:rsidR="00A22B9F" w:rsidRPr="009658F7">
        <w:t>availability for this type of packaging in the market reflects this</w:t>
      </w:r>
      <w:r w:rsidR="00A22B9F" w:rsidRPr="009658F7">
        <w:rPr>
          <w:lang w:eastAsia="en-GB"/>
        </w:rPr>
        <w:t>.</w:t>
      </w:r>
      <w:r w:rsidR="00A22B9F" w:rsidRPr="009658F7">
        <w:t xml:space="preserve"> The consequence of not having suitable packaging available would result in the increased use of packaging as products will need to be carried in smaller quantities, alternatively, without a resealable closure for in</w:t>
      </w:r>
      <w:r w:rsidR="001F6AE8">
        <w:t>-</w:t>
      </w:r>
      <w:r w:rsidR="00A22B9F" w:rsidRPr="009658F7">
        <w:t>store tinting the product will need to be decanted in to new packaging once tinted, which would lead to an increase in packaging waste.</w:t>
      </w:r>
    </w:p>
    <w:p w14:paraId="61E1DF65" w14:textId="7969CB9F" w:rsidR="00A22B9F" w:rsidRPr="00432D68" w:rsidRDefault="00B02A28" w:rsidP="004760E8">
      <w:pPr>
        <w:pStyle w:val="SingleTxtG"/>
        <w:rPr>
          <w:lang w:eastAsia="en-GB"/>
        </w:rPr>
      </w:pPr>
      <w:r w:rsidRPr="009658F7">
        <w:rPr>
          <w:lang w:eastAsia="en-GB"/>
        </w:rPr>
        <w:t>6.</w:t>
      </w:r>
      <w:r w:rsidRPr="009658F7">
        <w:rPr>
          <w:lang w:eastAsia="en-GB"/>
        </w:rPr>
        <w:tab/>
      </w:r>
      <w:r w:rsidR="00A22B9F" w:rsidRPr="009658F7">
        <w:rPr>
          <w:lang w:eastAsia="en-GB"/>
        </w:rPr>
        <w:t>The current</w:t>
      </w:r>
      <w:r w:rsidR="00A22B9F" w:rsidRPr="00432D68">
        <w:rPr>
          <w:lang w:val="en-US" w:eastAsia="en-GB"/>
        </w:rPr>
        <w:t xml:space="preserve"> timeframe to make these changes to ensure products can continue to be carried under </w:t>
      </w:r>
      <w:r w:rsidR="001F6AE8">
        <w:rPr>
          <w:lang w:val="en-US" w:eastAsia="en-GB"/>
        </w:rPr>
        <w:t>RID/</w:t>
      </w:r>
      <w:r w:rsidR="00A22B9F" w:rsidRPr="00432D68">
        <w:rPr>
          <w:lang w:val="en-US" w:eastAsia="en-GB"/>
        </w:rPr>
        <w:t xml:space="preserve">ADR is insufficient. </w:t>
      </w:r>
      <w:r w:rsidR="00A22B9F" w:rsidRPr="00432D68">
        <w:t>It</w:t>
      </w:r>
      <w:r w:rsidR="00A22B9F" w:rsidRPr="00637D47">
        <w:t xml:space="preserve"> is technically challenging throughout the whole value chain to develop UN packaging to meet the requirement for decorative paints both in plastic and metal within </w:t>
      </w:r>
      <w:r w:rsidR="008B70F3">
        <w:t>eighteen</w:t>
      </w:r>
      <w:r w:rsidR="00A22B9F" w:rsidRPr="00637D47">
        <w:t xml:space="preserve"> months.</w:t>
      </w:r>
      <w:r w:rsidR="00861AB9">
        <w:rPr>
          <w:rStyle w:val="apple-converted-space"/>
        </w:rPr>
        <w:t xml:space="preserve"> </w:t>
      </w:r>
      <w:r w:rsidR="00A22B9F" w:rsidRPr="00637D47">
        <w:t>The packaging industry need time to adapt to changes in regulation and develop new packaging solutions</w:t>
      </w:r>
      <w:r w:rsidR="00A22B9F">
        <w:t>.</w:t>
      </w:r>
    </w:p>
    <w:p w14:paraId="2D5A50CA" w14:textId="1589DEDA" w:rsidR="00A22B9F" w:rsidRPr="00ED3261" w:rsidRDefault="00B02A28" w:rsidP="004760E8">
      <w:pPr>
        <w:pStyle w:val="SingleTxtG"/>
      </w:pPr>
      <w:r>
        <w:rPr>
          <w:lang w:eastAsia="en-GB"/>
        </w:rPr>
        <w:t>7.</w:t>
      </w:r>
      <w:r>
        <w:rPr>
          <w:lang w:eastAsia="en-GB"/>
        </w:rPr>
        <w:tab/>
      </w:r>
      <w:r w:rsidR="00A22B9F" w:rsidRPr="00ED3261">
        <w:rPr>
          <w:lang w:eastAsia="en-GB"/>
        </w:rPr>
        <w:t>Special</w:t>
      </w:r>
      <w:r w:rsidR="00A22B9F" w:rsidRPr="00ED3261">
        <w:t xml:space="preserve"> </w:t>
      </w:r>
      <w:r w:rsidR="008B5909">
        <w:t>p</w:t>
      </w:r>
      <w:r w:rsidR="00A22B9F" w:rsidRPr="00ED3261">
        <w:t xml:space="preserve">acking </w:t>
      </w:r>
      <w:r w:rsidR="008B5909">
        <w:t>p</w:t>
      </w:r>
      <w:r w:rsidR="00A22B9F" w:rsidRPr="00ED3261">
        <w:t xml:space="preserve">rovision PP1 in </w:t>
      </w:r>
      <w:r w:rsidR="008B5909">
        <w:t xml:space="preserve">packing instruction </w:t>
      </w:r>
      <w:r w:rsidR="00A22B9F" w:rsidRPr="00ED3261">
        <w:t>P001 exempts packaging of</w:t>
      </w:r>
      <w:r w:rsidR="00A22B9F" w:rsidRPr="00637D47">
        <w:t xml:space="preserve"> paints</w:t>
      </w:r>
      <w:r w:rsidR="00A22B9F">
        <w:t xml:space="preserve"> and</w:t>
      </w:r>
      <w:r w:rsidR="00A22B9F" w:rsidRPr="00637D47">
        <w:t xml:space="preserve"> inks, assigned to UN</w:t>
      </w:r>
      <w:r w:rsidR="00956E22">
        <w:t xml:space="preserve"> </w:t>
      </w:r>
      <w:r w:rsidR="00A22B9F" w:rsidRPr="00637D47">
        <w:t xml:space="preserve">3082 in quantities of 5 litres or less per packaging from the requirement to use UN approved packaging if carried in accordance with </w:t>
      </w:r>
      <w:r w:rsidR="00A22B9F">
        <w:t xml:space="preserve">provisions detailed in </w:t>
      </w:r>
      <w:r w:rsidR="00A22B9F" w:rsidRPr="00ED3261">
        <w:t>PP1. Furthermore, small quantities up to 5</w:t>
      </w:r>
      <w:r w:rsidR="00A22B9F">
        <w:t xml:space="preserve"> litres</w:t>
      </w:r>
      <w:r w:rsidR="00A22B9F" w:rsidRPr="00ED3261">
        <w:t xml:space="preserve"> o</w:t>
      </w:r>
      <w:r w:rsidR="00A22B9F" w:rsidRPr="00ED3261">
        <w:rPr>
          <w:lang w:val="en-US"/>
        </w:rPr>
        <w:t>f UN</w:t>
      </w:r>
      <w:r w:rsidR="004F66AB">
        <w:rPr>
          <w:lang w:val="en-US"/>
        </w:rPr>
        <w:t xml:space="preserve"> </w:t>
      </w:r>
      <w:r w:rsidR="00A22B9F" w:rsidRPr="00ED3261">
        <w:rPr>
          <w:lang w:val="en-US"/>
        </w:rPr>
        <w:t>3082 are not subject to any other provisions of</w:t>
      </w:r>
      <w:r w:rsidR="00A22B9F" w:rsidRPr="00637D47">
        <w:rPr>
          <w:lang w:val="en-US"/>
        </w:rPr>
        <w:t xml:space="preserve"> </w:t>
      </w:r>
      <w:r w:rsidR="001F6AE8">
        <w:rPr>
          <w:lang w:val="en-US"/>
        </w:rPr>
        <w:t>RID/</w:t>
      </w:r>
      <w:r w:rsidR="00A22B9F" w:rsidRPr="00637D47">
        <w:rPr>
          <w:lang w:val="en-US"/>
        </w:rPr>
        <w:t>ADR, provided that the packaging meet</w:t>
      </w:r>
      <w:r w:rsidR="00A22B9F">
        <w:rPr>
          <w:lang w:val="en-US"/>
        </w:rPr>
        <w:t>s</w:t>
      </w:r>
      <w:r w:rsidR="00A22B9F" w:rsidRPr="00637D47">
        <w:rPr>
          <w:lang w:val="en-US"/>
        </w:rPr>
        <w:t xml:space="preserve"> the general provisions of 4.1.1.1, 4.1.1.2 and 4.1.1.4 to 4.1.1.8.</w:t>
      </w:r>
    </w:p>
    <w:p w14:paraId="574FE687" w14:textId="7D82C4E6" w:rsidR="00A22B9F" w:rsidRDefault="00B02A28" w:rsidP="00B02A28">
      <w:pPr>
        <w:pStyle w:val="HChG"/>
      </w:pPr>
      <w:r>
        <w:tab/>
      </w:r>
      <w:r>
        <w:tab/>
      </w:r>
      <w:r w:rsidR="00A22B9F" w:rsidRPr="001D4EF2">
        <w:t>Proposal</w:t>
      </w:r>
    </w:p>
    <w:p w14:paraId="04F67B4B" w14:textId="153700AE" w:rsidR="00A22B9F" w:rsidRDefault="00B02A28" w:rsidP="004760E8">
      <w:pPr>
        <w:pStyle w:val="SingleTxtG"/>
        <w:rPr>
          <w:lang w:val="en-US" w:eastAsia="en-GB"/>
        </w:rPr>
      </w:pPr>
      <w:r>
        <w:rPr>
          <w:bCs/>
        </w:rPr>
        <w:t>8.</w:t>
      </w:r>
      <w:r>
        <w:rPr>
          <w:bCs/>
        </w:rPr>
        <w:tab/>
      </w:r>
      <w:r w:rsidR="00A22B9F" w:rsidRPr="001D4EF2">
        <w:rPr>
          <w:bCs/>
        </w:rPr>
        <w:t>In Chapter 1.6 o</w:t>
      </w:r>
      <w:r w:rsidR="00A22B9F" w:rsidRPr="001D4EF2">
        <w:rPr>
          <w:lang w:val="en-US" w:eastAsia="en-GB"/>
        </w:rPr>
        <w:t xml:space="preserve">f </w:t>
      </w:r>
      <w:r w:rsidR="00A22B9F">
        <w:rPr>
          <w:lang w:val="en-US" w:eastAsia="en-GB"/>
        </w:rPr>
        <w:t>RID</w:t>
      </w:r>
      <w:r w:rsidR="00FC2154">
        <w:rPr>
          <w:lang w:val="en-US" w:eastAsia="en-GB"/>
        </w:rPr>
        <w:t>/</w:t>
      </w:r>
      <w:r w:rsidR="00FC2154" w:rsidRPr="001D4EF2">
        <w:rPr>
          <w:lang w:val="en-US" w:eastAsia="en-GB"/>
        </w:rPr>
        <w:t>ADR</w:t>
      </w:r>
      <w:r w:rsidR="00A60CA8">
        <w:rPr>
          <w:lang w:val="en-US" w:eastAsia="en-GB"/>
        </w:rPr>
        <w:t>, insert the following new transitional provision</w:t>
      </w:r>
      <w:r w:rsidR="00A22B9F" w:rsidRPr="001D4EF2">
        <w:rPr>
          <w:lang w:val="en-US" w:eastAsia="en-GB"/>
        </w:rPr>
        <w:t>:</w:t>
      </w:r>
    </w:p>
    <w:p w14:paraId="239110BA" w14:textId="53E892A8" w:rsidR="00A22B9F" w:rsidRPr="00B02A28" w:rsidRDefault="00B02A28" w:rsidP="009F6578">
      <w:pPr>
        <w:pStyle w:val="SingleTxtG"/>
        <w:ind w:left="1701" w:hanging="567"/>
        <w:rPr>
          <w:lang w:val="en-US" w:eastAsia="en-GB"/>
        </w:rPr>
      </w:pPr>
      <w:r>
        <w:tab/>
      </w:r>
      <w:r w:rsidR="00A60CA8">
        <w:t>"</w:t>
      </w:r>
      <w:r w:rsidR="00A60CA8">
        <w:rPr>
          <w:b/>
        </w:rPr>
        <w:t>1.6.1.x</w:t>
      </w:r>
      <w:r>
        <w:tab/>
        <w:t>(a)</w:t>
      </w:r>
      <w:r>
        <w:tab/>
      </w:r>
      <w:r w:rsidR="00A22B9F" w:rsidRPr="00E50F3D">
        <w:t xml:space="preserve">Notwithstanding the requirements of </w:t>
      </w:r>
      <w:r w:rsidR="00A22B9F">
        <w:t>RID</w:t>
      </w:r>
      <w:r w:rsidR="00FC2154">
        <w:t>/</w:t>
      </w:r>
      <w:r w:rsidR="00FC2154" w:rsidRPr="00E50F3D">
        <w:t xml:space="preserve">ADR </w:t>
      </w:r>
      <w:r w:rsidR="00A22B9F" w:rsidRPr="00E50F3D">
        <w:t>applicable as from 1 January 2023</w:t>
      </w:r>
      <w:r w:rsidR="00A22B9F" w:rsidRPr="00B02A28">
        <w:t>, adhesives, paint and paint related materials, printing inks and printing ink related materials and resin solutions assigned to UN 3082 environmentally hazardous substance, liquid, n.o.s., PG III as a consequence of Regulation (EU) 2020/1182 (</w:t>
      </w:r>
      <w:r w:rsidR="00DA72F5">
        <w:t xml:space="preserve">fifteenth </w:t>
      </w:r>
      <w:r w:rsidR="00A22B9F" w:rsidRPr="00B02A28">
        <w:t>ATP)</w:t>
      </w:r>
      <w:r w:rsidR="00A22B9F">
        <w:rPr>
          <w:rStyle w:val="FootnoteReference"/>
          <w:rFonts w:cstheme="minorHAnsi"/>
        </w:rPr>
        <w:footnoteReference w:id="5"/>
      </w:r>
      <w:r w:rsidR="00A22B9F" w:rsidRPr="00B02A28">
        <w:t xml:space="preserve"> containing </w:t>
      </w:r>
      <w:r w:rsidR="00A22B9F" w:rsidRPr="00207F33">
        <w:rPr>
          <w:bCs/>
        </w:rPr>
        <w:t>equal to or more than</w:t>
      </w:r>
      <w:r w:rsidR="00A22B9F" w:rsidRPr="00B02A28">
        <w:t xml:space="preserve"> 0.025</w:t>
      </w:r>
      <w:r w:rsidR="0049757D">
        <w:t xml:space="preserve"> </w:t>
      </w:r>
      <w:r w:rsidR="00A22B9F" w:rsidRPr="00B02A28">
        <w:t xml:space="preserve">% of the following substances, on their own or in combination; 4,5-dichloro-2-octyl- 2H-isothiazol-3-one (DCOIT), octhilinone (OIT) and zinc pyrithione (ZnPT), may until 30 June 2025 be carried in metal or plastic packaging, which are not required to meet the requirements of 4.1.1.3 and the performance tests in </w:t>
      </w:r>
      <w:r w:rsidR="00D506C2">
        <w:t>C</w:t>
      </w:r>
      <w:r w:rsidR="00A22B9F" w:rsidRPr="00B02A28">
        <w:t>hapter 6.1, when in quantities of 30 litres or less per packaging</w:t>
      </w:r>
      <w:r w:rsidR="00A2422A">
        <w:t>;</w:t>
      </w:r>
    </w:p>
    <w:p w14:paraId="7658FDC0" w14:textId="5D9B8AD7" w:rsidR="00A22B9F" w:rsidRDefault="00405DB4" w:rsidP="00405DB4">
      <w:pPr>
        <w:pStyle w:val="SingleTxtG"/>
        <w:rPr>
          <w:lang w:val="en-US" w:eastAsia="en-GB"/>
        </w:rPr>
      </w:pPr>
      <w:r>
        <w:rPr>
          <w:lang w:val="en-US" w:eastAsia="en-GB"/>
        </w:rPr>
        <w:tab/>
      </w:r>
      <w:r>
        <w:rPr>
          <w:lang w:val="en-US" w:eastAsia="en-GB"/>
        </w:rPr>
        <w:tab/>
        <w:t>(b)</w:t>
      </w:r>
      <w:r>
        <w:rPr>
          <w:lang w:val="en-US" w:eastAsia="en-GB"/>
        </w:rPr>
        <w:tab/>
      </w:r>
      <w:r w:rsidR="00A22B9F">
        <w:rPr>
          <w:lang w:val="en-US" w:eastAsia="en-GB"/>
        </w:rPr>
        <w:t>The products mentioned in (a), must be carried:</w:t>
      </w:r>
    </w:p>
    <w:p w14:paraId="0C43EF69" w14:textId="77A5ECE2" w:rsidR="00A22B9F" w:rsidRDefault="00A2422A" w:rsidP="005D2D12">
      <w:pPr>
        <w:pStyle w:val="SingleTxtG"/>
        <w:ind w:left="2835" w:hanging="567"/>
        <w:rPr>
          <w:lang w:val="en-US" w:eastAsia="en-GB"/>
        </w:rPr>
      </w:pPr>
      <w:r>
        <w:rPr>
          <w:lang w:val="en-US" w:eastAsia="en-GB"/>
        </w:rPr>
        <w:t>-</w:t>
      </w:r>
      <w:r>
        <w:rPr>
          <w:lang w:val="en-US" w:eastAsia="en-GB"/>
        </w:rPr>
        <w:tab/>
      </w:r>
      <w:r w:rsidR="00A22B9F">
        <w:rPr>
          <w:lang w:val="en-US" w:eastAsia="en-GB"/>
        </w:rPr>
        <w:t xml:space="preserve">In palletized loads, a pallet box or unit load device, e.g. individual packagings placed or stacked and secured by strapping, </w:t>
      </w:r>
      <w:r w:rsidR="00C4772B">
        <w:rPr>
          <w:lang w:val="en-US" w:eastAsia="en-GB"/>
        </w:rPr>
        <w:t>shrink</w:t>
      </w:r>
      <w:r w:rsidR="00A22B9F">
        <w:rPr>
          <w:lang w:val="en-US" w:eastAsia="en-GB"/>
        </w:rPr>
        <w:t xml:space="preserve"> or stretch-wrapping or other suitable means to a pallet; or</w:t>
      </w:r>
    </w:p>
    <w:p w14:paraId="4868EC2A" w14:textId="4B82CFA0" w:rsidR="00A22B9F" w:rsidRPr="00E927E8" w:rsidRDefault="005D2D12" w:rsidP="005D2D12">
      <w:pPr>
        <w:pStyle w:val="SingleTxtG"/>
        <w:ind w:left="2835" w:hanging="567"/>
        <w:rPr>
          <w:lang w:val="en-US" w:eastAsia="en-GB"/>
        </w:rPr>
      </w:pPr>
      <w:r>
        <w:rPr>
          <w:lang w:val="en-US" w:eastAsia="en-GB"/>
        </w:rPr>
        <w:t>-</w:t>
      </w:r>
      <w:r>
        <w:rPr>
          <w:lang w:val="en-US" w:eastAsia="en-GB"/>
        </w:rPr>
        <w:tab/>
      </w:r>
      <w:r w:rsidR="00A22B9F" w:rsidRPr="00E927E8">
        <w:rPr>
          <w:lang w:val="en-US" w:eastAsia="en-GB"/>
        </w:rPr>
        <w:t>As inne</w:t>
      </w:r>
      <w:r w:rsidR="00A22B9F">
        <w:rPr>
          <w:lang w:val="en-US" w:eastAsia="en-GB"/>
        </w:rPr>
        <w:t>r</w:t>
      </w:r>
      <w:r w:rsidR="00A22B9F" w:rsidRPr="00E927E8">
        <w:rPr>
          <w:lang w:val="en-US" w:eastAsia="en-GB"/>
        </w:rPr>
        <w:t xml:space="preserve"> packaging of combination packagings with a maximum net mass of 40 kg</w:t>
      </w:r>
      <w:r w:rsidR="00662E74">
        <w:rPr>
          <w:lang w:val="en-US" w:eastAsia="en-GB"/>
        </w:rPr>
        <w:t>;</w:t>
      </w:r>
    </w:p>
    <w:p w14:paraId="2D066EEB" w14:textId="7BDAF8EA" w:rsidR="00A22B9F" w:rsidRPr="004953FA" w:rsidRDefault="005D2D12" w:rsidP="009F6578">
      <w:pPr>
        <w:pStyle w:val="SingleTxtG"/>
        <w:ind w:left="1701" w:hanging="567"/>
        <w:rPr>
          <w:lang w:val="en-US" w:eastAsia="en-GB"/>
        </w:rPr>
      </w:pPr>
      <w:r>
        <w:rPr>
          <w:lang w:val="en-US" w:eastAsia="en-GB"/>
        </w:rPr>
        <w:lastRenderedPageBreak/>
        <w:tab/>
      </w:r>
      <w:r>
        <w:rPr>
          <w:lang w:val="en-US" w:eastAsia="en-GB"/>
        </w:rPr>
        <w:tab/>
      </w:r>
      <w:r w:rsidR="009F6578">
        <w:rPr>
          <w:lang w:val="en-US" w:eastAsia="en-GB"/>
        </w:rPr>
        <w:t>(</w:t>
      </w:r>
      <w:r w:rsidR="009C21D3">
        <w:rPr>
          <w:lang w:val="en-US" w:eastAsia="en-GB"/>
        </w:rPr>
        <w:t>c)</w:t>
      </w:r>
      <w:r w:rsidR="009C21D3">
        <w:rPr>
          <w:lang w:val="en-US" w:eastAsia="en-GB"/>
        </w:rPr>
        <w:tab/>
      </w:r>
      <w:r w:rsidR="00A22B9F" w:rsidRPr="004953FA">
        <w:rPr>
          <w:lang w:val="en-US" w:eastAsia="en-GB"/>
        </w:rPr>
        <w:t xml:space="preserve">GHS/CLP and all other mandatory requirements in </w:t>
      </w:r>
      <w:r w:rsidR="000260CB">
        <w:rPr>
          <w:lang w:val="en-US" w:eastAsia="en-GB"/>
        </w:rPr>
        <w:t>RID/</w:t>
      </w:r>
      <w:r w:rsidR="00A22B9F" w:rsidRPr="004953FA">
        <w:rPr>
          <w:lang w:val="en-US" w:eastAsia="en-GB"/>
        </w:rPr>
        <w:t>ADR must continue to be met.</w:t>
      </w:r>
      <w:r w:rsidR="001F6AE8">
        <w:rPr>
          <w:lang w:val="en-US" w:eastAsia="en-GB"/>
        </w:rPr>
        <w:t>"</w:t>
      </w:r>
    </w:p>
    <w:p w14:paraId="2793FAAE" w14:textId="745C6ADB" w:rsidR="00A22B9F" w:rsidRPr="007021B7" w:rsidRDefault="00187AF8" w:rsidP="004760E8">
      <w:pPr>
        <w:pStyle w:val="SingleTxtG"/>
        <w:rPr>
          <w:lang w:val="en-US" w:eastAsia="en-GB"/>
        </w:rPr>
      </w:pPr>
      <w:r>
        <w:t>9.</w:t>
      </w:r>
      <w:r>
        <w:tab/>
      </w:r>
      <w:r w:rsidR="00A22B9F" w:rsidRPr="001D4EF2">
        <w:t>CEPE hope</w:t>
      </w:r>
      <w:r w:rsidR="001F6AE8">
        <w:t>s</w:t>
      </w:r>
      <w:r w:rsidR="00A22B9F" w:rsidRPr="001D4EF2">
        <w:t xml:space="preserve"> that the </w:t>
      </w:r>
      <w:r w:rsidR="00A22B9F">
        <w:t xml:space="preserve">Joint </w:t>
      </w:r>
      <w:r w:rsidR="0062514C">
        <w:t>M</w:t>
      </w:r>
      <w:r w:rsidR="00A22B9F">
        <w:t>eeting</w:t>
      </w:r>
      <w:r w:rsidR="00A22B9F" w:rsidRPr="001D4EF2">
        <w:t xml:space="preserve"> will recognise the importance of the issues raised in this </w:t>
      </w:r>
      <w:r w:rsidR="0062514C">
        <w:t>document</w:t>
      </w:r>
      <w:r w:rsidR="00A22B9F" w:rsidRPr="001D4EF2">
        <w:t xml:space="preserve"> and will be minded to adopt the change </w:t>
      </w:r>
      <w:r w:rsidR="00A2025C">
        <w:t>for</w:t>
      </w:r>
      <w:r w:rsidR="00A22B9F" w:rsidRPr="001D4EF2">
        <w:t xml:space="preserve"> Class 9 products in accordance with the </w:t>
      </w:r>
      <w:r w:rsidR="00C50E9F">
        <w:t>p</w:t>
      </w:r>
      <w:r w:rsidR="00A22B9F" w:rsidRPr="001D4EF2">
        <w:t>roposal</w:t>
      </w:r>
      <w:r w:rsidR="00A22B9F">
        <w:t>.</w:t>
      </w:r>
    </w:p>
    <w:p w14:paraId="4A6A8A21" w14:textId="47B8A75D" w:rsidR="00A22B9F" w:rsidRDefault="00A30993" w:rsidP="00A30993">
      <w:pPr>
        <w:pStyle w:val="HChG"/>
      </w:pPr>
      <w:r>
        <w:tab/>
      </w:r>
      <w:r>
        <w:tab/>
      </w:r>
      <w:r w:rsidR="00A22B9F" w:rsidRPr="001D4EF2">
        <w:t>Justification for Proposal</w:t>
      </w:r>
    </w:p>
    <w:p w14:paraId="21F9FC6C" w14:textId="17EF97DA" w:rsidR="00A22B9F" w:rsidRPr="00241283" w:rsidRDefault="00A30993" w:rsidP="004760E8">
      <w:pPr>
        <w:pStyle w:val="SingleTxtG"/>
        <w:rPr>
          <w:b/>
        </w:rPr>
      </w:pPr>
      <w:r>
        <w:t>10.</w:t>
      </w:r>
      <w:r>
        <w:tab/>
      </w:r>
      <w:r w:rsidR="00A22B9F" w:rsidRPr="00241283">
        <w:t xml:space="preserve">Paint and printing inks are extremely high volume commodities in the global marketplace. Current data suggests that some 50% of the paint and printing ink shipped is water-borne, a high percentage of which will now be regulated in Class 9. In the European Union alone, this is estimated to exceed some </w:t>
      </w:r>
      <w:r w:rsidR="00C64061">
        <w:t>five</w:t>
      </w:r>
      <w:r w:rsidR="00A22B9F" w:rsidRPr="00241283">
        <w:t xml:space="preserve"> million tonnes per annum. These water-borne and high flash-point products have historically been transported as unregulated products, as they presented little or no safety risk, when compared with those of PG III for flammability or corrosivity.</w:t>
      </w:r>
    </w:p>
    <w:p w14:paraId="7E6E0ED2" w14:textId="760B9958" w:rsidR="00A22B9F" w:rsidRDefault="00A30993" w:rsidP="004760E8">
      <w:pPr>
        <w:pStyle w:val="SingleTxtG"/>
      </w:pPr>
      <w:r>
        <w:t>11.</w:t>
      </w:r>
      <w:r>
        <w:tab/>
      </w:r>
      <w:r w:rsidR="00A22B9F" w:rsidRPr="00241283">
        <w:t xml:space="preserve">A transitional period </w:t>
      </w:r>
      <w:r w:rsidR="00A22B9F" w:rsidRPr="00241283">
        <w:rPr>
          <w:lang w:val="en-US" w:eastAsia="en-GB"/>
        </w:rPr>
        <w:t>for</w:t>
      </w:r>
      <w:r w:rsidR="00A22B9F" w:rsidRPr="00241283">
        <w:t xml:space="preserve"> paints, printing inks and related materials</w:t>
      </w:r>
      <w:r w:rsidR="00E0325A">
        <w:t>,</w:t>
      </w:r>
      <w:r w:rsidR="00A22B9F" w:rsidRPr="00241283">
        <w:t xml:space="preserve"> which will now be assigned to UN</w:t>
      </w:r>
      <w:r w:rsidR="00E0325A">
        <w:t xml:space="preserve"> </w:t>
      </w:r>
      <w:r w:rsidR="00A22B9F" w:rsidRPr="00241283">
        <w:t>3082, PG III</w:t>
      </w:r>
      <w:r w:rsidR="00716455">
        <w:t>,</w:t>
      </w:r>
      <w:r w:rsidR="00A22B9F" w:rsidRPr="00241283">
        <w:t xml:space="preserve"> would ensure industry are able to continue transporting these materials whilst the necessary changes are made to the formulation or packaging without prejudicing safety or the work of emergency responders.</w:t>
      </w:r>
    </w:p>
    <w:p w14:paraId="65FBE7F4" w14:textId="0BFE6A63" w:rsidR="00A30993" w:rsidRPr="00A30993" w:rsidRDefault="00A30993" w:rsidP="00A30993">
      <w:pPr>
        <w:spacing w:before="240"/>
        <w:jc w:val="center"/>
        <w:rPr>
          <w:u w:val="single"/>
        </w:rPr>
      </w:pPr>
      <w:r>
        <w:rPr>
          <w:u w:val="single"/>
        </w:rPr>
        <w:tab/>
      </w:r>
      <w:r>
        <w:rPr>
          <w:u w:val="single"/>
        </w:rPr>
        <w:tab/>
      </w:r>
      <w:r>
        <w:rPr>
          <w:u w:val="single"/>
        </w:rPr>
        <w:tab/>
      </w:r>
    </w:p>
    <w:sectPr w:rsidR="00A30993" w:rsidRPr="00A30993" w:rsidSect="00B922A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22FC5" w14:textId="77777777" w:rsidR="002040F8" w:rsidRDefault="002040F8"/>
  </w:endnote>
  <w:endnote w:type="continuationSeparator" w:id="0">
    <w:p w14:paraId="150A84F8" w14:textId="77777777" w:rsidR="002040F8" w:rsidRDefault="002040F8"/>
  </w:endnote>
  <w:endnote w:type="continuationNotice" w:id="1">
    <w:p w14:paraId="2B13B090" w14:textId="77777777" w:rsidR="002040F8" w:rsidRDefault="00204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A3B5" w14:textId="596FCA14" w:rsidR="00B922A5" w:rsidRPr="00B922A5" w:rsidRDefault="00B922A5" w:rsidP="00B922A5">
    <w:pPr>
      <w:pStyle w:val="Footer"/>
      <w:tabs>
        <w:tab w:val="right" w:pos="9638"/>
      </w:tabs>
      <w:rPr>
        <w:sz w:val="18"/>
      </w:rPr>
    </w:pPr>
    <w:r w:rsidRPr="00B922A5">
      <w:rPr>
        <w:b/>
        <w:sz w:val="18"/>
      </w:rPr>
      <w:fldChar w:fldCharType="begin"/>
    </w:r>
    <w:r w:rsidRPr="00B922A5">
      <w:rPr>
        <w:b/>
        <w:sz w:val="18"/>
      </w:rPr>
      <w:instrText xml:space="preserve"> PAGE  \* MERGEFORMAT </w:instrText>
    </w:r>
    <w:r w:rsidRPr="00B922A5">
      <w:rPr>
        <w:b/>
        <w:sz w:val="18"/>
      </w:rPr>
      <w:fldChar w:fldCharType="separate"/>
    </w:r>
    <w:r w:rsidR="00A60CA8">
      <w:rPr>
        <w:b/>
        <w:noProof/>
        <w:sz w:val="18"/>
      </w:rPr>
      <w:t>2</w:t>
    </w:r>
    <w:r w:rsidRPr="00B922A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2C37" w14:textId="34835AB7" w:rsidR="00B922A5" w:rsidRPr="00B922A5" w:rsidRDefault="00B922A5" w:rsidP="00B922A5">
    <w:pPr>
      <w:pStyle w:val="Footer"/>
      <w:tabs>
        <w:tab w:val="right" w:pos="9638"/>
      </w:tabs>
      <w:rPr>
        <w:b/>
        <w:sz w:val="18"/>
      </w:rPr>
    </w:pPr>
    <w:r>
      <w:tab/>
    </w:r>
    <w:r w:rsidRPr="00B922A5">
      <w:rPr>
        <w:b/>
        <w:sz w:val="18"/>
      </w:rPr>
      <w:fldChar w:fldCharType="begin"/>
    </w:r>
    <w:r w:rsidRPr="00B922A5">
      <w:rPr>
        <w:b/>
        <w:sz w:val="18"/>
      </w:rPr>
      <w:instrText xml:space="preserve"> PAGE  \* MERGEFORMAT </w:instrText>
    </w:r>
    <w:r w:rsidRPr="00B922A5">
      <w:rPr>
        <w:b/>
        <w:sz w:val="18"/>
      </w:rPr>
      <w:fldChar w:fldCharType="separate"/>
    </w:r>
    <w:r w:rsidR="00A60CA8">
      <w:rPr>
        <w:b/>
        <w:noProof/>
        <w:sz w:val="18"/>
      </w:rPr>
      <w:t>3</w:t>
    </w:r>
    <w:r w:rsidRPr="00B922A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7A8A6" w14:textId="77777777" w:rsidR="002040F8" w:rsidRPr="000B175B" w:rsidRDefault="002040F8" w:rsidP="000B175B">
      <w:pPr>
        <w:tabs>
          <w:tab w:val="right" w:pos="2155"/>
        </w:tabs>
        <w:spacing w:after="80"/>
        <w:ind w:left="680"/>
        <w:rPr>
          <w:u w:val="single"/>
        </w:rPr>
      </w:pPr>
      <w:r>
        <w:rPr>
          <w:u w:val="single"/>
        </w:rPr>
        <w:tab/>
      </w:r>
    </w:p>
  </w:footnote>
  <w:footnote w:type="continuationSeparator" w:id="0">
    <w:p w14:paraId="3A0D5055" w14:textId="77777777" w:rsidR="002040F8" w:rsidRPr="00FC68B7" w:rsidRDefault="002040F8" w:rsidP="00FC68B7">
      <w:pPr>
        <w:tabs>
          <w:tab w:val="left" w:pos="2155"/>
        </w:tabs>
        <w:spacing w:after="80"/>
        <w:ind w:left="680"/>
        <w:rPr>
          <w:u w:val="single"/>
        </w:rPr>
      </w:pPr>
      <w:r>
        <w:rPr>
          <w:u w:val="single"/>
        </w:rPr>
        <w:tab/>
      </w:r>
    </w:p>
  </w:footnote>
  <w:footnote w:type="continuationNotice" w:id="1">
    <w:p w14:paraId="57DCE23F" w14:textId="77777777" w:rsidR="002040F8" w:rsidRDefault="002040F8"/>
  </w:footnote>
  <w:footnote w:id="2">
    <w:p w14:paraId="784850E8" w14:textId="77777777" w:rsidR="00B27294" w:rsidRPr="001F6AE8" w:rsidRDefault="00B27294" w:rsidP="00B27294">
      <w:pPr>
        <w:pStyle w:val="FootnoteText"/>
        <w:rPr>
          <w:lang w:val="en-US"/>
        </w:rPr>
      </w:pPr>
      <w:r>
        <w:tab/>
      </w:r>
      <w:r>
        <w:rPr>
          <w:rStyle w:val="FootnoteReference"/>
          <w:sz w:val="20"/>
        </w:rPr>
        <w:sym w:font="Symbol" w:char="F02A"/>
      </w:r>
      <w:r>
        <w:tab/>
        <w:t>A/75/6 (Sect.20), para 20.51.</w:t>
      </w:r>
    </w:p>
  </w:footnote>
  <w:footnote w:id="3">
    <w:p w14:paraId="0954C6DA" w14:textId="4D606B99" w:rsidR="00B27294" w:rsidRPr="001F6AE8" w:rsidRDefault="00B27294" w:rsidP="00B27294">
      <w:pPr>
        <w:pStyle w:val="FootnoteText"/>
        <w:rPr>
          <w:lang w:val="en-US"/>
        </w:rPr>
      </w:pPr>
      <w:r>
        <w:tab/>
      </w:r>
      <w:r>
        <w:rPr>
          <w:rStyle w:val="FootnoteReference"/>
          <w:sz w:val="20"/>
        </w:rPr>
        <w:sym w:font="Symbol" w:char="F02A"/>
      </w:r>
      <w:r>
        <w:rPr>
          <w:rStyle w:val="FootnoteReference"/>
          <w:sz w:val="20"/>
        </w:rPr>
        <w:sym w:font="Symbol" w:char="F02A"/>
      </w:r>
      <w:r>
        <w:tab/>
      </w:r>
      <w:r>
        <w:rPr>
          <w:szCs w:val="18"/>
        </w:rPr>
        <w:t>Circulated by the Intergovernmental Organisation for International Carriage by Rail (OTIF) under the symbol OTIF/RID/RC/2021/37</w:t>
      </w:r>
      <w:r>
        <w:t>.</w:t>
      </w:r>
    </w:p>
  </w:footnote>
  <w:footnote w:id="4">
    <w:p w14:paraId="145D4255" w14:textId="151B19C8" w:rsidR="00B27294" w:rsidRPr="001F6AE8" w:rsidRDefault="00B27294" w:rsidP="00B27294">
      <w:pPr>
        <w:pStyle w:val="FootnoteText"/>
        <w:rPr>
          <w:lang w:val="en-US"/>
        </w:rPr>
      </w:pPr>
      <w:r>
        <w:tab/>
      </w:r>
      <w:r>
        <w:rPr>
          <w:rStyle w:val="FootnoteReference"/>
          <w:sz w:val="20"/>
        </w:rPr>
        <w:sym w:font="Symbol" w:char="F02A"/>
      </w:r>
      <w:r>
        <w:rPr>
          <w:rStyle w:val="FootnoteReference"/>
          <w:sz w:val="20"/>
        </w:rPr>
        <w:sym w:font="Symbol" w:char="F02A"/>
      </w:r>
      <w:r>
        <w:rPr>
          <w:rStyle w:val="FootnoteReference"/>
          <w:sz w:val="20"/>
        </w:rPr>
        <w:sym w:font="Symbol" w:char="F02A"/>
      </w:r>
      <w:r>
        <w:tab/>
      </w:r>
      <w:r>
        <w:rPr>
          <w:lang w:val="en-US"/>
        </w:rPr>
        <w:t>This document was scheduled for publication after the standard publication date owing to circumstances beyond the submitter’s control.</w:t>
      </w:r>
    </w:p>
  </w:footnote>
  <w:footnote w:id="5">
    <w:p w14:paraId="133FDC53" w14:textId="4C6A7AD6" w:rsidR="00A22B9F" w:rsidRPr="001F6AE8" w:rsidRDefault="009C21D3" w:rsidP="00A22B9F">
      <w:pPr>
        <w:pStyle w:val="FootnoteText"/>
        <w:rPr>
          <w:lang w:val="fr-FR"/>
        </w:rPr>
      </w:pPr>
      <w:r>
        <w:tab/>
      </w:r>
      <w:r>
        <w:tab/>
      </w:r>
      <w:r w:rsidR="00A22B9F">
        <w:rPr>
          <w:rStyle w:val="FootnoteReference"/>
        </w:rPr>
        <w:footnoteRef/>
      </w:r>
      <w:r w:rsidRPr="001F6AE8">
        <w:rPr>
          <w:lang w:val="fr-FR"/>
        </w:rPr>
        <w:tab/>
      </w:r>
      <w:r w:rsidR="00A22B9F" w:rsidRPr="001F6AE8">
        <w:rPr>
          <w:lang w:val="fr-FR"/>
        </w:rPr>
        <w:t>Commission Delegated Regulation (EU) 2020/1182 (</w:t>
      </w:r>
      <w:hyperlink r:id="rId1" w:history="1">
        <w:r w:rsidR="00A22B9F" w:rsidRPr="001F6AE8">
          <w:rPr>
            <w:rStyle w:val="Hyperlink"/>
            <w:lang w:val="fr-FR"/>
          </w:rPr>
          <w:t>EUR-Lex - 32020R1182 - EN - EUR-Lex (europa.eu)</w:t>
        </w:r>
      </w:hyperlink>
      <w:r w:rsidR="00A22B9F" w:rsidRPr="001F6AE8">
        <w:rPr>
          <w:lang w:val="fr-FR"/>
        </w:rPr>
        <w:t>)</w:t>
      </w:r>
      <w:r w:rsidR="00187AF8" w:rsidRPr="001F6AE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FA50" w14:textId="6BCDE4B4" w:rsidR="00B922A5" w:rsidRPr="00B922A5" w:rsidRDefault="00F36BBF">
    <w:pPr>
      <w:pStyle w:val="Header"/>
    </w:pPr>
    <w:r>
      <w:fldChar w:fldCharType="begin"/>
    </w:r>
    <w:r>
      <w:instrText xml:space="preserve"> TITLE  \* MERGEFORMAT </w:instrText>
    </w:r>
    <w:r>
      <w:fldChar w:fldCharType="separate"/>
    </w:r>
    <w:r w:rsidR="00B922A5">
      <w:t>ECE/TRANS/WP.15/AC.1/2021/37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E4EB" w14:textId="62EA8338" w:rsidR="00B922A5" w:rsidRPr="00B922A5" w:rsidRDefault="00F36BBF" w:rsidP="00B922A5">
    <w:pPr>
      <w:pStyle w:val="Header"/>
      <w:jc w:val="right"/>
    </w:pPr>
    <w:r>
      <w:fldChar w:fldCharType="begin"/>
    </w:r>
    <w:r>
      <w:instrText xml:space="preserve"> TITLE  \* MERGEFORMAT </w:instrText>
    </w:r>
    <w:r>
      <w:fldChar w:fldCharType="separate"/>
    </w:r>
    <w:r w:rsidR="00B922A5">
      <w:t>ECE/TRANS/WP.15/AC.1/2021/37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9C0D17"/>
    <w:multiLevelType w:val="hybridMultilevel"/>
    <w:tmpl w:val="50D8F1B6"/>
    <w:lvl w:ilvl="0" w:tplc="52481FE8">
      <w:start w:val="1"/>
      <w:numFmt w:val="decimal"/>
      <w:lvlText w:val="%1."/>
      <w:lvlJc w:val="left"/>
      <w:pPr>
        <w:ind w:left="786"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13832"/>
    <w:multiLevelType w:val="hybridMultilevel"/>
    <w:tmpl w:val="C928A9B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1"/>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US" w:vendorID="64" w:dllVersion="6" w:nlCheck="1" w:checkStyle="0"/>
  <w:activeWritingStyle w:appName="MSWord" w:lang="fr-FR"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A5"/>
    <w:rsid w:val="00002A7D"/>
    <w:rsid w:val="000038A8"/>
    <w:rsid w:val="00006790"/>
    <w:rsid w:val="000260CB"/>
    <w:rsid w:val="00027624"/>
    <w:rsid w:val="00050F6B"/>
    <w:rsid w:val="000678CD"/>
    <w:rsid w:val="00072C8C"/>
    <w:rsid w:val="000776CC"/>
    <w:rsid w:val="00081CE0"/>
    <w:rsid w:val="00084D30"/>
    <w:rsid w:val="000852DD"/>
    <w:rsid w:val="00090320"/>
    <w:rsid w:val="000931C0"/>
    <w:rsid w:val="0009732C"/>
    <w:rsid w:val="000A01F9"/>
    <w:rsid w:val="000A2E09"/>
    <w:rsid w:val="000B175B"/>
    <w:rsid w:val="000B3A0F"/>
    <w:rsid w:val="000E0415"/>
    <w:rsid w:val="000F7715"/>
    <w:rsid w:val="001241A5"/>
    <w:rsid w:val="001301D2"/>
    <w:rsid w:val="001345B7"/>
    <w:rsid w:val="00135104"/>
    <w:rsid w:val="00156B99"/>
    <w:rsid w:val="00162CAB"/>
    <w:rsid w:val="00166124"/>
    <w:rsid w:val="00184DDA"/>
    <w:rsid w:val="00187AF8"/>
    <w:rsid w:val="001900CD"/>
    <w:rsid w:val="001A0452"/>
    <w:rsid w:val="001B4B04"/>
    <w:rsid w:val="001B5875"/>
    <w:rsid w:val="001C4B9C"/>
    <w:rsid w:val="001C6663"/>
    <w:rsid w:val="001C7895"/>
    <w:rsid w:val="001D26DF"/>
    <w:rsid w:val="001F1599"/>
    <w:rsid w:val="001F19C4"/>
    <w:rsid w:val="001F6AE8"/>
    <w:rsid w:val="002040F8"/>
    <w:rsid w:val="002043F0"/>
    <w:rsid w:val="00207F33"/>
    <w:rsid w:val="00211E0B"/>
    <w:rsid w:val="00223AED"/>
    <w:rsid w:val="00232575"/>
    <w:rsid w:val="00247258"/>
    <w:rsid w:val="00247AE0"/>
    <w:rsid w:val="00251D3A"/>
    <w:rsid w:val="0025797D"/>
    <w:rsid w:val="00257CAC"/>
    <w:rsid w:val="00264441"/>
    <w:rsid w:val="0027237A"/>
    <w:rsid w:val="002974E9"/>
    <w:rsid w:val="002A7F94"/>
    <w:rsid w:val="002B109A"/>
    <w:rsid w:val="002C6D45"/>
    <w:rsid w:val="002D6E53"/>
    <w:rsid w:val="002F046D"/>
    <w:rsid w:val="002F3023"/>
    <w:rsid w:val="00301764"/>
    <w:rsid w:val="00317335"/>
    <w:rsid w:val="003229D8"/>
    <w:rsid w:val="00336C97"/>
    <w:rsid w:val="00337F88"/>
    <w:rsid w:val="00342432"/>
    <w:rsid w:val="0035223F"/>
    <w:rsid w:val="00352D4B"/>
    <w:rsid w:val="0035638C"/>
    <w:rsid w:val="003A46BB"/>
    <w:rsid w:val="003A4EC7"/>
    <w:rsid w:val="003A7295"/>
    <w:rsid w:val="003B1F60"/>
    <w:rsid w:val="003C2CC4"/>
    <w:rsid w:val="003D4B23"/>
    <w:rsid w:val="003E03E4"/>
    <w:rsid w:val="003E278A"/>
    <w:rsid w:val="003E2DA9"/>
    <w:rsid w:val="00405DB4"/>
    <w:rsid w:val="00413520"/>
    <w:rsid w:val="004325CB"/>
    <w:rsid w:val="00440A07"/>
    <w:rsid w:val="00462880"/>
    <w:rsid w:val="004760E8"/>
    <w:rsid w:val="00476F24"/>
    <w:rsid w:val="0049757D"/>
    <w:rsid w:val="004C55B0"/>
    <w:rsid w:val="004D0583"/>
    <w:rsid w:val="004F66AB"/>
    <w:rsid w:val="004F6BA0"/>
    <w:rsid w:val="00503BEA"/>
    <w:rsid w:val="00533616"/>
    <w:rsid w:val="00535ABA"/>
    <w:rsid w:val="0053768B"/>
    <w:rsid w:val="005420F2"/>
    <w:rsid w:val="0054285C"/>
    <w:rsid w:val="00584173"/>
    <w:rsid w:val="00595520"/>
    <w:rsid w:val="005A44B9"/>
    <w:rsid w:val="005B1BA0"/>
    <w:rsid w:val="005B3DB3"/>
    <w:rsid w:val="005D0263"/>
    <w:rsid w:val="005D15CA"/>
    <w:rsid w:val="005D2D12"/>
    <w:rsid w:val="005D7969"/>
    <w:rsid w:val="005F08DF"/>
    <w:rsid w:val="005F3066"/>
    <w:rsid w:val="005F3E61"/>
    <w:rsid w:val="00604849"/>
    <w:rsid w:val="00604DDD"/>
    <w:rsid w:val="00610761"/>
    <w:rsid w:val="006115CC"/>
    <w:rsid w:val="00611FC4"/>
    <w:rsid w:val="006176FB"/>
    <w:rsid w:val="0062514C"/>
    <w:rsid w:val="00630FCB"/>
    <w:rsid w:val="00640B26"/>
    <w:rsid w:val="0065766B"/>
    <w:rsid w:val="00662E74"/>
    <w:rsid w:val="006770B2"/>
    <w:rsid w:val="006835B7"/>
    <w:rsid w:val="00686A48"/>
    <w:rsid w:val="006940E1"/>
    <w:rsid w:val="006A3C72"/>
    <w:rsid w:val="006A7392"/>
    <w:rsid w:val="006B03A1"/>
    <w:rsid w:val="006B67D9"/>
    <w:rsid w:val="006C5535"/>
    <w:rsid w:val="006D0589"/>
    <w:rsid w:val="006D2967"/>
    <w:rsid w:val="006E564B"/>
    <w:rsid w:val="006E7154"/>
    <w:rsid w:val="006F7B81"/>
    <w:rsid w:val="007003CD"/>
    <w:rsid w:val="0070701E"/>
    <w:rsid w:val="00716455"/>
    <w:rsid w:val="0072632A"/>
    <w:rsid w:val="007358E8"/>
    <w:rsid w:val="00736ECE"/>
    <w:rsid w:val="00737588"/>
    <w:rsid w:val="0074149C"/>
    <w:rsid w:val="007450E8"/>
    <w:rsid w:val="0074533B"/>
    <w:rsid w:val="00754D10"/>
    <w:rsid w:val="00761D81"/>
    <w:rsid w:val="007643BC"/>
    <w:rsid w:val="00780C68"/>
    <w:rsid w:val="00783500"/>
    <w:rsid w:val="007959FE"/>
    <w:rsid w:val="007A0CF1"/>
    <w:rsid w:val="007A478E"/>
    <w:rsid w:val="007B6BA5"/>
    <w:rsid w:val="007C3390"/>
    <w:rsid w:val="007C42D8"/>
    <w:rsid w:val="007C4F4B"/>
    <w:rsid w:val="007D006C"/>
    <w:rsid w:val="007D7362"/>
    <w:rsid w:val="007F5CE2"/>
    <w:rsid w:val="007F6611"/>
    <w:rsid w:val="00800522"/>
    <w:rsid w:val="00810BAC"/>
    <w:rsid w:val="008175E9"/>
    <w:rsid w:val="008242D7"/>
    <w:rsid w:val="0082577B"/>
    <w:rsid w:val="008272DD"/>
    <w:rsid w:val="00833260"/>
    <w:rsid w:val="00861AB9"/>
    <w:rsid w:val="00866893"/>
    <w:rsid w:val="00866F02"/>
    <w:rsid w:val="00867D18"/>
    <w:rsid w:val="00871F9A"/>
    <w:rsid w:val="00871FD5"/>
    <w:rsid w:val="0088172E"/>
    <w:rsid w:val="00881EFA"/>
    <w:rsid w:val="008879CB"/>
    <w:rsid w:val="008979B1"/>
    <w:rsid w:val="008A6B25"/>
    <w:rsid w:val="008A6C4F"/>
    <w:rsid w:val="008A77AE"/>
    <w:rsid w:val="008B389E"/>
    <w:rsid w:val="008B5909"/>
    <w:rsid w:val="008B70F3"/>
    <w:rsid w:val="008D045E"/>
    <w:rsid w:val="008D3F25"/>
    <w:rsid w:val="008D4D82"/>
    <w:rsid w:val="008E0011"/>
    <w:rsid w:val="008E0E46"/>
    <w:rsid w:val="008E7116"/>
    <w:rsid w:val="008F143B"/>
    <w:rsid w:val="008F3882"/>
    <w:rsid w:val="008F4B7C"/>
    <w:rsid w:val="00924ECD"/>
    <w:rsid w:val="00926E47"/>
    <w:rsid w:val="00937BB4"/>
    <w:rsid w:val="00947162"/>
    <w:rsid w:val="00956E22"/>
    <w:rsid w:val="009610D0"/>
    <w:rsid w:val="0096375C"/>
    <w:rsid w:val="009658F7"/>
    <w:rsid w:val="009662E6"/>
    <w:rsid w:val="0097095E"/>
    <w:rsid w:val="00981E57"/>
    <w:rsid w:val="0098592B"/>
    <w:rsid w:val="00985FC4"/>
    <w:rsid w:val="00990766"/>
    <w:rsid w:val="00991261"/>
    <w:rsid w:val="009964C4"/>
    <w:rsid w:val="009A7B81"/>
    <w:rsid w:val="009C21D3"/>
    <w:rsid w:val="009D01C0"/>
    <w:rsid w:val="009D6A08"/>
    <w:rsid w:val="009E0A16"/>
    <w:rsid w:val="009E1DB6"/>
    <w:rsid w:val="009E6CB7"/>
    <w:rsid w:val="009E7970"/>
    <w:rsid w:val="009F2EAC"/>
    <w:rsid w:val="009F57E3"/>
    <w:rsid w:val="009F6578"/>
    <w:rsid w:val="00A10F4F"/>
    <w:rsid w:val="00A11067"/>
    <w:rsid w:val="00A1704A"/>
    <w:rsid w:val="00A2025C"/>
    <w:rsid w:val="00A22B9F"/>
    <w:rsid w:val="00A2422A"/>
    <w:rsid w:val="00A30993"/>
    <w:rsid w:val="00A425EB"/>
    <w:rsid w:val="00A60CA8"/>
    <w:rsid w:val="00A72F22"/>
    <w:rsid w:val="00A733BC"/>
    <w:rsid w:val="00A748A6"/>
    <w:rsid w:val="00A76A69"/>
    <w:rsid w:val="00A80BD8"/>
    <w:rsid w:val="00A879A4"/>
    <w:rsid w:val="00AA0FF8"/>
    <w:rsid w:val="00AA5AE0"/>
    <w:rsid w:val="00AC0F2C"/>
    <w:rsid w:val="00AC502A"/>
    <w:rsid w:val="00AF480A"/>
    <w:rsid w:val="00AF58C1"/>
    <w:rsid w:val="00B02A28"/>
    <w:rsid w:val="00B04A3F"/>
    <w:rsid w:val="00B06643"/>
    <w:rsid w:val="00B15055"/>
    <w:rsid w:val="00B163A6"/>
    <w:rsid w:val="00B20551"/>
    <w:rsid w:val="00B22FF5"/>
    <w:rsid w:val="00B27294"/>
    <w:rsid w:val="00B30179"/>
    <w:rsid w:val="00B33FC7"/>
    <w:rsid w:val="00B37B15"/>
    <w:rsid w:val="00B429F3"/>
    <w:rsid w:val="00B45C02"/>
    <w:rsid w:val="00B5192D"/>
    <w:rsid w:val="00B70B63"/>
    <w:rsid w:val="00B72A1E"/>
    <w:rsid w:val="00B81E12"/>
    <w:rsid w:val="00B922A5"/>
    <w:rsid w:val="00BA2333"/>
    <w:rsid w:val="00BA339B"/>
    <w:rsid w:val="00BA5624"/>
    <w:rsid w:val="00BB23CC"/>
    <w:rsid w:val="00BC1E7E"/>
    <w:rsid w:val="00BC74E9"/>
    <w:rsid w:val="00BE36A9"/>
    <w:rsid w:val="00BE618E"/>
    <w:rsid w:val="00BE7BEC"/>
    <w:rsid w:val="00BF0A5A"/>
    <w:rsid w:val="00BF0E63"/>
    <w:rsid w:val="00BF12A3"/>
    <w:rsid w:val="00BF16D7"/>
    <w:rsid w:val="00BF2373"/>
    <w:rsid w:val="00BF5E77"/>
    <w:rsid w:val="00C0294F"/>
    <w:rsid w:val="00C044E2"/>
    <w:rsid w:val="00C048CB"/>
    <w:rsid w:val="00C066F3"/>
    <w:rsid w:val="00C072C9"/>
    <w:rsid w:val="00C408B7"/>
    <w:rsid w:val="00C411EB"/>
    <w:rsid w:val="00C463DD"/>
    <w:rsid w:val="00C4772B"/>
    <w:rsid w:val="00C50E9F"/>
    <w:rsid w:val="00C52F71"/>
    <w:rsid w:val="00C64061"/>
    <w:rsid w:val="00C745C3"/>
    <w:rsid w:val="00C803E2"/>
    <w:rsid w:val="00C978F5"/>
    <w:rsid w:val="00CA24A4"/>
    <w:rsid w:val="00CB348D"/>
    <w:rsid w:val="00CD46F5"/>
    <w:rsid w:val="00CD64EA"/>
    <w:rsid w:val="00CE4A8F"/>
    <w:rsid w:val="00CE78F6"/>
    <w:rsid w:val="00CF071D"/>
    <w:rsid w:val="00D0123D"/>
    <w:rsid w:val="00D03C72"/>
    <w:rsid w:val="00D15B04"/>
    <w:rsid w:val="00D2031B"/>
    <w:rsid w:val="00D25691"/>
    <w:rsid w:val="00D25FE2"/>
    <w:rsid w:val="00D2762E"/>
    <w:rsid w:val="00D368BE"/>
    <w:rsid w:val="00D37DA9"/>
    <w:rsid w:val="00D406A7"/>
    <w:rsid w:val="00D40765"/>
    <w:rsid w:val="00D43252"/>
    <w:rsid w:val="00D44D86"/>
    <w:rsid w:val="00D506C2"/>
    <w:rsid w:val="00D50B7D"/>
    <w:rsid w:val="00D52012"/>
    <w:rsid w:val="00D57B33"/>
    <w:rsid w:val="00D60572"/>
    <w:rsid w:val="00D63352"/>
    <w:rsid w:val="00D704E5"/>
    <w:rsid w:val="00D72727"/>
    <w:rsid w:val="00D978C6"/>
    <w:rsid w:val="00DA0956"/>
    <w:rsid w:val="00DA357F"/>
    <w:rsid w:val="00DA3E12"/>
    <w:rsid w:val="00DA72F5"/>
    <w:rsid w:val="00DB0C6C"/>
    <w:rsid w:val="00DC18AD"/>
    <w:rsid w:val="00DE2680"/>
    <w:rsid w:val="00DF7CAE"/>
    <w:rsid w:val="00E0325A"/>
    <w:rsid w:val="00E423C0"/>
    <w:rsid w:val="00E6414C"/>
    <w:rsid w:val="00E7260F"/>
    <w:rsid w:val="00E8702D"/>
    <w:rsid w:val="00E905F4"/>
    <w:rsid w:val="00E916A9"/>
    <w:rsid w:val="00E916DE"/>
    <w:rsid w:val="00E925AD"/>
    <w:rsid w:val="00E96630"/>
    <w:rsid w:val="00EA2543"/>
    <w:rsid w:val="00ED15BB"/>
    <w:rsid w:val="00ED18DC"/>
    <w:rsid w:val="00ED6201"/>
    <w:rsid w:val="00ED7A2A"/>
    <w:rsid w:val="00EF1D7F"/>
    <w:rsid w:val="00F0137E"/>
    <w:rsid w:val="00F1199F"/>
    <w:rsid w:val="00F21786"/>
    <w:rsid w:val="00F36BBF"/>
    <w:rsid w:val="00F3742B"/>
    <w:rsid w:val="00F41FDB"/>
    <w:rsid w:val="00F50596"/>
    <w:rsid w:val="00F56D63"/>
    <w:rsid w:val="00F609A9"/>
    <w:rsid w:val="00F80C99"/>
    <w:rsid w:val="00F867EC"/>
    <w:rsid w:val="00F91B2B"/>
    <w:rsid w:val="00FC03CD"/>
    <w:rsid w:val="00FC0646"/>
    <w:rsid w:val="00FC2154"/>
    <w:rsid w:val="00FC68B7"/>
    <w:rsid w:val="00FE6985"/>
    <w:rsid w:val="00FF5B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20889"/>
  <w15:docId w15:val="{5064BE2D-2467-4D67-BE94-8CF1A7C0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A22B9F"/>
    <w:rPr>
      <w:b/>
      <w:sz w:val="28"/>
      <w:lang w:val="en-GB"/>
    </w:rPr>
  </w:style>
  <w:style w:type="character" w:customStyle="1" w:styleId="FootnoteTextChar">
    <w:name w:val="Footnote Text Char"/>
    <w:aliases w:val="5_G Char,5_GR Char"/>
    <w:link w:val="FootnoteText"/>
    <w:rsid w:val="00A22B9F"/>
    <w:rPr>
      <w:sz w:val="18"/>
      <w:lang w:val="en-GB"/>
    </w:rPr>
  </w:style>
  <w:style w:type="paragraph" w:styleId="ListParagraph">
    <w:name w:val="List Paragraph"/>
    <w:basedOn w:val="Normal"/>
    <w:uiPriority w:val="34"/>
    <w:qFormat/>
    <w:rsid w:val="00A22B9F"/>
    <w:pPr>
      <w:ind w:left="720"/>
    </w:pPr>
    <w:rPr>
      <w:lang w:eastAsia="en-US"/>
    </w:rPr>
  </w:style>
  <w:style w:type="character" w:customStyle="1" w:styleId="apple-converted-space">
    <w:name w:val="apple-converted-space"/>
    <w:basedOn w:val="DefaultParagraphFont"/>
    <w:rsid w:val="00A2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05517">
      <w:bodyDiv w:val="1"/>
      <w:marLeft w:val="0"/>
      <w:marRight w:val="0"/>
      <w:marTop w:val="0"/>
      <w:marBottom w:val="0"/>
      <w:divBdr>
        <w:top w:val="none" w:sz="0" w:space="0" w:color="auto"/>
        <w:left w:val="none" w:sz="0" w:space="0" w:color="auto"/>
        <w:bottom w:val="none" w:sz="0" w:space="0" w:color="auto"/>
        <w:right w:val="none" w:sz="0" w:space="0" w:color="auto"/>
      </w:divBdr>
    </w:div>
    <w:div w:id="1646199535">
      <w:bodyDiv w:val="1"/>
      <w:marLeft w:val="0"/>
      <w:marRight w:val="0"/>
      <w:marTop w:val="0"/>
      <w:marBottom w:val="0"/>
      <w:divBdr>
        <w:top w:val="none" w:sz="0" w:space="0" w:color="auto"/>
        <w:left w:val="none" w:sz="0" w:space="0" w:color="auto"/>
        <w:bottom w:val="none" w:sz="0" w:space="0" w:color="auto"/>
        <w:right w:val="none" w:sz="0" w:space="0" w:color="auto"/>
      </w:divBdr>
    </w:div>
    <w:div w:id="19503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2020R11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969F2-9DDC-4493-99C7-3E90AE17441A}">
  <ds:schemaRefs>
    <ds:schemaRef ds:uri="http://schemas.openxmlformats.org/officeDocument/2006/bibliography"/>
  </ds:schemaRefs>
</ds:datastoreItem>
</file>

<file path=customXml/itemProps2.xml><?xml version="1.0" encoding="utf-8"?>
<ds:datastoreItem xmlns:ds="http://schemas.openxmlformats.org/officeDocument/2006/customXml" ds:itemID="{5C691D3F-5F51-4B7C-8190-8B6458C2C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556F0-57AF-4FE4-8306-9648B2086630}">
  <ds:schemaRefs>
    <ds:schemaRef ds:uri="http://schemas.microsoft.com/office/infopath/2007/PartnerControls"/>
    <ds:schemaRef ds:uri="http://purl.org/dc/terms/"/>
    <ds:schemaRef ds:uri="http://schemas.microsoft.com/office/2006/documentManagement/types"/>
    <ds:schemaRef ds:uri="4b4a1c0d-4a69-4996-a84a-fc699b9f49de"/>
    <ds:schemaRef ds:uri="http://purl.org/dc/elements/1.1/"/>
    <ds:schemaRef ds:uri="http://schemas.microsoft.com/office/2006/metadata/properties"/>
    <ds:schemaRef ds:uri="http://schemas.openxmlformats.org/package/2006/metadata/core-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A5DBB9FB-CA1B-4366-92F6-48AD77639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3</Pages>
  <Words>1051</Words>
  <Characters>5992</Characters>
  <Application>Microsoft Office Word</Application>
  <DocSecurity>0</DocSecurity>
  <Lines>49</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ECE/TRANS/WP.15/AC.1/2021/37</vt:lpstr>
      <vt:lpstr/>
      <vt:lpstr>United Nations</vt:lpstr>
    </vt:vector>
  </TitlesOfParts>
  <Company>CSD</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ECE/TRANS/WP.15/AC.1/2021/37</dc:title>
  <dc:creator>Christine Barrio-Champeau</dc:creator>
  <cp:lastModifiedBy>Christine Barrio-Champeau</cp:lastModifiedBy>
  <cp:revision>5</cp:revision>
  <cp:lastPrinted>2009-02-18T09:36:00Z</cp:lastPrinted>
  <dcterms:created xsi:type="dcterms:W3CDTF">2021-07-05T08:31:00Z</dcterms:created>
  <dcterms:modified xsi:type="dcterms:W3CDTF">2021-07-05T08:32:00Z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