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F0B27C2" w14:textId="77777777" w:rsidTr="00C97039">
        <w:trPr>
          <w:trHeight w:hRule="exact" w:val="851"/>
        </w:trPr>
        <w:tc>
          <w:tcPr>
            <w:tcW w:w="1276" w:type="dxa"/>
            <w:tcBorders>
              <w:bottom w:val="single" w:sz="4" w:space="0" w:color="auto"/>
            </w:tcBorders>
          </w:tcPr>
          <w:p w14:paraId="31C64F6A" w14:textId="77777777" w:rsidR="00F35BAF" w:rsidRPr="00DB58B5" w:rsidRDefault="00F35BAF" w:rsidP="00BE2971"/>
        </w:tc>
        <w:tc>
          <w:tcPr>
            <w:tcW w:w="2268" w:type="dxa"/>
            <w:tcBorders>
              <w:bottom w:val="single" w:sz="4" w:space="0" w:color="auto"/>
            </w:tcBorders>
            <w:vAlign w:val="bottom"/>
          </w:tcPr>
          <w:p w14:paraId="1FE1742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3172BB" w14:textId="6690AD8C" w:rsidR="00F35BAF" w:rsidRPr="00DB58B5" w:rsidRDefault="00BE2971" w:rsidP="00BE2971">
            <w:pPr>
              <w:jc w:val="right"/>
            </w:pPr>
            <w:r w:rsidRPr="00BE2971">
              <w:rPr>
                <w:sz w:val="40"/>
              </w:rPr>
              <w:t>ECE</w:t>
            </w:r>
            <w:r>
              <w:t>/TRANS/WP.15/AC.1/2021/30</w:t>
            </w:r>
          </w:p>
        </w:tc>
      </w:tr>
      <w:tr w:rsidR="00F35BAF" w:rsidRPr="00DB58B5" w14:paraId="7DBC41F8" w14:textId="77777777" w:rsidTr="00C97039">
        <w:trPr>
          <w:trHeight w:hRule="exact" w:val="2835"/>
        </w:trPr>
        <w:tc>
          <w:tcPr>
            <w:tcW w:w="1276" w:type="dxa"/>
            <w:tcBorders>
              <w:top w:val="single" w:sz="4" w:space="0" w:color="auto"/>
              <w:bottom w:val="single" w:sz="12" w:space="0" w:color="auto"/>
            </w:tcBorders>
          </w:tcPr>
          <w:p w14:paraId="5A00FD50" w14:textId="77777777" w:rsidR="00F35BAF" w:rsidRPr="00DB58B5" w:rsidRDefault="00F35BAF" w:rsidP="00C97039">
            <w:pPr>
              <w:spacing w:before="120"/>
              <w:jc w:val="center"/>
            </w:pPr>
            <w:r>
              <w:rPr>
                <w:noProof/>
                <w:lang w:eastAsia="fr-CH"/>
              </w:rPr>
              <w:drawing>
                <wp:inline distT="0" distB="0" distL="0" distR="0" wp14:anchorId="5F483440" wp14:editId="700970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2DCF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A94857" w14:textId="77777777" w:rsidR="00F35BAF" w:rsidRDefault="00BE2971" w:rsidP="00C97039">
            <w:pPr>
              <w:spacing w:before="240"/>
            </w:pPr>
            <w:r>
              <w:t>Distr. générale</w:t>
            </w:r>
          </w:p>
          <w:p w14:paraId="7515C749" w14:textId="77777777" w:rsidR="00BE2971" w:rsidRDefault="00BE2971" w:rsidP="00BE2971">
            <w:pPr>
              <w:spacing w:line="240" w:lineRule="exact"/>
            </w:pPr>
            <w:r>
              <w:t>22 juin 2021</w:t>
            </w:r>
          </w:p>
          <w:p w14:paraId="2A6728D8" w14:textId="77777777" w:rsidR="00BE2971" w:rsidRDefault="00BE2971" w:rsidP="00BE2971">
            <w:pPr>
              <w:spacing w:line="240" w:lineRule="exact"/>
            </w:pPr>
            <w:r>
              <w:t>Français</w:t>
            </w:r>
          </w:p>
          <w:p w14:paraId="4FE42069" w14:textId="7BC6EF18" w:rsidR="00BE2971" w:rsidRPr="00DB58B5" w:rsidRDefault="00BE2971" w:rsidP="00BE2971">
            <w:pPr>
              <w:spacing w:line="240" w:lineRule="exact"/>
            </w:pPr>
            <w:r>
              <w:t>Original : anglais</w:t>
            </w:r>
          </w:p>
        </w:tc>
      </w:tr>
    </w:tbl>
    <w:p w14:paraId="3A3BC187" w14:textId="77777777" w:rsidR="007F20FA" w:rsidRPr="000312C0" w:rsidRDefault="007F20FA" w:rsidP="007F20FA">
      <w:pPr>
        <w:spacing w:before="120"/>
        <w:rPr>
          <w:b/>
          <w:sz w:val="28"/>
          <w:szCs w:val="28"/>
        </w:rPr>
      </w:pPr>
      <w:r w:rsidRPr="000312C0">
        <w:rPr>
          <w:b/>
          <w:sz w:val="28"/>
          <w:szCs w:val="28"/>
        </w:rPr>
        <w:t>Commission économique pour l’Europe</w:t>
      </w:r>
    </w:p>
    <w:p w14:paraId="217C2A64" w14:textId="77777777" w:rsidR="007F20FA" w:rsidRDefault="007F20FA" w:rsidP="007F20FA">
      <w:pPr>
        <w:spacing w:before="120"/>
        <w:rPr>
          <w:sz w:val="28"/>
          <w:szCs w:val="28"/>
        </w:rPr>
      </w:pPr>
      <w:r w:rsidRPr="00685843">
        <w:rPr>
          <w:sz w:val="28"/>
          <w:szCs w:val="28"/>
        </w:rPr>
        <w:t>Comité des transports intérieurs</w:t>
      </w:r>
    </w:p>
    <w:p w14:paraId="0DAFE3DA" w14:textId="77777777" w:rsidR="00BE2971" w:rsidRPr="00BE2971" w:rsidRDefault="00BE2971" w:rsidP="00BE2971">
      <w:pPr>
        <w:spacing w:before="120"/>
        <w:rPr>
          <w:b/>
          <w:sz w:val="32"/>
          <w:szCs w:val="32"/>
          <w:lang w:val="fr-FR"/>
        </w:rPr>
      </w:pPr>
      <w:r w:rsidRPr="00BE2971">
        <w:rPr>
          <w:b/>
          <w:bCs/>
          <w:sz w:val="24"/>
          <w:szCs w:val="24"/>
          <w:lang w:val="fr-FR"/>
        </w:rPr>
        <w:t>Groupe de travail des transports de marchandises dangereuses</w:t>
      </w:r>
    </w:p>
    <w:p w14:paraId="2FC4ED20" w14:textId="6B23124A" w:rsidR="00BE2971" w:rsidRPr="00BE2971" w:rsidRDefault="00BE2971" w:rsidP="00BE2971">
      <w:pPr>
        <w:spacing w:before="120"/>
        <w:rPr>
          <w:b/>
          <w:bCs/>
          <w:lang w:val="fr-FR"/>
        </w:rPr>
      </w:pPr>
      <w:r w:rsidRPr="00BE2971">
        <w:rPr>
          <w:b/>
          <w:bCs/>
          <w:lang w:val="fr-FR"/>
        </w:rPr>
        <w:t xml:space="preserve">Réunion commune de la Commission d’experts du RID </w:t>
      </w:r>
      <w:r>
        <w:rPr>
          <w:b/>
          <w:bCs/>
          <w:lang w:val="fr-FR"/>
        </w:rPr>
        <w:br/>
      </w:r>
      <w:r w:rsidRPr="00BE2971">
        <w:rPr>
          <w:b/>
          <w:bCs/>
          <w:lang w:val="fr-FR"/>
        </w:rPr>
        <w:t xml:space="preserve">et du Groupe de travail des transports </w:t>
      </w:r>
      <w:r>
        <w:rPr>
          <w:b/>
          <w:bCs/>
          <w:lang w:val="fr-FR"/>
        </w:rPr>
        <w:br/>
      </w:r>
      <w:r w:rsidRPr="00BE2971">
        <w:rPr>
          <w:b/>
          <w:bCs/>
          <w:lang w:val="fr-FR"/>
        </w:rPr>
        <w:t>de marchandises dangereuses</w:t>
      </w:r>
    </w:p>
    <w:p w14:paraId="30C9B0AE" w14:textId="77777777" w:rsidR="00BE2971" w:rsidRPr="00BE2971" w:rsidRDefault="00BE2971" w:rsidP="00BE2971">
      <w:pPr>
        <w:rPr>
          <w:lang w:val="fr-FR"/>
        </w:rPr>
      </w:pPr>
      <w:r w:rsidRPr="00BE2971">
        <w:rPr>
          <w:lang w:val="fr-FR"/>
        </w:rPr>
        <w:t>Genève, 21 septembre-1</w:t>
      </w:r>
      <w:r w:rsidRPr="00BE2971">
        <w:rPr>
          <w:vertAlign w:val="superscript"/>
          <w:lang w:val="fr-FR"/>
        </w:rPr>
        <w:t>er</w:t>
      </w:r>
      <w:r w:rsidRPr="00BE2971">
        <w:rPr>
          <w:lang w:val="fr-FR"/>
        </w:rPr>
        <w:t xml:space="preserve"> octobre 2021</w:t>
      </w:r>
    </w:p>
    <w:p w14:paraId="448BC4B3" w14:textId="77777777" w:rsidR="00BE2971" w:rsidRPr="00BE2971" w:rsidRDefault="00BE2971" w:rsidP="00BE2971">
      <w:pPr>
        <w:rPr>
          <w:lang w:val="fr-FR"/>
        </w:rPr>
      </w:pPr>
      <w:r w:rsidRPr="00BE2971">
        <w:rPr>
          <w:lang w:val="fr-FR"/>
        </w:rPr>
        <w:t>Point 5 b) de l’ordre du jour provisoire</w:t>
      </w:r>
    </w:p>
    <w:p w14:paraId="4105D76D" w14:textId="58B87923" w:rsidR="00BE2971" w:rsidRPr="00BE2971" w:rsidRDefault="00BE2971" w:rsidP="00BE2971">
      <w:pPr>
        <w:rPr>
          <w:b/>
          <w:bCs/>
          <w:lang w:val="fr-FR"/>
        </w:rPr>
      </w:pPr>
      <w:r w:rsidRPr="00BE2971">
        <w:rPr>
          <w:b/>
          <w:bCs/>
          <w:lang w:val="fr-FR"/>
        </w:rPr>
        <w:t>Propositions d’amendements au RID, à l’ADR et à l’ADN</w:t>
      </w:r>
      <w:r>
        <w:rPr>
          <w:b/>
          <w:bCs/>
          <w:lang w:val="fr-FR"/>
        </w:rPr>
        <w:t> </w:t>
      </w:r>
      <w:r w:rsidRPr="00BE2971">
        <w:rPr>
          <w:b/>
          <w:bCs/>
          <w:lang w:val="fr-FR"/>
        </w:rPr>
        <w:t xml:space="preserve">: </w:t>
      </w:r>
      <w:r>
        <w:rPr>
          <w:b/>
          <w:bCs/>
          <w:lang w:val="fr-FR"/>
        </w:rPr>
        <w:br/>
      </w:r>
      <w:r w:rsidRPr="00BE2971">
        <w:rPr>
          <w:b/>
          <w:bCs/>
          <w:lang w:val="fr-FR"/>
        </w:rPr>
        <w:t>nouvelles propositions</w:t>
      </w:r>
    </w:p>
    <w:p w14:paraId="1826469E" w14:textId="1A44458B" w:rsidR="00BE2971" w:rsidRPr="001249FF" w:rsidRDefault="00BE2971" w:rsidP="00BE2971">
      <w:pPr>
        <w:pStyle w:val="HChG"/>
        <w:rPr>
          <w:lang w:val="fr-FR"/>
        </w:rPr>
      </w:pPr>
      <w:r>
        <w:rPr>
          <w:lang w:val="fr-FR"/>
        </w:rPr>
        <w:tab/>
      </w:r>
      <w:r>
        <w:rPr>
          <w:lang w:val="fr-FR"/>
        </w:rPr>
        <w:tab/>
        <w:t>Amendement à la disposition spéciale 668</w:t>
      </w:r>
    </w:p>
    <w:p w14:paraId="0F6FE2F5" w14:textId="4C0DF734" w:rsidR="00BE2971" w:rsidRDefault="00BE2971" w:rsidP="00BE2971">
      <w:pPr>
        <w:pStyle w:val="H1G"/>
        <w:rPr>
          <w:sz w:val="20"/>
          <w:lang w:val="en-US"/>
        </w:rPr>
      </w:pPr>
      <w:r>
        <w:rPr>
          <w:lang w:val="fr-FR"/>
        </w:rPr>
        <w:tab/>
      </w:r>
      <w:r>
        <w:rPr>
          <w:lang w:val="fr-FR"/>
        </w:rPr>
        <w:tab/>
      </w:r>
      <w:r w:rsidRPr="001249FF">
        <w:rPr>
          <w:lang w:val="en-US"/>
        </w:rPr>
        <w:t>Communication de l</w:t>
      </w:r>
      <w:r>
        <w:rPr>
          <w:lang w:val="en-US"/>
        </w:rPr>
        <w:t>’</w:t>
      </w:r>
      <w:r w:rsidRPr="001249FF">
        <w:rPr>
          <w:lang w:val="en-US"/>
        </w:rPr>
        <w:t>International Association of Dangerous Goods Safety Adv</w:t>
      </w:r>
      <w:r>
        <w:rPr>
          <w:lang w:val="en-US"/>
        </w:rPr>
        <w:t xml:space="preserve">isers </w:t>
      </w:r>
      <w:r w:rsidRPr="001249FF">
        <w:rPr>
          <w:lang w:val="en-US"/>
        </w:rPr>
        <w:t>(IASA)</w:t>
      </w:r>
      <w:r w:rsidRPr="00BE2971">
        <w:rPr>
          <w:rStyle w:val="FootnoteReference"/>
          <w:b w:val="0"/>
          <w:bCs/>
          <w:sz w:val="20"/>
          <w:vertAlign w:val="baseline"/>
          <w:lang w:val="en-US"/>
        </w:rPr>
        <w:footnoteReference w:customMarkFollows="1" w:id="2"/>
        <w:t>*</w:t>
      </w:r>
      <w:r w:rsidRPr="00BE2971">
        <w:rPr>
          <w:sz w:val="20"/>
          <w:vertAlign w:val="superscript"/>
          <w:lang w:val="en-US"/>
        </w:rPr>
        <w:t xml:space="preserve">, </w:t>
      </w:r>
      <w:r w:rsidRPr="00BE2971">
        <w:rPr>
          <w:rStyle w:val="FootnoteReference"/>
          <w:b w:val="0"/>
          <w:bCs/>
          <w:sz w:val="20"/>
          <w:vertAlign w:val="baseline"/>
          <w:lang w:val="en-US"/>
        </w:rPr>
        <w:footnoteReference w:customMarkFollows="1" w:id="3"/>
        <w:t>**</w:t>
      </w:r>
      <w:r w:rsidRPr="00BE2971">
        <w:rPr>
          <w:sz w:val="20"/>
          <w:lang w:val="en-US"/>
        </w:rPr>
        <w:t xml:space="preserve"> </w:t>
      </w:r>
    </w:p>
    <w:tbl>
      <w:tblPr>
        <w:tblStyle w:val="TableGrid"/>
        <w:tblW w:w="0" w:type="auto"/>
        <w:jc w:val="center"/>
        <w:tblLook w:val="05E0" w:firstRow="1" w:lastRow="1" w:firstColumn="1" w:lastColumn="1" w:noHBand="0" w:noVBand="1"/>
      </w:tblPr>
      <w:tblGrid>
        <w:gridCol w:w="9628"/>
      </w:tblGrid>
      <w:tr w:rsidR="00BE2971" w:rsidRPr="00BE2971" w14:paraId="38C8AD2C" w14:textId="77777777" w:rsidTr="001249FF">
        <w:trPr>
          <w:jc w:val="center"/>
        </w:trPr>
        <w:tc>
          <w:tcPr>
            <w:tcW w:w="9628" w:type="dxa"/>
            <w:tcBorders>
              <w:bottom w:val="nil"/>
            </w:tcBorders>
          </w:tcPr>
          <w:p w14:paraId="6F94C14D" w14:textId="1D111600" w:rsidR="00BE2971" w:rsidRPr="00BE2971" w:rsidRDefault="00BE2971" w:rsidP="001249FF">
            <w:pPr>
              <w:tabs>
                <w:tab w:val="left" w:pos="255"/>
              </w:tabs>
              <w:spacing w:before="240" w:after="120"/>
              <w:rPr>
                <w:sz w:val="24"/>
              </w:rPr>
            </w:pPr>
            <w:r w:rsidRPr="00BE2971">
              <w:tab/>
            </w:r>
            <w:r>
              <w:rPr>
                <w:i/>
                <w:sz w:val="24"/>
              </w:rPr>
              <w:t>Résumé</w:t>
            </w:r>
          </w:p>
        </w:tc>
      </w:tr>
      <w:tr w:rsidR="00BE2971" w:rsidRPr="00BE2971" w14:paraId="2062FF55" w14:textId="77777777" w:rsidTr="001249FF">
        <w:trPr>
          <w:jc w:val="center"/>
        </w:trPr>
        <w:tc>
          <w:tcPr>
            <w:tcW w:w="9628" w:type="dxa"/>
            <w:tcBorders>
              <w:top w:val="nil"/>
              <w:bottom w:val="nil"/>
            </w:tcBorders>
            <w:shd w:val="clear" w:color="auto" w:fill="auto"/>
          </w:tcPr>
          <w:p w14:paraId="05A830C1" w14:textId="6875DA1D" w:rsidR="00BE2971" w:rsidRPr="00BE2971" w:rsidRDefault="00BE2971" w:rsidP="001249FF">
            <w:pPr>
              <w:pStyle w:val="SingleTxtG"/>
              <w:ind w:left="3402" w:hanging="2268"/>
            </w:pPr>
            <w:r w:rsidRPr="00BE2971">
              <w:rPr>
                <w:b/>
                <w:bCs/>
                <w:spacing w:val="-2"/>
              </w:rPr>
              <w:t>Résumé analytique</w:t>
            </w:r>
            <w:r>
              <w:rPr>
                <w:b/>
                <w:bCs/>
                <w:spacing w:val="-2"/>
              </w:rPr>
              <w:t> </w:t>
            </w:r>
            <w:r w:rsidRPr="00BE2971">
              <w:rPr>
                <w:b/>
                <w:bCs/>
                <w:spacing w:val="-2"/>
              </w:rPr>
              <w:t>:</w:t>
            </w:r>
            <w:r w:rsidRPr="00BE2971">
              <w:tab/>
              <w:t>La disposition spéciale 668 permet d’effectuer le transport à chaud de matières destinées au marquage routier sans avoir à se conformer aux autres prescriptions du RID ou de l’ADR, sous réserve de certaines conditions.</w:t>
            </w:r>
          </w:p>
        </w:tc>
      </w:tr>
      <w:tr w:rsidR="00BE2971" w:rsidRPr="00BE2971" w14:paraId="0117832A" w14:textId="77777777" w:rsidTr="001249FF">
        <w:trPr>
          <w:jc w:val="center"/>
        </w:trPr>
        <w:tc>
          <w:tcPr>
            <w:tcW w:w="9628" w:type="dxa"/>
            <w:tcBorders>
              <w:top w:val="nil"/>
              <w:bottom w:val="nil"/>
            </w:tcBorders>
            <w:shd w:val="clear" w:color="auto" w:fill="auto"/>
          </w:tcPr>
          <w:p w14:paraId="10EA2198" w14:textId="70D7D039" w:rsidR="00BE2971" w:rsidRPr="00BE2971" w:rsidRDefault="00BE2971" w:rsidP="001249FF">
            <w:pPr>
              <w:pStyle w:val="SingleTxtG"/>
              <w:ind w:left="3402"/>
            </w:pPr>
            <w:r w:rsidRPr="00BE2971">
              <w:t>Le secteur de l’asphalte utilise des matières transportées à chaud à des fins autres que le marquage routier, par exemple pour sceller et réparer les fissures dans le revêtement routier.</w:t>
            </w:r>
          </w:p>
        </w:tc>
      </w:tr>
      <w:tr w:rsidR="00BE2971" w:rsidRPr="00BE2971" w14:paraId="34833AE8" w14:textId="77777777" w:rsidTr="001249FF">
        <w:trPr>
          <w:jc w:val="center"/>
        </w:trPr>
        <w:tc>
          <w:tcPr>
            <w:tcW w:w="9628" w:type="dxa"/>
            <w:tcBorders>
              <w:top w:val="nil"/>
              <w:bottom w:val="nil"/>
            </w:tcBorders>
            <w:shd w:val="clear" w:color="auto" w:fill="auto"/>
          </w:tcPr>
          <w:p w14:paraId="7E0F858C" w14:textId="036A3F4A" w:rsidR="00BE2971" w:rsidRPr="00BE2971" w:rsidRDefault="00BE2971" w:rsidP="001249FF">
            <w:pPr>
              <w:pStyle w:val="SingleTxtG"/>
              <w:ind w:left="3402"/>
            </w:pPr>
            <w:r w:rsidRPr="00BE2971">
              <w:t>La présente proposition vise à étendre le champ d’application de la disposition spéciale 668 aux matières transportées à chaud destinées à la remise en état des routes.</w:t>
            </w:r>
          </w:p>
        </w:tc>
      </w:tr>
      <w:tr w:rsidR="00BE2971" w:rsidRPr="00BE2971" w14:paraId="6CC1088E" w14:textId="77777777" w:rsidTr="001249FF">
        <w:trPr>
          <w:jc w:val="center"/>
        </w:trPr>
        <w:tc>
          <w:tcPr>
            <w:tcW w:w="9628" w:type="dxa"/>
            <w:tcBorders>
              <w:top w:val="nil"/>
              <w:bottom w:val="nil"/>
            </w:tcBorders>
            <w:shd w:val="clear" w:color="auto" w:fill="auto"/>
          </w:tcPr>
          <w:p w14:paraId="29779CA4" w14:textId="3827FB0D" w:rsidR="00BE2971" w:rsidRPr="00BE2971" w:rsidRDefault="00BE2971" w:rsidP="001249FF">
            <w:pPr>
              <w:pStyle w:val="SingleTxtG"/>
              <w:ind w:left="3402" w:hanging="2268"/>
            </w:pPr>
            <w:r w:rsidRPr="00BE2971">
              <w:rPr>
                <w:b/>
                <w:bCs/>
                <w:spacing w:val="-2"/>
              </w:rPr>
              <w:t>Mesure à prendre</w:t>
            </w:r>
            <w:r>
              <w:rPr>
                <w:b/>
                <w:bCs/>
                <w:spacing w:val="-2"/>
              </w:rPr>
              <w:t> </w:t>
            </w:r>
            <w:r w:rsidRPr="00BE2971">
              <w:rPr>
                <w:b/>
                <w:bCs/>
                <w:spacing w:val="-2"/>
              </w:rPr>
              <w:t>:</w:t>
            </w:r>
            <w:r w:rsidRPr="00BE2971">
              <w:tab/>
              <w:t>Modifier la disposition spéciale 668 afin que le transport à chaud de matières destinées à la remise en état des routes ne soit pas soumis aux prescriptions de la classe 9.</w:t>
            </w:r>
          </w:p>
        </w:tc>
      </w:tr>
      <w:tr w:rsidR="00BE2971" w:rsidRPr="00BE2971" w14:paraId="6B276F8F" w14:textId="77777777" w:rsidTr="001249FF">
        <w:trPr>
          <w:jc w:val="center"/>
        </w:trPr>
        <w:tc>
          <w:tcPr>
            <w:tcW w:w="9628" w:type="dxa"/>
            <w:tcBorders>
              <w:top w:val="nil"/>
            </w:tcBorders>
          </w:tcPr>
          <w:p w14:paraId="44722CA4" w14:textId="77777777" w:rsidR="00BE2971" w:rsidRPr="00BE2971" w:rsidRDefault="00BE2971" w:rsidP="001249FF"/>
        </w:tc>
      </w:tr>
    </w:tbl>
    <w:p w14:paraId="0B88C794" w14:textId="77777777" w:rsidR="00BE2971" w:rsidRPr="001249FF" w:rsidRDefault="00BE2971" w:rsidP="00BE2971">
      <w:pPr>
        <w:pStyle w:val="HChG"/>
        <w:rPr>
          <w:lang w:val="fr-FR"/>
        </w:rPr>
      </w:pPr>
      <w:r>
        <w:rPr>
          <w:lang w:val="fr-FR"/>
        </w:rPr>
        <w:lastRenderedPageBreak/>
        <w:tab/>
      </w:r>
      <w:r>
        <w:rPr>
          <w:lang w:val="fr-FR"/>
        </w:rPr>
        <w:tab/>
      </w:r>
      <w:r>
        <w:rPr>
          <w:lang w:val="fr-FR"/>
        </w:rPr>
        <w:tab/>
        <w:t>Introduction</w:t>
      </w:r>
    </w:p>
    <w:p w14:paraId="195D3C21" w14:textId="77777777" w:rsidR="00BE2971" w:rsidRPr="001249FF" w:rsidRDefault="00BE2971" w:rsidP="00BE2971">
      <w:pPr>
        <w:pStyle w:val="SingleTxtG"/>
        <w:rPr>
          <w:lang w:val="fr-FR"/>
        </w:rPr>
      </w:pPr>
      <w:r>
        <w:rPr>
          <w:lang w:val="fr-FR"/>
        </w:rPr>
        <w:t>1.</w:t>
      </w:r>
      <w:r>
        <w:rPr>
          <w:lang w:val="fr-FR"/>
        </w:rPr>
        <w:tab/>
        <w:t>Dans l’édition 2017 de l’ADR et du RID, une nouvelle disposition spéciale a été ajoutée pour que le transport à chaud de matières destinées au marquage routier soit autorisé sans être soumis aux autres prescriptions de l’ADR et du RID, sous réserve de certaines conditions.</w:t>
      </w:r>
    </w:p>
    <w:p w14:paraId="28D87CC8" w14:textId="77777777" w:rsidR="00BE2971" w:rsidRPr="001249FF" w:rsidRDefault="00BE2971" w:rsidP="00BE2971">
      <w:pPr>
        <w:pStyle w:val="SingleTxtG"/>
        <w:keepNext/>
        <w:rPr>
          <w:spacing w:val="1"/>
          <w:lang w:val="fr-FR"/>
        </w:rPr>
      </w:pPr>
      <w:r>
        <w:rPr>
          <w:lang w:val="fr-FR"/>
        </w:rPr>
        <w:t>2.</w:t>
      </w:r>
      <w:r>
        <w:rPr>
          <w:lang w:val="fr-FR"/>
        </w:rPr>
        <w:tab/>
        <w:t>Le texte intégral de la disposition spéciale 668 est libellé comme suit :</w:t>
      </w:r>
    </w:p>
    <w:p w14:paraId="1437C061" w14:textId="77777777" w:rsidR="00BE2971" w:rsidRPr="001249FF" w:rsidRDefault="00BE2971" w:rsidP="00BE2971">
      <w:pPr>
        <w:pStyle w:val="SingleTxtG"/>
        <w:keepNext/>
        <w:ind w:left="1701"/>
        <w:rPr>
          <w:i/>
          <w:iCs/>
          <w:lang w:val="fr-FR"/>
        </w:rPr>
      </w:pPr>
      <w:r w:rsidRPr="00B73C87">
        <w:rPr>
          <w:lang w:val="fr-FR"/>
        </w:rPr>
        <w:t>« </w:t>
      </w:r>
      <w:r>
        <w:rPr>
          <w:i/>
          <w:iCs/>
          <w:lang w:val="fr-FR"/>
        </w:rPr>
        <w:t>668</w:t>
      </w:r>
      <w:r>
        <w:rPr>
          <w:lang w:val="fr-FR"/>
        </w:rPr>
        <w:tab/>
      </w:r>
      <w:r>
        <w:rPr>
          <w:i/>
          <w:iCs/>
          <w:lang w:val="fr-FR"/>
        </w:rPr>
        <w:t>Les matières destinées au marquage routier transportées à chaud ne sont pas soumises aux autres prescriptions de l’ADR/du RID, pour autant que les conditions suivantes soient réunies :</w:t>
      </w:r>
    </w:p>
    <w:p w14:paraId="39DBF3CC" w14:textId="77777777" w:rsidR="00BE2971" w:rsidRPr="00BE2971" w:rsidRDefault="00BE2971" w:rsidP="00BE2971">
      <w:pPr>
        <w:pStyle w:val="SingleTxtG"/>
        <w:keepNext/>
        <w:ind w:left="1701"/>
        <w:rPr>
          <w:i/>
          <w:iCs/>
          <w:sz w:val="28"/>
          <w:szCs w:val="28"/>
          <w:lang w:val="fr-FR"/>
        </w:rPr>
      </w:pPr>
      <w:r w:rsidRPr="00BE2971">
        <w:rPr>
          <w:i/>
          <w:iCs/>
          <w:lang w:val="fr-FR"/>
        </w:rPr>
        <w:t>a)</w:t>
      </w:r>
      <w:r w:rsidRPr="00BE2971">
        <w:rPr>
          <w:i/>
          <w:iCs/>
          <w:lang w:val="fr-FR"/>
        </w:rPr>
        <w:tab/>
        <w:t>Elles ne répondent pas aux critères de classes autres que la classe 9 ;</w:t>
      </w:r>
    </w:p>
    <w:p w14:paraId="4624B98B" w14:textId="061165C6" w:rsidR="00BE2971" w:rsidRPr="00BE2971" w:rsidRDefault="00BE2971" w:rsidP="00BE2971">
      <w:pPr>
        <w:pStyle w:val="SingleTxtG"/>
        <w:keepNext/>
        <w:ind w:left="1701"/>
        <w:rPr>
          <w:i/>
          <w:iCs/>
          <w:lang w:val="fr-FR"/>
        </w:rPr>
      </w:pPr>
      <w:r w:rsidRPr="00BE2971">
        <w:rPr>
          <w:i/>
          <w:iCs/>
          <w:lang w:val="fr-FR"/>
        </w:rPr>
        <w:t>b)</w:t>
      </w:r>
      <w:r w:rsidRPr="00BE2971">
        <w:rPr>
          <w:i/>
          <w:iCs/>
          <w:lang w:val="fr-FR"/>
        </w:rPr>
        <w:tab/>
        <w:t>La température de la surface externe de la chaudière ne dépasse pas 70</w:t>
      </w:r>
      <w:r>
        <w:rPr>
          <w:i/>
          <w:iCs/>
          <w:lang w:val="fr-FR"/>
        </w:rPr>
        <w:t> </w:t>
      </w:r>
      <w:r w:rsidRPr="00BE2971">
        <w:rPr>
          <w:i/>
          <w:iCs/>
          <w:lang w:val="fr-FR"/>
        </w:rPr>
        <w:t>°C ;</w:t>
      </w:r>
    </w:p>
    <w:p w14:paraId="09EEDA92" w14:textId="3B9A6305" w:rsidR="00BE2971" w:rsidRPr="00BE2971" w:rsidRDefault="00BE2971" w:rsidP="00BE2971">
      <w:pPr>
        <w:pStyle w:val="SingleTxtG"/>
        <w:keepNext/>
        <w:ind w:left="2268" w:hanging="567"/>
        <w:rPr>
          <w:i/>
          <w:iCs/>
          <w:lang w:val="fr-FR"/>
        </w:rPr>
      </w:pPr>
      <w:r w:rsidRPr="00BE2971">
        <w:rPr>
          <w:i/>
          <w:iCs/>
          <w:lang w:val="fr-FR"/>
        </w:rPr>
        <w:t>c)</w:t>
      </w:r>
      <w:r w:rsidRPr="00BE2971">
        <w:rPr>
          <w:i/>
          <w:iCs/>
          <w:lang w:val="fr-FR"/>
        </w:rPr>
        <w:tab/>
        <w:t xml:space="preserve">La chaudière est fermée de manière à éviter toute perte de produit pendant </w:t>
      </w:r>
      <w:r w:rsidRPr="00BE2971">
        <w:rPr>
          <w:i/>
          <w:iCs/>
          <w:lang w:val="fr-FR"/>
        </w:rPr>
        <w:tab/>
        <w:t>le transport ;</w:t>
      </w:r>
    </w:p>
    <w:p w14:paraId="2B43DB0C" w14:textId="77777777" w:rsidR="00BE2971" w:rsidRPr="001249FF" w:rsidRDefault="00BE2971" w:rsidP="00BE2971">
      <w:pPr>
        <w:pStyle w:val="SingleTxtG"/>
        <w:keepNext/>
        <w:ind w:left="1701"/>
        <w:rPr>
          <w:i/>
          <w:iCs/>
          <w:lang w:val="fr-FR"/>
        </w:rPr>
      </w:pPr>
      <w:r w:rsidRPr="00BE2971">
        <w:rPr>
          <w:i/>
          <w:iCs/>
          <w:lang w:val="fr-FR"/>
        </w:rPr>
        <w:t>d)</w:t>
      </w:r>
      <w:r>
        <w:rPr>
          <w:lang w:val="fr-FR"/>
        </w:rPr>
        <w:tab/>
      </w:r>
      <w:r>
        <w:rPr>
          <w:i/>
          <w:iCs/>
          <w:lang w:val="fr-FR"/>
        </w:rPr>
        <w:t>La capacité maximale de la chaudière est limitée à 3 000 l.</w:t>
      </w:r>
      <w:r>
        <w:rPr>
          <w:lang w:val="fr-FR"/>
        </w:rPr>
        <w:t> ».</w:t>
      </w:r>
    </w:p>
    <w:p w14:paraId="65372430" w14:textId="77777777" w:rsidR="00BE2971" w:rsidRPr="001249FF" w:rsidRDefault="00BE2971" w:rsidP="00BE2971">
      <w:pPr>
        <w:pStyle w:val="SingleTxtG"/>
        <w:rPr>
          <w:lang w:val="fr-FR"/>
        </w:rPr>
      </w:pPr>
      <w:r>
        <w:rPr>
          <w:lang w:val="fr-FR"/>
        </w:rPr>
        <w:t>3.</w:t>
      </w:r>
      <w:r>
        <w:rPr>
          <w:lang w:val="fr-FR"/>
        </w:rPr>
        <w:tab/>
        <w:t>Il serait souhaitable d’élargir le champ d’application de la disposition spéciale 668 afin d’autoriser également le transport à chaud de matières destinées aux travaux de remise en état des routes.</w:t>
      </w:r>
    </w:p>
    <w:p w14:paraId="0F74348F" w14:textId="77777777" w:rsidR="00BE2971" w:rsidRPr="001249FF" w:rsidRDefault="00BE2971" w:rsidP="00BE2971">
      <w:pPr>
        <w:pStyle w:val="SingleTxtG"/>
        <w:rPr>
          <w:lang w:val="fr-FR"/>
        </w:rPr>
      </w:pPr>
      <w:r>
        <w:rPr>
          <w:lang w:val="fr-FR"/>
        </w:rPr>
        <w:t>4.</w:t>
      </w:r>
      <w:r>
        <w:rPr>
          <w:lang w:val="fr-FR"/>
        </w:rPr>
        <w:tab/>
        <w:t>Le bitume et les autres matières analogues destinées à la réparation des fissures sont transportés dans des chaudières similaires à celles utilisées pour transporter les matières destinées au marquage routier. Or la première phrase de la disposition spéciale 668 interdit de transporter dans les conditions prévues par cette disposition des matières telles que le bitume chauffé, sauf si elles sont destinées au marquage routier. Cette limitation s’applique actuellement même si le transport, le mode d’application et les conditions sont assez similaires, que les matières soient destinées à la remise en état des routes ou au marquage routier.</w:t>
      </w:r>
    </w:p>
    <w:p w14:paraId="781113BC" w14:textId="7047F9E4" w:rsidR="00BE2971" w:rsidRPr="001249FF" w:rsidRDefault="00BE2971" w:rsidP="00BE2971">
      <w:pPr>
        <w:pStyle w:val="SingleTxtG"/>
        <w:ind w:left="1701"/>
        <w:rPr>
          <w:lang w:val="fr-FR"/>
        </w:rPr>
      </w:pPr>
      <w:r>
        <w:rPr>
          <w:lang w:val="fr-FR"/>
        </w:rPr>
        <w:tab/>
        <w:t>Exemple de scellement d’une fissure sur la chaussée :</w:t>
      </w:r>
    </w:p>
    <w:p w14:paraId="422EFF92" w14:textId="77777777" w:rsidR="00BE2971" w:rsidRPr="00E46895" w:rsidRDefault="00BE2971" w:rsidP="00BE2971">
      <w:pPr>
        <w:ind w:left="1701"/>
        <w:rPr>
          <w:spacing w:val="1"/>
          <w:vertAlign w:val="subscript"/>
        </w:rPr>
      </w:pPr>
      <w:r>
        <w:rPr>
          <w:noProof/>
          <w:spacing w:val="1"/>
          <w:vertAlign w:val="subscript"/>
          <w:lang w:val="de-DE" w:eastAsia="de-DE"/>
        </w:rPr>
        <w:drawing>
          <wp:inline distT="0" distB="0" distL="0" distR="0" wp14:anchorId="4C6AF841" wp14:editId="3EC2A0FE">
            <wp:extent cx="3933825" cy="18383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14:paraId="200F49A6" w14:textId="77777777" w:rsidR="00BE2971" w:rsidRPr="001249FF" w:rsidRDefault="00BE2971" w:rsidP="00BE2971">
      <w:pPr>
        <w:pStyle w:val="HChG"/>
        <w:rPr>
          <w:lang w:val="fr-FR"/>
        </w:rPr>
      </w:pPr>
      <w:r>
        <w:rPr>
          <w:lang w:val="fr-FR"/>
        </w:rPr>
        <w:tab/>
      </w:r>
      <w:r>
        <w:rPr>
          <w:lang w:val="fr-FR"/>
        </w:rPr>
        <w:tab/>
        <w:t>Proposition</w:t>
      </w:r>
    </w:p>
    <w:p w14:paraId="05893555" w14:textId="77777777" w:rsidR="00BE2971" w:rsidRPr="001249FF" w:rsidRDefault="00BE2971" w:rsidP="00BE2971">
      <w:pPr>
        <w:pStyle w:val="SingleTxtG"/>
        <w:rPr>
          <w:lang w:val="fr-FR"/>
        </w:rPr>
      </w:pPr>
      <w:r>
        <w:rPr>
          <w:lang w:val="fr-FR"/>
        </w:rPr>
        <w:t>5.</w:t>
      </w:r>
      <w:r>
        <w:rPr>
          <w:lang w:val="fr-FR"/>
        </w:rPr>
        <w:tab/>
        <w:t>Au chapitre 3.3, modifier la disposition spéciale 668 comme suit (les modifications qu’il est proposé d’apporter au texte actuel figurent en caractères soulignés pour les ajouts et biffés pour les suppressions) :</w:t>
      </w:r>
    </w:p>
    <w:p w14:paraId="7BCFB10D" w14:textId="21307F95" w:rsidR="00BE2971" w:rsidRPr="001249FF" w:rsidRDefault="00BE2971" w:rsidP="00BE2971">
      <w:pPr>
        <w:pStyle w:val="SingleTxtG"/>
        <w:ind w:left="1701" w:hanging="567"/>
        <w:rPr>
          <w:lang w:val="fr-FR"/>
        </w:rPr>
      </w:pPr>
      <w:r>
        <w:rPr>
          <w:lang w:val="fr-FR"/>
        </w:rPr>
        <w:t>« 668</w:t>
      </w:r>
      <w:r>
        <w:rPr>
          <w:lang w:val="fr-FR"/>
        </w:rPr>
        <w:tab/>
        <w:t xml:space="preserve">Les matières destinées </w:t>
      </w:r>
      <w:r>
        <w:rPr>
          <w:strike/>
          <w:lang w:val="fr-FR"/>
        </w:rPr>
        <w:t>au marquage routier</w:t>
      </w:r>
      <w:r>
        <w:rPr>
          <w:lang w:val="fr-FR"/>
        </w:rPr>
        <w:t xml:space="preserve"> </w:t>
      </w:r>
      <w:r w:rsidRPr="001249FF">
        <w:rPr>
          <w:u w:val="single"/>
          <w:lang w:val="fr-FR"/>
        </w:rPr>
        <w:t>à différents usages (comme dans le secteur de la construction ou pour le marquage ou la remise en état des routes)</w:t>
      </w:r>
      <w:r w:rsidRPr="00BE2971">
        <w:rPr>
          <w:lang w:val="fr-FR"/>
        </w:rPr>
        <w:t xml:space="preserve"> </w:t>
      </w:r>
      <w:r>
        <w:rPr>
          <w:lang w:val="fr-FR"/>
        </w:rPr>
        <w:t>transportées à chaud ne sont pas soumises aux autres prescriptions de l’ADR/du RID, pour autant que les conditions suivantes soient réunies :</w:t>
      </w:r>
    </w:p>
    <w:p w14:paraId="69C8423F" w14:textId="77777777" w:rsidR="00BE2971" w:rsidRPr="001249FF" w:rsidRDefault="00BE2971" w:rsidP="00BE2971">
      <w:pPr>
        <w:pStyle w:val="SingleTxtG"/>
        <w:ind w:left="1701"/>
        <w:rPr>
          <w:lang w:val="fr-FR"/>
        </w:rPr>
      </w:pPr>
      <w:r>
        <w:rPr>
          <w:lang w:val="fr-FR"/>
        </w:rPr>
        <w:t>[Les conditions a) à d) sont inchangées.] ».</w:t>
      </w:r>
    </w:p>
    <w:p w14:paraId="42A254E9" w14:textId="77777777" w:rsidR="00BE2971" w:rsidRPr="001249FF" w:rsidRDefault="00BE2971" w:rsidP="00954131">
      <w:pPr>
        <w:pStyle w:val="HChG"/>
        <w:rPr>
          <w:szCs w:val="28"/>
          <w:lang w:val="fr-FR"/>
        </w:rPr>
      </w:pPr>
      <w:r>
        <w:rPr>
          <w:lang w:val="fr-FR"/>
        </w:rPr>
        <w:lastRenderedPageBreak/>
        <w:tab/>
      </w:r>
      <w:r>
        <w:rPr>
          <w:lang w:val="fr-FR"/>
        </w:rPr>
        <w:tab/>
        <w:t>Justification</w:t>
      </w:r>
    </w:p>
    <w:p w14:paraId="68A0494E" w14:textId="24BC8FC6" w:rsidR="00BE2971" w:rsidRDefault="00BE2971" w:rsidP="00954131">
      <w:pPr>
        <w:pStyle w:val="SingleTxtG"/>
        <w:rPr>
          <w:lang w:val="fr-FR"/>
        </w:rPr>
      </w:pPr>
      <w:r>
        <w:rPr>
          <w:lang w:val="fr-FR"/>
        </w:rPr>
        <w:t>6.</w:t>
      </w:r>
      <w:r>
        <w:rPr>
          <w:lang w:val="fr-FR"/>
        </w:rPr>
        <w:tab/>
        <w:t>Veiller à l’application uniforme de la réglementation relative au transport de matières à chaud permet d’éviter les divergences dans l’interprétation des règles par les autorités de surveillance et de contrôle des États contractants/Parties contractantes.</w:t>
      </w:r>
    </w:p>
    <w:p w14:paraId="70E46715" w14:textId="7B5DA42E" w:rsidR="00954131" w:rsidRPr="00954131" w:rsidRDefault="00954131" w:rsidP="0095413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54131" w:rsidRPr="00954131" w:rsidSect="00BE297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C4E7" w14:textId="77777777" w:rsidR="003B795D" w:rsidRDefault="003B795D" w:rsidP="00F95C08">
      <w:pPr>
        <w:spacing w:line="240" w:lineRule="auto"/>
      </w:pPr>
    </w:p>
  </w:endnote>
  <w:endnote w:type="continuationSeparator" w:id="0">
    <w:p w14:paraId="6E975B25" w14:textId="77777777" w:rsidR="003B795D" w:rsidRPr="00AC3823" w:rsidRDefault="003B795D" w:rsidP="00AC3823">
      <w:pPr>
        <w:pStyle w:val="Footer"/>
      </w:pPr>
    </w:p>
  </w:endnote>
  <w:endnote w:type="continuationNotice" w:id="1">
    <w:p w14:paraId="26AC7E98" w14:textId="77777777" w:rsidR="003B795D" w:rsidRDefault="003B79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F4B7" w14:textId="6EDF7427" w:rsidR="00BE2971" w:rsidRPr="00BE2971" w:rsidRDefault="00BE2971" w:rsidP="00BE2971">
    <w:pPr>
      <w:pStyle w:val="Footer"/>
      <w:tabs>
        <w:tab w:val="right" w:pos="9638"/>
      </w:tabs>
    </w:pPr>
    <w:r w:rsidRPr="00BE2971">
      <w:rPr>
        <w:b/>
        <w:sz w:val="18"/>
      </w:rPr>
      <w:fldChar w:fldCharType="begin"/>
    </w:r>
    <w:r w:rsidRPr="00BE2971">
      <w:rPr>
        <w:b/>
        <w:sz w:val="18"/>
      </w:rPr>
      <w:instrText xml:space="preserve"> PAGE  \* MERGEFORMAT </w:instrText>
    </w:r>
    <w:r w:rsidRPr="00BE2971">
      <w:rPr>
        <w:b/>
        <w:sz w:val="18"/>
      </w:rPr>
      <w:fldChar w:fldCharType="separate"/>
    </w:r>
    <w:r w:rsidRPr="00BE2971">
      <w:rPr>
        <w:b/>
        <w:noProof/>
        <w:sz w:val="18"/>
      </w:rPr>
      <w:t>2</w:t>
    </w:r>
    <w:r w:rsidRPr="00BE2971">
      <w:rPr>
        <w:b/>
        <w:sz w:val="18"/>
      </w:rPr>
      <w:fldChar w:fldCharType="end"/>
    </w:r>
    <w:r>
      <w:rPr>
        <w:b/>
        <w:sz w:val="18"/>
      </w:rPr>
      <w:tab/>
    </w:r>
    <w:r>
      <w:t>GE.21-08413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0AB2" w14:textId="0AC66792" w:rsidR="00BE2971" w:rsidRPr="00BE2971" w:rsidRDefault="00BE2971" w:rsidP="00BE2971">
    <w:pPr>
      <w:pStyle w:val="Footer"/>
      <w:tabs>
        <w:tab w:val="right" w:pos="9638"/>
      </w:tabs>
      <w:rPr>
        <w:b/>
        <w:sz w:val="18"/>
      </w:rPr>
    </w:pPr>
    <w:r>
      <w:t>GE.21-08413</w:t>
    </w:r>
    <w:r>
      <w:tab/>
    </w:r>
    <w:r w:rsidRPr="00BE2971">
      <w:rPr>
        <w:b/>
        <w:sz w:val="18"/>
      </w:rPr>
      <w:fldChar w:fldCharType="begin"/>
    </w:r>
    <w:r w:rsidRPr="00BE2971">
      <w:rPr>
        <w:b/>
        <w:sz w:val="18"/>
      </w:rPr>
      <w:instrText xml:space="preserve"> PAGE  \* MERGEFORMAT </w:instrText>
    </w:r>
    <w:r w:rsidRPr="00BE2971">
      <w:rPr>
        <w:b/>
        <w:sz w:val="18"/>
      </w:rPr>
      <w:fldChar w:fldCharType="separate"/>
    </w:r>
    <w:r w:rsidRPr="00BE2971">
      <w:rPr>
        <w:b/>
        <w:noProof/>
        <w:sz w:val="18"/>
      </w:rPr>
      <w:t>3</w:t>
    </w:r>
    <w:r w:rsidRPr="00BE29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451D" w14:textId="469BF40D" w:rsidR="007F20FA" w:rsidRPr="00BE2971" w:rsidRDefault="00BE2971" w:rsidP="00BE297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A5CAFA" wp14:editId="675121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21-08413  (F)</w:t>
    </w:r>
    <w:r>
      <w:rPr>
        <w:noProof/>
        <w:sz w:val="20"/>
      </w:rPr>
      <w:drawing>
        <wp:anchor distT="0" distB="0" distL="114300" distR="114300" simplePos="0" relativeHeight="251660288" behindDoc="0" locked="0" layoutInCell="1" allowOverlap="1" wp14:anchorId="4EA0FB06" wp14:editId="34390BE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090721    090721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D54F" w14:textId="77777777" w:rsidR="003B795D" w:rsidRPr="00AC3823" w:rsidRDefault="003B795D" w:rsidP="00AC3823">
      <w:pPr>
        <w:pStyle w:val="Footer"/>
        <w:tabs>
          <w:tab w:val="right" w:pos="2155"/>
        </w:tabs>
        <w:spacing w:after="80" w:line="240" w:lineRule="atLeast"/>
        <w:ind w:left="680"/>
        <w:rPr>
          <w:u w:val="single"/>
        </w:rPr>
      </w:pPr>
      <w:r>
        <w:rPr>
          <w:u w:val="single"/>
        </w:rPr>
        <w:tab/>
      </w:r>
    </w:p>
  </w:footnote>
  <w:footnote w:type="continuationSeparator" w:id="0">
    <w:p w14:paraId="47CD57BE" w14:textId="77777777" w:rsidR="003B795D" w:rsidRPr="00AC3823" w:rsidRDefault="003B795D" w:rsidP="00AC3823">
      <w:pPr>
        <w:pStyle w:val="Footer"/>
        <w:tabs>
          <w:tab w:val="right" w:pos="2155"/>
        </w:tabs>
        <w:spacing w:after="80" w:line="240" w:lineRule="atLeast"/>
        <w:ind w:left="680"/>
        <w:rPr>
          <w:u w:val="single"/>
        </w:rPr>
      </w:pPr>
      <w:r>
        <w:rPr>
          <w:u w:val="single"/>
        </w:rPr>
        <w:tab/>
      </w:r>
    </w:p>
  </w:footnote>
  <w:footnote w:type="continuationNotice" w:id="1">
    <w:p w14:paraId="7BD15FF9" w14:textId="77777777" w:rsidR="003B795D" w:rsidRPr="00AC3823" w:rsidRDefault="003B795D">
      <w:pPr>
        <w:spacing w:line="240" w:lineRule="auto"/>
        <w:rPr>
          <w:sz w:val="2"/>
          <w:szCs w:val="2"/>
        </w:rPr>
      </w:pPr>
    </w:p>
  </w:footnote>
  <w:footnote w:id="2">
    <w:p w14:paraId="4BA6FFC6" w14:textId="03463D9A" w:rsidR="00BE2971" w:rsidRPr="001249FF" w:rsidRDefault="00BE2971" w:rsidP="00BE2971">
      <w:pPr>
        <w:pStyle w:val="FootnoteText"/>
        <w:rPr>
          <w:lang w:val="fr-FR"/>
        </w:rPr>
      </w:pPr>
      <w:r w:rsidRPr="00BE2971">
        <w:rPr>
          <w:sz w:val="20"/>
          <w:szCs w:val="22"/>
          <w:lang w:val="fr-FR"/>
        </w:rPr>
        <w:tab/>
        <w:t>*</w:t>
      </w:r>
      <w:r w:rsidRPr="00BE2971">
        <w:rPr>
          <w:sz w:val="20"/>
          <w:szCs w:val="22"/>
          <w:lang w:val="fr-FR"/>
        </w:rPr>
        <w:tab/>
      </w:r>
      <w:r>
        <w:rPr>
          <w:lang w:val="fr-FR"/>
        </w:rPr>
        <w:t>A/75/6 (Sect. 20), par. 20.51.</w:t>
      </w:r>
    </w:p>
  </w:footnote>
  <w:footnote w:id="3">
    <w:p w14:paraId="60AF1E0D" w14:textId="77777777" w:rsidR="00BE2971" w:rsidRPr="001249FF" w:rsidRDefault="00BE2971" w:rsidP="00BE2971">
      <w:pPr>
        <w:pStyle w:val="FootnoteText"/>
        <w:rPr>
          <w:lang w:val="fr-FR"/>
        </w:rPr>
      </w:pPr>
      <w:r w:rsidRPr="00BE2971">
        <w:rPr>
          <w:sz w:val="20"/>
          <w:szCs w:val="22"/>
          <w:lang w:val="fr-FR"/>
        </w:rPr>
        <w:tab/>
        <w:t>**</w:t>
      </w:r>
      <w:r w:rsidRPr="00BE2971">
        <w:rPr>
          <w:sz w:val="20"/>
          <w:szCs w:val="22"/>
          <w:lang w:val="fr-FR"/>
        </w:rPr>
        <w:tab/>
      </w:r>
      <w:r>
        <w:rPr>
          <w:lang w:val="fr-FR"/>
        </w:rPr>
        <w:t>Diffusée par l’Organisation intergouvernementale pour les transports internationaux ferroviaires sous la cote OTIF/RID/RC/2021/30.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9EED" w14:textId="27D34C95" w:rsidR="00BE2971" w:rsidRPr="00BE2971" w:rsidRDefault="00C83D9A">
    <w:pPr>
      <w:pStyle w:val="Header"/>
    </w:pPr>
    <w:r>
      <w:fldChar w:fldCharType="begin"/>
    </w:r>
    <w:r>
      <w:instrText xml:space="preserve"> TITLE  \* MERGEFORMAT </w:instrText>
    </w:r>
    <w:r>
      <w:fldChar w:fldCharType="separate"/>
    </w:r>
    <w:r w:rsidR="00D5504C">
      <w:t>ECE/TRANS/WP.15/AC.1/2021/30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3D04" w14:textId="23ECCBD5" w:rsidR="00BE2971" w:rsidRPr="00BE2971" w:rsidRDefault="00C83D9A" w:rsidP="00BE2971">
    <w:pPr>
      <w:pStyle w:val="Header"/>
      <w:jc w:val="right"/>
    </w:pPr>
    <w:r>
      <w:fldChar w:fldCharType="begin"/>
    </w:r>
    <w:r>
      <w:instrText xml:space="preserve"> TITLE  \* MERGEFORMAT </w:instrText>
    </w:r>
    <w:r>
      <w:fldChar w:fldCharType="separate"/>
    </w:r>
    <w:r w:rsidR="00D5504C">
      <w:t>ECE/TRANS/WP.15/AC.1/2021/30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5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795D"/>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54131"/>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2971"/>
    <w:rsid w:val="00C02897"/>
    <w:rsid w:val="00C83D9A"/>
    <w:rsid w:val="00C97039"/>
    <w:rsid w:val="00D3439C"/>
    <w:rsid w:val="00D5504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22203"/>
  <w15:docId w15:val="{D2B19F26-6C12-4A34-A17D-4C259D70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E297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B2E3F-9619-49A4-94C5-BC1CB7C5E421}"/>
</file>

<file path=customXml/itemProps2.xml><?xml version="1.0" encoding="utf-8"?>
<ds:datastoreItem xmlns:ds="http://schemas.openxmlformats.org/officeDocument/2006/customXml" ds:itemID="{C19EB998-CEAC-4A8B-94D7-0BD7544AA188}"/>
</file>

<file path=customXml/itemProps3.xml><?xml version="1.0" encoding="utf-8"?>
<ds:datastoreItem xmlns:ds="http://schemas.openxmlformats.org/officeDocument/2006/customXml" ds:itemID="{7F01B28A-5555-47C2-8151-5693E43144FA}"/>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ECE/TRANS/WP.15/AC.1/2021/30</vt:lpstr>
    </vt:vector>
  </TitlesOfParts>
  <Company>DCM</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ECE/TRANS/WP.15/AC.1/2021/30</dc:title>
  <dc:subject/>
  <dc:creator>Christine CHAUTAGNAT</dc:creator>
  <cp:keywords/>
  <cp:lastModifiedBy>Christine Barrio-Champeau</cp:lastModifiedBy>
  <cp:revision>2</cp:revision>
  <cp:lastPrinted>2021-07-09T09:05:00Z</cp:lastPrinted>
  <dcterms:created xsi:type="dcterms:W3CDTF">2021-07-09T09:12:00Z</dcterms:created>
  <dcterms:modified xsi:type="dcterms:W3CDTF">2021-07-09T09:12:00Z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