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15BE9EA2" w14:textId="77777777" w:rsidTr="00C97039">
        <w:trPr>
          <w:trHeight w:hRule="exact" w:val="851"/>
        </w:trPr>
        <w:tc>
          <w:tcPr>
            <w:tcW w:w="1276" w:type="dxa"/>
            <w:tcBorders>
              <w:bottom w:val="single" w:sz="4" w:space="0" w:color="auto"/>
            </w:tcBorders>
          </w:tcPr>
          <w:p w14:paraId="731EF1FB" w14:textId="77777777" w:rsidR="00F35BAF" w:rsidRPr="00DB58B5" w:rsidRDefault="00F35BAF" w:rsidP="009D26E1"/>
        </w:tc>
        <w:tc>
          <w:tcPr>
            <w:tcW w:w="2268" w:type="dxa"/>
            <w:tcBorders>
              <w:bottom w:val="single" w:sz="4" w:space="0" w:color="auto"/>
            </w:tcBorders>
            <w:vAlign w:val="bottom"/>
          </w:tcPr>
          <w:p w14:paraId="053610D7"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630B5E4" w14:textId="4979E84C" w:rsidR="00F35BAF" w:rsidRPr="00DB58B5" w:rsidRDefault="009D26E1" w:rsidP="009D26E1">
            <w:pPr>
              <w:jc w:val="right"/>
            </w:pPr>
            <w:r w:rsidRPr="009D26E1">
              <w:rPr>
                <w:sz w:val="40"/>
              </w:rPr>
              <w:t>ECE</w:t>
            </w:r>
            <w:r>
              <w:t>/TRANS/WP.15/AC.1/2021/26</w:t>
            </w:r>
          </w:p>
        </w:tc>
      </w:tr>
      <w:tr w:rsidR="00F35BAF" w:rsidRPr="00DB58B5" w14:paraId="38252D0F" w14:textId="77777777" w:rsidTr="00C97039">
        <w:trPr>
          <w:trHeight w:hRule="exact" w:val="2835"/>
        </w:trPr>
        <w:tc>
          <w:tcPr>
            <w:tcW w:w="1276" w:type="dxa"/>
            <w:tcBorders>
              <w:top w:val="single" w:sz="4" w:space="0" w:color="auto"/>
              <w:bottom w:val="single" w:sz="12" w:space="0" w:color="auto"/>
            </w:tcBorders>
          </w:tcPr>
          <w:p w14:paraId="4CD8662C" w14:textId="77777777" w:rsidR="00F35BAF" w:rsidRPr="00DB58B5" w:rsidRDefault="00F35BAF" w:rsidP="00C97039">
            <w:pPr>
              <w:spacing w:before="120"/>
              <w:jc w:val="center"/>
            </w:pPr>
            <w:r>
              <w:rPr>
                <w:noProof/>
                <w:lang w:eastAsia="fr-CH"/>
              </w:rPr>
              <w:drawing>
                <wp:inline distT="0" distB="0" distL="0" distR="0" wp14:anchorId="6A30B04C" wp14:editId="68E83DA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4D47E1A"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B1A2526" w14:textId="77777777" w:rsidR="00F35BAF" w:rsidRDefault="009D26E1" w:rsidP="00C97039">
            <w:pPr>
              <w:spacing w:before="240"/>
            </w:pPr>
            <w:r>
              <w:t xml:space="preserve">Distr. </w:t>
            </w:r>
            <w:proofErr w:type="gramStart"/>
            <w:r>
              <w:t>générale</w:t>
            </w:r>
            <w:proofErr w:type="gramEnd"/>
          </w:p>
          <w:p w14:paraId="1C601178" w14:textId="77777777" w:rsidR="009D26E1" w:rsidRDefault="009D26E1" w:rsidP="009D26E1">
            <w:pPr>
              <w:spacing w:line="240" w:lineRule="exact"/>
            </w:pPr>
            <w:r>
              <w:t>22 juin 2021</w:t>
            </w:r>
          </w:p>
          <w:p w14:paraId="254BA220" w14:textId="77777777" w:rsidR="009D26E1" w:rsidRDefault="009D26E1" w:rsidP="009D26E1">
            <w:pPr>
              <w:spacing w:line="240" w:lineRule="exact"/>
            </w:pPr>
            <w:r>
              <w:t>Français</w:t>
            </w:r>
          </w:p>
          <w:p w14:paraId="06F6764D" w14:textId="097DE6E0" w:rsidR="009D26E1" w:rsidRPr="00DB58B5" w:rsidRDefault="009D26E1" w:rsidP="009D26E1">
            <w:pPr>
              <w:spacing w:line="240" w:lineRule="exact"/>
            </w:pPr>
            <w:r>
              <w:t>Original : anglais</w:t>
            </w:r>
          </w:p>
        </w:tc>
      </w:tr>
    </w:tbl>
    <w:p w14:paraId="053E5E10" w14:textId="77777777" w:rsidR="007F20FA" w:rsidRPr="000312C0" w:rsidRDefault="007F20FA" w:rsidP="007F20FA">
      <w:pPr>
        <w:spacing w:before="120"/>
        <w:rPr>
          <w:b/>
          <w:sz w:val="28"/>
          <w:szCs w:val="28"/>
        </w:rPr>
      </w:pPr>
      <w:r w:rsidRPr="000312C0">
        <w:rPr>
          <w:b/>
          <w:sz w:val="28"/>
          <w:szCs w:val="28"/>
        </w:rPr>
        <w:t>Commission économique pour l’Europe</w:t>
      </w:r>
    </w:p>
    <w:p w14:paraId="44AB3579" w14:textId="77777777" w:rsidR="007F20FA" w:rsidRDefault="007F20FA" w:rsidP="007F20FA">
      <w:pPr>
        <w:spacing w:before="120"/>
        <w:rPr>
          <w:sz w:val="28"/>
          <w:szCs w:val="28"/>
        </w:rPr>
      </w:pPr>
      <w:r w:rsidRPr="00685843">
        <w:rPr>
          <w:sz w:val="28"/>
          <w:szCs w:val="28"/>
        </w:rPr>
        <w:t>Comité des transports intérieurs</w:t>
      </w:r>
    </w:p>
    <w:p w14:paraId="29B29370" w14:textId="77777777" w:rsidR="009D26E1" w:rsidRPr="009D26E1" w:rsidRDefault="009D26E1" w:rsidP="009D26E1">
      <w:pPr>
        <w:spacing w:before="120"/>
        <w:rPr>
          <w:b/>
          <w:sz w:val="32"/>
          <w:szCs w:val="32"/>
          <w:lang w:val="fr-FR"/>
        </w:rPr>
      </w:pPr>
      <w:r w:rsidRPr="009D26E1">
        <w:rPr>
          <w:b/>
          <w:bCs/>
          <w:sz w:val="24"/>
          <w:szCs w:val="24"/>
          <w:lang w:val="fr-FR"/>
        </w:rPr>
        <w:t>Groupe de travail des transports de marchandises dangereuses</w:t>
      </w:r>
    </w:p>
    <w:p w14:paraId="1AE6FAA4" w14:textId="2E80743C" w:rsidR="009D26E1" w:rsidRPr="0074296D" w:rsidRDefault="009D26E1" w:rsidP="009D26E1">
      <w:pPr>
        <w:spacing w:before="120"/>
        <w:rPr>
          <w:b/>
          <w:bCs/>
          <w:lang w:val="fr-FR"/>
        </w:rPr>
      </w:pPr>
      <w:r>
        <w:rPr>
          <w:b/>
          <w:bCs/>
          <w:lang w:val="fr-FR"/>
        </w:rPr>
        <w:t xml:space="preserve">Réunion commune de la Commission d’experts du RID </w:t>
      </w:r>
      <w:r>
        <w:rPr>
          <w:b/>
          <w:bCs/>
          <w:lang w:val="fr-FR"/>
        </w:rPr>
        <w:br/>
        <w:t>et du Groupe de travail des transports de marchandises dangereuses</w:t>
      </w:r>
    </w:p>
    <w:p w14:paraId="2A2A286A" w14:textId="2B672A42" w:rsidR="009D26E1" w:rsidRPr="009D26E1" w:rsidRDefault="009D26E1" w:rsidP="009D26E1">
      <w:pPr>
        <w:spacing w:before="120"/>
        <w:rPr>
          <w:lang w:val="fr-FR"/>
        </w:rPr>
      </w:pPr>
      <w:r w:rsidRPr="009D26E1">
        <w:rPr>
          <w:lang w:val="fr-FR"/>
        </w:rPr>
        <w:t>Genève, 21</w:t>
      </w:r>
      <w:r>
        <w:rPr>
          <w:lang w:val="fr-FR"/>
        </w:rPr>
        <w:t> </w:t>
      </w:r>
      <w:r w:rsidRPr="009D26E1">
        <w:rPr>
          <w:lang w:val="fr-FR"/>
        </w:rPr>
        <w:t>septembre-1</w:t>
      </w:r>
      <w:r w:rsidRPr="009D26E1">
        <w:rPr>
          <w:vertAlign w:val="superscript"/>
          <w:lang w:val="fr-FR"/>
        </w:rPr>
        <w:t>er</w:t>
      </w:r>
      <w:r>
        <w:rPr>
          <w:lang w:val="fr-FR"/>
        </w:rPr>
        <w:t> </w:t>
      </w:r>
      <w:r w:rsidRPr="009D26E1">
        <w:rPr>
          <w:lang w:val="fr-FR"/>
        </w:rPr>
        <w:t>octobre 2021</w:t>
      </w:r>
    </w:p>
    <w:p w14:paraId="2E5D453F" w14:textId="77777777" w:rsidR="009D26E1" w:rsidRPr="009D26E1" w:rsidRDefault="009D26E1" w:rsidP="009D26E1">
      <w:pPr>
        <w:rPr>
          <w:lang w:val="fr-FR"/>
        </w:rPr>
      </w:pPr>
      <w:r w:rsidRPr="009D26E1">
        <w:rPr>
          <w:lang w:val="fr-FR"/>
        </w:rPr>
        <w:t>Point 6 de l’ordre du jour provisoire</w:t>
      </w:r>
    </w:p>
    <w:p w14:paraId="4B365A74" w14:textId="77777777" w:rsidR="009D26E1" w:rsidRPr="009D26E1" w:rsidRDefault="009D26E1" w:rsidP="009D26E1">
      <w:pPr>
        <w:rPr>
          <w:b/>
          <w:bCs/>
          <w:lang w:val="fr-FR"/>
        </w:rPr>
      </w:pPr>
      <w:r w:rsidRPr="009D26E1">
        <w:rPr>
          <w:b/>
          <w:bCs/>
          <w:lang w:val="fr-FR"/>
        </w:rPr>
        <w:t>Interprétation du RID, de l’ADR et de l’ADN</w:t>
      </w:r>
    </w:p>
    <w:p w14:paraId="7F38E270" w14:textId="67FE7C14" w:rsidR="009D26E1" w:rsidRPr="0074296D" w:rsidRDefault="009D26E1" w:rsidP="009D26E1">
      <w:pPr>
        <w:pStyle w:val="HChG"/>
        <w:rPr>
          <w:lang w:val="fr-FR"/>
        </w:rPr>
      </w:pPr>
      <w:r>
        <w:rPr>
          <w:lang w:val="fr-FR"/>
        </w:rPr>
        <w:tab/>
      </w:r>
      <w:r>
        <w:rPr>
          <w:lang w:val="fr-FR"/>
        </w:rPr>
        <w:tab/>
        <w:t xml:space="preserve">Éclaircissements relatifs au paragraphe 5.3.2.2.1 du RID </w:t>
      </w:r>
      <w:r>
        <w:rPr>
          <w:lang w:val="fr-FR"/>
        </w:rPr>
        <w:br/>
        <w:t>et de l’ADR − spécifications pour les panneaux orange</w:t>
      </w:r>
    </w:p>
    <w:p w14:paraId="4453DBC6" w14:textId="1A7B4358" w:rsidR="009D26E1" w:rsidRDefault="009D26E1" w:rsidP="009D26E1">
      <w:pPr>
        <w:pStyle w:val="H1G"/>
        <w:rPr>
          <w:b w:val="0"/>
          <w:bCs/>
          <w:sz w:val="20"/>
          <w:lang w:val="fr-FR"/>
        </w:rPr>
      </w:pPr>
      <w:r>
        <w:rPr>
          <w:lang w:val="fr-FR"/>
        </w:rPr>
        <w:tab/>
      </w:r>
      <w:r>
        <w:rPr>
          <w:lang w:val="fr-FR"/>
        </w:rPr>
        <w:tab/>
        <w:t>Communication du Gouvernement du Royaume-Uni</w:t>
      </w:r>
      <w:r w:rsidRPr="009D26E1">
        <w:rPr>
          <w:rStyle w:val="FootnoteReference"/>
          <w:b w:val="0"/>
          <w:bCs/>
          <w:sz w:val="20"/>
          <w:vertAlign w:val="baseline"/>
          <w:lang w:val="fr-FR"/>
        </w:rPr>
        <w:footnoteReference w:customMarkFollows="1" w:id="2"/>
        <w:t>*</w:t>
      </w:r>
      <w:r w:rsidRPr="009D26E1">
        <w:rPr>
          <w:b w:val="0"/>
          <w:bCs/>
          <w:sz w:val="20"/>
          <w:vertAlign w:val="superscript"/>
          <w:lang w:val="fr-FR"/>
        </w:rPr>
        <w:t xml:space="preserve">, </w:t>
      </w:r>
      <w:r w:rsidRPr="009D26E1">
        <w:rPr>
          <w:rStyle w:val="FootnoteReference"/>
          <w:b w:val="0"/>
          <w:bCs/>
          <w:sz w:val="20"/>
          <w:vertAlign w:val="baseline"/>
          <w:lang w:val="fr-FR"/>
        </w:rPr>
        <w:footnoteReference w:customMarkFollows="1" w:id="3"/>
        <w:t>**</w:t>
      </w:r>
      <w:r w:rsidRPr="009D26E1">
        <w:rPr>
          <w:b w:val="0"/>
          <w:bCs/>
          <w:sz w:val="20"/>
          <w:lang w:val="fr-FR"/>
        </w:rPr>
        <w:t xml:space="preserve"> </w:t>
      </w:r>
    </w:p>
    <w:tbl>
      <w:tblPr>
        <w:tblStyle w:val="TableGrid"/>
        <w:tblW w:w="0" w:type="auto"/>
        <w:jc w:val="center"/>
        <w:tblLook w:val="05E0" w:firstRow="1" w:lastRow="1" w:firstColumn="1" w:lastColumn="1" w:noHBand="0" w:noVBand="1"/>
      </w:tblPr>
      <w:tblGrid>
        <w:gridCol w:w="9628"/>
      </w:tblGrid>
      <w:tr w:rsidR="009D26E1" w:rsidRPr="009D26E1" w14:paraId="48EB33C6" w14:textId="77777777" w:rsidTr="00701485">
        <w:trPr>
          <w:jc w:val="center"/>
        </w:trPr>
        <w:tc>
          <w:tcPr>
            <w:tcW w:w="9628" w:type="dxa"/>
            <w:tcBorders>
              <w:bottom w:val="nil"/>
            </w:tcBorders>
          </w:tcPr>
          <w:p w14:paraId="0E3CADFB" w14:textId="5F8A16E1" w:rsidR="009D26E1" w:rsidRPr="009D26E1" w:rsidRDefault="009D26E1" w:rsidP="00701485">
            <w:pPr>
              <w:tabs>
                <w:tab w:val="left" w:pos="255"/>
              </w:tabs>
              <w:spacing w:before="240" w:after="120"/>
              <w:rPr>
                <w:sz w:val="24"/>
                <w:lang w:val="fr-FR"/>
              </w:rPr>
            </w:pPr>
            <w:r w:rsidRPr="009D26E1">
              <w:rPr>
                <w:lang w:val="fr-FR"/>
              </w:rPr>
              <w:tab/>
            </w:r>
            <w:r>
              <w:rPr>
                <w:i/>
                <w:sz w:val="24"/>
                <w:lang w:val="fr-FR"/>
              </w:rPr>
              <w:t>Résumé</w:t>
            </w:r>
          </w:p>
        </w:tc>
      </w:tr>
      <w:tr w:rsidR="009D26E1" w:rsidRPr="009D26E1" w14:paraId="7ADA5F46" w14:textId="77777777" w:rsidTr="00701485">
        <w:trPr>
          <w:jc w:val="center"/>
        </w:trPr>
        <w:tc>
          <w:tcPr>
            <w:tcW w:w="9628" w:type="dxa"/>
            <w:tcBorders>
              <w:top w:val="nil"/>
              <w:bottom w:val="nil"/>
            </w:tcBorders>
            <w:shd w:val="clear" w:color="auto" w:fill="auto"/>
          </w:tcPr>
          <w:p w14:paraId="022E189D" w14:textId="19037A58" w:rsidR="009D26E1" w:rsidRPr="009D26E1" w:rsidRDefault="009D26E1" w:rsidP="00701485">
            <w:pPr>
              <w:pStyle w:val="SingleTxtG"/>
              <w:ind w:left="3686" w:hanging="2552"/>
              <w:rPr>
                <w:lang w:val="fr-FR"/>
              </w:rPr>
            </w:pPr>
            <w:r w:rsidRPr="009D26E1">
              <w:rPr>
                <w:b/>
                <w:bCs/>
                <w:lang w:val="fr-FR"/>
              </w:rPr>
              <w:t>Résumé analytique</w:t>
            </w:r>
            <w:r>
              <w:rPr>
                <w:b/>
                <w:bCs/>
                <w:lang w:val="fr-FR"/>
              </w:rPr>
              <w:t> </w:t>
            </w:r>
            <w:r w:rsidRPr="009D26E1">
              <w:rPr>
                <w:b/>
                <w:bCs/>
                <w:lang w:val="fr-FR"/>
              </w:rPr>
              <w:t>:</w:t>
            </w:r>
            <w:r w:rsidRPr="009D26E1">
              <w:rPr>
                <w:lang w:val="fr-FR"/>
              </w:rPr>
              <w:tab/>
              <w:t>Au 5.3.2.2.1 du RID et de l’ADR, Spécifications concernant les panneaux orange, il est dit que «</w:t>
            </w:r>
            <w:r>
              <w:rPr>
                <w:lang w:val="fr-FR"/>
              </w:rPr>
              <w:t> </w:t>
            </w:r>
            <w:r w:rsidRPr="009D26E1">
              <w:rPr>
                <w:lang w:val="fr-FR"/>
              </w:rPr>
              <w:t>Le panneau ne doit pas se détacher de sa fixation après un incendie d’une durée de 15</w:t>
            </w:r>
            <w:r>
              <w:rPr>
                <w:lang w:val="fr-FR"/>
              </w:rPr>
              <w:t> </w:t>
            </w:r>
            <w:r w:rsidRPr="009D26E1">
              <w:rPr>
                <w:lang w:val="fr-FR"/>
              </w:rPr>
              <w:t>minutes</w:t>
            </w:r>
            <w:r>
              <w:rPr>
                <w:lang w:val="fr-FR"/>
              </w:rPr>
              <w:t> </w:t>
            </w:r>
            <w:r w:rsidRPr="009D26E1">
              <w:rPr>
                <w:lang w:val="fr-FR"/>
              </w:rPr>
              <w:t>». Le Royaume-Uni souhaiterait qu’un échange de vues ait lieu sur l’interprétation de cette disposition.</w:t>
            </w:r>
          </w:p>
          <w:p w14:paraId="3D72DECE" w14:textId="0DFE3A86" w:rsidR="009D26E1" w:rsidRPr="009D26E1" w:rsidRDefault="009D26E1" w:rsidP="00701485">
            <w:pPr>
              <w:pStyle w:val="SingleTxtG"/>
              <w:ind w:left="3686" w:hanging="2552"/>
              <w:rPr>
                <w:lang w:val="fr-FR"/>
              </w:rPr>
            </w:pPr>
            <w:r w:rsidRPr="009D26E1">
              <w:rPr>
                <w:b/>
                <w:bCs/>
                <w:lang w:val="fr-FR"/>
              </w:rPr>
              <w:t>Mesure à prendre</w:t>
            </w:r>
            <w:r>
              <w:rPr>
                <w:b/>
                <w:bCs/>
                <w:lang w:val="fr-FR"/>
              </w:rPr>
              <w:t> </w:t>
            </w:r>
            <w:r w:rsidRPr="009D26E1">
              <w:rPr>
                <w:b/>
                <w:bCs/>
                <w:lang w:val="fr-FR"/>
              </w:rPr>
              <w:t>:</w:t>
            </w:r>
            <w:r w:rsidRPr="009D26E1">
              <w:rPr>
                <w:lang w:val="fr-FR"/>
              </w:rPr>
              <w:tab/>
              <w:t>Un échange de vues sur l’interprétation du 5.3.2.2.1 du RID et de l’ADR.</w:t>
            </w:r>
          </w:p>
        </w:tc>
      </w:tr>
      <w:tr w:rsidR="009D26E1" w:rsidRPr="009D26E1" w14:paraId="7CE76333" w14:textId="77777777" w:rsidTr="00701485">
        <w:trPr>
          <w:jc w:val="center"/>
        </w:trPr>
        <w:tc>
          <w:tcPr>
            <w:tcW w:w="9628" w:type="dxa"/>
            <w:tcBorders>
              <w:top w:val="nil"/>
            </w:tcBorders>
          </w:tcPr>
          <w:p w14:paraId="2685FA7D" w14:textId="77777777" w:rsidR="009D26E1" w:rsidRPr="009D26E1" w:rsidRDefault="009D26E1" w:rsidP="00701485">
            <w:pPr>
              <w:rPr>
                <w:lang w:val="fr-FR"/>
              </w:rPr>
            </w:pPr>
          </w:p>
        </w:tc>
      </w:tr>
    </w:tbl>
    <w:p w14:paraId="169370C6" w14:textId="77777777" w:rsidR="009D26E1" w:rsidRPr="0074296D" w:rsidRDefault="009D26E1" w:rsidP="009D26E1">
      <w:pPr>
        <w:pStyle w:val="HChG"/>
        <w:rPr>
          <w:lang w:val="fr-FR"/>
        </w:rPr>
      </w:pPr>
      <w:r>
        <w:rPr>
          <w:lang w:val="fr-FR"/>
        </w:rPr>
        <w:tab/>
      </w:r>
      <w:r>
        <w:rPr>
          <w:lang w:val="fr-FR"/>
        </w:rPr>
        <w:tab/>
        <w:t>Contexte</w:t>
      </w:r>
      <w:bookmarkStart w:id="0" w:name="_Hlk532555907"/>
      <w:bookmarkEnd w:id="0"/>
    </w:p>
    <w:p w14:paraId="315A1EEB" w14:textId="1EE1E15F" w:rsidR="009D26E1" w:rsidRPr="0074296D" w:rsidRDefault="009D26E1" w:rsidP="009D26E1">
      <w:pPr>
        <w:pStyle w:val="SingleTxtG"/>
        <w:rPr>
          <w:lang w:val="fr-FR"/>
        </w:rPr>
      </w:pPr>
      <w:r>
        <w:rPr>
          <w:lang w:val="fr-FR"/>
        </w:rPr>
        <w:t>1.</w:t>
      </w:r>
      <w:r>
        <w:rPr>
          <w:lang w:val="fr-FR"/>
        </w:rPr>
        <w:tab/>
        <w:t>Le Royaume-Uni a soumis le document informel INF.13, « Clarification on ADR 5.3.2.2.1 specifications for the orange-coloured plates », à la 109</w:t>
      </w:r>
      <w:r w:rsidRPr="009D26E1">
        <w:rPr>
          <w:vertAlign w:val="superscript"/>
          <w:lang w:val="fr-FR"/>
        </w:rPr>
        <w:t>e</w:t>
      </w:r>
      <w:r>
        <w:rPr>
          <w:lang w:val="fr-FR"/>
        </w:rPr>
        <w:t> session du Groupe de travail des transports de marchandises dangereuses (mai 2021), afin d’inviter le Groupe de travail à avoir un échange de vues sur les dispositions du 5.3.2.2.1.</w:t>
      </w:r>
    </w:p>
    <w:p w14:paraId="6960DFAE" w14:textId="77777777" w:rsidR="009D26E1" w:rsidRPr="0074296D" w:rsidRDefault="009D26E1" w:rsidP="009D26E1">
      <w:pPr>
        <w:pStyle w:val="SingleTxtG"/>
        <w:rPr>
          <w:lang w:val="fr-FR"/>
        </w:rPr>
      </w:pPr>
      <w:r>
        <w:rPr>
          <w:lang w:val="fr-FR"/>
        </w:rPr>
        <w:t>2.</w:t>
      </w:r>
      <w:r>
        <w:rPr>
          <w:lang w:val="fr-FR"/>
        </w:rPr>
        <w:tab/>
        <w:t xml:space="preserve">Le Groupe de travail a jugé préférable que cet échange ait lieu dans le cadre de la Réunion commune, plutôt qu’au sein du WP.15, sachant qu’un texte équivalent existe au 5.3.2.2.1 du RID. </w:t>
      </w:r>
    </w:p>
    <w:p w14:paraId="44720CE6" w14:textId="1F195B15" w:rsidR="009D26E1" w:rsidRPr="0074296D" w:rsidRDefault="009D26E1" w:rsidP="009D26E1">
      <w:pPr>
        <w:pStyle w:val="SingleTxtG"/>
        <w:rPr>
          <w:lang w:val="fr-FR"/>
        </w:rPr>
      </w:pPr>
      <w:r>
        <w:rPr>
          <w:lang w:val="fr-FR"/>
        </w:rPr>
        <w:lastRenderedPageBreak/>
        <w:t>3.</w:t>
      </w:r>
      <w:r>
        <w:rPr>
          <w:lang w:val="fr-FR"/>
        </w:rPr>
        <w:tab/>
        <w:t>Au 5.3.2.2.1 du RID et de l’ADR − Spécifications concernant les panneaux orange − il est dit que « Le panneau ne doit pas se détacher de sa fixation après un incendie d’une durée de 15 minutes ».</w:t>
      </w:r>
    </w:p>
    <w:p w14:paraId="6665A29A" w14:textId="72980636" w:rsidR="009D26E1" w:rsidRPr="0074296D" w:rsidRDefault="009D26E1" w:rsidP="009D26E1">
      <w:pPr>
        <w:pStyle w:val="SingleTxtG"/>
        <w:rPr>
          <w:lang w:val="fr-FR"/>
        </w:rPr>
      </w:pPr>
      <w:r>
        <w:rPr>
          <w:lang w:val="fr-FR"/>
        </w:rPr>
        <w:t>4.</w:t>
      </w:r>
      <w:r>
        <w:rPr>
          <w:lang w:val="fr-FR"/>
        </w:rPr>
        <w:tab/>
        <w:t>Au Royaume-Uni, les organismes de contrôle estiment que les panneaux fixés magnétiquement ne satisfont pas à cette prescription. Ce point de vue a conduit à se poser la question de savoir comment démontrer qu’un panneau de couleur orange peut résister à un feu durant 15</w:t>
      </w:r>
      <w:r w:rsidR="002445CC">
        <w:rPr>
          <w:lang w:val="fr-FR"/>
        </w:rPr>
        <w:t> </w:t>
      </w:r>
      <w:r>
        <w:rPr>
          <w:lang w:val="fr-FR"/>
        </w:rPr>
        <w:t>minutes. Il n’existe pas à notre connaissance de norme ou d’épreuve applicable qui permette de faire la démonstration de façon uniforme. Il n’existe pas non plus de dispositions équivalentes pour la résistance au feu à celles qui s’appliquent aux plaques</w:t>
      </w:r>
      <w:r w:rsidR="002445CC">
        <w:rPr>
          <w:lang w:val="fr-FR"/>
        </w:rPr>
        <w:noBreakHyphen/>
      </w:r>
      <w:r>
        <w:rPr>
          <w:lang w:val="fr-FR"/>
        </w:rPr>
        <w:t>étiquettes, selon lesquelles lesdites plaques doivent « résister aux intempéries » (voir le 5.3.1.1.1). De plus, les dispositions relatives à la résistance au feu ne s’appliquent pas à la signalisation alternative prévue pour les conteneurs transportant des matières solides dangereuses en vrac, tout comme pour les conteneurs-citernes, les conteneurs à gaz à éléments multiples (CGEM) et les citernes mobiles (voir le quatrième paragraphe du 5.3.2.2.1 de l’ADR). C’est également le cas dans le RID, où la signalisation alternative est autorisée pour tous les engins de transport (voir le deuxième paragraphe du 5.3.2.2.1 du RID).</w:t>
      </w:r>
    </w:p>
    <w:p w14:paraId="641BDFFC" w14:textId="77777777" w:rsidR="009D26E1" w:rsidRPr="0074296D" w:rsidRDefault="009D26E1" w:rsidP="002445CC">
      <w:pPr>
        <w:pStyle w:val="SingleTxtG"/>
        <w:rPr>
          <w:lang w:val="fr-FR"/>
        </w:rPr>
      </w:pPr>
      <w:r>
        <w:rPr>
          <w:lang w:val="fr-FR"/>
        </w:rPr>
        <w:t>5.</w:t>
      </w:r>
      <w:r>
        <w:rPr>
          <w:lang w:val="fr-FR"/>
        </w:rPr>
        <w:tab/>
        <w:t>Les panneaux magnétiques sont très courants dans le secteur, en particulier sur les véhicules en location. En effet, ils évitent d’avoir à percer des trous et à causer ainsi des dommages permanents. On peut également avoir recours à des attaches métalliques, mais les véhicules actuels n’ont généralement pas de points de fixation pratiques pour ces attaches.</w:t>
      </w:r>
    </w:p>
    <w:p w14:paraId="1C6CB1EC" w14:textId="3F6CC4AE" w:rsidR="009D26E1" w:rsidRPr="0074296D" w:rsidRDefault="009D26E1" w:rsidP="002445CC">
      <w:pPr>
        <w:pStyle w:val="SingleTxtG"/>
        <w:rPr>
          <w:lang w:val="fr-FR"/>
        </w:rPr>
      </w:pPr>
      <w:r>
        <w:rPr>
          <w:lang w:val="fr-FR"/>
        </w:rPr>
        <w:t>6.</w:t>
      </w:r>
      <w:r>
        <w:rPr>
          <w:lang w:val="fr-FR"/>
        </w:rPr>
        <w:tab/>
        <w:t>Le Royaume-Uni est d’avis que certains des autres supports disponibles sur le marché ne résisteraient pas non plus à un feu de 15</w:t>
      </w:r>
      <w:r w:rsidR="002445CC">
        <w:rPr>
          <w:lang w:val="fr-FR"/>
        </w:rPr>
        <w:t> </w:t>
      </w:r>
      <w:r>
        <w:rPr>
          <w:lang w:val="fr-FR"/>
        </w:rPr>
        <w:t>minutes, souvent parce qu’il s’agit de simples vignettes en PVC collées sur une plaque métallique. Il ne fait pas de doute que ces vignettes fondraient tout simplement dans le feu. Certains fournisseurs de ces produits indiquent même en petits caractères que les plaques ne sont pas conformes aux prescriptions du RID et de l’ADR en ce qui concerne la résistance au feu.</w:t>
      </w:r>
    </w:p>
    <w:p w14:paraId="10F26961" w14:textId="77777777" w:rsidR="009D26E1" w:rsidRPr="0074296D" w:rsidRDefault="009D26E1" w:rsidP="002445CC">
      <w:pPr>
        <w:pStyle w:val="HChG"/>
        <w:rPr>
          <w:lang w:val="fr-FR"/>
        </w:rPr>
      </w:pPr>
      <w:r>
        <w:rPr>
          <w:lang w:val="fr-FR"/>
        </w:rPr>
        <w:tab/>
      </w:r>
      <w:r>
        <w:rPr>
          <w:lang w:val="fr-FR"/>
        </w:rPr>
        <w:tab/>
        <w:t>Mesure à prendre</w:t>
      </w:r>
    </w:p>
    <w:p w14:paraId="3EC15C05" w14:textId="77777777" w:rsidR="009D26E1" w:rsidRPr="0074296D" w:rsidRDefault="009D26E1" w:rsidP="002445CC">
      <w:pPr>
        <w:pStyle w:val="SingleTxtG"/>
        <w:rPr>
          <w:lang w:val="fr-FR"/>
        </w:rPr>
      </w:pPr>
      <w:r>
        <w:rPr>
          <w:lang w:val="fr-FR"/>
        </w:rPr>
        <w:t>7.</w:t>
      </w:r>
      <w:r>
        <w:rPr>
          <w:lang w:val="fr-FR"/>
        </w:rPr>
        <w:tab/>
        <w:t>Le Royaume-Uni apprécierait que les représentants à la Réunion commune donnent leur point de vue sur la question, car il peut être difficile de faire appliquer la disposition visée pour les raisons susmentionnées.</w:t>
      </w:r>
    </w:p>
    <w:p w14:paraId="1AF404FC" w14:textId="09C34D63" w:rsidR="009D26E1" w:rsidRPr="0074296D" w:rsidRDefault="009D26E1" w:rsidP="002445CC">
      <w:pPr>
        <w:pStyle w:val="SingleTxtG"/>
        <w:keepNext/>
        <w:rPr>
          <w:lang w:val="fr-FR"/>
        </w:rPr>
      </w:pPr>
      <w:r>
        <w:rPr>
          <w:lang w:val="fr-FR"/>
        </w:rPr>
        <w:t>8.</w:t>
      </w:r>
      <w:r>
        <w:rPr>
          <w:lang w:val="fr-FR"/>
        </w:rPr>
        <w:tab/>
        <w:t>Le Royaume-Uni demande ainsi des éclaircissements et invite à un échange de vues sur les points suivants</w:t>
      </w:r>
      <w:r w:rsidR="002445CC">
        <w:rPr>
          <w:lang w:val="fr-FR"/>
        </w:rPr>
        <w:t> </w:t>
      </w:r>
      <w:r>
        <w:rPr>
          <w:lang w:val="fr-FR"/>
        </w:rPr>
        <w:t>:</w:t>
      </w:r>
    </w:p>
    <w:p w14:paraId="1E6FF0DF" w14:textId="72B57321" w:rsidR="009D26E1" w:rsidRPr="0074296D" w:rsidRDefault="009D26E1" w:rsidP="002445CC">
      <w:pPr>
        <w:pStyle w:val="SingleTxtG"/>
        <w:ind w:firstLine="567"/>
        <w:rPr>
          <w:lang w:val="fr-FR"/>
        </w:rPr>
      </w:pPr>
      <w:r>
        <w:rPr>
          <w:lang w:val="fr-FR"/>
        </w:rPr>
        <w:tab/>
        <w:t>a)</w:t>
      </w:r>
      <w:r>
        <w:rPr>
          <w:lang w:val="fr-FR"/>
        </w:rPr>
        <w:tab/>
        <w:t>Quelles étaient l’intention et les attentes initiales en ce qui concerne la disposition visée</w:t>
      </w:r>
      <w:r w:rsidR="002445CC">
        <w:rPr>
          <w:lang w:val="fr-FR"/>
        </w:rPr>
        <w:t> </w:t>
      </w:r>
      <w:r>
        <w:rPr>
          <w:lang w:val="fr-FR"/>
        </w:rPr>
        <w:t>?</w:t>
      </w:r>
    </w:p>
    <w:p w14:paraId="47784CC4" w14:textId="6D4265CA" w:rsidR="009D26E1" w:rsidRPr="0074296D" w:rsidRDefault="009D26E1" w:rsidP="002445CC">
      <w:pPr>
        <w:pStyle w:val="SingleTxtG"/>
        <w:ind w:firstLine="567"/>
        <w:rPr>
          <w:lang w:val="fr-FR"/>
        </w:rPr>
      </w:pPr>
      <w:r>
        <w:rPr>
          <w:lang w:val="fr-FR"/>
        </w:rPr>
        <w:tab/>
        <w:t>b)</w:t>
      </w:r>
      <w:r>
        <w:rPr>
          <w:lang w:val="fr-FR"/>
        </w:rPr>
        <w:tab/>
        <w:t>Sur quelle base technique s’appuie la disposition pour permettre une application uniforme par les organismes de contrôle</w:t>
      </w:r>
      <w:r w:rsidR="002445CC">
        <w:rPr>
          <w:lang w:val="fr-FR"/>
        </w:rPr>
        <w:t> </w:t>
      </w:r>
      <w:r>
        <w:rPr>
          <w:lang w:val="fr-FR"/>
        </w:rPr>
        <w:t>?</w:t>
      </w:r>
    </w:p>
    <w:p w14:paraId="6D25C60E" w14:textId="62B4189F" w:rsidR="009D26E1" w:rsidRPr="0074296D" w:rsidRDefault="009D26E1" w:rsidP="002445CC">
      <w:pPr>
        <w:pStyle w:val="SingleTxtG"/>
        <w:ind w:firstLine="567"/>
        <w:rPr>
          <w:lang w:val="fr-FR"/>
        </w:rPr>
      </w:pPr>
      <w:r>
        <w:rPr>
          <w:lang w:val="fr-FR"/>
        </w:rPr>
        <w:tab/>
        <w:t>c)</w:t>
      </w:r>
      <w:r>
        <w:rPr>
          <w:lang w:val="fr-FR"/>
        </w:rPr>
        <w:tab/>
        <w:t>Quels panneaux disponibles sur le marché peuvent résister à un feu de 15</w:t>
      </w:r>
      <w:r w:rsidR="002445CC">
        <w:rPr>
          <w:lang w:val="fr-FR"/>
        </w:rPr>
        <w:t> </w:t>
      </w:r>
      <w:r>
        <w:rPr>
          <w:lang w:val="fr-FR"/>
        </w:rPr>
        <w:t>minutes, et comment cette résistance est-elle testée</w:t>
      </w:r>
      <w:r w:rsidR="002445CC">
        <w:rPr>
          <w:lang w:val="fr-FR"/>
        </w:rPr>
        <w:t> </w:t>
      </w:r>
      <w:r>
        <w:rPr>
          <w:lang w:val="fr-FR"/>
        </w:rPr>
        <w:t>? Comment l’acheteur d’un panneau peut-il avoir la certitude que celui-ci est conforme</w:t>
      </w:r>
      <w:r w:rsidR="002445CC">
        <w:rPr>
          <w:lang w:val="fr-FR"/>
        </w:rPr>
        <w:t> </w:t>
      </w:r>
      <w:r>
        <w:rPr>
          <w:lang w:val="fr-FR"/>
        </w:rPr>
        <w:t>?</w:t>
      </w:r>
    </w:p>
    <w:p w14:paraId="5D2BF288" w14:textId="468E35BE" w:rsidR="009D26E1" w:rsidRPr="0074296D" w:rsidRDefault="009D26E1" w:rsidP="002445CC">
      <w:pPr>
        <w:pStyle w:val="SingleTxtG"/>
        <w:ind w:firstLine="567"/>
        <w:rPr>
          <w:lang w:val="fr-FR"/>
        </w:rPr>
      </w:pPr>
      <w:r>
        <w:rPr>
          <w:lang w:val="fr-FR"/>
        </w:rPr>
        <w:tab/>
        <w:t>d)</w:t>
      </w:r>
      <w:r>
        <w:rPr>
          <w:lang w:val="fr-FR"/>
        </w:rPr>
        <w:tab/>
        <w:t>Qu’entend-on par un incendie d’une durée de 15</w:t>
      </w:r>
      <w:r w:rsidR="002445CC">
        <w:rPr>
          <w:lang w:val="fr-FR"/>
        </w:rPr>
        <w:t> </w:t>
      </w:r>
      <w:r>
        <w:rPr>
          <w:lang w:val="fr-FR"/>
        </w:rPr>
        <w:t>minutes</w:t>
      </w:r>
      <w:r w:rsidR="002445CC">
        <w:rPr>
          <w:lang w:val="fr-FR"/>
        </w:rPr>
        <w:t> </w:t>
      </w:r>
      <w:r>
        <w:rPr>
          <w:lang w:val="fr-FR"/>
        </w:rPr>
        <w:t>? S’agit-il d’un feu intense sur une citerne à essence, ou d’un petit feu à l’écart des panneaux</w:t>
      </w:r>
      <w:r w:rsidR="002445CC">
        <w:rPr>
          <w:lang w:val="fr-FR"/>
        </w:rPr>
        <w:t> </w:t>
      </w:r>
      <w:r>
        <w:rPr>
          <w:lang w:val="fr-FR"/>
        </w:rPr>
        <w:t>?</w:t>
      </w:r>
    </w:p>
    <w:p w14:paraId="7A043786" w14:textId="0E4B66D9" w:rsidR="009D26E1" w:rsidRDefault="009D26E1" w:rsidP="002445CC">
      <w:pPr>
        <w:pStyle w:val="SingleTxtG"/>
        <w:ind w:firstLine="567"/>
        <w:rPr>
          <w:lang w:val="fr-FR"/>
        </w:rPr>
      </w:pPr>
      <w:r>
        <w:rPr>
          <w:lang w:val="fr-FR"/>
        </w:rPr>
        <w:tab/>
        <w:t>e)</w:t>
      </w:r>
      <w:r>
        <w:rPr>
          <w:lang w:val="fr-FR"/>
        </w:rPr>
        <w:tab/>
        <w:t>Quelle est l’alternative aux panneaux magnétiques dans le cas où l’on ne peut pas raisonnablement utiliser une fixation permanente (dans le cas d’un véhicule en location, par exemple)</w:t>
      </w:r>
      <w:r w:rsidR="002445CC">
        <w:rPr>
          <w:lang w:val="fr-FR"/>
        </w:rPr>
        <w:t> </w:t>
      </w:r>
      <w:r>
        <w:rPr>
          <w:lang w:val="fr-FR"/>
        </w:rPr>
        <w:t>?</w:t>
      </w:r>
    </w:p>
    <w:p w14:paraId="7DB54AF3" w14:textId="02BD254A" w:rsidR="002445CC" w:rsidRPr="002445CC" w:rsidRDefault="002445CC" w:rsidP="002445CC">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sectPr w:rsidR="002445CC" w:rsidRPr="002445CC" w:rsidSect="009D26E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20BF9" w14:textId="77777777" w:rsidR="008E41AB" w:rsidRDefault="008E41AB" w:rsidP="00F95C08">
      <w:pPr>
        <w:spacing w:line="240" w:lineRule="auto"/>
      </w:pPr>
    </w:p>
  </w:endnote>
  <w:endnote w:type="continuationSeparator" w:id="0">
    <w:p w14:paraId="2FB6F4EC" w14:textId="77777777" w:rsidR="008E41AB" w:rsidRPr="00AC3823" w:rsidRDefault="008E41AB" w:rsidP="00AC3823">
      <w:pPr>
        <w:pStyle w:val="Footer"/>
      </w:pPr>
    </w:p>
  </w:endnote>
  <w:endnote w:type="continuationNotice" w:id="1">
    <w:p w14:paraId="3946E051" w14:textId="77777777" w:rsidR="008E41AB" w:rsidRDefault="008E41A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CA3BD" w14:textId="6776FABD" w:rsidR="009D26E1" w:rsidRPr="009D26E1" w:rsidRDefault="009D26E1" w:rsidP="009D26E1">
    <w:pPr>
      <w:pStyle w:val="Footer"/>
      <w:tabs>
        <w:tab w:val="right" w:pos="9638"/>
      </w:tabs>
    </w:pPr>
    <w:r w:rsidRPr="009D26E1">
      <w:rPr>
        <w:b/>
        <w:sz w:val="18"/>
      </w:rPr>
      <w:fldChar w:fldCharType="begin"/>
    </w:r>
    <w:r w:rsidRPr="009D26E1">
      <w:rPr>
        <w:b/>
        <w:sz w:val="18"/>
      </w:rPr>
      <w:instrText xml:space="preserve"> PAGE  \* MERGEFORMAT </w:instrText>
    </w:r>
    <w:r w:rsidRPr="009D26E1">
      <w:rPr>
        <w:b/>
        <w:sz w:val="18"/>
      </w:rPr>
      <w:fldChar w:fldCharType="separate"/>
    </w:r>
    <w:r w:rsidRPr="009D26E1">
      <w:rPr>
        <w:b/>
        <w:noProof/>
        <w:sz w:val="18"/>
      </w:rPr>
      <w:t>2</w:t>
    </w:r>
    <w:r w:rsidRPr="009D26E1">
      <w:rPr>
        <w:b/>
        <w:sz w:val="18"/>
      </w:rPr>
      <w:fldChar w:fldCharType="end"/>
    </w:r>
    <w:r>
      <w:rPr>
        <w:b/>
        <w:sz w:val="18"/>
      </w:rPr>
      <w:tab/>
    </w:r>
    <w:r>
      <w:t>GE.21-08408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1C80C" w14:textId="30C58A60" w:rsidR="009D26E1" w:rsidRPr="009D26E1" w:rsidRDefault="009D26E1" w:rsidP="009D26E1">
    <w:pPr>
      <w:pStyle w:val="Footer"/>
      <w:tabs>
        <w:tab w:val="right" w:pos="9638"/>
      </w:tabs>
      <w:rPr>
        <w:b/>
        <w:sz w:val="18"/>
      </w:rPr>
    </w:pPr>
    <w:r>
      <w:t>GE.21-08408</w:t>
    </w:r>
    <w:r>
      <w:tab/>
    </w:r>
    <w:r w:rsidRPr="009D26E1">
      <w:rPr>
        <w:b/>
        <w:sz w:val="18"/>
      </w:rPr>
      <w:fldChar w:fldCharType="begin"/>
    </w:r>
    <w:r w:rsidRPr="009D26E1">
      <w:rPr>
        <w:b/>
        <w:sz w:val="18"/>
      </w:rPr>
      <w:instrText xml:space="preserve"> PAGE  \* MERGEFORMAT </w:instrText>
    </w:r>
    <w:r w:rsidRPr="009D26E1">
      <w:rPr>
        <w:b/>
        <w:sz w:val="18"/>
      </w:rPr>
      <w:fldChar w:fldCharType="separate"/>
    </w:r>
    <w:r w:rsidRPr="009D26E1">
      <w:rPr>
        <w:b/>
        <w:noProof/>
        <w:sz w:val="18"/>
      </w:rPr>
      <w:t>3</w:t>
    </w:r>
    <w:r w:rsidRPr="009D26E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E29A4" w14:textId="2ACBDA3F" w:rsidR="007F20FA" w:rsidRPr="009D26E1" w:rsidRDefault="009D26E1" w:rsidP="009D26E1">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3C39F2DE" wp14:editId="1A98E387">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w:t>
    </w:r>
    <w:proofErr w:type="gramStart"/>
    <w:r>
      <w:rPr>
        <w:sz w:val="20"/>
      </w:rPr>
      <w:t>08408  (</w:t>
    </w:r>
    <w:proofErr w:type="gramEnd"/>
    <w:r>
      <w:rPr>
        <w:sz w:val="20"/>
      </w:rPr>
      <w:t>F)</w:t>
    </w:r>
    <w:r>
      <w:rPr>
        <w:noProof/>
        <w:sz w:val="20"/>
      </w:rPr>
      <w:drawing>
        <wp:anchor distT="0" distB="0" distL="114300" distR="114300" simplePos="0" relativeHeight="251660288" behindDoc="0" locked="0" layoutInCell="1" allowOverlap="1" wp14:anchorId="312B077E" wp14:editId="63AE4ACE">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280621    280621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14A84" w14:textId="77777777" w:rsidR="008E41AB" w:rsidRPr="00AC3823" w:rsidRDefault="008E41AB" w:rsidP="00AC3823">
      <w:pPr>
        <w:pStyle w:val="Footer"/>
        <w:tabs>
          <w:tab w:val="right" w:pos="2155"/>
        </w:tabs>
        <w:spacing w:after="80" w:line="240" w:lineRule="atLeast"/>
        <w:ind w:left="680"/>
        <w:rPr>
          <w:u w:val="single"/>
        </w:rPr>
      </w:pPr>
      <w:r>
        <w:rPr>
          <w:u w:val="single"/>
        </w:rPr>
        <w:tab/>
      </w:r>
    </w:p>
  </w:footnote>
  <w:footnote w:type="continuationSeparator" w:id="0">
    <w:p w14:paraId="6864A2A4" w14:textId="77777777" w:rsidR="008E41AB" w:rsidRPr="00AC3823" w:rsidRDefault="008E41AB" w:rsidP="00AC3823">
      <w:pPr>
        <w:pStyle w:val="Footer"/>
        <w:tabs>
          <w:tab w:val="right" w:pos="2155"/>
        </w:tabs>
        <w:spacing w:after="80" w:line="240" w:lineRule="atLeast"/>
        <w:ind w:left="680"/>
        <w:rPr>
          <w:u w:val="single"/>
        </w:rPr>
      </w:pPr>
      <w:r>
        <w:rPr>
          <w:u w:val="single"/>
        </w:rPr>
        <w:tab/>
      </w:r>
    </w:p>
  </w:footnote>
  <w:footnote w:type="continuationNotice" w:id="1">
    <w:p w14:paraId="2B20F043" w14:textId="77777777" w:rsidR="008E41AB" w:rsidRPr="00AC3823" w:rsidRDefault="008E41AB">
      <w:pPr>
        <w:spacing w:line="240" w:lineRule="auto"/>
        <w:rPr>
          <w:sz w:val="2"/>
          <w:szCs w:val="2"/>
        </w:rPr>
      </w:pPr>
    </w:p>
  </w:footnote>
  <w:footnote w:id="2">
    <w:p w14:paraId="410A5F0C" w14:textId="57F0FDCC" w:rsidR="009D26E1" w:rsidRPr="0074296D" w:rsidRDefault="009D26E1" w:rsidP="009D26E1">
      <w:pPr>
        <w:pStyle w:val="FootnoteText"/>
        <w:rPr>
          <w:lang w:val="fr-FR"/>
        </w:rPr>
      </w:pPr>
      <w:r w:rsidRPr="009D26E1">
        <w:rPr>
          <w:sz w:val="20"/>
          <w:szCs w:val="22"/>
          <w:lang w:val="fr-FR"/>
        </w:rPr>
        <w:tab/>
        <w:t>*</w:t>
      </w:r>
      <w:r w:rsidRPr="009D26E1">
        <w:rPr>
          <w:sz w:val="20"/>
          <w:szCs w:val="22"/>
          <w:lang w:val="fr-FR"/>
        </w:rPr>
        <w:tab/>
      </w:r>
      <w:r>
        <w:rPr>
          <w:lang w:val="fr-FR"/>
        </w:rPr>
        <w:t>A/75/6 (Sect. 20), par. 20.51.</w:t>
      </w:r>
    </w:p>
  </w:footnote>
  <w:footnote w:id="3">
    <w:p w14:paraId="45ED29F3" w14:textId="77777777" w:rsidR="009D26E1" w:rsidRPr="0074296D" w:rsidRDefault="009D26E1" w:rsidP="009D26E1">
      <w:pPr>
        <w:pStyle w:val="FootnoteText"/>
        <w:rPr>
          <w:lang w:val="fr-FR"/>
        </w:rPr>
      </w:pPr>
      <w:r w:rsidRPr="009D26E1">
        <w:rPr>
          <w:sz w:val="20"/>
          <w:szCs w:val="22"/>
          <w:lang w:val="fr-FR"/>
        </w:rPr>
        <w:tab/>
        <w:t>**</w:t>
      </w:r>
      <w:r w:rsidRPr="009D26E1">
        <w:rPr>
          <w:sz w:val="20"/>
          <w:szCs w:val="22"/>
          <w:lang w:val="fr-FR"/>
        </w:rPr>
        <w:tab/>
      </w:r>
      <w:r>
        <w:rPr>
          <w:lang w:val="fr-FR"/>
        </w:rPr>
        <w:t>Diffusée par l’Organisation intergouvernementale pour les transports internationaux ferroviaires sous la cote OTIF/RID/RC/2021/26.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C3537" w14:textId="583418A0" w:rsidR="009D26E1" w:rsidRPr="009D26E1" w:rsidRDefault="00AF11CE">
    <w:pPr>
      <w:pStyle w:val="Header"/>
    </w:pPr>
    <w:r>
      <w:fldChar w:fldCharType="begin"/>
    </w:r>
    <w:r>
      <w:instrText xml:space="preserve"> TITLE  \* MERGEFORMAT </w:instrText>
    </w:r>
    <w:r>
      <w:fldChar w:fldCharType="separate"/>
    </w:r>
    <w:r w:rsidR="005C2E60">
      <w:t>ECE/TRANS/WP.15/AC.1/2021/26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463EF" w14:textId="0FB99AEE" w:rsidR="009D26E1" w:rsidRPr="009D26E1" w:rsidRDefault="00AF11CE" w:rsidP="009D26E1">
    <w:pPr>
      <w:pStyle w:val="Header"/>
      <w:jc w:val="right"/>
    </w:pPr>
    <w:r>
      <w:fldChar w:fldCharType="begin"/>
    </w:r>
    <w:r>
      <w:instrText xml:space="preserve"> TITLE  \* MERGEFORMAT </w:instrText>
    </w:r>
    <w:r>
      <w:fldChar w:fldCharType="separate"/>
    </w:r>
    <w:r w:rsidR="005C2E60">
      <w:t>ECE/TRANS/WP.15/AC.1/2021/26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1AB"/>
    <w:rsid w:val="00017F94"/>
    <w:rsid w:val="00023842"/>
    <w:rsid w:val="000334F9"/>
    <w:rsid w:val="00045FEB"/>
    <w:rsid w:val="0007796D"/>
    <w:rsid w:val="000B7790"/>
    <w:rsid w:val="00111F2F"/>
    <w:rsid w:val="0014365E"/>
    <w:rsid w:val="00143C66"/>
    <w:rsid w:val="00176178"/>
    <w:rsid w:val="001F525A"/>
    <w:rsid w:val="00201148"/>
    <w:rsid w:val="00223272"/>
    <w:rsid w:val="002445CC"/>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5C2E60"/>
    <w:rsid w:val="0071601D"/>
    <w:rsid w:val="007A62E6"/>
    <w:rsid w:val="007F20FA"/>
    <w:rsid w:val="0080684C"/>
    <w:rsid w:val="00871C75"/>
    <w:rsid w:val="008776DC"/>
    <w:rsid w:val="008D5EF9"/>
    <w:rsid w:val="008E41AB"/>
    <w:rsid w:val="009446C0"/>
    <w:rsid w:val="009705C8"/>
    <w:rsid w:val="009C1CF4"/>
    <w:rsid w:val="009D26E1"/>
    <w:rsid w:val="009F6B74"/>
    <w:rsid w:val="00A3029F"/>
    <w:rsid w:val="00A30353"/>
    <w:rsid w:val="00AC3823"/>
    <w:rsid w:val="00AE323C"/>
    <w:rsid w:val="00AF0CB5"/>
    <w:rsid w:val="00AF11CE"/>
    <w:rsid w:val="00B00181"/>
    <w:rsid w:val="00B00B0D"/>
    <w:rsid w:val="00B45F2E"/>
    <w:rsid w:val="00B765F7"/>
    <w:rsid w:val="00B77993"/>
    <w:rsid w:val="00BA0CA9"/>
    <w:rsid w:val="00C02897"/>
    <w:rsid w:val="00C97039"/>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63BFFA"/>
  <w15:docId w15:val="{3BA67BA7-F891-46A1-BB65-8999DCBE9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FootnoteReference">
    <w:name w:val="footnote reference"/>
    <w:aliases w:val="4_G,Footnote Reference/,4_GR"/>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9D26E1"/>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6CDA05-96D0-45C1-9324-DA1C97EC7BFF}"/>
</file>

<file path=customXml/itemProps2.xml><?xml version="1.0" encoding="utf-8"?>
<ds:datastoreItem xmlns:ds="http://schemas.openxmlformats.org/officeDocument/2006/customXml" ds:itemID="{1A4975AD-F156-4EED-A9FA-EC3C9272E739}"/>
</file>

<file path=customXml/itemProps3.xml><?xml version="1.0" encoding="utf-8"?>
<ds:datastoreItem xmlns:ds="http://schemas.openxmlformats.org/officeDocument/2006/customXml" ds:itemID="{A9C35E68-D1AB-4B94-AA42-98A654DCB639}"/>
</file>

<file path=docProps/app.xml><?xml version="1.0" encoding="utf-8"?>
<Properties xmlns="http://schemas.openxmlformats.org/officeDocument/2006/extended-properties" xmlns:vt="http://schemas.openxmlformats.org/officeDocument/2006/docPropsVTypes">
  <Template>Normal.dotm</Template>
  <TotalTime>1</TotalTime>
  <Pages>2</Pages>
  <Words>745</Words>
  <Characters>4248</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ECE/TRANS/WP.15/AC.1/2021/26</vt:lpstr>
    </vt:vector>
  </TitlesOfParts>
  <Company>DCM</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ECE/TRANS/WP.15/AC.1/2021/26</dc:title>
  <dc:subject/>
  <dc:creator>Christine CHAUTAGNAT</dc:creator>
  <cp:keywords/>
  <cp:lastModifiedBy>Christine Barrio-Champeau</cp:lastModifiedBy>
  <cp:revision>2</cp:revision>
  <cp:lastPrinted>2021-06-28T12:32:00Z</cp:lastPrinted>
  <dcterms:created xsi:type="dcterms:W3CDTF">2021-07-07T09:06:00Z</dcterms:created>
  <dcterms:modified xsi:type="dcterms:W3CDTF">2021-07-07T09:06:00Z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