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46588FA"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34404D">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60373912"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404D">
              <w:rPr>
                <w:b/>
              </w:rPr>
              <w:t>2</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650587C4" w:rsidR="00006E29" w:rsidRPr="00E44D34" w:rsidRDefault="00006E29" w:rsidP="00597048">
            <w:pPr>
              <w:rPr>
                <w:b/>
              </w:rPr>
            </w:pPr>
            <w:r w:rsidRPr="00345772">
              <w:t>Geneva, 28 June-2 July 2021</w:t>
            </w:r>
            <w:r w:rsidRPr="00345772">
              <w:br/>
            </w:r>
            <w:r w:rsidRPr="00345772">
              <w:rPr>
                <w:lang w:val="en-US"/>
              </w:rPr>
              <w:t xml:space="preserve">Item </w:t>
            </w:r>
            <w:r w:rsidR="00C471F7">
              <w:rPr>
                <w:lang w:val="en-US"/>
              </w:rPr>
              <w:t>3</w:t>
            </w:r>
            <w:r w:rsidRPr="00345772">
              <w:rPr>
                <w:lang w:val="en-US"/>
              </w:rPr>
              <w:t xml:space="preserve"> of the provisional agenda</w:t>
            </w:r>
            <w:r>
              <w:rPr>
                <w:lang w:val="en-US"/>
              </w:rPr>
              <w:br/>
            </w:r>
            <w:r w:rsidR="00C471F7" w:rsidRPr="00C471F7">
              <w:rPr>
                <w:b/>
                <w:bCs/>
              </w:rPr>
              <w:t xml:space="preserve">Listing, </w:t>
            </w:r>
            <w:proofErr w:type="gramStart"/>
            <w:r w:rsidR="00C471F7" w:rsidRPr="00C471F7">
              <w:rPr>
                <w:b/>
                <w:bCs/>
              </w:rPr>
              <w:t>classification</w:t>
            </w:r>
            <w:proofErr w:type="gramEnd"/>
            <w:r w:rsidR="00C471F7" w:rsidRPr="00C471F7">
              <w:rPr>
                <w:b/>
                <w:bCs/>
              </w:rPr>
              <w:t xml:space="preserve"> and packing</w:t>
            </w:r>
          </w:p>
        </w:tc>
      </w:tr>
    </w:tbl>
    <w:p w14:paraId="79CDA6F4" w14:textId="26BD442E" w:rsidR="007F1567" w:rsidRDefault="007F1567" w:rsidP="007F1567">
      <w:pPr>
        <w:pStyle w:val="HChG"/>
        <w:spacing w:before="120" w:after="120"/>
      </w:pPr>
      <w:r>
        <w:rPr>
          <w:rFonts w:eastAsia="MS Mincho"/>
          <w:lang w:val="en-US" w:eastAsia="ja-JP"/>
        </w:rPr>
        <w:tab/>
      </w:r>
      <w:r>
        <w:rPr>
          <w:rFonts w:eastAsia="MS Mincho"/>
          <w:lang w:val="en-US" w:eastAsia="ja-JP"/>
        </w:rPr>
        <w:tab/>
      </w:r>
      <w:r>
        <w:t>C</w:t>
      </w:r>
      <w:r>
        <w:rPr>
          <w:lang w:eastAsia="zh-CN"/>
        </w:rPr>
        <w:t>la</w:t>
      </w:r>
      <w:r>
        <w:t>rification of generic concentration limits for skin corrosion classification</w:t>
      </w:r>
      <w:r>
        <w:rPr>
          <w:lang w:eastAsia="zh-CN"/>
        </w:rPr>
        <w:t xml:space="preserve"> </w:t>
      </w:r>
      <w:r w:rsidRPr="00C71F58">
        <w:rPr>
          <w:lang w:eastAsia="zh-CN"/>
        </w:rPr>
        <w:t>in</w:t>
      </w:r>
      <w:r w:rsidR="00C71F58">
        <w:rPr>
          <w:lang w:val="fr-CH" w:eastAsia="zh-CN"/>
        </w:rPr>
        <w:t xml:space="preserve"> the</w:t>
      </w:r>
      <w:r w:rsidRPr="00C71F58">
        <w:rPr>
          <w:lang w:eastAsia="zh-CN"/>
        </w:rPr>
        <w:t xml:space="preserve"> UN Model Regulations</w:t>
      </w:r>
    </w:p>
    <w:p w14:paraId="618AD600" w14:textId="77777777" w:rsidR="007F1567" w:rsidRDefault="007F1567" w:rsidP="007F1567">
      <w:pPr>
        <w:pStyle w:val="H1G"/>
        <w:rPr>
          <w:lang w:eastAsia="zh-CN"/>
        </w:rPr>
      </w:pPr>
      <w:r>
        <w:rPr>
          <w:rFonts w:eastAsia="MS Mincho"/>
        </w:rPr>
        <w:tab/>
      </w:r>
      <w:r>
        <w:rPr>
          <w:rFonts w:eastAsia="MS Mincho"/>
        </w:rPr>
        <w:tab/>
      </w:r>
      <w:r>
        <w:rPr>
          <w:rFonts w:eastAsia="MS Mincho"/>
          <w:szCs w:val="22"/>
        </w:rPr>
        <w:t>Transmitted by the expert from China</w:t>
      </w:r>
    </w:p>
    <w:p w14:paraId="2640A57A" w14:textId="77777777" w:rsidR="007F1567" w:rsidRDefault="007F1567" w:rsidP="007F1567">
      <w:pPr>
        <w:pStyle w:val="HChG"/>
        <w:ind w:leftChars="100" w:left="200" w:firstLineChars="300" w:firstLine="843"/>
      </w:pPr>
      <w:r>
        <w:t>Objective</w:t>
      </w:r>
    </w:p>
    <w:p w14:paraId="19190D3E" w14:textId="7DFA867C" w:rsidR="007F1567" w:rsidRDefault="007F1567" w:rsidP="007F1567">
      <w:pPr>
        <w:pStyle w:val="SingleTxtG"/>
        <w:numPr>
          <w:ilvl w:val="0"/>
          <w:numId w:val="29"/>
        </w:numPr>
        <w:ind w:left="1134" w:firstLine="0"/>
        <w:rPr>
          <w:lang w:eastAsia="zh-CN"/>
        </w:rPr>
      </w:pPr>
      <w:r>
        <w:rPr>
          <w:lang w:eastAsia="zh-CN"/>
        </w:rPr>
        <w:t xml:space="preserve">To </w:t>
      </w:r>
      <w:r>
        <w:t>invite the Sub-</w:t>
      </w:r>
      <w:r w:rsidRPr="007F1567">
        <w:t>Committee</w:t>
      </w:r>
      <w:r>
        <w:t xml:space="preserve"> to clarify the generic concentration limits used in the calculation method for corrosive mixtures of Class 8</w:t>
      </w:r>
      <w:r>
        <w:rPr>
          <w:lang w:eastAsia="zh-CN"/>
        </w:rPr>
        <w:t xml:space="preserve"> in</w:t>
      </w:r>
      <w:r w:rsidR="008711BC">
        <w:rPr>
          <w:lang w:val="fr-CH" w:eastAsia="zh-CN"/>
        </w:rPr>
        <w:t xml:space="preserve"> the</w:t>
      </w:r>
      <w:r>
        <w:rPr>
          <w:lang w:eastAsia="zh-CN"/>
        </w:rPr>
        <w:t xml:space="preserve"> </w:t>
      </w:r>
      <w:r>
        <w:rPr>
          <w:bCs/>
          <w:i/>
          <w:iCs/>
          <w:color w:val="000000"/>
          <w:kern w:val="2"/>
          <w:sz w:val="21"/>
          <w:lang w:val="en-US"/>
        </w:rPr>
        <w:t>UN Model Regulations</w:t>
      </w:r>
      <w:r>
        <w:t>.</w:t>
      </w:r>
    </w:p>
    <w:p w14:paraId="711DC7C8" w14:textId="77777777" w:rsidR="007F1567" w:rsidRDefault="007F1567" w:rsidP="007F1567">
      <w:pPr>
        <w:pStyle w:val="HChG"/>
        <w:ind w:leftChars="100" w:left="200" w:firstLineChars="300" w:firstLine="843"/>
      </w:pPr>
      <w:r>
        <w:t>Background</w:t>
      </w:r>
    </w:p>
    <w:p w14:paraId="1E862FB5" w14:textId="1A315537" w:rsidR="007F1567" w:rsidRPr="00F579CC" w:rsidRDefault="007F1567" w:rsidP="007F1567">
      <w:pPr>
        <w:pStyle w:val="SingleTxtG"/>
        <w:tabs>
          <w:tab w:val="left" w:pos="1701"/>
        </w:tabs>
        <w:rPr>
          <w:rFonts w:asciiTheme="majorBidi" w:hAnsiTheme="majorBidi" w:cstheme="majorBidi"/>
          <w:lang w:val="en-GB"/>
        </w:rPr>
      </w:pPr>
      <w:r w:rsidRPr="00F579CC">
        <w:rPr>
          <w:rFonts w:asciiTheme="majorBidi" w:hAnsiTheme="majorBidi" w:cstheme="majorBidi"/>
          <w:lang w:val="en-GB"/>
        </w:rPr>
        <w:t>2.</w:t>
      </w:r>
      <w:r w:rsidRPr="00F579CC">
        <w:rPr>
          <w:rFonts w:asciiTheme="majorBidi" w:hAnsiTheme="majorBidi" w:cstheme="majorBidi"/>
          <w:lang w:val="en-GB"/>
        </w:rPr>
        <w:tab/>
        <w:t xml:space="preserve">According to the calculation method for corrosive mixtures of Class 8 in </w:t>
      </w:r>
      <w:r w:rsidRPr="00F579CC">
        <w:rPr>
          <w:rFonts w:asciiTheme="majorBidi" w:hAnsiTheme="majorBidi" w:cstheme="majorBidi"/>
          <w:bCs/>
          <w:i/>
          <w:iCs/>
          <w:color w:val="000000"/>
          <w:kern w:val="2"/>
          <w:lang w:val="en-GB"/>
        </w:rPr>
        <w:t>UN Model Regulations</w:t>
      </w:r>
      <w:r w:rsidRPr="00F579CC">
        <w:rPr>
          <w:rFonts w:asciiTheme="majorBidi" w:hAnsiTheme="majorBidi" w:cstheme="majorBidi"/>
          <w:bCs/>
          <w:iCs/>
          <w:color w:val="000000"/>
          <w:kern w:val="2"/>
          <w:lang w:val="en-GB"/>
        </w:rPr>
        <w:t xml:space="preserve"> (21</w:t>
      </w:r>
      <w:r w:rsidRPr="00F579CC">
        <w:rPr>
          <w:rFonts w:asciiTheme="majorBidi" w:hAnsiTheme="majorBidi" w:cstheme="majorBidi"/>
          <w:bCs/>
          <w:iCs/>
          <w:color w:val="000000"/>
          <w:kern w:val="2"/>
          <w:vertAlign w:val="superscript"/>
          <w:lang w:val="en-GB"/>
        </w:rPr>
        <w:t>st</w:t>
      </w:r>
      <w:r w:rsidRPr="00F579CC">
        <w:rPr>
          <w:rFonts w:asciiTheme="majorBidi" w:hAnsiTheme="majorBidi" w:cstheme="majorBidi"/>
          <w:bCs/>
          <w:iCs/>
          <w:color w:val="000000"/>
          <w:kern w:val="2"/>
          <w:lang w:val="en-GB"/>
        </w:rPr>
        <w:t xml:space="preserve"> edition)</w:t>
      </w:r>
      <w:r w:rsidRPr="00F579CC">
        <w:rPr>
          <w:rFonts w:asciiTheme="majorBidi" w:hAnsiTheme="majorBidi" w:cstheme="majorBidi"/>
          <w:lang w:val="en-GB"/>
        </w:rPr>
        <w:t>, mixtures containing corrosive ingredients can be evaluated by calculation using the specific concentration limits (SCL) and generic concentration limits (GCL) of the corrosive ingredients, and the generic concentration limits are used only when there are no specific concentration limits.</w:t>
      </w:r>
    </w:p>
    <w:p w14:paraId="1CE0E389" w14:textId="295CC323" w:rsidR="007F1567" w:rsidRPr="00F579CC" w:rsidRDefault="007F1567" w:rsidP="007F1567">
      <w:pPr>
        <w:pStyle w:val="SingleTxtG"/>
        <w:tabs>
          <w:tab w:val="left" w:pos="1701"/>
        </w:tabs>
        <w:spacing w:after="240"/>
        <w:rPr>
          <w:rFonts w:asciiTheme="majorBidi" w:hAnsiTheme="majorBidi" w:cstheme="majorBidi"/>
          <w:lang w:val="en-GB"/>
        </w:rPr>
      </w:pPr>
      <w:r w:rsidRPr="00F579CC">
        <w:rPr>
          <w:rFonts w:asciiTheme="majorBidi" w:hAnsiTheme="majorBidi" w:cstheme="majorBidi"/>
          <w:lang w:val="en-GB"/>
        </w:rPr>
        <w:t>3.</w:t>
      </w:r>
      <w:r w:rsidRPr="00F579CC">
        <w:rPr>
          <w:rFonts w:asciiTheme="majorBidi" w:hAnsiTheme="majorBidi" w:cstheme="majorBidi"/>
          <w:lang w:val="en-GB"/>
        </w:rPr>
        <w:tab/>
        <w:t xml:space="preserve">In accordance with Figure 2.8.4.3 of the </w:t>
      </w:r>
      <w:r w:rsidRPr="00F579CC">
        <w:rPr>
          <w:rFonts w:asciiTheme="majorBidi" w:hAnsiTheme="majorBidi" w:cstheme="majorBidi"/>
          <w:i/>
          <w:lang w:val="en-GB"/>
        </w:rPr>
        <w:t>UN Model Regulations</w:t>
      </w:r>
      <w:r w:rsidRPr="00F579CC">
        <w:rPr>
          <w:rFonts w:asciiTheme="majorBidi" w:hAnsiTheme="majorBidi" w:cstheme="majorBidi"/>
          <w:lang w:val="en-GB"/>
        </w:rPr>
        <w:t xml:space="preserve"> </w:t>
      </w:r>
      <w:r w:rsidR="003C1343" w:rsidRPr="00F579CC">
        <w:rPr>
          <w:rFonts w:asciiTheme="majorBidi" w:hAnsiTheme="majorBidi" w:cstheme="majorBidi"/>
          <w:lang w:val="en-GB"/>
        </w:rPr>
        <w:t>on</w:t>
      </w:r>
      <w:r w:rsidRPr="00F579CC">
        <w:rPr>
          <w:rFonts w:asciiTheme="majorBidi" w:hAnsiTheme="majorBidi" w:cstheme="majorBidi"/>
          <w:lang w:val="en-GB"/>
        </w:rPr>
        <w:t xml:space="preserve"> th</w:t>
      </w:r>
      <w:r w:rsidR="00176D33" w:rsidRPr="00F579CC">
        <w:rPr>
          <w:rFonts w:asciiTheme="majorBidi" w:hAnsiTheme="majorBidi" w:cstheme="majorBidi"/>
          <w:lang w:val="en-GB"/>
        </w:rPr>
        <w:t>e</w:t>
      </w:r>
      <w:r w:rsidRPr="00F579CC">
        <w:rPr>
          <w:rFonts w:asciiTheme="majorBidi" w:hAnsiTheme="majorBidi" w:cstheme="majorBidi"/>
          <w:lang w:val="en-GB"/>
        </w:rPr>
        <w:t xml:space="preserve"> calculation method, if the concentration of ingredient of packaging group I is ≥</w:t>
      </w:r>
      <w:r w:rsidR="00176D33" w:rsidRPr="00F579CC">
        <w:rPr>
          <w:rFonts w:asciiTheme="majorBidi" w:hAnsiTheme="majorBidi" w:cstheme="majorBidi"/>
          <w:lang w:val="en-GB"/>
        </w:rPr>
        <w:t xml:space="preserve"> </w:t>
      </w:r>
      <w:r w:rsidRPr="00F579CC">
        <w:rPr>
          <w:rFonts w:asciiTheme="majorBidi" w:hAnsiTheme="majorBidi" w:cstheme="majorBidi"/>
          <w:lang w:val="en-GB"/>
        </w:rPr>
        <w:t>5</w:t>
      </w:r>
      <w:r w:rsidR="00176D33" w:rsidRPr="00F579CC">
        <w:rPr>
          <w:rFonts w:asciiTheme="majorBidi" w:hAnsiTheme="majorBidi" w:cstheme="majorBidi"/>
          <w:lang w:val="en-GB"/>
        </w:rPr>
        <w:t xml:space="preserve"> </w:t>
      </w:r>
      <w:r w:rsidRPr="00F579CC">
        <w:rPr>
          <w:rFonts w:asciiTheme="majorBidi" w:hAnsiTheme="majorBidi" w:cstheme="majorBidi"/>
          <w:lang w:val="en-GB"/>
        </w:rPr>
        <w:t>%, the mixture is assigned to packaging group I, and if the concentration of ingredient of packaging group I is &lt; 5</w:t>
      </w:r>
      <w:r w:rsidR="00933852" w:rsidRPr="00F579CC">
        <w:rPr>
          <w:rFonts w:asciiTheme="majorBidi" w:hAnsiTheme="majorBidi" w:cstheme="majorBidi"/>
          <w:lang w:val="en-GB"/>
        </w:rPr>
        <w:t xml:space="preserve"> </w:t>
      </w:r>
      <w:r w:rsidRPr="00F579CC">
        <w:rPr>
          <w:rFonts w:asciiTheme="majorBidi" w:hAnsiTheme="majorBidi" w:cstheme="majorBidi"/>
          <w:lang w:val="en-GB"/>
        </w:rPr>
        <w:t>% but ≥ 1</w:t>
      </w:r>
      <w:r w:rsidR="00933852" w:rsidRPr="00F579CC">
        <w:rPr>
          <w:rFonts w:asciiTheme="majorBidi" w:hAnsiTheme="majorBidi" w:cstheme="majorBidi"/>
          <w:lang w:val="en-GB"/>
        </w:rPr>
        <w:t xml:space="preserve"> </w:t>
      </w:r>
      <w:r w:rsidRPr="00F579CC">
        <w:rPr>
          <w:rFonts w:asciiTheme="majorBidi" w:hAnsiTheme="majorBidi" w:cstheme="majorBidi"/>
          <w:lang w:val="en-GB"/>
        </w:rPr>
        <w:t>%, the mixture is assigned to packaging group II (as shown in Figure 1</w:t>
      </w:r>
      <w:r w:rsidR="004A1C42" w:rsidRPr="00F579CC">
        <w:rPr>
          <w:rFonts w:asciiTheme="majorBidi" w:hAnsiTheme="majorBidi" w:cstheme="majorBidi"/>
          <w:lang w:val="en-GB"/>
        </w:rPr>
        <w:t xml:space="preserve"> below</w:t>
      </w:r>
      <w:r w:rsidRPr="00F579CC">
        <w:rPr>
          <w:rFonts w:asciiTheme="majorBidi" w:hAnsiTheme="majorBidi" w:cstheme="majorBidi"/>
          <w:lang w:val="en-GB"/>
        </w:rPr>
        <w:t xml:space="preserve">). It seems that </w:t>
      </w:r>
      <w:r w:rsidRPr="00F579CC">
        <w:rPr>
          <w:rFonts w:asciiTheme="majorBidi" w:hAnsiTheme="majorBidi" w:cstheme="majorBidi"/>
          <w:color w:val="000000" w:themeColor="text1"/>
          <w:lang w:val="en-GB" w:eastAsia="zh-CN"/>
        </w:rPr>
        <w:t xml:space="preserve">the </w:t>
      </w:r>
      <w:r w:rsidRPr="00F579CC">
        <w:rPr>
          <w:rFonts w:asciiTheme="majorBidi" w:hAnsiTheme="majorBidi" w:cstheme="majorBidi"/>
          <w:color w:val="000000" w:themeColor="text1"/>
          <w:lang w:val="en-GB"/>
        </w:rPr>
        <w:t>generic concentration limits</w:t>
      </w:r>
      <w:r w:rsidRPr="00F579CC">
        <w:rPr>
          <w:rFonts w:asciiTheme="majorBidi" w:hAnsiTheme="majorBidi" w:cstheme="majorBidi"/>
          <w:color w:val="000000" w:themeColor="text1"/>
          <w:lang w:val="en-GB" w:eastAsia="zh-CN"/>
        </w:rPr>
        <w:t xml:space="preserve"> for substances of packaging group I </w:t>
      </w:r>
      <w:r w:rsidRPr="00F579CC">
        <w:rPr>
          <w:rFonts w:asciiTheme="majorBidi" w:hAnsiTheme="majorBidi" w:cstheme="majorBidi"/>
          <w:color w:val="000000" w:themeColor="text1"/>
          <w:lang w:val="en-GB"/>
        </w:rPr>
        <w:t xml:space="preserve">to be </w:t>
      </w:r>
      <w:r w:rsidRPr="00F579CC">
        <w:rPr>
          <w:rFonts w:asciiTheme="majorBidi" w:hAnsiTheme="majorBidi" w:cstheme="majorBidi"/>
          <w:color w:val="000000" w:themeColor="text1"/>
          <w:lang w:val="en-GB" w:eastAsia="zh-CN"/>
        </w:rPr>
        <w:t>assigned to packaging group II should be 1</w:t>
      </w:r>
      <w:r w:rsidR="004A0602" w:rsidRPr="00F579CC">
        <w:rPr>
          <w:rFonts w:asciiTheme="majorBidi" w:hAnsiTheme="majorBidi" w:cstheme="majorBidi"/>
          <w:color w:val="000000" w:themeColor="text1"/>
          <w:lang w:val="en-GB" w:eastAsia="zh-CN"/>
        </w:rPr>
        <w:t xml:space="preserve"> </w:t>
      </w:r>
      <w:r w:rsidRPr="00F579CC">
        <w:rPr>
          <w:rFonts w:asciiTheme="majorBidi" w:hAnsiTheme="majorBidi" w:cstheme="majorBidi"/>
          <w:color w:val="000000" w:themeColor="text1"/>
          <w:lang w:val="en-GB" w:eastAsia="zh-CN"/>
        </w:rPr>
        <w:t>%.</w:t>
      </w:r>
    </w:p>
    <w:p w14:paraId="7A85BBC2" w14:textId="6B2598D7" w:rsidR="007F1567" w:rsidRDefault="007F1567" w:rsidP="007F1567">
      <w:pPr>
        <w:pStyle w:val="SingleTxtG"/>
        <w:tabs>
          <w:tab w:val="left" w:pos="1701"/>
        </w:tabs>
        <w:jc w:val="center"/>
        <w:rPr>
          <w:lang w:val="en-GB"/>
        </w:rPr>
      </w:pPr>
      <w:r>
        <w:rPr>
          <w:noProof/>
          <w:lang w:val="en-US" w:eastAsia="zh-CN"/>
        </w:rPr>
        <w:drawing>
          <wp:inline distT="0" distB="0" distL="0" distR="0" wp14:anchorId="244E2204" wp14:editId="6BCB23B4">
            <wp:extent cx="3023235" cy="2352040"/>
            <wp:effectExtent l="19050" t="19050" r="2476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235" cy="2352040"/>
                    </a:xfrm>
                    <a:prstGeom prst="rect">
                      <a:avLst/>
                    </a:prstGeom>
                    <a:noFill/>
                    <a:ln w="12700" cmpd="sng">
                      <a:solidFill>
                        <a:srgbClr val="000000"/>
                      </a:solidFill>
                      <a:miter lim="800000"/>
                      <a:headEnd/>
                      <a:tailEnd/>
                    </a:ln>
                    <a:effectLst/>
                  </pic:spPr>
                </pic:pic>
              </a:graphicData>
            </a:graphic>
          </wp:inline>
        </w:drawing>
      </w:r>
    </w:p>
    <w:p w14:paraId="7780FC22" w14:textId="63BF980F" w:rsidR="007F1567" w:rsidRDefault="007F1567" w:rsidP="007F1567">
      <w:pPr>
        <w:ind w:firstLineChars="200" w:firstLine="360"/>
        <w:jc w:val="center"/>
        <w:rPr>
          <w:rFonts w:eastAsia="SimHei"/>
          <w:sz w:val="28"/>
          <w:szCs w:val="28"/>
        </w:rPr>
      </w:pPr>
      <w:r>
        <w:rPr>
          <w:rFonts w:eastAsia="SimSun"/>
          <w:sz w:val="18"/>
          <w:szCs w:val="18"/>
        </w:rPr>
        <w:t>Figure 1</w:t>
      </w:r>
      <w:r w:rsidR="000F1D5E">
        <w:rPr>
          <w:rFonts w:eastAsia="SimSun"/>
          <w:sz w:val="18"/>
          <w:szCs w:val="18"/>
        </w:rPr>
        <w:t>:</w:t>
      </w:r>
      <w:r>
        <w:rPr>
          <w:rFonts w:eastAsia="SimSun"/>
          <w:sz w:val="18"/>
          <w:szCs w:val="18"/>
        </w:rPr>
        <w:t xml:space="preserve">  Calculation method in </w:t>
      </w:r>
      <w:r>
        <w:rPr>
          <w:rFonts w:eastAsia="SimSun"/>
          <w:i/>
          <w:sz w:val="18"/>
          <w:szCs w:val="18"/>
        </w:rPr>
        <w:t>UN Model Regulations</w:t>
      </w:r>
    </w:p>
    <w:p w14:paraId="2A558B88" w14:textId="77777777" w:rsidR="007F1567" w:rsidRDefault="007F1567" w:rsidP="007F1567">
      <w:pPr>
        <w:pStyle w:val="SingleTxtG"/>
        <w:tabs>
          <w:tab w:val="left" w:pos="1701"/>
        </w:tabs>
        <w:jc w:val="center"/>
        <w:rPr>
          <w:lang w:val="en-GB"/>
        </w:rPr>
      </w:pPr>
    </w:p>
    <w:p w14:paraId="2ED69887" w14:textId="5719056E" w:rsidR="007F1567" w:rsidRPr="00F579CC" w:rsidRDefault="007F1567" w:rsidP="007F1567">
      <w:pPr>
        <w:pStyle w:val="SingleTxtG"/>
        <w:tabs>
          <w:tab w:val="left" w:pos="1701"/>
        </w:tabs>
        <w:rPr>
          <w:color w:val="000000" w:themeColor="text1"/>
          <w:lang w:val="en-GB"/>
        </w:rPr>
      </w:pPr>
      <w:r w:rsidRPr="00F579CC">
        <w:rPr>
          <w:lang w:val="en-GB"/>
        </w:rPr>
        <w:lastRenderedPageBreak/>
        <w:t>4.</w:t>
      </w:r>
      <w:r w:rsidRPr="00F579CC">
        <w:rPr>
          <w:lang w:val="en-GB"/>
        </w:rPr>
        <w:tab/>
      </w:r>
      <w:r w:rsidR="00E3748B" w:rsidRPr="00F579CC">
        <w:rPr>
          <w:color w:val="000000" w:themeColor="text1"/>
          <w:lang w:val="en-GB"/>
        </w:rPr>
        <w:t>Section</w:t>
      </w:r>
      <w:r w:rsidRPr="00F579CC">
        <w:rPr>
          <w:color w:val="000000" w:themeColor="text1"/>
          <w:lang w:val="en-GB"/>
        </w:rPr>
        <w:t xml:space="preserve"> 2.8.4.3.5 specifies that the generic concentration limits used in the calculation formula is the value shown in Figure 2.8.4.3.</w:t>
      </w:r>
      <w:r w:rsidRPr="00F579CC">
        <w:rPr>
          <w:color w:val="000000" w:themeColor="text1"/>
          <w:lang w:val="en-GB" w:eastAsia="zh-CN"/>
        </w:rPr>
        <w:t xml:space="preserve"> However, it is not specified whether the </w:t>
      </w:r>
      <w:r w:rsidRPr="00F579CC">
        <w:rPr>
          <w:color w:val="000000" w:themeColor="text1"/>
          <w:lang w:val="en-GB"/>
        </w:rPr>
        <w:t>generic concentration</w:t>
      </w:r>
      <w:r w:rsidR="00DB62A2" w:rsidRPr="00F579CC">
        <w:rPr>
          <w:color w:val="000000" w:themeColor="text1"/>
          <w:lang w:val="en-GB"/>
        </w:rPr>
        <w:t xml:space="preserve"> </w:t>
      </w:r>
      <w:r w:rsidRPr="00F579CC">
        <w:rPr>
          <w:color w:val="000000" w:themeColor="text1"/>
          <w:lang w:val="en-GB"/>
        </w:rPr>
        <w:t>limits</w:t>
      </w:r>
      <w:r w:rsidRPr="00F579CC">
        <w:rPr>
          <w:color w:val="000000" w:themeColor="text1"/>
          <w:lang w:val="en-GB" w:eastAsia="zh-CN"/>
        </w:rPr>
        <w:t xml:space="preserve"> for substances of packaging group I </w:t>
      </w:r>
      <w:r w:rsidRPr="00F579CC">
        <w:rPr>
          <w:color w:val="000000" w:themeColor="text1"/>
          <w:lang w:val="en-GB"/>
        </w:rPr>
        <w:t xml:space="preserve">to be </w:t>
      </w:r>
      <w:r w:rsidRPr="00F579CC">
        <w:rPr>
          <w:color w:val="000000" w:themeColor="text1"/>
          <w:lang w:val="en-GB" w:eastAsia="zh-CN"/>
        </w:rPr>
        <w:t>assigned to packaging group II is 1</w:t>
      </w:r>
      <w:r w:rsidR="00DB62A2" w:rsidRPr="00F579CC">
        <w:rPr>
          <w:color w:val="000000" w:themeColor="text1"/>
          <w:lang w:val="en-GB" w:eastAsia="zh-CN"/>
        </w:rPr>
        <w:t xml:space="preserve"> </w:t>
      </w:r>
      <w:r w:rsidRPr="00F579CC">
        <w:rPr>
          <w:color w:val="000000" w:themeColor="text1"/>
          <w:lang w:val="en-GB" w:eastAsia="zh-CN"/>
        </w:rPr>
        <w:t>% or 5</w:t>
      </w:r>
      <w:r w:rsidR="00CD5B15" w:rsidRPr="00F579CC">
        <w:rPr>
          <w:color w:val="000000" w:themeColor="text1"/>
          <w:lang w:val="en-GB" w:eastAsia="zh-CN"/>
        </w:rPr>
        <w:t xml:space="preserve"> </w:t>
      </w:r>
      <w:r w:rsidRPr="00F579CC">
        <w:rPr>
          <w:color w:val="000000" w:themeColor="text1"/>
          <w:lang w:val="en-GB" w:eastAsia="zh-CN"/>
        </w:rPr>
        <w:t>%.</w:t>
      </w:r>
    </w:p>
    <w:p w14:paraId="79A64EC1" w14:textId="54CE97E5" w:rsidR="007F1567" w:rsidRPr="00F579CC" w:rsidRDefault="007F1567" w:rsidP="007F1567">
      <w:pPr>
        <w:pStyle w:val="SingleTxtG"/>
        <w:tabs>
          <w:tab w:val="left" w:pos="1701"/>
        </w:tabs>
        <w:spacing w:after="240"/>
        <w:rPr>
          <w:color w:val="000000" w:themeColor="text1"/>
          <w:lang w:val="en-GB"/>
        </w:rPr>
      </w:pPr>
      <w:r w:rsidRPr="00F579CC">
        <w:rPr>
          <w:color w:val="000000" w:themeColor="text1"/>
          <w:lang w:val="en-GB"/>
        </w:rPr>
        <w:t>5.</w:t>
      </w:r>
      <w:r w:rsidRPr="00F579CC">
        <w:rPr>
          <w:color w:val="000000" w:themeColor="text1"/>
          <w:lang w:val="en-GB"/>
        </w:rPr>
        <w:tab/>
        <w:t>In section 2.8.4.3.5 example 2, a mixture which contains three substances, A and B of packing group I with concentrations of 3</w:t>
      </w:r>
      <w:r w:rsidR="00AF6ADE" w:rsidRPr="00F579CC">
        <w:rPr>
          <w:color w:val="000000" w:themeColor="text1"/>
          <w:lang w:val="en-GB"/>
        </w:rPr>
        <w:t xml:space="preserve"> </w:t>
      </w:r>
      <w:r w:rsidRPr="00F579CC">
        <w:rPr>
          <w:color w:val="000000" w:themeColor="text1"/>
          <w:lang w:val="en-GB"/>
        </w:rPr>
        <w:t>% and 2</w:t>
      </w:r>
      <w:r w:rsidR="00AF6ADE" w:rsidRPr="00F579CC">
        <w:rPr>
          <w:color w:val="000000" w:themeColor="text1"/>
          <w:lang w:val="en-GB"/>
        </w:rPr>
        <w:t xml:space="preserve"> </w:t>
      </w:r>
      <w:r w:rsidRPr="00F579CC">
        <w:rPr>
          <w:color w:val="000000" w:themeColor="text1"/>
          <w:lang w:val="en-GB"/>
        </w:rPr>
        <w:t>%, and C of packing group III with concentration of 10</w:t>
      </w:r>
      <w:r w:rsidR="00BF7996" w:rsidRPr="00F579CC">
        <w:rPr>
          <w:color w:val="000000" w:themeColor="text1"/>
          <w:lang w:val="en-GB"/>
        </w:rPr>
        <w:t xml:space="preserve"> </w:t>
      </w:r>
      <w:r w:rsidRPr="00F579CC">
        <w:rPr>
          <w:color w:val="000000" w:themeColor="text1"/>
          <w:lang w:val="en-GB"/>
        </w:rPr>
        <w:t>% (as shown in Figure 2</w:t>
      </w:r>
      <w:r w:rsidR="00BF7996" w:rsidRPr="00F579CC">
        <w:rPr>
          <w:color w:val="000000" w:themeColor="text1"/>
          <w:lang w:val="en-GB"/>
        </w:rPr>
        <w:t xml:space="preserve"> below</w:t>
      </w:r>
      <w:r w:rsidRPr="00F579CC">
        <w:rPr>
          <w:color w:val="000000" w:themeColor="text1"/>
          <w:lang w:val="en-GB"/>
        </w:rPr>
        <w:t xml:space="preserve">) is assigned to packing group III. </w:t>
      </w:r>
      <w:r w:rsidR="00E97BA1" w:rsidRPr="00F579CC">
        <w:rPr>
          <w:color w:val="000000" w:themeColor="text1"/>
          <w:lang w:val="en-GB" w:eastAsia="zh-CN"/>
        </w:rPr>
        <w:t>Furthermore</w:t>
      </w:r>
      <w:r w:rsidRPr="00F579CC">
        <w:rPr>
          <w:color w:val="000000" w:themeColor="text1"/>
          <w:lang w:val="en-GB" w:eastAsia="zh-CN"/>
        </w:rPr>
        <w:t>, 5</w:t>
      </w:r>
      <w:r w:rsidR="00BF7996" w:rsidRPr="00F579CC">
        <w:rPr>
          <w:color w:val="000000" w:themeColor="text1"/>
          <w:lang w:val="en-GB" w:eastAsia="zh-CN"/>
        </w:rPr>
        <w:t xml:space="preserve"> </w:t>
      </w:r>
      <w:r w:rsidRPr="00F579CC">
        <w:rPr>
          <w:color w:val="000000" w:themeColor="text1"/>
          <w:lang w:val="en-GB" w:eastAsia="zh-CN"/>
        </w:rPr>
        <w:t>% is chosen as t</w:t>
      </w:r>
      <w:r w:rsidRPr="00F579CC">
        <w:rPr>
          <w:color w:val="000000" w:themeColor="text1"/>
          <w:lang w:val="en-GB"/>
        </w:rPr>
        <w:t xml:space="preserve">he generic concentration limit for </w:t>
      </w:r>
      <w:r w:rsidRPr="00F579CC">
        <w:rPr>
          <w:color w:val="000000" w:themeColor="text1"/>
          <w:lang w:val="en-GB" w:eastAsia="zh-CN"/>
        </w:rPr>
        <w:t>substance A</w:t>
      </w:r>
      <w:r w:rsidRPr="00F579CC">
        <w:rPr>
          <w:color w:val="000000" w:themeColor="text1"/>
          <w:lang w:val="en-GB"/>
        </w:rPr>
        <w:t xml:space="preserve"> of packing group I to be assigned to</w:t>
      </w:r>
      <w:r w:rsidRPr="00F579CC">
        <w:rPr>
          <w:color w:val="000000" w:themeColor="text1"/>
          <w:lang w:val="en-GB" w:eastAsia="zh-CN"/>
        </w:rPr>
        <w:t xml:space="preserve"> </w:t>
      </w:r>
      <w:r w:rsidRPr="00F579CC">
        <w:rPr>
          <w:color w:val="000000" w:themeColor="text1"/>
          <w:lang w:val="en-GB"/>
        </w:rPr>
        <w:t>packing group II.</w:t>
      </w:r>
    </w:p>
    <w:p w14:paraId="7C282889" w14:textId="19E78C74" w:rsidR="007F1567" w:rsidRDefault="007F1567" w:rsidP="007F1567">
      <w:pPr>
        <w:shd w:val="clear" w:color="auto" w:fill="F9F9F9"/>
        <w:jc w:val="center"/>
        <w:rPr>
          <w:rFonts w:ascii="Arial" w:eastAsia="SimSun" w:hAnsi="Arial" w:cs="Arial"/>
          <w:sz w:val="18"/>
          <w:szCs w:val="18"/>
        </w:rPr>
      </w:pPr>
      <w:r>
        <w:rPr>
          <w:rFonts w:eastAsia="仿宋"/>
          <w:noProof/>
          <w:sz w:val="28"/>
          <w:szCs w:val="28"/>
          <w:lang w:val="en-US" w:eastAsia="zh-CN"/>
        </w:rPr>
        <w:drawing>
          <wp:inline distT="0" distB="0" distL="0" distR="0" wp14:anchorId="647BBB4F" wp14:editId="15668ACD">
            <wp:extent cx="4360545" cy="3757930"/>
            <wp:effectExtent l="19050" t="19050" r="2095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0545" cy="3757930"/>
                    </a:xfrm>
                    <a:prstGeom prst="rect">
                      <a:avLst/>
                    </a:prstGeom>
                    <a:noFill/>
                    <a:ln w="12700" cmpd="sng">
                      <a:solidFill>
                        <a:srgbClr val="000000"/>
                      </a:solidFill>
                      <a:miter lim="800000"/>
                      <a:headEnd/>
                      <a:tailEnd/>
                    </a:ln>
                    <a:effectLst/>
                  </pic:spPr>
                </pic:pic>
              </a:graphicData>
            </a:graphic>
          </wp:inline>
        </w:drawing>
      </w:r>
    </w:p>
    <w:p w14:paraId="2BA81BAA" w14:textId="57C73A61" w:rsidR="007F1567" w:rsidRDefault="007F1567" w:rsidP="007F1567">
      <w:pPr>
        <w:shd w:val="clear" w:color="auto" w:fill="F9F9F9"/>
        <w:jc w:val="center"/>
        <w:rPr>
          <w:rFonts w:eastAsia="SimSun" w:cs="Arial"/>
          <w:sz w:val="18"/>
          <w:szCs w:val="18"/>
        </w:rPr>
      </w:pPr>
      <w:r>
        <w:rPr>
          <w:rFonts w:eastAsia="SimSun" w:cs="Arial"/>
          <w:sz w:val="18"/>
          <w:szCs w:val="18"/>
        </w:rPr>
        <w:t>Figure 2</w:t>
      </w:r>
      <w:r w:rsidR="006C1134">
        <w:rPr>
          <w:rFonts w:eastAsia="SimSun" w:cs="Arial"/>
          <w:sz w:val="18"/>
          <w:szCs w:val="18"/>
        </w:rPr>
        <w:t>:</w:t>
      </w:r>
      <w:r>
        <w:rPr>
          <w:rFonts w:eastAsia="SimSun" w:cs="Arial"/>
          <w:sz w:val="18"/>
          <w:szCs w:val="18"/>
        </w:rPr>
        <w:t xml:space="preserve">  </w:t>
      </w:r>
      <w:r w:rsidR="006C1134">
        <w:rPr>
          <w:rFonts w:eastAsia="SimSun" w:cs="Arial"/>
          <w:sz w:val="18"/>
          <w:szCs w:val="18"/>
        </w:rPr>
        <w:t>S</w:t>
      </w:r>
      <w:r>
        <w:rPr>
          <w:rFonts w:eastAsia="SimSun" w:cs="Arial"/>
          <w:sz w:val="18"/>
          <w:szCs w:val="18"/>
        </w:rPr>
        <w:t>ection 2.8.4.3.5 example 2 in</w:t>
      </w:r>
      <w:r w:rsidR="006C1134">
        <w:rPr>
          <w:rFonts w:eastAsia="SimSun" w:cs="Arial"/>
          <w:sz w:val="18"/>
          <w:szCs w:val="18"/>
        </w:rPr>
        <w:t xml:space="preserve"> the</w:t>
      </w:r>
      <w:r>
        <w:rPr>
          <w:rFonts w:eastAsia="SimSun" w:cs="Arial"/>
          <w:sz w:val="18"/>
          <w:szCs w:val="18"/>
        </w:rPr>
        <w:t xml:space="preserve"> </w:t>
      </w:r>
      <w:r>
        <w:rPr>
          <w:rFonts w:eastAsia="SimSun" w:cs="Arial"/>
          <w:i/>
          <w:sz w:val="18"/>
          <w:szCs w:val="18"/>
        </w:rPr>
        <w:t>UN Module Regulations</w:t>
      </w:r>
    </w:p>
    <w:p w14:paraId="6B3A0107" w14:textId="6D1D494A" w:rsidR="007F1567" w:rsidRPr="00E519C3" w:rsidRDefault="007F1567" w:rsidP="007F1567">
      <w:pPr>
        <w:pStyle w:val="SingleTxtG"/>
        <w:spacing w:before="240"/>
        <w:rPr>
          <w:lang w:val="en-GB"/>
        </w:rPr>
      </w:pPr>
      <w:r w:rsidRPr="00E519C3">
        <w:rPr>
          <w:lang w:val="en-GB" w:eastAsia="zh-CN"/>
        </w:rPr>
        <w:t>6.</w:t>
      </w:r>
      <w:r w:rsidRPr="00E519C3">
        <w:rPr>
          <w:lang w:val="en-GB"/>
        </w:rPr>
        <w:tab/>
        <w:t xml:space="preserve">Although it is stated in 2.8.4.3.5 that the formula should be used when SCL is available instead of Figure 2.8.4.3, it is not stated that the formula cannot be used when no SCL is available. If we assume a case where no SCL is available (or understood as SCL is exactly equal to GCL), the critical concentrations </w:t>
      </w:r>
      <w:r w:rsidRPr="00E519C3">
        <w:rPr>
          <w:lang w:val="en-GB" w:eastAsia="zh-CN"/>
        </w:rPr>
        <w:t xml:space="preserve">for substances of packaging group I </w:t>
      </w:r>
      <w:r w:rsidRPr="00E519C3">
        <w:rPr>
          <w:lang w:val="en-GB"/>
        </w:rPr>
        <w:t xml:space="preserve">to be </w:t>
      </w:r>
      <w:r w:rsidRPr="00E519C3">
        <w:rPr>
          <w:lang w:val="en-GB" w:eastAsia="zh-CN"/>
        </w:rPr>
        <w:t>assigned to packaging group II</w:t>
      </w:r>
      <w:r w:rsidRPr="00E519C3">
        <w:rPr>
          <w:lang w:val="en-GB"/>
        </w:rPr>
        <w:t xml:space="preserve"> obtained from Figure 2.8.4.3 and </w:t>
      </w:r>
      <w:r w:rsidR="00746182" w:rsidRPr="00E519C3">
        <w:rPr>
          <w:lang w:val="en-GB"/>
        </w:rPr>
        <w:t>e</w:t>
      </w:r>
      <w:r w:rsidRPr="00E519C3">
        <w:rPr>
          <w:lang w:val="en-GB"/>
        </w:rPr>
        <w:t>xample 2 of section 2.8.4.3.5 are two different values. And, we cannot regard this as reasonable.</w:t>
      </w:r>
    </w:p>
    <w:p w14:paraId="2B465332" w14:textId="77777777" w:rsidR="007F1567" w:rsidRPr="00E519C3" w:rsidRDefault="007F1567" w:rsidP="007F1567">
      <w:pPr>
        <w:pStyle w:val="HChG"/>
        <w:ind w:leftChars="100" w:left="200" w:firstLineChars="300" w:firstLine="843"/>
        <w:rPr>
          <w:lang w:val="en-GB"/>
        </w:rPr>
      </w:pPr>
      <w:r w:rsidRPr="00E519C3">
        <w:rPr>
          <w:lang w:val="en-GB"/>
        </w:rPr>
        <w:t>Proposal</w:t>
      </w:r>
    </w:p>
    <w:p w14:paraId="43F25D23" w14:textId="73DCFB73" w:rsidR="007F1567" w:rsidRPr="00E519C3" w:rsidRDefault="007F1567" w:rsidP="007F1567">
      <w:pPr>
        <w:pStyle w:val="SingleTxtG"/>
        <w:tabs>
          <w:tab w:val="left" w:pos="1701"/>
        </w:tabs>
        <w:rPr>
          <w:lang w:val="en-GB"/>
        </w:rPr>
      </w:pPr>
      <w:r w:rsidRPr="00E519C3">
        <w:rPr>
          <w:lang w:val="en-GB"/>
        </w:rPr>
        <w:t>7.</w:t>
      </w:r>
      <w:r w:rsidRPr="00E519C3">
        <w:rPr>
          <w:lang w:val="en-GB"/>
        </w:rPr>
        <w:tab/>
        <w:t xml:space="preserve">Reviewing the proposal about the calculation method, Figure 2.8.4.3 was first proposed and approved by the </w:t>
      </w:r>
      <w:r w:rsidRPr="00E519C3">
        <w:rPr>
          <w:lang w:val="en-GB" w:eastAsia="zh-CN"/>
        </w:rPr>
        <w:t>S</w:t>
      </w:r>
      <w:r w:rsidRPr="00E519C3">
        <w:rPr>
          <w:lang w:val="en-GB"/>
        </w:rPr>
        <w:t>ub</w:t>
      </w:r>
      <w:r w:rsidRPr="00E519C3">
        <w:rPr>
          <w:lang w:val="en-GB" w:eastAsia="zh-CN"/>
        </w:rPr>
        <w:t>-</w:t>
      </w:r>
      <w:r w:rsidR="00204550" w:rsidRPr="00E519C3">
        <w:rPr>
          <w:lang w:val="en-GB"/>
        </w:rPr>
        <w:t>C</w:t>
      </w:r>
      <w:r w:rsidRPr="00E519C3">
        <w:rPr>
          <w:lang w:val="en-GB"/>
        </w:rPr>
        <w:t xml:space="preserve">ommittee at </w:t>
      </w:r>
      <w:r w:rsidR="00204550" w:rsidRPr="00E519C3">
        <w:rPr>
          <w:lang w:val="en-GB"/>
        </w:rPr>
        <w:t>its</w:t>
      </w:r>
      <w:r w:rsidRPr="00E519C3">
        <w:rPr>
          <w:lang w:val="en-GB"/>
        </w:rPr>
        <w:t xml:space="preserve"> 49</w:t>
      </w:r>
      <w:r w:rsidRPr="00E519C3">
        <w:rPr>
          <w:vertAlign w:val="superscript"/>
          <w:lang w:val="en-GB"/>
        </w:rPr>
        <w:t>th</w:t>
      </w:r>
      <w:r w:rsidRPr="00E519C3">
        <w:rPr>
          <w:lang w:val="en-GB"/>
        </w:rPr>
        <w:t xml:space="preserve"> session (INF.65). The formula and examples were later proposed to assist the understanding in cases with SCL. </w:t>
      </w:r>
      <w:r w:rsidRPr="00E519C3">
        <w:rPr>
          <w:lang w:val="en-GB" w:eastAsia="zh-CN"/>
        </w:rPr>
        <w:t>F</w:t>
      </w:r>
      <w:r w:rsidRPr="00E519C3">
        <w:rPr>
          <w:lang w:val="en-GB"/>
        </w:rPr>
        <w:t>igure 2.8.4.3 is more in line with the classification principle that the proposers want to put forward.</w:t>
      </w:r>
    </w:p>
    <w:p w14:paraId="651DDC99" w14:textId="77777777" w:rsidR="007F1567" w:rsidRDefault="007F1567">
      <w:pPr>
        <w:suppressAutoHyphens w:val="0"/>
        <w:spacing w:line="240" w:lineRule="auto"/>
        <w:rPr>
          <w:lang w:val="x-none" w:eastAsia="zh-CN"/>
        </w:rPr>
      </w:pPr>
      <w:r>
        <w:rPr>
          <w:lang w:eastAsia="zh-CN"/>
        </w:rPr>
        <w:br w:type="page"/>
      </w:r>
    </w:p>
    <w:p w14:paraId="43EBD57E" w14:textId="728C5C2B" w:rsidR="007F1567" w:rsidRPr="007B3AA3" w:rsidRDefault="007F1567" w:rsidP="007F1567">
      <w:pPr>
        <w:pStyle w:val="SingleTxtG"/>
        <w:rPr>
          <w:lang w:val="en-GB" w:eastAsia="zh-CN"/>
        </w:rPr>
      </w:pPr>
      <w:r w:rsidRPr="007B3AA3">
        <w:rPr>
          <w:lang w:val="en-GB" w:eastAsia="zh-CN"/>
        </w:rPr>
        <w:lastRenderedPageBreak/>
        <w:t>8</w:t>
      </w:r>
      <w:r w:rsidR="000F1D5E" w:rsidRPr="007B3AA3">
        <w:rPr>
          <w:lang w:val="en-GB" w:eastAsia="zh-CN"/>
        </w:rPr>
        <w:t>.</w:t>
      </w:r>
      <w:r w:rsidRPr="007B3AA3">
        <w:rPr>
          <w:rFonts w:ascii="PMingLiU" w:hAnsi="PMingLiU" w:cs="PMingLiU"/>
          <w:lang w:val="en-GB" w:eastAsia="zh-CN"/>
        </w:rPr>
        <w:tab/>
      </w:r>
      <w:r w:rsidRPr="007B3AA3">
        <w:rPr>
          <w:lang w:val="en-GB" w:eastAsia="zh-CN"/>
        </w:rPr>
        <w:t xml:space="preserve">So, </w:t>
      </w:r>
      <w:r w:rsidR="00E519C3" w:rsidRPr="007B3AA3">
        <w:rPr>
          <w:lang w:val="en-GB" w:eastAsia="zh-CN"/>
        </w:rPr>
        <w:t>the e</w:t>
      </w:r>
      <w:r w:rsidRPr="007B3AA3">
        <w:rPr>
          <w:lang w:val="en-GB" w:eastAsia="zh-CN"/>
        </w:rPr>
        <w:t xml:space="preserve">xperts from China would </w:t>
      </w:r>
      <w:r w:rsidR="00DD7881" w:rsidRPr="007B3AA3">
        <w:rPr>
          <w:lang w:val="en-GB" w:eastAsia="zh-CN"/>
        </w:rPr>
        <w:t xml:space="preserve">like to </w:t>
      </w:r>
      <w:r w:rsidRPr="007B3AA3">
        <w:rPr>
          <w:lang w:val="en-GB" w:eastAsia="zh-CN"/>
        </w:rPr>
        <w:t>invite the Sub-Committee to clarify the following two issues:</w:t>
      </w:r>
    </w:p>
    <w:p w14:paraId="0437E2F9" w14:textId="0DB8C0FB" w:rsidR="007F1567" w:rsidRPr="007B3AA3" w:rsidRDefault="007F1567" w:rsidP="007F1567">
      <w:pPr>
        <w:pStyle w:val="SingleTxtG"/>
        <w:ind w:firstLine="567"/>
        <w:rPr>
          <w:lang w:val="en-GB"/>
        </w:rPr>
      </w:pPr>
      <w:r w:rsidRPr="007B3AA3">
        <w:rPr>
          <w:lang w:val="en-GB"/>
        </w:rPr>
        <w:t>(a)</w:t>
      </w:r>
      <w:r w:rsidRPr="007B3AA3">
        <w:rPr>
          <w:lang w:val="en-GB"/>
        </w:rPr>
        <w:tab/>
        <w:t>whether example 2 is appropriate; and</w:t>
      </w:r>
    </w:p>
    <w:p w14:paraId="19402339" w14:textId="03D02232" w:rsidR="007F1567" w:rsidRPr="007B3AA3" w:rsidRDefault="007F1567" w:rsidP="007F1567">
      <w:pPr>
        <w:pStyle w:val="SingleTxtG"/>
        <w:ind w:left="1701"/>
        <w:rPr>
          <w:lang w:val="en-GB"/>
        </w:rPr>
      </w:pPr>
      <w:r w:rsidRPr="007B3AA3">
        <w:rPr>
          <w:lang w:val="en-GB"/>
        </w:rPr>
        <w:t>(b)</w:t>
      </w:r>
      <w:r w:rsidRPr="007B3AA3">
        <w:rPr>
          <w:lang w:val="en-GB"/>
        </w:rPr>
        <w:tab/>
        <w:t>how to determine the generic concentration limit</w:t>
      </w:r>
      <w:r w:rsidRPr="007B3AA3">
        <w:rPr>
          <w:lang w:val="en-GB" w:eastAsia="zh-CN"/>
        </w:rPr>
        <w:t>s</w:t>
      </w:r>
      <w:r w:rsidRPr="007B3AA3">
        <w:rPr>
          <w:lang w:val="en-GB"/>
        </w:rPr>
        <w:t xml:space="preserve"> used in the calculation formula in section 2.8.4.3.5, especially the generic concentration limits for substances of packaging group I to be assigned to packaging group II.</w:t>
      </w:r>
    </w:p>
    <w:p w14:paraId="4C93F9AE" w14:textId="6B4D8869" w:rsidR="007F1567" w:rsidRPr="007F1567" w:rsidRDefault="007F1567" w:rsidP="007F1567">
      <w:pPr>
        <w:spacing w:before="240"/>
        <w:jc w:val="center"/>
        <w:rPr>
          <w:u w:val="single"/>
        </w:rPr>
      </w:pPr>
      <w:r>
        <w:rPr>
          <w:u w:val="single"/>
        </w:rPr>
        <w:tab/>
      </w:r>
      <w:r>
        <w:rPr>
          <w:u w:val="single"/>
        </w:rPr>
        <w:tab/>
      </w:r>
      <w:r>
        <w:rPr>
          <w:u w:val="single"/>
        </w:rPr>
        <w:tab/>
      </w:r>
    </w:p>
    <w:sectPr w:rsidR="007F1567" w:rsidRPr="007F1567" w:rsidSect="009710AB">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DDA0" w14:textId="77777777" w:rsidR="00C23BA5" w:rsidRDefault="00C23BA5"/>
  </w:endnote>
  <w:endnote w:type="continuationSeparator" w:id="0">
    <w:p w14:paraId="72FB7987" w14:textId="77777777" w:rsidR="00C23BA5" w:rsidRDefault="00C23BA5"/>
  </w:endnote>
  <w:endnote w:type="continuationNotice" w:id="1">
    <w:p w14:paraId="1B2A98A4" w14:textId="77777777" w:rsidR="00C23BA5" w:rsidRDefault="00C2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FC84" w14:textId="77777777" w:rsidR="00C23BA5" w:rsidRPr="000B175B" w:rsidRDefault="00C23BA5" w:rsidP="000B175B">
      <w:pPr>
        <w:tabs>
          <w:tab w:val="right" w:pos="2155"/>
        </w:tabs>
        <w:spacing w:after="80"/>
        <w:ind w:left="680"/>
        <w:rPr>
          <w:u w:val="single"/>
        </w:rPr>
      </w:pPr>
      <w:r>
        <w:rPr>
          <w:u w:val="single"/>
        </w:rPr>
        <w:tab/>
      </w:r>
    </w:p>
  </w:footnote>
  <w:footnote w:type="continuationSeparator" w:id="0">
    <w:p w14:paraId="20622075" w14:textId="77777777" w:rsidR="00C23BA5" w:rsidRPr="00FC68B7" w:rsidRDefault="00C23BA5" w:rsidP="00FC68B7">
      <w:pPr>
        <w:tabs>
          <w:tab w:val="left" w:pos="2155"/>
        </w:tabs>
        <w:spacing w:after="80"/>
        <w:ind w:left="680"/>
        <w:rPr>
          <w:u w:val="single"/>
        </w:rPr>
      </w:pPr>
      <w:r>
        <w:rPr>
          <w:u w:val="single"/>
        </w:rPr>
        <w:tab/>
      </w:r>
    </w:p>
  </w:footnote>
  <w:footnote w:type="continuationNotice" w:id="1">
    <w:p w14:paraId="3083FEE4" w14:textId="77777777" w:rsidR="00C23BA5" w:rsidRDefault="00C23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5365E503"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0F1D5E">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ACC097A"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50936">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7"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8"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19"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2"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5"/>
  </w:num>
  <w:num w:numId="15">
    <w:abstractNumId w:val="27"/>
  </w:num>
  <w:num w:numId="16">
    <w:abstractNumId w:val="11"/>
  </w:num>
  <w:num w:numId="17">
    <w:abstractNumId w:val="15"/>
  </w:num>
  <w:num w:numId="18">
    <w:abstractNumId w:val="16"/>
  </w:num>
  <w:num w:numId="19">
    <w:abstractNumId w:val="1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6"/>
  </w:num>
  <w:num w:numId="26">
    <w:abstractNumId w:val="20"/>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504CE"/>
    <w:rsid w:val="00050922"/>
    <w:rsid w:val="00050F6B"/>
    <w:rsid w:val="00053492"/>
    <w:rsid w:val="000556F5"/>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6A20"/>
    <w:rsid w:val="001016F4"/>
    <w:rsid w:val="0010461A"/>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4404D"/>
    <w:rsid w:val="003517C3"/>
    <w:rsid w:val="00355502"/>
    <w:rsid w:val="00356BC7"/>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655D"/>
    <w:rsid w:val="003C6CFB"/>
    <w:rsid w:val="003D1BF8"/>
    <w:rsid w:val="003D23B5"/>
    <w:rsid w:val="003D293B"/>
    <w:rsid w:val="003D2F59"/>
    <w:rsid w:val="003D3E8D"/>
    <w:rsid w:val="003D4B23"/>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39D0"/>
    <w:rsid w:val="004C4F1A"/>
    <w:rsid w:val="004C6D6D"/>
    <w:rsid w:val="004D27A5"/>
    <w:rsid w:val="004E0C5D"/>
    <w:rsid w:val="004E2CEA"/>
    <w:rsid w:val="004E460D"/>
    <w:rsid w:val="004E5DE8"/>
    <w:rsid w:val="004F4240"/>
    <w:rsid w:val="004F6D33"/>
    <w:rsid w:val="004F6DF4"/>
    <w:rsid w:val="004F7738"/>
    <w:rsid w:val="004F77CD"/>
    <w:rsid w:val="0050042A"/>
    <w:rsid w:val="00504855"/>
    <w:rsid w:val="00507CF1"/>
    <w:rsid w:val="005134A0"/>
    <w:rsid w:val="00515B3C"/>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6020"/>
    <w:rsid w:val="005A6301"/>
    <w:rsid w:val="005A64DD"/>
    <w:rsid w:val="005B09F0"/>
    <w:rsid w:val="005B0CED"/>
    <w:rsid w:val="005B3DB3"/>
    <w:rsid w:val="005B528A"/>
    <w:rsid w:val="005B6088"/>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1134"/>
    <w:rsid w:val="006C251B"/>
    <w:rsid w:val="006C2F7E"/>
    <w:rsid w:val="006D3560"/>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632A"/>
    <w:rsid w:val="00727720"/>
    <w:rsid w:val="00727F27"/>
    <w:rsid w:val="00734B63"/>
    <w:rsid w:val="00734F20"/>
    <w:rsid w:val="00736E6A"/>
    <w:rsid w:val="00741F59"/>
    <w:rsid w:val="007427C1"/>
    <w:rsid w:val="00745598"/>
    <w:rsid w:val="00746182"/>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6809"/>
    <w:rsid w:val="00846900"/>
    <w:rsid w:val="00854A6B"/>
    <w:rsid w:val="00857789"/>
    <w:rsid w:val="0086107D"/>
    <w:rsid w:val="0086247E"/>
    <w:rsid w:val="00864251"/>
    <w:rsid w:val="00866808"/>
    <w:rsid w:val="008711BC"/>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2E5"/>
    <w:rsid w:val="00BB3B28"/>
    <w:rsid w:val="00BB3CA8"/>
    <w:rsid w:val="00BC0714"/>
    <w:rsid w:val="00BC43AB"/>
    <w:rsid w:val="00BC5CA8"/>
    <w:rsid w:val="00BC6FCC"/>
    <w:rsid w:val="00BC74E9"/>
    <w:rsid w:val="00BD2077"/>
    <w:rsid w:val="00BD3308"/>
    <w:rsid w:val="00BE1FF8"/>
    <w:rsid w:val="00BE382C"/>
    <w:rsid w:val="00BE50CA"/>
    <w:rsid w:val="00BE618E"/>
    <w:rsid w:val="00BF16FB"/>
    <w:rsid w:val="00BF7996"/>
    <w:rsid w:val="00C015FE"/>
    <w:rsid w:val="00C0263F"/>
    <w:rsid w:val="00C03B44"/>
    <w:rsid w:val="00C05987"/>
    <w:rsid w:val="00C135D6"/>
    <w:rsid w:val="00C13A85"/>
    <w:rsid w:val="00C14370"/>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5B15"/>
    <w:rsid w:val="00CD7A79"/>
    <w:rsid w:val="00CE09DE"/>
    <w:rsid w:val="00CE2D21"/>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B32"/>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3141C"/>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1230"/>
    <w:rsid w:val="00E82A4A"/>
    <w:rsid w:val="00E8535A"/>
    <w:rsid w:val="00E859FF"/>
    <w:rsid w:val="00E864BE"/>
    <w:rsid w:val="00E90647"/>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30</TotalTime>
  <Pages>3</Pages>
  <Words>547</Words>
  <Characters>3122</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32</cp:revision>
  <cp:lastPrinted>2021-06-15T10:55:00Z</cp:lastPrinted>
  <dcterms:created xsi:type="dcterms:W3CDTF">2021-06-22T05:51:00Z</dcterms:created>
  <dcterms:modified xsi:type="dcterms:W3CDTF">2021-06-22T10:15:00Z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