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6C984EF"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136D08">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CA637E8"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8E2457">
              <w:rPr>
                <w:b/>
              </w:rPr>
              <w:t>1</w:t>
            </w:r>
            <w:r w:rsidR="001B11B7">
              <w:rPr>
                <w:b/>
              </w:rPr>
              <w:t>1</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234748D7" w:rsidR="00006E29" w:rsidRPr="00E44D34" w:rsidRDefault="00006E29" w:rsidP="00CB2799">
            <w:pPr>
              <w:spacing w:before="40"/>
              <w:rPr>
                <w:b/>
              </w:rPr>
            </w:pPr>
            <w:r w:rsidRPr="00345772">
              <w:t>Geneva, 28 June-2 July 2021</w:t>
            </w:r>
            <w:r w:rsidRPr="00345772">
              <w:br/>
            </w:r>
            <w:r w:rsidRPr="00345772">
              <w:rPr>
                <w:lang w:val="en-US"/>
              </w:rPr>
              <w:t xml:space="preserve">Item </w:t>
            </w:r>
            <w:r w:rsidR="00F45FE5">
              <w:rPr>
                <w:lang w:val="en-US"/>
              </w:rPr>
              <w:t>4 (f)</w:t>
            </w:r>
            <w:r w:rsidRPr="00345772">
              <w:rPr>
                <w:lang w:val="en-US"/>
              </w:rPr>
              <w:t xml:space="preserve"> of the provisional agenda</w:t>
            </w:r>
            <w:r>
              <w:rPr>
                <w:lang w:val="en-US"/>
              </w:rPr>
              <w:br/>
            </w:r>
            <w:r w:rsidR="00885746" w:rsidRPr="009544F4">
              <w:rPr>
                <w:b/>
                <w:bCs/>
              </w:rPr>
              <w:t xml:space="preserve">Electric storage systems: </w:t>
            </w:r>
            <w:r w:rsidR="009544F4" w:rsidRPr="009544F4">
              <w:rPr>
                <w:b/>
                <w:bCs/>
              </w:rPr>
              <w:t>miscellaneous</w:t>
            </w:r>
          </w:p>
        </w:tc>
      </w:tr>
    </w:tbl>
    <w:p w14:paraId="01968991" w14:textId="77777777" w:rsidR="003F5489" w:rsidRPr="00F07E89" w:rsidRDefault="003F5489" w:rsidP="003F5489">
      <w:pPr>
        <w:pStyle w:val="HChG"/>
        <w:rPr>
          <w:lang w:val="en-GB"/>
        </w:rPr>
      </w:pPr>
      <w:r w:rsidRPr="00F07E89">
        <w:rPr>
          <w:lang w:val="en-GB"/>
        </w:rPr>
        <w:tab/>
      </w:r>
      <w:r w:rsidRPr="00F07E89">
        <w:rPr>
          <w:lang w:val="en-GB"/>
        </w:rPr>
        <w:tab/>
        <w:t>Cells and batteries installed in cargo transport units and 2.9.4</w:t>
      </w:r>
    </w:p>
    <w:p w14:paraId="07282871" w14:textId="77777777" w:rsidR="003F5489" w:rsidRPr="00F07E89" w:rsidRDefault="003F5489" w:rsidP="003F5489">
      <w:pPr>
        <w:pStyle w:val="H1G"/>
      </w:pPr>
      <w:r w:rsidRPr="00F07E89">
        <w:tab/>
      </w:r>
      <w:r w:rsidRPr="00F07E89">
        <w:tab/>
        <w:t>Transmitted by the expert from Switzerland</w:t>
      </w:r>
    </w:p>
    <w:tbl>
      <w:tblPr>
        <w:tblStyle w:val="TableGrid"/>
        <w:tblW w:w="0" w:type="auto"/>
        <w:jc w:val="center"/>
        <w:tblLook w:val="01E0" w:firstRow="1" w:lastRow="1" w:firstColumn="1" w:lastColumn="1" w:noHBand="0" w:noVBand="0"/>
      </w:tblPr>
      <w:tblGrid>
        <w:gridCol w:w="9628"/>
      </w:tblGrid>
      <w:tr w:rsidR="003F5489" w:rsidRPr="00F07E89" w14:paraId="75EC66A1" w14:textId="77777777" w:rsidTr="007D1F5B">
        <w:trPr>
          <w:jc w:val="center"/>
        </w:trPr>
        <w:tc>
          <w:tcPr>
            <w:tcW w:w="9628" w:type="dxa"/>
            <w:tcBorders>
              <w:bottom w:val="nil"/>
            </w:tcBorders>
          </w:tcPr>
          <w:p w14:paraId="2AA42356" w14:textId="77777777" w:rsidR="003F5489" w:rsidRPr="00F07E89" w:rsidRDefault="003F5489" w:rsidP="007D1F5B">
            <w:pPr>
              <w:tabs>
                <w:tab w:val="left" w:pos="255"/>
              </w:tabs>
              <w:suppressAutoHyphens w:val="0"/>
              <w:spacing w:before="240" w:after="120"/>
              <w:rPr>
                <w:sz w:val="24"/>
              </w:rPr>
            </w:pPr>
            <w:r w:rsidRPr="00F07E89">
              <w:tab/>
            </w:r>
            <w:r w:rsidRPr="00F07E89">
              <w:rPr>
                <w:i/>
                <w:sz w:val="24"/>
              </w:rPr>
              <w:t>Summary</w:t>
            </w:r>
          </w:p>
        </w:tc>
      </w:tr>
      <w:tr w:rsidR="003F5489" w:rsidRPr="00F07E89" w14:paraId="307AF31A" w14:textId="77777777" w:rsidTr="007D1F5B">
        <w:trPr>
          <w:jc w:val="center"/>
        </w:trPr>
        <w:tc>
          <w:tcPr>
            <w:tcW w:w="9628" w:type="dxa"/>
            <w:tcBorders>
              <w:top w:val="nil"/>
              <w:bottom w:val="nil"/>
            </w:tcBorders>
            <w:shd w:val="clear" w:color="auto" w:fill="auto"/>
          </w:tcPr>
          <w:p w14:paraId="092A2285" w14:textId="77777777" w:rsidR="003F5489" w:rsidRPr="00F07E89" w:rsidRDefault="003F5489" w:rsidP="007D1F5B">
            <w:pPr>
              <w:pStyle w:val="SingleTxtG"/>
              <w:spacing w:after="60"/>
              <w:ind w:left="2552" w:hanging="2268"/>
              <w:rPr>
                <w:bCs/>
                <w:lang w:val="en-GB"/>
              </w:rPr>
            </w:pPr>
            <w:r w:rsidRPr="00F07E89">
              <w:rPr>
                <w:b/>
                <w:szCs w:val="22"/>
                <w:lang w:val="en-GB"/>
              </w:rPr>
              <w:t>Executive summary</w:t>
            </w:r>
            <w:r w:rsidRPr="00F07E89">
              <w:rPr>
                <w:szCs w:val="22"/>
                <w:lang w:val="en-GB"/>
              </w:rPr>
              <w:t>:</w:t>
            </w:r>
            <w:r w:rsidRPr="00F07E89">
              <w:rPr>
                <w:szCs w:val="22"/>
                <w:lang w:val="en-GB"/>
              </w:rPr>
              <w:tab/>
            </w:r>
            <w:r w:rsidRPr="00F07E89">
              <w:rPr>
                <w:lang w:val="en-GB"/>
              </w:rPr>
              <w:t>Cells and batteries installed in cargo transport units shall meet all the requirements of 2.9.4 and shall be included in the list of those referred to in the first sentence of 2.9.4.</w:t>
            </w:r>
          </w:p>
        </w:tc>
      </w:tr>
      <w:tr w:rsidR="003F5489" w:rsidRPr="00F07E89" w14:paraId="0DD622F2" w14:textId="77777777" w:rsidTr="007D1F5B">
        <w:trPr>
          <w:jc w:val="center"/>
        </w:trPr>
        <w:tc>
          <w:tcPr>
            <w:tcW w:w="9628" w:type="dxa"/>
            <w:tcBorders>
              <w:top w:val="nil"/>
              <w:bottom w:val="nil"/>
            </w:tcBorders>
            <w:shd w:val="clear" w:color="auto" w:fill="auto"/>
          </w:tcPr>
          <w:p w14:paraId="77CCFB6B" w14:textId="77777777" w:rsidR="003F5489" w:rsidRPr="00F07E89" w:rsidRDefault="003F5489" w:rsidP="007D1F5B">
            <w:pPr>
              <w:pStyle w:val="SingleTxtG"/>
              <w:ind w:left="2552" w:hanging="2268"/>
              <w:rPr>
                <w:szCs w:val="22"/>
                <w:lang w:val="en-GB"/>
              </w:rPr>
            </w:pPr>
            <w:r w:rsidRPr="00F07E89">
              <w:rPr>
                <w:b/>
                <w:szCs w:val="22"/>
                <w:lang w:val="en-GB"/>
              </w:rPr>
              <w:t>Action to be taken</w:t>
            </w:r>
            <w:r w:rsidRPr="00F07E89">
              <w:rPr>
                <w:szCs w:val="22"/>
                <w:lang w:val="en-GB"/>
              </w:rPr>
              <w:t>:</w:t>
            </w:r>
            <w:r w:rsidRPr="00F07E89">
              <w:rPr>
                <w:szCs w:val="22"/>
                <w:lang w:val="en-GB"/>
              </w:rPr>
              <w:tab/>
            </w:r>
            <w:r w:rsidRPr="00F07E89">
              <w:rPr>
                <w:lang w:val="en-GB"/>
              </w:rPr>
              <w:t>Amend the text of the first sentence of 2.9.4 and the second sentence of SP389.</w:t>
            </w:r>
          </w:p>
        </w:tc>
      </w:tr>
      <w:tr w:rsidR="003F5489" w:rsidRPr="00F07E89" w14:paraId="160BD580" w14:textId="77777777" w:rsidTr="007D1F5B">
        <w:trPr>
          <w:trHeight w:val="60"/>
          <w:jc w:val="center"/>
        </w:trPr>
        <w:tc>
          <w:tcPr>
            <w:tcW w:w="9628" w:type="dxa"/>
            <w:tcBorders>
              <w:top w:val="nil"/>
            </w:tcBorders>
          </w:tcPr>
          <w:p w14:paraId="6B07671E" w14:textId="77777777" w:rsidR="003F5489" w:rsidRPr="00F07E89" w:rsidRDefault="003F5489" w:rsidP="007D1F5B">
            <w:pPr>
              <w:suppressAutoHyphens w:val="0"/>
            </w:pPr>
          </w:p>
        </w:tc>
      </w:tr>
    </w:tbl>
    <w:p w14:paraId="5F0A3CAE" w14:textId="77777777" w:rsidR="003F5489" w:rsidRPr="00F07E89" w:rsidRDefault="003F5489" w:rsidP="003F5489">
      <w:pPr>
        <w:pStyle w:val="HChG"/>
        <w:rPr>
          <w:lang w:val="en-GB"/>
        </w:rPr>
      </w:pPr>
      <w:r w:rsidRPr="00F07E89">
        <w:rPr>
          <w:lang w:val="en-GB"/>
        </w:rPr>
        <w:tab/>
      </w:r>
      <w:r w:rsidRPr="00F07E89">
        <w:rPr>
          <w:lang w:val="en-GB"/>
        </w:rPr>
        <w:tab/>
        <w:t>Introduction</w:t>
      </w:r>
    </w:p>
    <w:p w14:paraId="26C6CD5B" w14:textId="680E8B82" w:rsidR="003F5489" w:rsidRPr="00F07E89" w:rsidRDefault="003F5489" w:rsidP="003F5489">
      <w:pPr>
        <w:pStyle w:val="SingleTxtG"/>
        <w:rPr>
          <w:lang w:val="en-GB"/>
        </w:rPr>
      </w:pPr>
      <w:r w:rsidRPr="00F07E89">
        <w:rPr>
          <w:lang w:val="en-GB"/>
        </w:rPr>
        <w:t>1.</w:t>
      </w:r>
      <w:r w:rsidRPr="00F07E89">
        <w:rPr>
          <w:lang w:val="en-GB"/>
        </w:rPr>
        <w:tab/>
        <w:t>During the review of the exemption possibilities of the entry UN 3536 for land transport in RID/ADR/ADN, we noted a contraction that we believe should be removed. UN 3536 is designated as "LITHIUM BATTERIES INSTALLED IN CARGO TRANSPORT UNIT" and the assigned special provision 389 in turn defines the scope as applying to lithium batteries that meet the requirements of 2.9.4 (a) to (g):</w:t>
      </w:r>
    </w:p>
    <w:p w14:paraId="33C0F659" w14:textId="06210717" w:rsidR="003F5489" w:rsidRPr="00F07E89" w:rsidRDefault="003F5489" w:rsidP="00726A23">
      <w:pPr>
        <w:pStyle w:val="SingleTxtG"/>
        <w:ind w:left="1701"/>
        <w:rPr>
          <w:lang w:val="en-GB"/>
        </w:rPr>
      </w:pPr>
      <w:r w:rsidRPr="00F07E89">
        <w:rPr>
          <w:lang w:val="en-GB"/>
        </w:rPr>
        <w:t>« 389</w:t>
      </w:r>
      <w:r w:rsidRPr="00F07E89">
        <w:rPr>
          <w:lang w:val="en-GB"/>
        </w:rPr>
        <w:tab/>
        <w:t>This entry only applies to lithium ion batteries or lithium metal batteries installed in a cargo transport unit and designed only to provide power external to the cargo transport unit. The lithium batteries shall meet the requirements of 2.9.4 (a) to (g) and contain the necessary systems to prevent overcharge and over discharge between the batteries</w:t>
      </w:r>
      <w:r w:rsidR="00AE0CB4" w:rsidRPr="00F07E89">
        <w:rPr>
          <w:lang w:val="en-GB"/>
        </w:rPr>
        <w:t xml:space="preserve"> </w:t>
      </w:r>
      <w:r w:rsidRPr="00F07E89">
        <w:rPr>
          <w:lang w:val="en-GB"/>
        </w:rPr>
        <w:t>… ».</w:t>
      </w:r>
    </w:p>
    <w:p w14:paraId="0CB78974" w14:textId="4623A603" w:rsidR="003F5489" w:rsidRPr="00F07E89" w:rsidRDefault="003F5489" w:rsidP="003F5489">
      <w:pPr>
        <w:pStyle w:val="SingleTxtG"/>
        <w:rPr>
          <w:lang w:val="en-GB"/>
        </w:rPr>
      </w:pPr>
      <w:r w:rsidRPr="00F07E89">
        <w:rPr>
          <w:lang w:val="en-GB"/>
        </w:rPr>
        <w:t>2.</w:t>
      </w:r>
      <w:r w:rsidRPr="00F07E89">
        <w:rPr>
          <w:lang w:val="en-GB"/>
        </w:rPr>
        <w:tab/>
        <w:t xml:space="preserve">We suspect that the reason for initially targeting paragraphs </w:t>
      </w:r>
      <w:r w:rsidR="001A5914" w:rsidRPr="00F07E89">
        <w:rPr>
          <w:lang w:val="en-GB"/>
        </w:rPr>
        <w:t>(</w:t>
      </w:r>
      <w:r w:rsidRPr="00F07E89">
        <w:rPr>
          <w:lang w:val="en-GB"/>
        </w:rPr>
        <w:t xml:space="preserve">a) to </w:t>
      </w:r>
      <w:r w:rsidR="001A5914" w:rsidRPr="00F07E89">
        <w:rPr>
          <w:lang w:val="en-GB"/>
        </w:rPr>
        <w:t>(</w:t>
      </w:r>
      <w:r w:rsidRPr="00F07E89">
        <w:rPr>
          <w:lang w:val="en-GB"/>
        </w:rPr>
        <w:t xml:space="preserve">g) of 2.9.4 and excluding the introductory paragraph of 2.9.4 </w:t>
      </w:r>
      <w:r w:rsidR="00DA1217" w:rsidRPr="00F07E89">
        <w:rPr>
          <w:lang w:val="en-GB"/>
        </w:rPr>
        <w:t>wa</w:t>
      </w:r>
      <w:r w:rsidRPr="00F07E89">
        <w:rPr>
          <w:lang w:val="en-GB"/>
        </w:rPr>
        <w:t>s that the experts who drafted these texts were primarily concerned with resolving the issue of cargo transport units containing lithium batteries rather than defining the provisions for cells and batteries themselves. In the view of the authors, it was not obvious that the concept of cargo transport unit could be assimilated to that of batteries and cells, and it was therefore inconceivable that objects that are generally containers and objects that are batteries and cells should be included in the same level in the first sentence of 2.9.4. Therefore, the text of the first sentence of 2.9.4, which refers only to "cells and batteries contained in equipment" or "cells packed with equipment", has not been adapted to the new entry UN 3536.</w:t>
      </w:r>
    </w:p>
    <w:p w14:paraId="7820E7CD" w14:textId="3246D643" w:rsidR="003F5489" w:rsidRPr="00F07E89" w:rsidRDefault="003F5489" w:rsidP="003F5489">
      <w:pPr>
        <w:pStyle w:val="SingleTxtG"/>
        <w:rPr>
          <w:lang w:val="en-GB"/>
        </w:rPr>
      </w:pPr>
      <w:r w:rsidRPr="00F07E89">
        <w:rPr>
          <w:lang w:val="en-GB"/>
        </w:rPr>
        <w:t>3.</w:t>
      </w:r>
      <w:r w:rsidRPr="00F07E89">
        <w:rPr>
          <w:lang w:val="en-GB"/>
        </w:rPr>
        <w:tab/>
        <w:t xml:space="preserve">Now that the texts are definitive and the same provisions (a) to (g) of 2.9.4 are applicable to UN 3536 it becomes clear that this entry should be considered as one </w:t>
      </w:r>
      <w:r w:rsidR="00B2758F" w:rsidRPr="00F07E89">
        <w:rPr>
          <w:lang w:val="en-GB"/>
        </w:rPr>
        <w:t>additional</w:t>
      </w:r>
      <w:r w:rsidRPr="00F07E89">
        <w:rPr>
          <w:lang w:val="en-GB"/>
        </w:rPr>
        <w:t xml:space="preserve"> lithium cells and batteries entry and listed in the first sentence of 2.9.4. </w:t>
      </w:r>
    </w:p>
    <w:p w14:paraId="21699A50" w14:textId="41C1B495" w:rsidR="003F5489" w:rsidRPr="00F07E89" w:rsidRDefault="003F5489" w:rsidP="003F5489">
      <w:pPr>
        <w:pStyle w:val="SingleTxtG"/>
        <w:rPr>
          <w:lang w:val="en-GB"/>
        </w:rPr>
      </w:pPr>
      <w:r w:rsidRPr="00F07E89">
        <w:rPr>
          <w:lang w:val="en-GB"/>
        </w:rPr>
        <w:t>4.</w:t>
      </w:r>
      <w:r w:rsidRPr="00F07E89">
        <w:rPr>
          <w:lang w:val="en-GB"/>
        </w:rPr>
        <w:tab/>
        <w:t>Taking into account that UN 3536 and SP</w:t>
      </w:r>
      <w:r w:rsidR="003E7B9B" w:rsidRPr="00F07E89">
        <w:rPr>
          <w:lang w:val="en-GB"/>
        </w:rPr>
        <w:t xml:space="preserve"> </w:t>
      </w:r>
      <w:r w:rsidRPr="00F07E89">
        <w:rPr>
          <w:lang w:val="en-GB"/>
        </w:rPr>
        <w:t xml:space="preserve">389 are indeed intended for lithium batteries, that they meet all the requirements of 2.9.4 (a) to (g) and considering the wording </w:t>
      </w:r>
      <w:r w:rsidRPr="00F07E89">
        <w:rPr>
          <w:lang w:val="en-GB"/>
        </w:rPr>
        <w:lastRenderedPageBreak/>
        <w:t>of the first paragraph of 2.9.4, it is not clear why UN 3536 should not be listed among the entries listed there.</w:t>
      </w:r>
    </w:p>
    <w:p w14:paraId="6B51A5D5" w14:textId="77777777" w:rsidR="003F5489" w:rsidRPr="00F07E89" w:rsidRDefault="003F5489" w:rsidP="003F5489">
      <w:pPr>
        <w:pStyle w:val="SingleTxtG"/>
        <w:rPr>
          <w:lang w:val="en-GB"/>
        </w:rPr>
      </w:pPr>
      <w:r w:rsidRPr="00F07E89">
        <w:rPr>
          <w:lang w:val="en-GB"/>
        </w:rPr>
        <w:t>5.</w:t>
      </w:r>
      <w:r w:rsidRPr="00F07E89">
        <w:rPr>
          <w:lang w:val="en-GB"/>
        </w:rPr>
        <w:tab/>
        <w:t>If the experts are of the same opinion, we propose to add the reference to UN 3536 in the first paragraph of 2.9.4.</w:t>
      </w:r>
    </w:p>
    <w:p w14:paraId="3653D41E" w14:textId="77777777" w:rsidR="003F5489" w:rsidRPr="00F07E89" w:rsidRDefault="003F5489" w:rsidP="003F5489">
      <w:pPr>
        <w:pStyle w:val="HChG"/>
        <w:spacing w:before="240"/>
        <w:rPr>
          <w:lang w:val="en-GB"/>
        </w:rPr>
      </w:pPr>
      <w:r w:rsidRPr="00F07E89">
        <w:rPr>
          <w:lang w:val="en-GB"/>
        </w:rPr>
        <w:tab/>
      </w:r>
      <w:r w:rsidRPr="00F07E89">
        <w:rPr>
          <w:lang w:val="en-GB"/>
        </w:rPr>
        <w:tab/>
        <w:t>Proposal</w:t>
      </w:r>
    </w:p>
    <w:p w14:paraId="48FD4090" w14:textId="580B79D9" w:rsidR="003F5489" w:rsidRPr="00F07E89" w:rsidRDefault="003F5489" w:rsidP="003F5489">
      <w:pPr>
        <w:pStyle w:val="SingleTxtG"/>
        <w:rPr>
          <w:lang w:val="en-GB"/>
        </w:rPr>
      </w:pPr>
      <w:r w:rsidRPr="00F07E89">
        <w:rPr>
          <w:lang w:val="en-GB"/>
        </w:rPr>
        <w:t>6.</w:t>
      </w:r>
      <w:r w:rsidRPr="00F07E89">
        <w:rPr>
          <w:lang w:val="en-GB"/>
        </w:rPr>
        <w:tab/>
        <w:t>Amend the text of the first sentence of 2.9.4 as follows (</w:t>
      </w:r>
      <w:r w:rsidR="00593141" w:rsidRPr="00F07E89">
        <w:rPr>
          <w:lang w:val="en-GB"/>
        </w:rPr>
        <w:t>new</w:t>
      </w:r>
      <w:r w:rsidRPr="00F07E89">
        <w:rPr>
          <w:lang w:val="en-GB"/>
        </w:rPr>
        <w:t xml:space="preserve"> text underlined </w:t>
      </w:r>
      <w:r w:rsidR="00593141" w:rsidRPr="00F07E89">
        <w:rPr>
          <w:lang w:val="en-GB"/>
        </w:rPr>
        <w:t xml:space="preserve">is marked </w:t>
      </w:r>
      <w:r w:rsidRPr="00F07E89">
        <w:rPr>
          <w:lang w:val="en-GB"/>
        </w:rPr>
        <w:t xml:space="preserve">in bold, deleted text </w:t>
      </w:r>
      <w:r w:rsidR="00593141" w:rsidRPr="00F07E89">
        <w:rPr>
          <w:lang w:val="en-GB"/>
        </w:rPr>
        <w:t xml:space="preserve">as </w:t>
      </w:r>
      <w:r w:rsidR="00F07E89" w:rsidRPr="00F07E89">
        <w:rPr>
          <w:lang w:val="en-GB"/>
        </w:rPr>
        <w:t>stricken through</w:t>
      </w:r>
      <w:r w:rsidRPr="00F07E89">
        <w:rPr>
          <w:lang w:val="en-GB"/>
        </w:rPr>
        <w:t>):</w:t>
      </w:r>
    </w:p>
    <w:p w14:paraId="36A2C0F6" w14:textId="77777777" w:rsidR="003F5489" w:rsidRPr="00F07E89" w:rsidRDefault="003F5489" w:rsidP="00BC277C">
      <w:pPr>
        <w:pStyle w:val="SingleTxtG"/>
        <w:ind w:left="1701"/>
        <w:rPr>
          <w:lang w:val="en-GB"/>
        </w:rPr>
      </w:pPr>
      <w:r w:rsidRPr="00F07E89">
        <w:rPr>
          <w:lang w:val="en-GB"/>
        </w:rPr>
        <w:t xml:space="preserve">“Cells and batteries, </w:t>
      </w:r>
      <w:r w:rsidRPr="00F07E89">
        <w:rPr>
          <w:b/>
          <w:u w:val="single"/>
          <w:lang w:val="en-GB"/>
        </w:rPr>
        <w:t>cells and batteries installed in cargo transport units,</w:t>
      </w:r>
      <w:r w:rsidRPr="00F07E89">
        <w:rPr>
          <w:lang w:val="en-GB"/>
        </w:rPr>
        <w:t xml:space="preserve"> cells and batteries contained in equipment, or cells and batteries packed with equipment, containing lithium in any form shall be assigned to UN Nos. 3090, 3091, 3480</w:t>
      </w:r>
      <w:r w:rsidRPr="00F07E89">
        <w:rPr>
          <w:b/>
          <w:u w:val="single"/>
          <w:lang w:val="en-GB"/>
        </w:rPr>
        <w:t>,</w:t>
      </w:r>
      <w:r w:rsidRPr="00F07E89">
        <w:rPr>
          <w:lang w:val="en-GB"/>
        </w:rPr>
        <w:t xml:space="preserve"> </w:t>
      </w:r>
      <w:r w:rsidRPr="00F07E89">
        <w:rPr>
          <w:strike/>
          <w:lang w:val="en-GB"/>
        </w:rPr>
        <w:t xml:space="preserve">or </w:t>
      </w:r>
      <w:r w:rsidRPr="00F07E89">
        <w:rPr>
          <w:lang w:val="en-GB"/>
        </w:rPr>
        <w:t xml:space="preserve">3481 </w:t>
      </w:r>
      <w:r w:rsidRPr="00F07E89">
        <w:rPr>
          <w:b/>
          <w:u w:val="single"/>
          <w:lang w:val="en-GB"/>
        </w:rPr>
        <w:t>or 3536</w:t>
      </w:r>
      <w:r w:rsidRPr="00F07E89">
        <w:rPr>
          <w:lang w:val="en-GB"/>
        </w:rPr>
        <w:t xml:space="preserve"> as appropriate. …”.</w:t>
      </w:r>
    </w:p>
    <w:p w14:paraId="1CD15F62" w14:textId="66CAB5DB" w:rsidR="003F5489" w:rsidRPr="00F07E89" w:rsidRDefault="003F5489" w:rsidP="003F5489">
      <w:pPr>
        <w:pStyle w:val="SingleTxtG"/>
        <w:rPr>
          <w:lang w:val="en-GB"/>
        </w:rPr>
      </w:pPr>
      <w:r w:rsidRPr="00F07E89">
        <w:rPr>
          <w:lang w:val="en-GB"/>
        </w:rPr>
        <w:t>7.</w:t>
      </w:r>
      <w:r w:rsidRPr="00F07E89">
        <w:rPr>
          <w:lang w:val="en-GB"/>
        </w:rPr>
        <w:tab/>
        <w:t>Amend the text of the first sentence of 2.9.4 as follows:</w:t>
      </w:r>
    </w:p>
    <w:p w14:paraId="2744E70E" w14:textId="660E1864" w:rsidR="003F5489" w:rsidRPr="00F07E89" w:rsidRDefault="003F5489" w:rsidP="008F3DF2">
      <w:pPr>
        <w:pStyle w:val="SingleTxtG"/>
        <w:ind w:left="1701"/>
        <w:rPr>
          <w:lang w:val="en-GB"/>
        </w:rPr>
      </w:pPr>
      <w:r w:rsidRPr="00F07E89">
        <w:rPr>
          <w:lang w:val="en-GB"/>
        </w:rPr>
        <w:t>« 389</w:t>
      </w:r>
      <w:r w:rsidRPr="00F07E89">
        <w:rPr>
          <w:lang w:val="en-GB"/>
        </w:rPr>
        <w:tab/>
        <w:t xml:space="preserve">This entry only applies to lithium ion batteries or lithium metal batteries installed in a cargo transport unit and designed only to provide power external to the cargo transport unit. The lithium batteries shall meet the requirements of 2.9.4 </w:t>
      </w:r>
      <w:r w:rsidRPr="00F07E89">
        <w:rPr>
          <w:strike/>
          <w:lang w:val="en-GB"/>
        </w:rPr>
        <w:t>(a) to (g)</w:t>
      </w:r>
      <w:r w:rsidRPr="00F07E89">
        <w:rPr>
          <w:lang w:val="en-GB"/>
        </w:rPr>
        <w:t xml:space="preserve"> and contain the necessary systems to prevent overcharge and over discharge between the batteries</w:t>
      </w:r>
      <w:r w:rsidR="007E294F">
        <w:rPr>
          <w:lang w:val="en-GB"/>
        </w:rPr>
        <w:t xml:space="preserve"> </w:t>
      </w:r>
      <w:r w:rsidRPr="00F07E89">
        <w:rPr>
          <w:lang w:val="en-GB"/>
        </w:rPr>
        <w:t>… ».</w:t>
      </w:r>
    </w:p>
    <w:p w14:paraId="3A2BC09D" w14:textId="7354EADD" w:rsidR="008F3DF2" w:rsidRPr="008F3DF2" w:rsidRDefault="008F3DF2" w:rsidP="008F3DF2">
      <w:pPr>
        <w:spacing w:before="240"/>
        <w:jc w:val="center"/>
        <w:rPr>
          <w:u w:val="single"/>
        </w:rPr>
      </w:pPr>
      <w:r>
        <w:rPr>
          <w:u w:val="single"/>
        </w:rPr>
        <w:tab/>
      </w:r>
      <w:r>
        <w:rPr>
          <w:u w:val="single"/>
        </w:rPr>
        <w:tab/>
      </w:r>
      <w:r>
        <w:rPr>
          <w:u w:val="single"/>
        </w:rPr>
        <w:tab/>
      </w:r>
    </w:p>
    <w:sectPr w:rsidR="008F3DF2" w:rsidRPr="008F3DF2"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A642" w14:textId="77777777" w:rsidR="00C86ADB" w:rsidRDefault="00C86ADB"/>
  </w:endnote>
  <w:endnote w:type="continuationSeparator" w:id="0">
    <w:p w14:paraId="338B64D0" w14:textId="77777777" w:rsidR="00C86ADB" w:rsidRDefault="00C86ADB"/>
  </w:endnote>
  <w:endnote w:type="continuationNotice" w:id="1">
    <w:p w14:paraId="000C56DF" w14:textId="77777777" w:rsidR="00C86ADB" w:rsidRDefault="00C86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7336" w14:textId="77777777" w:rsidR="00C86ADB" w:rsidRPr="000B175B" w:rsidRDefault="00C86ADB" w:rsidP="000B175B">
      <w:pPr>
        <w:tabs>
          <w:tab w:val="right" w:pos="2155"/>
        </w:tabs>
        <w:spacing w:after="80"/>
        <w:ind w:left="680"/>
        <w:rPr>
          <w:u w:val="single"/>
        </w:rPr>
      </w:pPr>
      <w:r>
        <w:rPr>
          <w:u w:val="single"/>
        </w:rPr>
        <w:tab/>
      </w:r>
    </w:p>
  </w:footnote>
  <w:footnote w:type="continuationSeparator" w:id="0">
    <w:p w14:paraId="3BA55FB3" w14:textId="77777777" w:rsidR="00C86ADB" w:rsidRPr="00FC68B7" w:rsidRDefault="00C86ADB" w:rsidP="00FC68B7">
      <w:pPr>
        <w:tabs>
          <w:tab w:val="left" w:pos="2155"/>
        </w:tabs>
        <w:spacing w:after="80"/>
        <w:ind w:left="680"/>
        <w:rPr>
          <w:u w:val="single"/>
        </w:rPr>
      </w:pPr>
      <w:r>
        <w:rPr>
          <w:u w:val="single"/>
        </w:rPr>
        <w:tab/>
      </w:r>
    </w:p>
  </w:footnote>
  <w:footnote w:type="continuationNotice" w:id="1">
    <w:p w14:paraId="27F4F683" w14:textId="77777777" w:rsidR="00C86ADB" w:rsidRDefault="00C86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12018FA"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726A23">
      <w:rPr>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1E3A"/>
    <w:rsid w:val="00053492"/>
    <w:rsid w:val="000556F5"/>
    <w:rsid w:val="00055B86"/>
    <w:rsid w:val="0005710C"/>
    <w:rsid w:val="000577F8"/>
    <w:rsid w:val="00057ABF"/>
    <w:rsid w:val="00064402"/>
    <w:rsid w:val="000663B1"/>
    <w:rsid w:val="00067E6D"/>
    <w:rsid w:val="00072C03"/>
    <w:rsid w:val="00072C8C"/>
    <w:rsid w:val="00073129"/>
    <w:rsid w:val="00075F99"/>
    <w:rsid w:val="00076A0A"/>
    <w:rsid w:val="0007744B"/>
    <w:rsid w:val="00082CE1"/>
    <w:rsid w:val="00083598"/>
    <w:rsid w:val="00084632"/>
    <w:rsid w:val="00087152"/>
    <w:rsid w:val="000909AD"/>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848"/>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36D08"/>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5914"/>
    <w:rsid w:val="001A7113"/>
    <w:rsid w:val="001B11B7"/>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855E9"/>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45912"/>
    <w:rsid w:val="003517C3"/>
    <w:rsid w:val="00354595"/>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E7B9B"/>
    <w:rsid w:val="003F23A4"/>
    <w:rsid w:val="003F3A8A"/>
    <w:rsid w:val="003F5489"/>
    <w:rsid w:val="003F54D8"/>
    <w:rsid w:val="003F5B52"/>
    <w:rsid w:val="00400408"/>
    <w:rsid w:val="004021B7"/>
    <w:rsid w:val="00403EC6"/>
    <w:rsid w:val="00406A80"/>
    <w:rsid w:val="00406AC5"/>
    <w:rsid w:val="00406CD4"/>
    <w:rsid w:val="00410600"/>
    <w:rsid w:val="004108CE"/>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D1988"/>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64A2"/>
    <w:rsid w:val="00567DFB"/>
    <w:rsid w:val="00571DAA"/>
    <w:rsid w:val="00572049"/>
    <w:rsid w:val="0058129D"/>
    <w:rsid w:val="00590144"/>
    <w:rsid w:val="005909D1"/>
    <w:rsid w:val="0059131E"/>
    <w:rsid w:val="00593141"/>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7025C0"/>
    <w:rsid w:val="007032D3"/>
    <w:rsid w:val="00707F04"/>
    <w:rsid w:val="00711498"/>
    <w:rsid w:val="00711637"/>
    <w:rsid w:val="0071184D"/>
    <w:rsid w:val="00714F4F"/>
    <w:rsid w:val="0071611E"/>
    <w:rsid w:val="0072632A"/>
    <w:rsid w:val="00726A23"/>
    <w:rsid w:val="00727720"/>
    <w:rsid w:val="00734B63"/>
    <w:rsid w:val="00734F20"/>
    <w:rsid w:val="00736E6A"/>
    <w:rsid w:val="00741F59"/>
    <w:rsid w:val="007427C1"/>
    <w:rsid w:val="0074697D"/>
    <w:rsid w:val="007510F5"/>
    <w:rsid w:val="007539DC"/>
    <w:rsid w:val="00754F09"/>
    <w:rsid w:val="00755EBE"/>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2C7"/>
    <w:rsid w:val="007D5760"/>
    <w:rsid w:val="007D7BC6"/>
    <w:rsid w:val="007E277E"/>
    <w:rsid w:val="007E294F"/>
    <w:rsid w:val="007E4BD3"/>
    <w:rsid w:val="007E5D7C"/>
    <w:rsid w:val="007F10BF"/>
    <w:rsid w:val="007F2A54"/>
    <w:rsid w:val="007F5104"/>
    <w:rsid w:val="007F6611"/>
    <w:rsid w:val="007F67C2"/>
    <w:rsid w:val="00800024"/>
    <w:rsid w:val="008005F7"/>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4347"/>
    <w:rsid w:val="00846809"/>
    <w:rsid w:val="00846900"/>
    <w:rsid w:val="00857789"/>
    <w:rsid w:val="0086107D"/>
    <w:rsid w:val="0086247E"/>
    <w:rsid w:val="00864251"/>
    <w:rsid w:val="00866808"/>
    <w:rsid w:val="00871FD5"/>
    <w:rsid w:val="00872FA8"/>
    <w:rsid w:val="00881213"/>
    <w:rsid w:val="008830CC"/>
    <w:rsid w:val="00885746"/>
    <w:rsid w:val="00886201"/>
    <w:rsid w:val="00892591"/>
    <w:rsid w:val="008979B1"/>
    <w:rsid w:val="008A0B75"/>
    <w:rsid w:val="008A1542"/>
    <w:rsid w:val="008A490A"/>
    <w:rsid w:val="008A6B25"/>
    <w:rsid w:val="008A6C4F"/>
    <w:rsid w:val="008A7679"/>
    <w:rsid w:val="008A7AB3"/>
    <w:rsid w:val="008A7E0F"/>
    <w:rsid w:val="008B65FB"/>
    <w:rsid w:val="008B6FF8"/>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DAE"/>
    <w:rsid w:val="008E2457"/>
    <w:rsid w:val="008E295A"/>
    <w:rsid w:val="008E464A"/>
    <w:rsid w:val="008E49EC"/>
    <w:rsid w:val="008F2101"/>
    <w:rsid w:val="008F2D9A"/>
    <w:rsid w:val="008F3DF2"/>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4F4"/>
    <w:rsid w:val="009547DD"/>
    <w:rsid w:val="00955109"/>
    <w:rsid w:val="0095595D"/>
    <w:rsid w:val="00956AD7"/>
    <w:rsid w:val="0096156F"/>
    <w:rsid w:val="00963B67"/>
    <w:rsid w:val="00963CBA"/>
    <w:rsid w:val="00964682"/>
    <w:rsid w:val="00970059"/>
    <w:rsid w:val="009701ED"/>
    <w:rsid w:val="009710AB"/>
    <w:rsid w:val="00972A01"/>
    <w:rsid w:val="00980BD7"/>
    <w:rsid w:val="009813C8"/>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0CB4"/>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2758F"/>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94ACE"/>
    <w:rsid w:val="00BB02D9"/>
    <w:rsid w:val="00BB176D"/>
    <w:rsid w:val="00BB3B28"/>
    <w:rsid w:val="00BB3CA8"/>
    <w:rsid w:val="00BC277C"/>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2DB"/>
    <w:rsid w:val="00C62F76"/>
    <w:rsid w:val="00C63D9D"/>
    <w:rsid w:val="00C65342"/>
    <w:rsid w:val="00C66D78"/>
    <w:rsid w:val="00C72B97"/>
    <w:rsid w:val="00C737DA"/>
    <w:rsid w:val="00C745C3"/>
    <w:rsid w:val="00C81212"/>
    <w:rsid w:val="00C81FCB"/>
    <w:rsid w:val="00C84FF1"/>
    <w:rsid w:val="00C86ADB"/>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397C"/>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121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12B6"/>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07E89"/>
    <w:rsid w:val="00F1150D"/>
    <w:rsid w:val="00F1200D"/>
    <w:rsid w:val="00F14F86"/>
    <w:rsid w:val="00F164C7"/>
    <w:rsid w:val="00F21A22"/>
    <w:rsid w:val="00F22D71"/>
    <w:rsid w:val="00F257D1"/>
    <w:rsid w:val="00F30A8A"/>
    <w:rsid w:val="00F34267"/>
    <w:rsid w:val="00F3574D"/>
    <w:rsid w:val="00F40295"/>
    <w:rsid w:val="00F40E75"/>
    <w:rsid w:val="00F412D3"/>
    <w:rsid w:val="00F444E3"/>
    <w:rsid w:val="00F45FE5"/>
    <w:rsid w:val="00F5087E"/>
    <w:rsid w:val="00F510D1"/>
    <w:rsid w:val="00F51BAB"/>
    <w:rsid w:val="00F535BE"/>
    <w:rsid w:val="00F54674"/>
    <w:rsid w:val="00F56336"/>
    <w:rsid w:val="00F5743B"/>
    <w:rsid w:val="00F57685"/>
    <w:rsid w:val="00F64C95"/>
    <w:rsid w:val="00F742D7"/>
    <w:rsid w:val="00F75E96"/>
    <w:rsid w:val="00F87B50"/>
    <w:rsid w:val="00F9439A"/>
    <w:rsid w:val="00F95674"/>
    <w:rsid w:val="00FA00A0"/>
    <w:rsid w:val="00FA02CA"/>
    <w:rsid w:val="00FA032F"/>
    <w:rsid w:val="00FA3FB7"/>
    <w:rsid w:val="00FB2CDB"/>
    <w:rsid w:val="00FB415C"/>
    <w:rsid w:val="00FB5A37"/>
    <w:rsid w:val="00FB7793"/>
    <w:rsid w:val="00FC18AA"/>
    <w:rsid w:val="00FC215C"/>
    <w:rsid w:val="00FC3E63"/>
    <w:rsid w:val="00FC6351"/>
    <w:rsid w:val="00FC68B7"/>
    <w:rsid w:val="00FD3C5D"/>
    <w:rsid w:val="00FD3E70"/>
    <w:rsid w:val="00FD6B2B"/>
    <w:rsid w:val="00FE31B8"/>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3F05-222B-4B4D-BC81-E86FC70E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26</TotalTime>
  <Pages>2</Pages>
  <Words>592</Words>
  <Characters>3377</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27</cp:revision>
  <cp:lastPrinted>2020-09-24T07:01:00Z</cp:lastPrinted>
  <dcterms:created xsi:type="dcterms:W3CDTF">2021-06-08T10:14:00Z</dcterms:created>
  <dcterms:modified xsi:type="dcterms:W3CDTF">2021-06-11T07:20:00Z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