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FA0F0E" w14:paraId="733BC40E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30457239" w14:textId="2B3DA0F2" w:rsidR="00717408" w:rsidRPr="00FA0F0E" w:rsidRDefault="00FA63B2" w:rsidP="00D660CB">
            <w:pPr>
              <w:jc w:val="right"/>
              <w:rPr>
                <w:b/>
                <w:sz w:val="40"/>
                <w:szCs w:val="40"/>
              </w:rPr>
            </w:pPr>
            <w:r w:rsidRPr="00FA0F0E">
              <w:rPr>
                <w:b/>
                <w:sz w:val="40"/>
                <w:szCs w:val="40"/>
              </w:rPr>
              <w:t>UN/SCEGHS/</w:t>
            </w:r>
            <w:r w:rsidR="00260117" w:rsidRPr="00FA0F0E">
              <w:rPr>
                <w:b/>
                <w:sz w:val="40"/>
                <w:szCs w:val="40"/>
              </w:rPr>
              <w:t>40</w:t>
            </w:r>
            <w:r w:rsidRPr="00FA0F0E">
              <w:rPr>
                <w:b/>
                <w:sz w:val="40"/>
                <w:szCs w:val="40"/>
              </w:rPr>
              <w:t>/INF.</w:t>
            </w:r>
            <w:r w:rsidR="005210E2">
              <w:rPr>
                <w:b/>
                <w:sz w:val="40"/>
                <w:szCs w:val="40"/>
              </w:rPr>
              <w:t>1</w:t>
            </w:r>
            <w:r w:rsidR="00CE6284">
              <w:rPr>
                <w:b/>
                <w:sz w:val="40"/>
                <w:szCs w:val="40"/>
              </w:rPr>
              <w:t>8</w:t>
            </w:r>
          </w:p>
        </w:tc>
      </w:tr>
      <w:tr w:rsidR="00717408" w14:paraId="50374DD2" w14:textId="77777777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p w14:paraId="56DD34A3" w14:textId="77777777" w:rsidR="00717408" w:rsidRPr="00951EBC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F392C40" w14:textId="31D97637" w:rsidR="00717408" w:rsidRPr="00951EBC" w:rsidRDefault="00FA63B2" w:rsidP="00820224">
            <w:pPr>
              <w:tabs>
                <w:tab w:val="left" w:pos="7938"/>
              </w:tabs>
              <w:spacing w:before="120"/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Pr="00951EBC">
              <w:t xml:space="preserve"> </w:t>
            </w:r>
            <w:r w:rsidR="00717408" w:rsidRPr="00951EBC">
              <w:tab/>
            </w:r>
            <w:r w:rsidR="000A35E5" w:rsidRPr="00764A83">
              <w:rPr>
                <w:b/>
                <w:bCs/>
              </w:rPr>
              <w:t>2</w:t>
            </w:r>
            <w:r w:rsidR="00764A83" w:rsidRPr="00764A83">
              <w:rPr>
                <w:b/>
                <w:bCs/>
              </w:rPr>
              <w:t>9</w:t>
            </w:r>
            <w:r w:rsidR="000A35E5" w:rsidRPr="00764A83">
              <w:rPr>
                <w:b/>
                <w:bCs/>
              </w:rPr>
              <w:t xml:space="preserve"> June</w:t>
            </w:r>
            <w:r w:rsidR="00717408" w:rsidRPr="00764A83">
              <w:rPr>
                <w:b/>
                <w:bCs/>
              </w:rPr>
              <w:t xml:space="preserve"> </w:t>
            </w:r>
            <w:r w:rsidR="009B11B2" w:rsidRPr="00764A83">
              <w:rPr>
                <w:b/>
                <w:bCs/>
              </w:rPr>
              <w:t>2021</w:t>
            </w:r>
          </w:p>
          <w:p w14:paraId="4F6387B0" w14:textId="7266E336" w:rsidR="000B6ACF" w:rsidRDefault="003C425A" w:rsidP="000B6ACF">
            <w:pPr>
              <w:spacing w:before="120"/>
              <w:rPr>
                <w:b/>
              </w:rPr>
            </w:pPr>
            <w:bookmarkStart w:id="0" w:name="_Hlk35441056"/>
            <w:r>
              <w:rPr>
                <w:b/>
              </w:rPr>
              <w:t>Fortieth</w:t>
            </w:r>
            <w:r w:rsidR="000B6ACF">
              <w:rPr>
                <w:b/>
              </w:rPr>
              <w:t xml:space="preserve"> session</w:t>
            </w:r>
          </w:p>
          <w:bookmarkEnd w:id="0"/>
          <w:p w14:paraId="629A7D1E" w14:textId="77777777" w:rsidR="003C425A" w:rsidRPr="009103F3" w:rsidRDefault="003C425A" w:rsidP="003C425A">
            <w:pPr>
              <w:spacing w:before="40"/>
            </w:pPr>
            <w:r w:rsidRPr="009103F3">
              <w:t>Geneva, 5-7 July 2021</w:t>
            </w:r>
          </w:p>
          <w:p w14:paraId="5BBEE255" w14:textId="7131C26C" w:rsidR="003C425A" w:rsidRPr="0030509D" w:rsidRDefault="003C425A" w:rsidP="003C425A">
            <w:pPr>
              <w:spacing w:before="40"/>
            </w:pPr>
            <w:r w:rsidRPr="0030509D">
              <w:t xml:space="preserve">Item </w:t>
            </w:r>
            <w:r w:rsidR="005F22CC">
              <w:t>2</w:t>
            </w:r>
            <w:r w:rsidR="00D718E5">
              <w:t xml:space="preserve"> (</w:t>
            </w:r>
            <w:r w:rsidR="005F22CC">
              <w:t>c</w:t>
            </w:r>
            <w:r w:rsidR="00D718E5">
              <w:t>)</w:t>
            </w:r>
            <w:r w:rsidRPr="0030509D">
              <w:t xml:space="preserve"> of the provisional agenda</w:t>
            </w:r>
          </w:p>
          <w:p w14:paraId="7F67E7DF" w14:textId="4CD5A7A6" w:rsidR="00717408" w:rsidRPr="00AC7597" w:rsidRDefault="00E11ECF" w:rsidP="003C425A">
            <w:pPr>
              <w:spacing w:line="240" w:lineRule="exact"/>
              <w:rPr>
                <w:b/>
                <w:bCs/>
              </w:rPr>
            </w:pPr>
            <w:r w:rsidRPr="005E5074">
              <w:rPr>
                <w:b/>
              </w:rPr>
              <w:t xml:space="preserve">Classification criteria and related hazard communication: </w:t>
            </w:r>
            <w:r w:rsidRPr="005E5074">
              <w:rPr>
                <w:b/>
              </w:rPr>
              <w:br/>
              <w:t>use of non-animal testing methods for classification of health hazards</w:t>
            </w:r>
          </w:p>
        </w:tc>
      </w:tr>
    </w:tbl>
    <w:p w14:paraId="28164E0B" w14:textId="77777777" w:rsidR="00932AAB" w:rsidRPr="004768CC" w:rsidRDefault="00932AAB" w:rsidP="00932AAB">
      <w:pPr>
        <w:pStyle w:val="HChG"/>
        <w:rPr>
          <w:szCs w:val="28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Pr="002D4870">
        <w:rPr>
          <w:szCs w:val="28"/>
        </w:rPr>
        <w:t>Use of non-animal testing methods for classification of health hazards</w:t>
      </w:r>
      <w:r>
        <w:rPr>
          <w:szCs w:val="28"/>
        </w:rPr>
        <w:t xml:space="preserve">: Status report </w:t>
      </w:r>
    </w:p>
    <w:p w14:paraId="7ABCC86B" w14:textId="77777777" w:rsidR="00932AAB" w:rsidRDefault="00932AAB" w:rsidP="0064644C">
      <w:pPr>
        <w:pStyle w:val="H1G"/>
      </w:pPr>
      <w:r>
        <w:tab/>
      </w:r>
      <w:r>
        <w:tab/>
      </w:r>
      <w:r w:rsidRPr="00AE4DC1">
        <w:t xml:space="preserve">Transmitted by </w:t>
      </w:r>
      <w:r w:rsidRPr="00AE4DC1">
        <w:rPr>
          <w:lang w:eastAsia="ja-JP"/>
        </w:rPr>
        <w:t>the expert</w:t>
      </w:r>
      <w:r>
        <w:rPr>
          <w:lang w:eastAsia="ja-JP"/>
        </w:rPr>
        <w:t>s</w:t>
      </w:r>
      <w:r w:rsidRPr="00AE4DC1">
        <w:rPr>
          <w:lang w:eastAsia="ja-JP"/>
        </w:rPr>
        <w:t xml:space="preserve"> </w:t>
      </w:r>
      <w:r w:rsidRPr="00AE4DC1">
        <w:t xml:space="preserve">from the United </w:t>
      </w:r>
      <w:r w:rsidRPr="0064644C">
        <w:t>Kingdom</w:t>
      </w:r>
      <w:r>
        <w:t xml:space="preserve"> and the Netherlands</w:t>
      </w:r>
      <w:r w:rsidRPr="00AE4DC1">
        <w:t xml:space="preserve"> </w:t>
      </w:r>
      <w:r w:rsidRPr="00AE4DC1">
        <w:rPr>
          <w:lang w:eastAsia="de-DE"/>
        </w:rPr>
        <w:t xml:space="preserve">on behalf of the informal </w:t>
      </w:r>
      <w:r>
        <w:rPr>
          <w:lang w:eastAsia="de-DE"/>
        </w:rPr>
        <w:t>working</w:t>
      </w:r>
      <w:r w:rsidRPr="00AE4DC1">
        <w:rPr>
          <w:lang w:eastAsia="de-DE"/>
        </w:rPr>
        <w:t xml:space="preserve"> </w:t>
      </w:r>
      <w:r w:rsidRPr="0097163C">
        <w:t>group</w:t>
      </w:r>
    </w:p>
    <w:p w14:paraId="3761BB90" w14:textId="77777777" w:rsidR="00932AAB" w:rsidRDefault="00932AAB" w:rsidP="00932AAB">
      <w:pPr>
        <w:pStyle w:val="HChG"/>
      </w:pPr>
      <w:r>
        <w:tab/>
      </w:r>
      <w:r>
        <w:tab/>
        <w:t>Introduction</w:t>
      </w:r>
    </w:p>
    <w:p w14:paraId="3B65658B" w14:textId="77777777" w:rsidR="00932AAB" w:rsidRDefault="00932AAB" w:rsidP="00932AAB">
      <w:pPr>
        <w:pStyle w:val="SingleTxtG"/>
        <w:tabs>
          <w:tab w:val="left" w:pos="1701"/>
        </w:tabs>
        <w:ind w:right="849"/>
      </w:pPr>
      <w:r>
        <w:t>1.</w:t>
      </w:r>
      <w:r>
        <w:tab/>
        <w:t xml:space="preserve">This informal document provides an update on the work performed by the Informal Working Group </w:t>
      </w:r>
      <w:r>
        <w:rPr>
          <w:szCs w:val="24"/>
          <w:lang w:eastAsia="de-DE"/>
        </w:rPr>
        <w:t xml:space="preserve">on “Use of non-animal testing methods for classification of health hazards” </w:t>
      </w:r>
      <w:r>
        <w:t>since the last update provided to the Sub-Committee at the thirty-nineth session in December 2020.</w:t>
      </w:r>
    </w:p>
    <w:p w14:paraId="3BF5645B" w14:textId="3CADEDAC" w:rsidR="00932AAB" w:rsidRDefault="00932AAB" w:rsidP="0064644C">
      <w:pPr>
        <w:pStyle w:val="HChG"/>
        <w:rPr>
          <w:highlight w:val="lightGray"/>
        </w:rPr>
      </w:pPr>
      <w:r>
        <w:tab/>
      </w:r>
      <w:r w:rsidR="0064644C">
        <w:tab/>
      </w:r>
      <w:r>
        <w:t>Background</w:t>
      </w:r>
    </w:p>
    <w:p w14:paraId="5017CF40" w14:textId="77777777" w:rsidR="00932AAB" w:rsidRDefault="00932AAB" w:rsidP="00932AAB">
      <w:pPr>
        <w:pStyle w:val="SingleTxtG"/>
        <w:tabs>
          <w:tab w:val="left" w:pos="1701"/>
        </w:tabs>
        <w:ind w:right="849"/>
      </w:pPr>
      <w:r w:rsidRPr="0010697D">
        <w:rPr>
          <w:bCs/>
          <w:color w:val="000000"/>
          <w:spacing w:val="-4"/>
        </w:rPr>
        <w:t>2.</w:t>
      </w:r>
      <w:r w:rsidRPr="0010697D">
        <w:rPr>
          <w:bCs/>
          <w:color w:val="000000"/>
          <w:spacing w:val="-4"/>
        </w:rPr>
        <w:tab/>
      </w:r>
      <w:r>
        <w:t>At the thirty-ninth session,</w:t>
      </w:r>
      <w:r w:rsidRPr="00087DCD">
        <w:t xml:space="preserve"> </w:t>
      </w:r>
      <w:r>
        <w:t>t</w:t>
      </w:r>
      <w:r w:rsidRPr="00087DCD">
        <w:t xml:space="preserve">he Sub-Committee agreed to keep the work on the use of non-animal testing methods for classification of health </w:t>
      </w:r>
      <w:r>
        <w:t xml:space="preserve">and environmental </w:t>
      </w:r>
      <w:r w:rsidRPr="00087DCD">
        <w:t>hazard</w:t>
      </w:r>
      <w:r>
        <w:t xml:space="preserve"> classe</w:t>
      </w:r>
      <w:r w:rsidRPr="00087DCD">
        <w:t>s on its programme of work for the 20</w:t>
      </w:r>
      <w:r>
        <w:t>20</w:t>
      </w:r>
      <w:r w:rsidRPr="00087DCD">
        <w:t>-202</w:t>
      </w:r>
      <w:r>
        <w:t>1</w:t>
      </w:r>
      <w:r w:rsidRPr="00087DCD">
        <w:t xml:space="preserve"> biennium</w:t>
      </w:r>
      <w:r w:rsidRPr="002C5734">
        <w:t xml:space="preserve"> </w:t>
      </w:r>
      <w:r>
        <w:t xml:space="preserve">and </w:t>
      </w:r>
      <w:r w:rsidRPr="00FB126D">
        <w:t xml:space="preserve">agreed with the proposal </w:t>
      </w:r>
      <w:r>
        <w:t xml:space="preserve">for the group to continue the </w:t>
      </w:r>
      <w:r w:rsidRPr="00FB126D">
        <w:t xml:space="preserve">review </w:t>
      </w:r>
      <w:r>
        <w:t xml:space="preserve">of </w:t>
      </w:r>
      <w:r w:rsidRPr="00FB126D">
        <w:t>Chapter 3.3 on serious eye damage and eye irritation</w:t>
      </w:r>
      <w:r>
        <w:t xml:space="preserve"> with the aim of concluding the work early </w:t>
      </w:r>
      <w:r w:rsidRPr="00FB126D">
        <w:t xml:space="preserve">in </w:t>
      </w:r>
      <w:r>
        <w:t xml:space="preserve">the </w:t>
      </w:r>
      <w:r w:rsidRPr="00FB126D">
        <w:t>20</w:t>
      </w:r>
      <w:r>
        <w:t>21</w:t>
      </w:r>
      <w:r w:rsidRPr="00FB126D">
        <w:t>/202</w:t>
      </w:r>
      <w:r>
        <w:t>2 biennium, prior to commencing their work on Chapter 3.4 in relation to skin sensitization.</w:t>
      </w:r>
      <w:r>
        <w:rPr>
          <w:rStyle w:val="FootnoteReference"/>
        </w:rPr>
        <w:footnoteReference w:id="2"/>
      </w:r>
      <w:r w:rsidRPr="00087DCD">
        <w:t xml:space="preserve">  </w:t>
      </w:r>
    </w:p>
    <w:p w14:paraId="3C769C12" w14:textId="77777777" w:rsidR="00932AAB" w:rsidRDefault="00932AAB" w:rsidP="00932AAB">
      <w:pPr>
        <w:pStyle w:val="SingleTxtG"/>
        <w:tabs>
          <w:tab w:val="left" w:pos="1701"/>
        </w:tabs>
        <w:ind w:right="849"/>
      </w:pPr>
      <w:r>
        <w:t>3.</w:t>
      </w:r>
      <w:r>
        <w:tab/>
        <w:t>The Sub-Committee also agreed to revise the terms of reference for the informal working group</w:t>
      </w:r>
      <w:r>
        <w:rPr>
          <w:rStyle w:val="FootnoteReference"/>
        </w:rPr>
        <w:footnoteReference w:id="3"/>
      </w:r>
      <w:r>
        <w:t xml:space="preserve"> that had originally been approved at the thirty-first session,</w:t>
      </w:r>
      <w:r>
        <w:rPr>
          <w:rStyle w:val="FootnoteReference"/>
        </w:rPr>
        <w:footnoteReference w:id="4"/>
      </w:r>
      <w:r>
        <w:t xml:space="preserve"> to enable the group to identify certain types of corrections or improvements during the review of the GHS chapters to integrate non animal test methods.</w:t>
      </w:r>
    </w:p>
    <w:p w14:paraId="2D4E45DE" w14:textId="77777777" w:rsidR="00932AAB" w:rsidRDefault="00932AAB" w:rsidP="00932AAB">
      <w:pPr>
        <w:pStyle w:val="SingleTxtG"/>
        <w:tabs>
          <w:tab w:val="left" w:pos="1701"/>
        </w:tabs>
        <w:ind w:right="849"/>
      </w:pPr>
      <w:r>
        <w:t>4</w:t>
      </w:r>
      <w:r w:rsidRPr="00FD6FD0">
        <w:t>.</w:t>
      </w:r>
      <w:r w:rsidRPr="00FD6FD0">
        <w:tab/>
        <w:t xml:space="preserve">The </w:t>
      </w:r>
      <w:r>
        <w:t>informal w</w:t>
      </w:r>
      <w:r w:rsidRPr="00FD6FD0">
        <w:t xml:space="preserve">orking </w:t>
      </w:r>
      <w:r>
        <w:t>g</w:t>
      </w:r>
      <w:r w:rsidRPr="00FD6FD0">
        <w:t xml:space="preserve">roup presently has approximately </w:t>
      </w:r>
      <w:r>
        <w:t>6</w:t>
      </w:r>
      <w:r w:rsidRPr="00FD6FD0">
        <w:t xml:space="preserve">0 members, reflecting the importance of, and interest in, this work. Its membership includes experts with specialised knowledge of test methods and their application to classification, and experts on </w:t>
      </w:r>
      <w:r>
        <w:t>n</w:t>
      </w:r>
      <w:r w:rsidRPr="00FD6FD0">
        <w:t xml:space="preserve">ational legislation that implements GHS. Discussions are often lively and detailed, but overall are propelled by a strong desire to make progress on the </w:t>
      </w:r>
      <w:r>
        <w:t>informal w</w:t>
      </w:r>
      <w:r w:rsidRPr="00FD6FD0">
        <w:t xml:space="preserve">orking </w:t>
      </w:r>
      <w:r>
        <w:t>g</w:t>
      </w:r>
      <w:r w:rsidRPr="00FD6FD0">
        <w:t>roup’s mandate and ensure that non-animal test methods are consistently incorporated in the GHS in a way that reflects their growing importance and scientific relevance, whilst recognising their limitations.</w:t>
      </w:r>
    </w:p>
    <w:p w14:paraId="2EDB1BA2" w14:textId="77777777" w:rsidR="00932AAB" w:rsidRDefault="00932AAB" w:rsidP="00932AAB">
      <w:pPr>
        <w:pStyle w:val="HChG"/>
      </w:pPr>
      <w:r>
        <w:lastRenderedPageBreak/>
        <w:tab/>
      </w:r>
      <w:r>
        <w:tab/>
        <w:t xml:space="preserve">Status report </w:t>
      </w:r>
    </w:p>
    <w:p w14:paraId="26BFE25B" w14:textId="77777777" w:rsidR="00932AAB" w:rsidRDefault="00932AAB" w:rsidP="00932AAB">
      <w:pPr>
        <w:pStyle w:val="SingleTxtG"/>
        <w:tabs>
          <w:tab w:val="left" w:pos="1701"/>
        </w:tabs>
      </w:pPr>
      <w:r>
        <w:t xml:space="preserve">5. </w:t>
      </w:r>
      <w:r>
        <w:tab/>
        <w:t>Since the last update to the GHS Sub-Committee in December 2021, the informal working group has continued to work hard on finalising the discussions on the revision of Chapter 3.3 at three webinar meetings (14 January 2021; 18 February 2021; and 23 March 2021), the outcome of which are the formal proposals presented to the Sub-Committee at this session in:</w:t>
      </w:r>
    </w:p>
    <w:p w14:paraId="2A5B81FF" w14:textId="77777777" w:rsidR="00932AAB" w:rsidRPr="00551BE4" w:rsidRDefault="00932AAB" w:rsidP="0064644C">
      <w:pPr>
        <w:pStyle w:val="Bullet1G"/>
      </w:pPr>
      <w:r w:rsidRPr="00551BE4">
        <w:rPr>
          <w:b/>
        </w:rPr>
        <w:fldChar w:fldCharType="begin"/>
      </w:r>
      <w:r w:rsidRPr="00551BE4">
        <w:rPr>
          <w:b/>
        </w:rPr>
        <w:instrText xml:space="preserve"> TITLE  \* MERGEFORMAT </w:instrText>
      </w:r>
      <w:r w:rsidRPr="00551BE4">
        <w:rPr>
          <w:b/>
        </w:rPr>
        <w:fldChar w:fldCharType="separate"/>
      </w:r>
      <w:r w:rsidRPr="00551BE4">
        <w:rPr>
          <w:b/>
        </w:rPr>
        <w:t>ST/SG/AC.10/C.4/2021/4</w:t>
      </w:r>
      <w:r w:rsidRPr="00551BE4">
        <w:rPr>
          <w:b/>
        </w:rPr>
        <w:fldChar w:fldCharType="end"/>
      </w:r>
      <w:r w:rsidRPr="00F03656">
        <w:rPr>
          <w:rFonts w:eastAsia="MS Mincho"/>
          <w:bCs/>
          <w:lang w:val="en-US" w:eastAsia="ja-JP"/>
        </w:rPr>
        <w:t xml:space="preserve"> and </w:t>
      </w:r>
      <w:r w:rsidRPr="00551BE4">
        <w:rPr>
          <w:b/>
        </w:rPr>
        <w:t>UN/SCEGHS/40/INF.3</w:t>
      </w:r>
      <w:r w:rsidRPr="00A24BBA">
        <w:rPr>
          <w:rFonts w:eastAsia="MS Mincho"/>
          <w:lang w:val="en-US" w:eastAsia="ja-JP"/>
        </w:rPr>
        <w:t xml:space="preserve"> ‘</w:t>
      </w:r>
      <w:r w:rsidRPr="00C16A4F">
        <w:rPr>
          <w:rFonts w:eastAsia="MS Mincho"/>
          <w:lang w:val="en-US" w:eastAsia="ja-JP"/>
        </w:rPr>
        <w:t>Revision of Chapter 3.3 to fully</w:t>
      </w:r>
      <w:r w:rsidRPr="00C16A4F" w:rsidDel="00DA6B99">
        <w:rPr>
          <w:rFonts w:eastAsia="MS Mincho"/>
          <w:lang w:val="en-US" w:eastAsia="ja-JP"/>
        </w:rPr>
        <w:t xml:space="preserve"> </w:t>
      </w:r>
      <w:r w:rsidRPr="00C16A4F">
        <w:rPr>
          <w:rFonts w:eastAsia="MS Mincho"/>
          <w:lang w:val="en-US" w:eastAsia="ja-JP"/>
        </w:rPr>
        <w:t>incorporate non-animal test methods</w:t>
      </w:r>
      <w:r>
        <w:rPr>
          <w:rFonts w:eastAsia="MS Mincho"/>
          <w:lang w:val="en-US" w:eastAsia="ja-JP"/>
        </w:rPr>
        <w:t>’</w:t>
      </w:r>
    </w:p>
    <w:p w14:paraId="1396CB50" w14:textId="77777777" w:rsidR="00932AAB" w:rsidRPr="00551BE4" w:rsidRDefault="00932AAB" w:rsidP="0064644C">
      <w:pPr>
        <w:pStyle w:val="Bullet1G"/>
      </w:pPr>
      <w:r w:rsidRPr="003F7A5F">
        <w:rPr>
          <w:b/>
        </w:rPr>
        <w:fldChar w:fldCharType="begin"/>
      </w:r>
      <w:r w:rsidRPr="00551BE4">
        <w:rPr>
          <w:b/>
        </w:rPr>
        <w:instrText xml:space="preserve"> TITLE  \* MERGEFORMAT </w:instrText>
      </w:r>
      <w:r w:rsidRPr="003F7A5F">
        <w:rPr>
          <w:b/>
        </w:rPr>
        <w:fldChar w:fldCharType="separate"/>
      </w:r>
      <w:r w:rsidRPr="003F7A5F">
        <w:rPr>
          <w:b/>
        </w:rPr>
        <w:t>ST/SG/AC.10/C.4/2021/</w:t>
      </w:r>
      <w:r w:rsidRPr="003F7A5F">
        <w:rPr>
          <w:b/>
        </w:rPr>
        <w:fldChar w:fldCharType="end"/>
      </w:r>
      <w:r w:rsidRPr="00551BE4">
        <w:rPr>
          <w:b/>
        </w:rPr>
        <w:t>5</w:t>
      </w:r>
      <w:r>
        <w:t xml:space="preserve"> </w:t>
      </w:r>
      <w:r w:rsidRPr="00F03656">
        <w:rPr>
          <w:rFonts w:eastAsia="MS Mincho"/>
          <w:bCs/>
          <w:lang w:val="en-US" w:eastAsia="ja-JP"/>
        </w:rPr>
        <w:t xml:space="preserve">and </w:t>
      </w:r>
      <w:r w:rsidRPr="00551BE4">
        <w:rPr>
          <w:b/>
        </w:rPr>
        <w:t>UN/SCEGHS/40/INF.4</w:t>
      </w:r>
      <w:r>
        <w:t xml:space="preserve"> ‘</w:t>
      </w:r>
      <w:r w:rsidRPr="008D21C4">
        <w:t>Consequential amendments to Chapters 1.2 and 3.2 due to the revision of GHS Chapter 3.3 to fully</w:t>
      </w:r>
      <w:r w:rsidRPr="008D21C4" w:rsidDel="00DA6B99">
        <w:t xml:space="preserve"> </w:t>
      </w:r>
      <w:r w:rsidRPr="008D21C4">
        <w:t>incorporate non-animal test methods</w:t>
      </w:r>
      <w:r>
        <w:t>’</w:t>
      </w:r>
    </w:p>
    <w:p w14:paraId="1B026DF8" w14:textId="77777777" w:rsidR="00932AAB" w:rsidRPr="00094BCA" w:rsidRDefault="00932AAB" w:rsidP="00932AAB">
      <w:pPr>
        <w:pStyle w:val="SingleTxtG"/>
        <w:tabs>
          <w:tab w:val="left" w:pos="1701"/>
        </w:tabs>
        <w:rPr>
          <w:color w:val="000000" w:themeColor="text1"/>
          <w:lang w:val="en-US"/>
        </w:rPr>
      </w:pPr>
      <w:r>
        <w:t>6.</w:t>
      </w:r>
      <w:r>
        <w:tab/>
        <w:t xml:space="preserve">On </w:t>
      </w:r>
      <w:r w:rsidRPr="00F2554B">
        <w:t>11 May 2021</w:t>
      </w:r>
      <w:r w:rsidRPr="005928A7">
        <w:t xml:space="preserve">, the group held </w:t>
      </w:r>
      <w:r>
        <w:t>another</w:t>
      </w:r>
      <w:r w:rsidRPr="005928A7">
        <w:t xml:space="preserve"> </w:t>
      </w:r>
      <w:r w:rsidRPr="00F2554B">
        <w:t>virtual meeting</w:t>
      </w:r>
      <w:r>
        <w:t xml:space="preserve"> where</w:t>
      </w:r>
      <w:r w:rsidRPr="00D34379">
        <w:t xml:space="preserve"> the group considered </w:t>
      </w:r>
      <w:r w:rsidRPr="00D34379">
        <w:rPr>
          <w:color w:val="000000" w:themeColor="text1"/>
          <w:lang w:val="en-US"/>
        </w:rPr>
        <w:t xml:space="preserve">lessons learned from the review of Chapter 3.3, ways of working with other informal working groups and discussed a </w:t>
      </w:r>
      <w:r>
        <w:rPr>
          <w:color w:val="000000" w:themeColor="text1"/>
          <w:lang w:val="en-US"/>
        </w:rPr>
        <w:t xml:space="preserve">detailed </w:t>
      </w:r>
      <w:r w:rsidRPr="00094BCA">
        <w:rPr>
          <w:color w:val="000000" w:themeColor="text1"/>
          <w:lang w:val="en-US"/>
        </w:rPr>
        <w:t xml:space="preserve">scoping document on the </w:t>
      </w:r>
      <w:r>
        <w:rPr>
          <w:color w:val="000000" w:themeColor="text1"/>
          <w:lang w:val="en-US"/>
        </w:rPr>
        <w:t xml:space="preserve">proposed </w:t>
      </w:r>
      <w:r w:rsidRPr="00094BCA">
        <w:rPr>
          <w:color w:val="000000" w:themeColor="text1"/>
          <w:lang w:val="en-US"/>
        </w:rPr>
        <w:t>work for Chapter 3.4</w:t>
      </w:r>
      <w:r>
        <w:rPr>
          <w:color w:val="000000" w:themeColor="text1"/>
          <w:lang w:val="en-US"/>
        </w:rPr>
        <w:t>,</w:t>
      </w:r>
      <w:r w:rsidRPr="00094BCA">
        <w:rPr>
          <w:color w:val="000000" w:themeColor="text1"/>
          <w:lang w:val="en-US"/>
        </w:rPr>
        <w:t xml:space="preserve"> that had been prepared by the </w:t>
      </w:r>
      <w:r w:rsidRPr="00094BCA">
        <w:t xml:space="preserve">Joint </w:t>
      </w:r>
      <w:r>
        <w:t>R</w:t>
      </w:r>
      <w:r w:rsidRPr="00094BCA">
        <w:t xml:space="preserve">esearch Centre. </w:t>
      </w:r>
    </w:p>
    <w:p w14:paraId="47417585" w14:textId="77777777" w:rsidR="00932AAB" w:rsidRDefault="00932AAB" w:rsidP="00932AAB">
      <w:pPr>
        <w:pStyle w:val="SingleTxtG"/>
        <w:tabs>
          <w:tab w:val="left" w:pos="1701"/>
        </w:tabs>
      </w:pPr>
      <w:r>
        <w:t>7.</w:t>
      </w:r>
      <w:r>
        <w:tab/>
        <w:t>The group noted at the meeting that a</w:t>
      </w:r>
      <w:r w:rsidRPr="00E321E8">
        <w:t xml:space="preserve">lthough </w:t>
      </w:r>
      <w:r w:rsidRPr="00B67CA6">
        <w:t>respiratory sensitizers</w:t>
      </w:r>
      <w:r w:rsidRPr="00C65817">
        <w:t xml:space="preserve"> </w:t>
      </w:r>
      <w:r>
        <w:t>are included in</w:t>
      </w:r>
      <w:r w:rsidRPr="00E321E8">
        <w:t xml:space="preserve"> Chapter 3.4</w:t>
      </w:r>
      <w:r w:rsidRPr="00B67CA6">
        <w:t xml:space="preserve">, </w:t>
      </w:r>
      <w:r>
        <w:t>as this</w:t>
      </w:r>
      <w:r w:rsidRPr="00EE2D77">
        <w:t xml:space="preserve"> hazard class</w:t>
      </w:r>
      <w:r>
        <w:t xml:space="preserve"> is </w:t>
      </w:r>
      <w:r w:rsidRPr="00EE2D77">
        <w:t xml:space="preserve">not </w:t>
      </w:r>
      <w:r>
        <w:t xml:space="preserve">currently </w:t>
      </w:r>
      <w:r w:rsidRPr="00EE2D77">
        <w:t>on the 2021/2022 workplan</w:t>
      </w:r>
      <w:r>
        <w:t xml:space="preserve"> it was agreed that prior to commencing any work on </w:t>
      </w:r>
      <w:r w:rsidRPr="00B67CA6">
        <w:t>respiratory sensitizers</w:t>
      </w:r>
      <w:r>
        <w:t xml:space="preserve"> agreement for this work would first need to be sought from the Sub-Committee. However, following further discussion at the May meeting the group also considered that there may be other hazard classes that could have a higher priority to review and the group undertook to further explore what these may be prior to providing a proposal for consideration to the Sub-Committee to amend the groups workplan. </w:t>
      </w:r>
    </w:p>
    <w:p w14:paraId="35465286" w14:textId="77777777" w:rsidR="00932AAB" w:rsidRDefault="00932AAB" w:rsidP="00932AAB">
      <w:pPr>
        <w:pStyle w:val="HChG"/>
        <w:ind w:firstLine="0"/>
        <w:rPr>
          <w:lang w:val="en-AU"/>
        </w:rPr>
      </w:pPr>
      <w:r>
        <w:rPr>
          <w:lang w:val="en-AU"/>
        </w:rPr>
        <w:t>On-going work</w:t>
      </w:r>
    </w:p>
    <w:p w14:paraId="65D8A509" w14:textId="77777777" w:rsidR="00932AAB" w:rsidRPr="00EE2D77" w:rsidRDefault="00932AAB" w:rsidP="00932AAB">
      <w:pPr>
        <w:pStyle w:val="SingleTxtG"/>
        <w:tabs>
          <w:tab w:val="left" w:pos="1701"/>
        </w:tabs>
      </w:pPr>
      <w:r>
        <w:t>8.</w:t>
      </w:r>
      <w:r>
        <w:tab/>
        <w:t xml:space="preserve">The work on reviewing the skin sensitization hazard class in Chapter 3.4 for the inclusion of </w:t>
      </w:r>
      <w:r>
        <w:rPr>
          <w:szCs w:val="24"/>
          <w:lang w:eastAsia="de-DE"/>
        </w:rPr>
        <w:t>non-animal testing methods</w:t>
      </w:r>
      <w:r>
        <w:t xml:space="preserve"> has commenced and will focus initially on discussing a list of issues for this hazard class before commencing any work to redraft the chapter</w:t>
      </w:r>
      <w:r w:rsidRPr="00864F36">
        <w:t xml:space="preserve"> </w:t>
      </w:r>
      <w:r>
        <w:t>for skin sensitizers.</w:t>
      </w:r>
    </w:p>
    <w:p w14:paraId="4340399D" w14:textId="77777777" w:rsidR="00932AAB" w:rsidRDefault="00932AAB" w:rsidP="00932AAB">
      <w:pPr>
        <w:pStyle w:val="SingleTxtG"/>
        <w:tabs>
          <w:tab w:val="left" w:pos="1701"/>
        </w:tabs>
      </w:pPr>
      <w:r>
        <w:t>9.</w:t>
      </w:r>
      <w:r>
        <w:tab/>
        <w:t>Another virtual meeting is planned for 1 July 2021, where the group plans to further discuss the Chapter 3.4 scoping document and continue developing</w:t>
      </w:r>
      <w:r w:rsidRPr="00096752">
        <w:t xml:space="preserve"> </w:t>
      </w:r>
      <w:r>
        <w:t>the list of issues to be resolved on skin sensitization hazard class.</w:t>
      </w:r>
    </w:p>
    <w:p w14:paraId="11EF12BB" w14:textId="77777777" w:rsidR="00932AAB" w:rsidRDefault="00932AAB" w:rsidP="00932AAB">
      <w:pPr>
        <w:pStyle w:val="SingleTxtG"/>
        <w:tabs>
          <w:tab w:val="left" w:pos="1701"/>
        </w:tabs>
      </w:pPr>
      <w:r>
        <w:t>10.</w:t>
      </w:r>
      <w:r>
        <w:tab/>
        <w:t xml:space="preserve">The Sub-Committee is invited to note the progress of the revision of Chapter 3.4 for the skin sensitization hazard class as provided in this informal document. </w:t>
      </w:r>
    </w:p>
    <w:p w14:paraId="63113A2D" w14:textId="78A862EA" w:rsidR="00CE6284" w:rsidRPr="0064644C" w:rsidRDefault="0064644C" w:rsidP="0064644C">
      <w:pPr>
        <w:spacing w:before="240"/>
        <w:jc w:val="center"/>
        <w:rPr>
          <w:rStyle w:val="SingleTxtGCar"/>
          <w:u w:val="single"/>
        </w:rPr>
      </w:pPr>
      <w:r>
        <w:rPr>
          <w:rStyle w:val="SingleTxtGCar"/>
          <w:u w:val="single"/>
        </w:rPr>
        <w:tab/>
      </w:r>
      <w:r>
        <w:rPr>
          <w:rStyle w:val="SingleTxtGCar"/>
          <w:u w:val="single"/>
        </w:rPr>
        <w:tab/>
      </w:r>
      <w:r>
        <w:rPr>
          <w:rStyle w:val="SingleTxtGCar"/>
          <w:u w:val="single"/>
        </w:rPr>
        <w:tab/>
      </w:r>
    </w:p>
    <w:sectPr w:rsidR="00CE6284" w:rsidRPr="0064644C" w:rsidSect="00C96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881B6" w14:textId="77777777" w:rsidR="00613BFE" w:rsidRDefault="00613BFE" w:rsidP="00760F29">
      <w:pPr>
        <w:spacing w:line="240" w:lineRule="auto"/>
      </w:pPr>
      <w:r>
        <w:separator/>
      </w:r>
    </w:p>
  </w:endnote>
  <w:endnote w:type="continuationSeparator" w:id="0">
    <w:p w14:paraId="0423DBB8" w14:textId="77777777" w:rsidR="00613BFE" w:rsidRDefault="00613BFE" w:rsidP="00760F29">
      <w:pPr>
        <w:spacing w:line="240" w:lineRule="auto"/>
      </w:pPr>
      <w:r>
        <w:continuationSeparator/>
      </w:r>
    </w:p>
  </w:endnote>
  <w:endnote w:type="continuationNotice" w:id="1">
    <w:p w14:paraId="126D0B86" w14:textId="77777777" w:rsidR="00613BFE" w:rsidRDefault="00613B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7750" w14:textId="77777777" w:rsidR="0076675C" w:rsidRPr="000216CC" w:rsidRDefault="00A31103" w:rsidP="0076675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20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66A1" w14:textId="77777777" w:rsidR="0076675C" w:rsidRPr="000216CC" w:rsidRDefault="00A31103" w:rsidP="0076675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21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52942" w14:textId="010C5935" w:rsidR="0076675C" w:rsidRPr="00952862" w:rsidRDefault="0076675C">
    <w:pPr>
      <w:pStyle w:val="Footer"/>
      <w:rPr>
        <w:b/>
        <w:bCs/>
      </w:rPr>
    </w:pPr>
  </w:p>
  <w:p w14:paraId="2D4C9FAC" w14:textId="77777777" w:rsidR="0076675C" w:rsidRDefault="0076675C" w:rsidP="0076675C">
    <w:pPr>
      <w:pStyle w:val="Footer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96054" w14:textId="77777777" w:rsidR="00613BFE" w:rsidRDefault="00613BFE" w:rsidP="00760F29">
      <w:pPr>
        <w:spacing w:line="240" w:lineRule="auto"/>
      </w:pPr>
      <w:r>
        <w:separator/>
      </w:r>
    </w:p>
  </w:footnote>
  <w:footnote w:type="continuationSeparator" w:id="0">
    <w:p w14:paraId="229A2985" w14:textId="77777777" w:rsidR="00613BFE" w:rsidRDefault="00613BFE" w:rsidP="00760F29">
      <w:pPr>
        <w:spacing w:line="240" w:lineRule="auto"/>
      </w:pPr>
      <w:r>
        <w:continuationSeparator/>
      </w:r>
    </w:p>
  </w:footnote>
  <w:footnote w:type="continuationNotice" w:id="1">
    <w:p w14:paraId="60044DE0" w14:textId="77777777" w:rsidR="00613BFE" w:rsidRDefault="00613BFE">
      <w:pPr>
        <w:spacing w:line="240" w:lineRule="auto"/>
      </w:pPr>
    </w:p>
  </w:footnote>
  <w:footnote w:id="2">
    <w:p w14:paraId="1BAE497B" w14:textId="77777777" w:rsidR="00932AAB" w:rsidRDefault="00932AAB" w:rsidP="00932AAB">
      <w:pPr>
        <w:pStyle w:val="FootnoteText"/>
        <w:tabs>
          <w:tab w:val="clear" w:pos="1021"/>
          <w:tab w:val="righ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  <w:t>see ST/SG/AC.10/C.4/78</w:t>
      </w:r>
    </w:p>
  </w:footnote>
  <w:footnote w:id="3">
    <w:p w14:paraId="0845BA58" w14:textId="77777777" w:rsidR="00932AAB" w:rsidRDefault="00932AAB" w:rsidP="00932AAB">
      <w:pPr>
        <w:pStyle w:val="FootnoteText"/>
        <w:tabs>
          <w:tab w:val="clear" w:pos="1021"/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  <w:t xml:space="preserve">see ST/SG/AC.10/C.4/78 and informal document </w:t>
      </w:r>
      <w:r w:rsidRPr="00C74E96">
        <w:rPr>
          <w:bCs/>
          <w:szCs w:val="18"/>
        </w:rPr>
        <w:t>INF</w:t>
      </w:r>
      <w:r>
        <w:t>.26 (39</w:t>
      </w:r>
      <w:r w:rsidRPr="00E427C5">
        <w:rPr>
          <w:vertAlign w:val="superscript"/>
        </w:rPr>
        <w:t>th</w:t>
      </w:r>
      <w:r>
        <w:t xml:space="preserve"> session).</w:t>
      </w:r>
    </w:p>
  </w:footnote>
  <w:footnote w:id="4">
    <w:p w14:paraId="760A8075" w14:textId="77777777" w:rsidR="00932AAB" w:rsidRDefault="00932AAB" w:rsidP="00932AAB">
      <w:pPr>
        <w:pStyle w:val="FootnoteText"/>
        <w:tabs>
          <w:tab w:val="clear" w:pos="1021"/>
          <w:tab w:val="righ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  <w:t xml:space="preserve">see ST/SG/AC.10/C.4/62 and informal document </w:t>
      </w:r>
      <w:r w:rsidRPr="00C74E96">
        <w:rPr>
          <w:bCs/>
          <w:szCs w:val="18"/>
        </w:rPr>
        <w:t>INF</w:t>
      </w:r>
      <w:r>
        <w:t>.27/Rev 2 (31</w:t>
      </w:r>
      <w:r w:rsidRPr="003D3707">
        <w:rPr>
          <w:vertAlign w:val="superscript"/>
        </w:rPr>
        <w:t>st</w:t>
      </w:r>
      <w:r>
        <w:t xml:space="preserve"> session).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18ADA" w14:textId="49665F5E" w:rsidR="0076675C" w:rsidRPr="001E5919" w:rsidRDefault="00A31103" w:rsidP="0076675C">
    <w:pPr>
      <w:pStyle w:val="Header"/>
      <w:rPr>
        <w:lang w:val="fr-FR"/>
      </w:rPr>
    </w:pPr>
    <w:r>
      <w:rPr>
        <w:lang w:val="fr-FR"/>
      </w:rPr>
      <w:t>UN/SCEGHS/40/INF.</w:t>
    </w:r>
    <w:r w:rsidR="00015F9B">
      <w:rPr>
        <w:lang w:val="fr-FR"/>
      </w:rPr>
      <w:t>1</w:t>
    </w:r>
    <w:r w:rsidR="0064644C">
      <w:rPr>
        <w:lang w:val="fr-FR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1E6B" w14:textId="57C3E9FB" w:rsidR="0076675C" w:rsidRPr="001E5919" w:rsidRDefault="00A31103" w:rsidP="0076675C">
    <w:pPr>
      <w:pStyle w:val="Header"/>
      <w:jc w:val="right"/>
      <w:rPr>
        <w:lang w:val="fr-FR"/>
      </w:rPr>
    </w:pPr>
    <w:r>
      <w:rPr>
        <w:lang w:val="fr-FR"/>
      </w:rPr>
      <w:t>UN/SCEGHS/40/INF.</w:t>
    </w:r>
    <w:r w:rsidR="00513EED">
      <w:rPr>
        <w:lang w:val="fr-FR"/>
      </w:rPr>
      <w:t>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B383" w14:textId="30154839" w:rsidR="0076675C" w:rsidRPr="00C969C0" w:rsidRDefault="0076675C" w:rsidP="00C969C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8ADF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26D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9CE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B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09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CC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F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0E1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C7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0C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F0AF6"/>
    <w:multiLevelType w:val="hybridMultilevel"/>
    <w:tmpl w:val="5522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7D2774F"/>
    <w:multiLevelType w:val="hybridMultilevel"/>
    <w:tmpl w:val="D9D6A028"/>
    <w:lvl w:ilvl="0" w:tplc="911A2DBC">
      <w:start w:val="1"/>
      <w:numFmt w:val="decimal"/>
      <w:lvlText w:val="%1."/>
      <w:lvlJc w:val="left"/>
      <w:pPr>
        <w:ind w:left="2010" w:hanging="57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1A093E"/>
    <w:multiLevelType w:val="hybridMultilevel"/>
    <w:tmpl w:val="7EC49F1C"/>
    <w:lvl w:ilvl="0" w:tplc="77EE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DB063DE"/>
    <w:multiLevelType w:val="hybridMultilevel"/>
    <w:tmpl w:val="854C24D4"/>
    <w:lvl w:ilvl="0" w:tplc="7BBA1212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55662"/>
    <w:multiLevelType w:val="hybridMultilevel"/>
    <w:tmpl w:val="6EFC11B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21"/>
  </w:num>
  <w:num w:numId="5">
    <w:abstractNumId w:val="17"/>
  </w:num>
  <w:num w:numId="6">
    <w:abstractNumId w:val="16"/>
  </w:num>
  <w:num w:numId="7">
    <w:abstractNumId w:val="12"/>
  </w:num>
  <w:num w:numId="8">
    <w:abstractNumId w:val="20"/>
  </w:num>
  <w:num w:numId="9">
    <w:abstractNumId w:val="15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4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08"/>
    <w:rsid w:val="00010BDD"/>
    <w:rsid w:val="00015F9B"/>
    <w:rsid w:val="000214BC"/>
    <w:rsid w:val="0003079A"/>
    <w:rsid w:val="00040DE3"/>
    <w:rsid w:val="0006039D"/>
    <w:rsid w:val="00067399"/>
    <w:rsid w:val="00067AF0"/>
    <w:rsid w:val="00092F68"/>
    <w:rsid w:val="0009425C"/>
    <w:rsid w:val="00094C7F"/>
    <w:rsid w:val="000A35E5"/>
    <w:rsid w:val="000B6ACF"/>
    <w:rsid w:val="000C5F34"/>
    <w:rsid w:val="000E1E26"/>
    <w:rsid w:val="001506E7"/>
    <w:rsid w:val="001720A7"/>
    <w:rsid w:val="001851B2"/>
    <w:rsid w:val="001B057F"/>
    <w:rsid w:val="001C5FE4"/>
    <w:rsid w:val="001F19BA"/>
    <w:rsid w:val="002006B8"/>
    <w:rsid w:val="00223F9F"/>
    <w:rsid w:val="00225747"/>
    <w:rsid w:val="00226CEA"/>
    <w:rsid w:val="00235889"/>
    <w:rsid w:val="00236385"/>
    <w:rsid w:val="0024310D"/>
    <w:rsid w:val="00260117"/>
    <w:rsid w:val="00275729"/>
    <w:rsid w:val="00276B4C"/>
    <w:rsid w:val="00280ED1"/>
    <w:rsid w:val="0028150B"/>
    <w:rsid w:val="002A01A8"/>
    <w:rsid w:val="002B02C4"/>
    <w:rsid w:val="002B4FB4"/>
    <w:rsid w:val="002F7C78"/>
    <w:rsid w:val="0030509D"/>
    <w:rsid w:val="00313097"/>
    <w:rsid w:val="00330944"/>
    <w:rsid w:val="00340588"/>
    <w:rsid w:val="00371089"/>
    <w:rsid w:val="003A228D"/>
    <w:rsid w:val="003A2720"/>
    <w:rsid w:val="003A2A96"/>
    <w:rsid w:val="003A3245"/>
    <w:rsid w:val="003B2653"/>
    <w:rsid w:val="003C10B9"/>
    <w:rsid w:val="003C425A"/>
    <w:rsid w:val="003C4B75"/>
    <w:rsid w:val="003E64B9"/>
    <w:rsid w:val="0040625C"/>
    <w:rsid w:val="00406A6B"/>
    <w:rsid w:val="00416769"/>
    <w:rsid w:val="00440F59"/>
    <w:rsid w:val="00451105"/>
    <w:rsid w:val="00462A16"/>
    <w:rsid w:val="004957C8"/>
    <w:rsid w:val="004B5A77"/>
    <w:rsid w:val="004C135A"/>
    <w:rsid w:val="004D3744"/>
    <w:rsid w:val="004E0CC0"/>
    <w:rsid w:val="004E7435"/>
    <w:rsid w:val="00507FDD"/>
    <w:rsid w:val="00513EED"/>
    <w:rsid w:val="005210E2"/>
    <w:rsid w:val="00522D72"/>
    <w:rsid w:val="00561E93"/>
    <w:rsid w:val="005632F6"/>
    <w:rsid w:val="00574027"/>
    <w:rsid w:val="005746FD"/>
    <w:rsid w:val="00592369"/>
    <w:rsid w:val="005C0B65"/>
    <w:rsid w:val="005E79BB"/>
    <w:rsid w:val="005F22CC"/>
    <w:rsid w:val="005F7AE9"/>
    <w:rsid w:val="0061276A"/>
    <w:rsid w:val="00613BFE"/>
    <w:rsid w:val="0062268F"/>
    <w:rsid w:val="0062617C"/>
    <w:rsid w:val="00630265"/>
    <w:rsid w:val="00633F54"/>
    <w:rsid w:val="0064644C"/>
    <w:rsid w:val="00661DE9"/>
    <w:rsid w:val="00686B73"/>
    <w:rsid w:val="006A2C7D"/>
    <w:rsid w:val="006D3E76"/>
    <w:rsid w:val="006E0172"/>
    <w:rsid w:val="00705D5B"/>
    <w:rsid w:val="00717408"/>
    <w:rsid w:val="007552E9"/>
    <w:rsid w:val="00760F29"/>
    <w:rsid w:val="00764A83"/>
    <w:rsid w:val="0076675C"/>
    <w:rsid w:val="00787CA8"/>
    <w:rsid w:val="007A5031"/>
    <w:rsid w:val="007C1E4D"/>
    <w:rsid w:val="007C61DB"/>
    <w:rsid w:val="007D6912"/>
    <w:rsid w:val="007F1D3F"/>
    <w:rsid w:val="00820224"/>
    <w:rsid w:val="00822F3B"/>
    <w:rsid w:val="0085283D"/>
    <w:rsid w:val="00862DAD"/>
    <w:rsid w:val="00880A9D"/>
    <w:rsid w:val="008E0BFF"/>
    <w:rsid w:val="00901873"/>
    <w:rsid w:val="00930F93"/>
    <w:rsid w:val="00932AAB"/>
    <w:rsid w:val="00935F35"/>
    <w:rsid w:val="0094551F"/>
    <w:rsid w:val="009855D0"/>
    <w:rsid w:val="009B11B2"/>
    <w:rsid w:val="009B7C35"/>
    <w:rsid w:val="009C6587"/>
    <w:rsid w:val="009D759F"/>
    <w:rsid w:val="009E1F11"/>
    <w:rsid w:val="009E245E"/>
    <w:rsid w:val="009E42E4"/>
    <w:rsid w:val="00A31103"/>
    <w:rsid w:val="00A45838"/>
    <w:rsid w:val="00A55BFD"/>
    <w:rsid w:val="00A57ACB"/>
    <w:rsid w:val="00A72105"/>
    <w:rsid w:val="00A83A4A"/>
    <w:rsid w:val="00A85FC4"/>
    <w:rsid w:val="00A91B52"/>
    <w:rsid w:val="00AA3D2B"/>
    <w:rsid w:val="00AC54EC"/>
    <w:rsid w:val="00AC7597"/>
    <w:rsid w:val="00AE0560"/>
    <w:rsid w:val="00AF56C8"/>
    <w:rsid w:val="00AF779F"/>
    <w:rsid w:val="00B21C0B"/>
    <w:rsid w:val="00B56E76"/>
    <w:rsid w:val="00B64854"/>
    <w:rsid w:val="00B77E3D"/>
    <w:rsid w:val="00B85035"/>
    <w:rsid w:val="00BB4D43"/>
    <w:rsid w:val="00BF0E50"/>
    <w:rsid w:val="00C13576"/>
    <w:rsid w:val="00C13F89"/>
    <w:rsid w:val="00C5116F"/>
    <w:rsid w:val="00C5390E"/>
    <w:rsid w:val="00C55D07"/>
    <w:rsid w:val="00C55F0A"/>
    <w:rsid w:val="00C60AE5"/>
    <w:rsid w:val="00C64CCA"/>
    <w:rsid w:val="00C65283"/>
    <w:rsid w:val="00C846BC"/>
    <w:rsid w:val="00C90E4D"/>
    <w:rsid w:val="00C969C0"/>
    <w:rsid w:val="00CA28D8"/>
    <w:rsid w:val="00CA5128"/>
    <w:rsid w:val="00CA7831"/>
    <w:rsid w:val="00CE031D"/>
    <w:rsid w:val="00CE5143"/>
    <w:rsid w:val="00CE6284"/>
    <w:rsid w:val="00CF5E7D"/>
    <w:rsid w:val="00D660CB"/>
    <w:rsid w:val="00D670CE"/>
    <w:rsid w:val="00D718E5"/>
    <w:rsid w:val="00D767FB"/>
    <w:rsid w:val="00D841B8"/>
    <w:rsid w:val="00D918AD"/>
    <w:rsid w:val="00DA6169"/>
    <w:rsid w:val="00DB521F"/>
    <w:rsid w:val="00DD396E"/>
    <w:rsid w:val="00DE37D5"/>
    <w:rsid w:val="00E002DD"/>
    <w:rsid w:val="00E11ECF"/>
    <w:rsid w:val="00E15AE8"/>
    <w:rsid w:val="00E1727E"/>
    <w:rsid w:val="00E26063"/>
    <w:rsid w:val="00E319C2"/>
    <w:rsid w:val="00E449C3"/>
    <w:rsid w:val="00E67F2E"/>
    <w:rsid w:val="00E76A5B"/>
    <w:rsid w:val="00E86FBA"/>
    <w:rsid w:val="00E93287"/>
    <w:rsid w:val="00E97BCE"/>
    <w:rsid w:val="00EA3F81"/>
    <w:rsid w:val="00EA5B52"/>
    <w:rsid w:val="00EB1291"/>
    <w:rsid w:val="00F01DF9"/>
    <w:rsid w:val="00F22714"/>
    <w:rsid w:val="00F27F2C"/>
    <w:rsid w:val="00F414FF"/>
    <w:rsid w:val="00F41B6B"/>
    <w:rsid w:val="00F717DC"/>
    <w:rsid w:val="00F84D75"/>
    <w:rsid w:val="00F85DE2"/>
    <w:rsid w:val="00FA0F0E"/>
    <w:rsid w:val="00FA63B2"/>
    <w:rsid w:val="00FB0354"/>
    <w:rsid w:val="00FB0F9F"/>
    <w:rsid w:val="00FE179E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DCCC7"/>
  <w15:docId w15:val="{D311CA43-17F3-4F92-B5EC-3995351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GHS Chapter Heading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aliases w:val="GHS Chapter Heading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uiPriority w:val="39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97BCE"/>
    <w:rPr>
      <w:rFonts w:eastAsia="Times New Roman"/>
      <w:b/>
      <w:sz w:val="24"/>
      <w:lang w:eastAsia="en-US"/>
    </w:rPr>
  </w:style>
  <w:style w:type="paragraph" w:customStyle="1" w:styleId="Default">
    <w:name w:val="Default"/>
    <w:rsid w:val="00276B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v-SE" w:eastAsia="sv-SE"/>
    </w:rPr>
  </w:style>
  <w:style w:type="paragraph" w:customStyle="1" w:styleId="GHSHeading4">
    <w:name w:val="GHSHeading4"/>
    <w:basedOn w:val="Normal"/>
    <w:uiPriority w:val="99"/>
    <w:rsid w:val="00276B4C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uiPriority w:val="99"/>
    <w:rsid w:val="00276B4C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276B4C"/>
    <w:pPr>
      <w:suppressAutoHyphens w:val="0"/>
      <w:spacing w:line="240" w:lineRule="auto"/>
    </w:pPr>
    <w:rPr>
      <w:sz w:val="22"/>
      <w:szCs w:val="24"/>
    </w:rPr>
  </w:style>
  <w:style w:type="paragraph" w:customStyle="1" w:styleId="Num-DocParagraph">
    <w:name w:val="Num-Doc Paragraph"/>
    <w:basedOn w:val="BodyText"/>
    <w:uiPriority w:val="99"/>
    <w:rsid w:val="00276B4C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paragraph" w:customStyle="1" w:styleId="GHSHeading3">
    <w:name w:val="GHSHeading3"/>
    <w:basedOn w:val="Heading3"/>
    <w:uiPriority w:val="99"/>
    <w:rsid w:val="00276B4C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BodyText">
    <w:name w:val="GHSBody Text"/>
    <w:basedOn w:val="BodyText"/>
    <w:link w:val="GHSBodyTextChar"/>
    <w:rsid w:val="00276B4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276B4C"/>
    <w:rPr>
      <w:rFonts w:eastAsia="Times New Roman"/>
      <w:sz w:val="22"/>
      <w:lang w:eastAsia="en-US"/>
    </w:rPr>
  </w:style>
  <w:style w:type="paragraph" w:customStyle="1" w:styleId="StyleGHSHeading410pt">
    <w:name w:val="Style GHSHeading4 + 10 pt"/>
    <w:basedOn w:val="GHSHeading4"/>
    <w:uiPriority w:val="99"/>
    <w:rsid w:val="00276B4C"/>
    <w:pPr>
      <w:spacing w:after="240"/>
    </w:pPr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76B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6B4C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76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B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76B4C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B4C"/>
    <w:rPr>
      <w:rFonts w:eastAsia="Times New Roman"/>
      <w:b/>
      <w:bCs/>
      <w:lang w:eastAsia="en-US"/>
    </w:rPr>
  </w:style>
  <w:style w:type="character" w:customStyle="1" w:styleId="SingleTxtGCar">
    <w:name w:val="_ Single Txt_G Car"/>
    <w:rsid w:val="0024310D"/>
    <w:rPr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5390E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390E"/>
    <w:pPr>
      <w:suppressAutoHyphens w:val="0"/>
      <w:spacing w:line="240" w:lineRule="auto"/>
    </w:pPr>
    <w:rPr>
      <w:rFonts w:ascii="Arial" w:hAnsi="Arial" w:cs="Arial"/>
      <w:b/>
      <w:bCs/>
      <w:sz w:val="22"/>
      <w:szCs w:val="24"/>
    </w:rPr>
  </w:style>
  <w:style w:type="paragraph" w:customStyle="1" w:styleId="StyleGHSHeading410ptAuto">
    <w:name w:val="Style GHSHeading4 + 10 pt Auto"/>
    <w:basedOn w:val="GHSHeading4"/>
    <w:uiPriority w:val="99"/>
    <w:rsid w:val="00C5390E"/>
    <w:pPr>
      <w:spacing w:after="240"/>
    </w:pPr>
    <w:rPr>
      <w:color w:val="auto"/>
      <w:sz w:val="20"/>
    </w:rPr>
  </w:style>
  <w:style w:type="character" w:customStyle="1" w:styleId="Funotenzeichen2">
    <w:name w:val="Fußnotenzeichen2"/>
    <w:rsid w:val="00C539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32F6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SingleTxtGChar1">
    <w:name w:val="_ Single Txt_G Char1"/>
    <w:locked/>
    <w:rsid w:val="00880A9D"/>
    <w:rPr>
      <w:rFonts w:eastAsia="Times New Roman"/>
    </w:rPr>
  </w:style>
  <w:style w:type="paragraph" w:styleId="ListNumber5">
    <w:name w:val="List Number 5"/>
    <w:basedOn w:val="Normal"/>
    <w:rsid w:val="00C55D07"/>
    <w:pPr>
      <w:tabs>
        <w:tab w:val="num" w:pos="1492"/>
      </w:tabs>
      <w:ind w:left="149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4247-6F58-4884-B2FF-26F6269CB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BB150-6975-4088-9F31-83C3C5F7E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D41E92-F2C9-42EA-B322-36B382856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E0C9AA-0BA1-4856-AAE8-6A78EF36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Garcia-Couto</dc:creator>
  <cp:keywords/>
  <cp:lastModifiedBy>Rosa Garcia Couto</cp:lastModifiedBy>
  <cp:revision>8</cp:revision>
  <dcterms:created xsi:type="dcterms:W3CDTF">2021-06-29T08:18:00Z</dcterms:created>
  <dcterms:modified xsi:type="dcterms:W3CDTF">2021-06-29T09:13:00Z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7926000</vt:r8>
  </property>
</Properties>
</file>