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70172EAE" w:rsidR="00717408" w:rsidRPr="00FA0F0E" w:rsidRDefault="00FA63B2" w:rsidP="00D660CB">
            <w:pPr>
              <w:jc w:val="right"/>
              <w:rPr>
                <w:b/>
                <w:sz w:val="40"/>
                <w:szCs w:val="40"/>
              </w:rPr>
            </w:pPr>
            <w:r w:rsidRPr="00FA0F0E">
              <w:rPr>
                <w:b/>
                <w:sz w:val="40"/>
                <w:szCs w:val="40"/>
              </w:rPr>
              <w:t>UN/SCEGHS/</w:t>
            </w:r>
            <w:r w:rsidR="00260117" w:rsidRPr="00FA0F0E">
              <w:rPr>
                <w:b/>
                <w:sz w:val="40"/>
                <w:szCs w:val="40"/>
              </w:rPr>
              <w:t>40</w:t>
            </w:r>
            <w:r w:rsidRPr="00FA0F0E">
              <w:rPr>
                <w:b/>
                <w:sz w:val="40"/>
                <w:szCs w:val="40"/>
              </w:rPr>
              <w:t>/INF.</w:t>
            </w:r>
            <w:r w:rsidR="005210E2">
              <w:rPr>
                <w:b/>
                <w:sz w:val="40"/>
                <w:szCs w:val="40"/>
              </w:rPr>
              <w:t>1</w:t>
            </w:r>
            <w:r w:rsidR="00356671">
              <w:rPr>
                <w:b/>
                <w:sz w:val="40"/>
                <w:szCs w:val="40"/>
              </w:rPr>
              <w:t>7</w:t>
            </w:r>
          </w:p>
        </w:tc>
      </w:tr>
      <w:tr w:rsidR="00717408" w14:paraId="50374DD2" w14:textId="77777777" w:rsidTr="000E0076">
        <w:trPr>
          <w:cantSplit/>
          <w:trHeight w:hRule="exact" w:val="3413"/>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566E9968" w:rsidR="00717408" w:rsidRPr="00951EBC" w:rsidRDefault="00FA63B2" w:rsidP="00820224">
            <w:pPr>
              <w:tabs>
                <w:tab w:val="left" w:pos="7938"/>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0A35E5" w:rsidRPr="00930EFE">
              <w:rPr>
                <w:b/>
                <w:bCs/>
              </w:rPr>
              <w:t>2</w:t>
            </w:r>
            <w:r w:rsidR="0019497C" w:rsidRPr="00930EFE">
              <w:rPr>
                <w:b/>
                <w:bCs/>
              </w:rPr>
              <w:t>9</w:t>
            </w:r>
            <w:r w:rsidR="000A35E5" w:rsidRPr="00930EFE">
              <w:rPr>
                <w:b/>
                <w:bCs/>
              </w:rPr>
              <w:t xml:space="preserve"> June</w:t>
            </w:r>
            <w:r w:rsidR="00717408" w:rsidRPr="00930EFE">
              <w:rPr>
                <w:b/>
                <w:bCs/>
              </w:rPr>
              <w:t xml:space="preserve"> </w:t>
            </w:r>
            <w:r w:rsidR="009B11B2" w:rsidRPr="00930EFE">
              <w:rPr>
                <w:b/>
                <w:bCs/>
              </w:rPr>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77777777" w:rsidR="003C425A" w:rsidRPr="009103F3" w:rsidRDefault="003C425A" w:rsidP="003C425A">
            <w:pPr>
              <w:spacing w:before="40"/>
            </w:pPr>
            <w:r w:rsidRPr="009103F3">
              <w:t>Geneva, 5-7 July 2021</w:t>
            </w:r>
          </w:p>
          <w:p w14:paraId="5BBEE255" w14:textId="52513E5C" w:rsidR="003C425A" w:rsidRPr="0030509D" w:rsidRDefault="003C425A" w:rsidP="003C425A">
            <w:pPr>
              <w:spacing w:before="40"/>
            </w:pPr>
            <w:r w:rsidRPr="0030509D">
              <w:t xml:space="preserve">Item </w:t>
            </w:r>
            <w:r w:rsidR="001F1518">
              <w:t>2</w:t>
            </w:r>
            <w:r w:rsidR="00D718E5">
              <w:t xml:space="preserve"> (</w:t>
            </w:r>
            <w:r w:rsidR="001F1518">
              <w:t>h</w:t>
            </w:r>
            <w:r w:rsidR="00D718E5">
              <w:t>)</w:t>
            </w:r>
            <w:r w:rsidRPr="0030509D">
              <w:t xml:space="preserve"> of the provisional agenda</w:t>
            </w:r>
          </w:p>
          <w:p w14:paraId="0B2B2D67" w14:textId="77777777" w:rsidR="000E0076" w:rsidRDefault="000E0076" w:rsidP="000E0076">
            <w:pPr>
              <w:rPr>
                <w:b/>
                <w:bCs/>
              </w:rPr>
            </w:pPr>
            <w:r>
              <w:rPr>
                <w:b/>
                <w:bCs/>
              </w:rPr>
              <w:t>Work on the Globally Harmonized System (GHS):</w:t>
            </w:r>
            <w:r>
              <w:rPr>
                <w:b/>
                <w:bCs/>
              </w:rPr>
              <w:br/>
              <w:t>improvement of annexes 1 to 3 and further</w:t>
            </w:r>
            <w:r>
              <w:rPr>
                <w:b/>
                <w:bCs/>
              </w:rPr>
              <w:br/>
              <w:t>rationalization of precautionary statements</w:t>
            </w:r>
          </w:p>
          <w:p w14:paraId="7F67E7DF" w14:textId="719C1053" w:rsidR="00717408" w:rsidRPr="00AC7597" w:rsidRDefault="00717408" w:rsidP="003C425A">
            <w:pPr>
              <w:spacing w:line="240" w:lineRule="exact"/>
              <w:rPr>
                <w:b/>
                <w:bCs/>
              </w:rPr>
            </w:pPr>
          </w:p>
        </w:tc>
      </w:tr>
    </w:tbl>
    <w:p w14:paraId="36731E66" w14:textId="449F4A3F" w:rsidR="0019497C" w:rsidRDefault="0019497C" w:rsidP="00356671">
      <w:pPr>
        <w:pStyle w:val="HChG"/>
        <w:keepNext w:val="0"/>
        <w:keepLines w:val="0"/>
        <w:spacing w:before="120" w:after="120"/>
      </w:pPr>
      <w:r>
        <w:tab/>
      </w:r>
      <w:r>
        <w:tab/>
      </w:r>
      <w:r w:rsidRPr="0019497C">
        <w:t>Status</w:t>
      </w:r>
      <w:r>
        <w:t xml:space="preserve"> of the work of the Annex 1-3 informal working group </w:t>
      </w:r>
    </w:p>
    <w:p w14:paraId="79620093" w14:textId="77777777" w:rsidR="0019497C" w:rsidRDefault="0019497C" w:rsidP="00356671">
      <w:pPr>
        <w:pStyle w:val="H1G"/>
        <w:keepNext w:val="0"/>
        <w:keepLines w:val="0"/>
        <w:ind w:right="850"/>
        <w:rPr>
          <w:rFonts w:eastAsia="MS Mincho"/>
        </w:rPr>
      </w:pPr>
      <w:r>
        <w:rPr>
          <w:rFonts w:eastAsia="MS Mincho"/>
        </w:rPr>
        <w:tab/>
      </w:r>
      <w:r>
        <w:rPr>
          <w:rFonts w:eastAsia="MS Mincho"/>
        </w:rPr>
        <w:tab/>
      </w:r>
      <w:r>
        <w:t xml:space="preserve">Transmitted by the expert from United Kingdom </w:t>
      </w:r>
      <w:r>
        <w:rPr>
          <w:szCs w:val="24"/>
          <w:lang w:eastAsia="de-DE"/>
        </w:rPr>
        <w:t>on behalf of the informal working group</w:t>
      </w:r>
    </w:p>
    <w:p w14:paraId="436819D7" w14:textId="71D6CE67" w:rsidR="001F1518" w:rsidRDefault="0019497C" w:rsidP="00356671">
      <w:pPr>
        <w:pStyle w:val="HChG"/>
        <w:keepNext w:val="0"/>
        <w:keepLines w:val="0"/>
        <w:spacing w:before="240" w:after="120"/>
        <w:rPr>
          <w:rStyle w:val="SingleTxtGCar"/>
          <w:u w:val="single"/>
        </w:rPr>
      </w:pPr>
      <w:r>
        <w:tab/>
      </w:r>
      <w:r>
        <w:tab/>
        <w:t>Introduction</w:t>
      </w:r>
    </w:p>
    <w:p w14:paraId="2CE3B5E3" w14:textId="77777777" w:rsidR="007F7563" w:rsidRDefault="007F7563" w:rsidP="00356671">
      <w:pPr>
        <w:pStyle w:val="SingleTxtG"/>
        <w:tabs>
          <w:tab w:val="left" w:pos="1701"/>
        </w:tabs>
      </w:pPr>
      <w:r>
        <w:t>1.</w:t>
      </w:r>
      <w:r>
        <w:tab/>
        <w:t xml:space="preserve">This informal paper provides an update on the work undertaken by </w:t>
      </w:r>
      <w:r w:rsidRPr="007F7563">
        <w:t>the</w:t>
      </w:r>
      <w:r>
        <w:t xml:space="preserve"> informal working group </w:t>
      </w:r>
      <w:r>
        <w:rPr>
          <w:szCs w:val="24"/>
          <w:lang w:eastAsia="de-DE"/>
        </w:rPr>
        <w:t xml:space="preserve">on the revision of Annexes 1-3 </w:t>
      </w:r>
      <w:r>
        <w:t>since the thirty-ninth session of the Sub-Committee.</w:t>
      </w:r>
    </w:p>
    <w:p w14:paraId="36C590C5" w14:textId="77777777" w:rsidR="007F7563" w:rsidRDefault="007F7563" w:rsidP="00356671">
      <w:pPr>
        <w:pStyle w:val="HChG"/>
        <w:keepNext w:val="0"/>
        <w:keepLines w:val="0"/>
        <w:spacing w:before="240" w:after="120"/>
      </w:pPr>
      <w:r>
        <w:tab/>
      </w:r>
      <w:r>
        <w:tab/>
        <w:t>Background</w:t>
      </w:r>
    </w:p>
    <w:p w14:paraId="544F9E19" w14:textId="77777777" w:rsidR="007F7563" w:rsidRDefault="007F7563" w:rsidP="00356671">
      <w:pPr>
        <w:pStyle w:val="SingleTxtG"/>
        <w:tabs>
          <w:tab w:val="left" w:pos="1701"/>
        </w:tabs>
      </w:pPr>
      <w:r>
        <w:rPr>
          <w:bCs/>
          <w:color w:val="000000"/>
          <w:spacing w:val="-4"/>
        </w:rPr>
        <w:t>2.</w:t>
      </w:r>
      <w:r>
        <w:rPr>
          <w:bCs/>
          <w:color w:val="000000"/>
          <w:spacing w:val="-4"/>
        </w:rPr>
        <w:tab/>
      </w:r>
      <w:r>
        <w:t>At the thirty-ninth session, the Sub-Committee agreed the group’s programme of work for the 2021-2022 biennium</w:t>
      </w:r>
      <w:r>
        <w:rPr>
          <w:rStyle w:val="FootnoteReference"/>
        </w:rPr>
        <w:footnoteReference w:id="1"/>
      </w:r>
      <w:r>
        <w:t xml:space="preserve"> and were also provided with an update on the progress of the working group since the previous session</w:t>
      </w:r>
      <w:r>
        <w:rPr>
          <w:rStyle w:val="FootnoteReference"/>
        </w:rPr>
        <w:footnoteReference w:id="2"/>
      </w:r>
      <w:r>
        <w:t xml:space="preserve">. </w:t>
      </w:r>
    </w:p>
    <w:p w14:paraId="0D70F855" w14:textId="77777777" w:rsidR="007F7563" w:rsidRDefault="007F7563" w:rsidP="00356671">
      <w:pPr>
        <w:pStyle w:val="HChG"/>
        <w:keepNext w:val="0"/>
        <w:keepLines w:val="0"/>
        <w:spacing w:before="240" w:after="120"/>
      </w:pPr>
      <w:r>
        <w:tab/>
      </w:r>
      <w:r>
        <w:tab/>
        <w:t xml:space="preserve">Status report </w:t>
      </w:r>
    </w:p>
    <w:p w14:paraId="41F380C9" w14:textId="77777777" w:rsidR="007F7563" w:rsidRDefault="007F7563" w:rsidP="00356671">
      <w:pPr>
        <w:pStyle w:val="SingleTxtG"/>
        <w:tabs>
          <w:tab w:val="left" w:pos="1701"/>
        </w:tabs>
        <w:rPr>
          <w:sz w:val="24"/>
          <w:szCs w:val="24"/>
          <w:lang w:eastAsia="zh-CN"/>
        </w:rPr>
      </w:pPr>
      <w:r>
        <w:t>3.</w:t>
      </w:r>
      <w:r>
        <w:tab/>
        <w:t>Since the last meeting of the Sub-Committee, the working group has actively taken forward, via correspondence, several items on its work programme. The outcomes include the following working documents submitted by the United Kingdom on behalf of the working group for consideration by the Sub-Committee at its fortieth session in July 2021</w:t>
      </w:r>
      <w:r>
        <w:rPr>
          <w:sz w:val="24"/>
          <w:szCs w:val="24"/>
          <w:lang w:eastAsia="zh-CN"/>
        </w:rPr>
        <w:t xml:space="preserve"> </w:t>
      </w:r>
    </w:p>
    <w:p w14:paraId="0C7042FE" w14:textId="64BB18CB" w:rsidR="001F1518" w:rsidRDefault="00DD3C4A" w:rsidP="00356671">
      <w:pPr>
        <w:pStyle w:val="Bullet1G"/>
        <w:rPr>
          <w:rStyle w:val="SingleTxtGCar"/>
          <w:u w:val="single"/>
        </w:rPr>
      </w:pPr>
      <w:r>
        <w:rPr>
          <w:b/>
          <w:bCs/>
        </w:rPr>
        <w:t>ST/SG/AC.10/C.4/2021/1</w:t>
      </w:r>
      <w:r>
        <w:t xml:space="preserve"> – </w:t>
      </w:r>
      <w:r>
        <w:rPr>
          <w:rFonts w:eastAsia="MS Mincho"/>
          <w:lang w:val="en-US" w:eastAsia="ja-JP"/>
        </w:rPr>
        <w:t>“</w:t>
      </w:r>
      <w:r>
        <w:t>Combination statement amendments to sections 1, 2 and 3 of Annex 3</w:t>
      </w:r>
      <w:r>
        <w:rPr>
          <w:rFonts w:eastAsia="MS Mincho"/>
          <w:lang w:val="en-US" w:eastAsia="ja-JP"/>
        </w:rPr>
        <w:t>”</w:t>
      </w:r>
    </w:p>
    <w:p w14:paraId="6124967D" w14:textId="5BD1A516" w:rsidR="001F1518" w:rsidRDefault="00411458" w:rsidP="00411458">
      <w:pPr>
        <w:pStyle w:val="Bullet1G"/>
        <w:rPr>
          <w:rStyle w:val="SingleTxtGCar"/>
          <w:u w:val="single"/>
        </w:rPr>
      </w:pPr>
      <w:r>
        <w:rPr>
          <w:b/>
          <w:bCs/>
        </w:rPr>
        <w:t>ST/SG/AC.10/C.4/2021/2</w:t>
      </w:r>
      <w:r>
        <w:t xml:space="preserve"> – </w:t>
      </w:r>
      <w:r>
        <w:rPr>
          <w:rFonts w:eastAsia="MS Mincho"/>
          <w:lang w:val="en-US" w:eastAsia="ja-JP"/>
        </w:rPr>
        <w:t>“</w:t>
      </w:r>
      <w:r>
        <w:t>Amendments to sections 2 and 3 of Annex 3</w:t>
      </w:r>
      <w:r>
        <w:rPr>
          <w:rFonts w:eastAsia="MS Mincho"/>
          <w:lang w:val="en-US" w:eastAsia="ja-JP"/>
        </w:rPr>
        <w:t>”</w:t>
      </w:r>
    </w:p>
    <w:p w14:paraId="7B746907" w14:textId="16806835" w:rsidR="00356671" w:rsidRDefault="00356671" w:rsidP="00356671">
      <w:pPr>
        <w:pStyle w:val="SingleTxtG"/>
        <w:tabs>
          <w:tab w:val="left" w:pos="1701"/>
        </w:tabs>
      </w:pPr>
      <w:r>
        <w:t>4.</w:t>
      </w:r>
      <w:r>
        <w:tab/>
        <w:t>The informal working group is currently progressing several other issues from their work plan, including respiratory sensitizers and other issues identified in Annex 3.</w:t>
      </w:r>
    </w:p>
    <w:p w14:paraId="3BEE2070" w14:textId="77777777" w:rsidR="00356671" w:rsidRDefault="00356671" w:rsidP="00356671">
      <w:pPr>
        <w:pStyle w:val="SingleTxtG"/>
        <w:tabs>
          <w:tab w:val="left" w:pos="1701"/>
        </w:tabs>
      </w:pPr>
      <w:r>
        <w:t>5.</w:t>
      </w:r>
      <w:r>
        <w:tab/>
        <w:t xml:space="preserve">The working group will continue its work via correspondence and virtual meetings. </w:t>
      </w:r>
    </w:p>
    <w:p w14:paraId="58DA67C6" w14:textId="10507CFA" w:rsidR="001F1518" w:rsidRPr="001F19BA" w:rsidRDefault="00356671" w:rsidP="00356671">
      <w:pPr>
        <w:pStyle w:val="SingleTxtG"/>
        <w:tabs>
          <w:tab w:val="left" w:pos="1701"/>
        </w:tabs>
        <w:rPr>
          <w:rStyle w:val="SingleTxtGCar"/>
          <w:u w:val="single"/>
        </w:rPr>
      </w:pPr>
      <w:r>
        <w:rPr>
          <w:noProof/>
        </w:rPr>
        <mc:AlternateContent>
          <mc:Choice Requires="wps">
            <w:drawing>
              <wp:anchor distT="45720" distB="45720" distL="114300" distR="114300" simplePos="0" relativeHeight="251659264" behindDoc="0" locked="0" layoutInCell="1" allowOverlap="1" wp14:anchorId="7AD7480D" wp14:editId="5DCC5EC5">
                <wp:simplePos x="0" y="0"/>
                <wp:positionH relativeFrom="column">
                  <wp:posOffset>2436088</wp:posOffset>
                </wp:positionH>
                <wp:positionV relativeFrom="page">
                  <wp:posOffset>9021056</wp:posOffset>
                </wp:positionV>
                <wp:extent cx="1439545" cy="25273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52730"/>
                        </a:xfrm>
                        <a:prstGeom prst="rect">
                          <a:avLst/>
                        </a:prstGeom>
                        <a:solidFill>
                          <a:srgbClr val="FFFFFF"/>
                        </a:solidFill>
                        <a:ln w="9525">
                          <a:solidFill>
                            <a:schemeClr val="bg1"/>
                          </a:solidFill>
                          <a:miter lim="800000"/>
                          <a:headEnd/>
                          <a:tailEnd/>
                        </a:ln>
                      </wps:spPr>
                      <wps:txbx>
                        <w:txbxContent>
                          <w:p w14:paraId="0FE624DE" w14:textId="48E42C34" w:rsidR="00356671" w:rsidRDefault="00356671">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7480D" id="_x0000_t202" coordsize="21600,21600" o:spt="202" path="m,l,21600r21600,l21600,xe">
                <v:stroke joinstyle="miter"/>
                <v:path gradientshapeok="t" o:connecttype="rect"/>
              </v:shapetype>
              <v:shape id="Text Box 2" o:spid="_x0000_s1026" type="#_x0000_t202" style="position:absolute;left:0;text-align:left;margin-left:191.8pt;margin-top:710.3pt;width:113.3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" strokecolor="white [3212]">
                <v:textbox style="mso-fit-shape-to-text:t">
                  <w:txbxContent>
                    <w:p w14:paraId="0FE624DE" w14:textId="48E42C34" w:rsidR="00356671" w:rsidRDefault="00356671">
                      <w:r>
                        <w:t>________________</w:t>
                      </w:r>
                    </w:p>
                  </w:txbxContent>
                </v:textbox>
                <w10:wrap type="square" anchory="page"/>
              </v:shape>
            </w:pict>
          </mc:Fallback>
        </mc:AlternateContent>
      </w:r>
      <w:r>
        <w:t>6.</w:t>
      </w:r>
      <w:r>
        <w:tab/>
        <w:t xml:space="preserve">The Sub-Committee is invited to note the progress of the </w:t>
      </w:r>
      <w:r>
        <w:rPr>
          <w:szCs w:val="24"/>
          <w:lang w:eastAsia="de-DE"/>
        </w:rPr>
        <w:t>Annexes 1-3 working group.</w:t>
      </w:r>
    </w:p>
    <w:sectPr w:rsidR="001F1518" w:rsidRPr="001F19BA"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99EC" w14:textId="77777777" w:rsidR="00765378" w:rsidRDefault="00765378" w:rsidP="00760F29">
      <w:pPr>
        <w:spacing w:line="240" w:lineRule="auto"/>
      </w:pPr>
      <w:r>
        <w:separator/>
      </w:r>
    </w:p>
  </w:endnote>
  <w:endnote w:type="continuationSeparator" w:id="0">
    <w:p w14:paraId="12ADF60E" w14:textId="77777777" w:rsidR="00765378" w:rsidRDefault="00765378"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4E5D18" w:rsidRPr="00952862" w:rsidRDefault="00930EFE">
    <w:pPr>
      <w:pStyle w:val="Footer"/>
      <w:rPr>
        <w:b/>
        <w:bCs/>
      </w:rPr>
    </w:pPr>
  </w:p>
  <w:p w14:paraId="2D4C9FAC" w14:textId="77777777" w:rsidR="004E5D18" w:rsidRDefault="00930E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5B87" w14:textId="77777777" w:rsidR="00765378" w:rsidRDefault="00765378" w:rsidP="00760F29">
      <w:pPr>
        <w:spacing w:line="240" w:lineRule="auto"/>
      </w:pPr>
      <w:r>
        <w:separator/>
      </w:r>
    </w:p>
  </w:footnote>
  <w:footnote w:type="continuationSeparator" w:id="0">
    <w:p w14:paraId="7CC1078C" w14:textId="77777777" w:rsidR="00765378" w:rsidRDefault="00765378" w:rsidP="00760F29">
      <w:pPr>
        <w:spacing w:line="240" w:lineRule="auto"/>
      </w:pPr>
      <w:r>
        <w:continuationSeparator/>
      </w:r>
    </w:p>
  </w:footnote>
  <w:footnote w:id="1">
    <w:p w14:paraId="35A089CB" w14:textId="77777777" w:rsidR="007F7563" w:rsidRDefault="007F7563" w:rsidP="007F7563">
      <w:pPr>
        <w:pStyle w:val="FootnoteText"/>
        <w:tabs>
          <w:tab w:val="clear" w:pos="1021"/>
          <w:tab w:val="right" w:pos="1418"/>
        </w:tabs>
        <w:ind w:firstLine="0"/>
      </w:pPr>
      <w:r>
        <w:rPr>
          <w:rStyle w:val="FootnoteReference"/>
        </w:rPr>
        <w:footnoteRef/>
      </w:r>
      <w:r>
        <w:t xml:space="preserve"> </w:t>
      </w:r>
      <w:r>
        <w:tab/>
        <w:t xml:space="preserve"> see ST/SG/AC.10/C.4/78 and informal document </w:t>
      </w:r>
      <w:r>
        <w:rPr>
          <w:bCs/>
          <w:szCs w:val="18"/>
        </w:rPr>
        <w:t>INF</w:t>
      </w:r>
      <w:r>
        <w:t>.21 (39</w:t>
      </w:r>
      <w:r>
        <w:rPr>
          <w:vertAlign w:val="superscript"/>
        </w:rPr>
        <w:t>th</w:t>
      </w:r>
      <w:r>
        <w:t xml:space="preserve"> session).</w:t>
      </w:r>
    </w:p>
  </w:footnote>
  <w:footnote w:id="2">
    <w:p w14:paraId="6AD3045D" w14:textId="77777777" w:rsidR="007F7563" w:rsidRDefault="007F7563" w:rsidP="007F7563">
      <w:pPr>
        <w:pStyle w:val="FootnoteText"/>
        <w:tabs>
          <w:tab w:val="clear" w:pos="1021"/>
          <w:tab w:val="right" w:pos="1418"/>
        </w:tabs>
        <w:ind w:firstLine="0"/>
      </w:pPr>
      <w:r>
        <w:rPr>
          <w:rStyle w:val="FootnoteReference"/>
        </w:rPr>
        <w:footnoteRef/>
      </w:r>
      <w:r>
        <w:t xml:space="preserve">  see ST/SG/AC.10/C.4/78 and informal document </w:t>
      </w:r>
      <w:r>
        <w:rPr>
          <w:bCs/>
          <w:szCs w:val="18"/>
        </w:rPr>
        <w:t>INF</w:t>
      </w:r>
      <w:r>
        <w:t>.20 (39</w:t>
      </w:r>
      <w:r>
        <w:rPr>
          <w:vertAlign w:val="superscript"/>
        </w:rPr>
        <w:t>th</w:t>
      </w:r>
      <w:r>
        <w:t xml:space="preserv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681D8EEA" w:rsidR="004E5D18" w:rsidRPr="001E5919" w:rsidRDefault="00A31103" w:rsidP="001E5919">
    <w:pPr>
      <w:pStyle w:val="Header"/>
      <w:rPr>
        <w:lang w:val="fr-FR"/>
      </w:rPr>
    </w:pPr>
    <w:r>
      <w:rPr>
        <w:lang w:val="fr-FR"/>
      </w:rPr>
      <w:t>UN/SCEGHS/40/INF.</w:t>
    </w:r>
    <w:r w:rsidR="00015F9B">
      <w:rPr>
        <w:lang w:val="fr-FR"/>
      </w:rPr>
      <w:t>1</w:t>
    </w:r>
    <w:r>
      <w:rPr>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390E9080" w:rsidR="004E5D18" w:rsidRPr="001E5919" w:rsidRDefault="00A31103" w:rsidP="001E5919">
    <w:pPr>
      <w:pStyle w:val="Header"/>
      <w:jc w:val="right"/>
      <w:rPr>
        <w:lang w:val="fr-FR"/>
      </w:rPr>
    </w:pPr>
    <w:r>
      <w:rPr>
        <w:lang w:val="fr-FR"/>
      </w:rPr>
      <w:t>UN/SCEGHS/40/INF.4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4E5D18" w:rsidRPr="00C969C0" w:rsidRDefault="00930EFE"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84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5A4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63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1A8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09C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08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4A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C58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52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0"/>
  </w:num>
  <w:num w:numId="4">
    <w:abstractNumId w:val="21"/>
  </w:num>
  <w:num w:numId="5">
    <w:abstractNumId w:val="17"/>
  </w:num>
  <w:num w:numId="6">
    <w:abstractNumId w:val="16"/>
  </w:num>
  <w:num w:numId="7">
    <w:abstractNumId w:val="12"/>
  </w:num>
  <w:num w:numId="8">
    <w:abstractNumId w:val="20"/>
  </w:num>
  <w:num w:numId="9">
    <w:abstractNumId w:val="15"/>
  </w:num>
  <w:num w:numId="10">
    <w:abstractNumId w:val="19"/>
  </w:num>
  <w:num w:numId="11">
    <w:abstractNumId w:val="19"/>
  </w:num>
  <w:num w:numId="12">
    <w:abstractNumId w:val="19"/>
  </w:num>
  <w:num w:numId="13">
    <w:abstractNumId w:val="19"/>
  </w:num>
  <w:num w:numId="14">
    <w:abstractNumId w:val="14"/>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15F9B"/>
    <w:rsid w:val="000214BC"/>
    <w:rsid w:val="0003079A"/>
    <w:rsid w:val="0006039D"/>
    <w:rsid w:val="00067399"/>
    <w:rsid w:val="00067AF0"/>
    <w:rsid w:val="00094C7F"/>
    <w:rsid w:val="000A35E5"/>
    <w:rsid w:val="000B6ACF"/>
    <w:rsid w:val="000C5F34"/>
    <w:rsid w:val="000E0076"/>
    <w:rsid w:val="000E1E26"/>
    <w:rsid w:val="001506E7"/>
    <w:rsid w:val="001720A7"/>
    <w:rsid w:val="001851B2"/>
    <w:rsid w:val="0019497C"/>
    <w:rsid w:val="001B057F"/>
    <w:rsid w:val="001C5FE4"/>
    <w:rsid w:val="001F1518"/>
    <w:rsid w:val="001F19BA"/>
    <w:rsid w:val="002006B8"/>
    <w:rsid w:val="00223F9F"/>
    <w:rsid w:val="00225747"/>
    <w:rsid w:val="00226CEA"/>
    <w:rsid w:val="00236385"/>
    <w:rsid w:val="0024310D"/>
    <w:rsid w:val="00260117"/>
    <w:rsid w:val="00275729"/>
    <w:rsid w:val="00276B4C"/>
    <w:rsid w:val="0028150B"/>
    <w:rsid w:val="002A01A8"/>
    <w:rsid w:val="002B02C4"/>
    <w:rsid w:val="002B4FB4"/>
    <w:rsid w:val="002F7C78"/>
    <w:rsid w:val="0030509D"/>
    <w:rsid w:val="00313097"/>
    <w:rsid w:val="00330944"/>
    <w:rsid w:val="00356671"/>
    <w:rsid w:val="00371089"/>
    <w:rsid w:val="003A228D"/>
    <w:rsid w:val="003A2A96"/>
    <w:rsid w:val="003A3245"/>
    <w:rsid w:val="003B2653"/>
    <w:rsid w:val="003C10B9"/>
    <w:rsid w:val="003C425A"/>
    <w:rsid w:val="003C4B75"/>
    <w:rsid w:val="003E64B9"/>
    <w:rsid w:val="0040625C"/>
    <w:rsid w:val="00406A6B"/>
    <w:rsid w:val="00411458"/>
    <w:rsid w:val="00416769"/>
    <w:rsid w:val="00440F59"/>
    <w:rsid w:val="00451105"/>
    <w:rsid w:val="00462A16"/>
    <w:rsid w:val="004957C8"/>
    <w:rsid w:val="004B5A77"/>
    <w:rsid w:val="004C135A"/>
    <w:rsid w:val="004D3744"/>
    <w:rsid w:val="004E0CC0"/>
    <w:rsid w:val="004E7435"/>
    <w:rsid w:val="00507FDD"/>
    <w:rsid w:val="005210E2"/>
    <w:rsid w:val="00522D72"/>
    <w:rsid w:val="00561E93"/>
    <w:rsid w:val="005632F6"/>
    <w:rsid w:val="00574027"/>
    <w:rsid w:val="005746FD"/>
    <w:rsid w:val="00592369"/>
    <w:rsid w:val="005C0B65"/>
    <w:rsid w:val="005E79BB"/>
    <w:rsid w:val="005F7AE9"/>
    <w:rsid w:val="0061276A"/>
    <w:rsid w:val="0062268F"/>
    <w:rsid w:val="0062617C"/>
    <w:rsid w:val="00630265"/>
    <w:rsid w:val="00633F54"/>
    <w:rsid w:val="00661DE9"/>
    <w:rsid w:val="00686B73"/>
    <w:rsid w:val="006A2C7D"/>
    <w:rsid w:val="006B20FA"/>
    <w:rsid w:val="006D3E76"/>
    <w:rsid w:val="006E0172"/>
    <w:rsid w:val="00705D5B"/>
    <w:rsid w:val="00717408"/>
    <w:rsid w:val="00760F29"/>
    <w:rsid w:val="00765378"/>
    <w:rsid w:val="00787CA8"/>
    <w:rsid w:val="007A5031"/>
    <w:rsid w:val="007C1E4D"/>
    <w:rsid w:val="007C61DB"/>
    <w:rsid w:val="007D6912"/>
    <w:rsid w:val="007F1D3F"/>
    <w:rsid w:val="007F7563"/>
    <w:rsid w:val="00820224"/>
    <w:rsid w:val="00822F3B"/>
    <w:rsid w:val="0085283D"/>
    <w:rsid w:val="00862DAD"/>
    <w:rsid w:val="00880A9D"/>
    <w:rsid w:val="008E0BFF"/>
    <w:rsid w:val="00901873"/>
    <w:rsid w:val="00930EFE"/>
    <w:rsid w:val="00930F93"/>
    <w:rsid w:val="00935F35"/>
    <w:rsid w:val="0094551F"/>
    <w:rsid w:val="009855D0"/>
    <w:rsid w:val="00995EA8"/>
    <w:rsid w:val="009B11B2"/>
    <w:rsid w:val="009B7C35"/>
    <w:rsid w:val="009C6587"/>
    <w:rsid w:val="009D759F"/>
    <w:rsid w:val="009E1F11"/>
    <w:rsid w:val="009E245E"/>
    <w:rsid w:val="009E42E4"/>
    <w:rsid w:val="00A31103"/>
    <w:rsid w:val="00A45838"/>
    <w:rsid w:val="00A55BFD"/>
    <w:rsid w:val="00A57ACB"/>
    <w:rsid w:val="00A72105"/>
    <w:rsid w:val="00A83A4A"/>
    <w:rsid w:val="00A85FC4"/>
    <w:rsid w:val="00A91B52"/>
    <w:rsid w:val="00AA3D2B"/>
    <w:rsid w:val="00AC7597"/>
    <w:rsid w:val="00AE0560"/>
    <w:rsid w:val="00AE27FD"/>
    <w:rsid w:val="00AF56C8"/>
    <w:rsid w:val="00AF779F"/>
    <w:rsid w:val="00B21C0B"/>
    <w:rsid w:val="00B56E76"/>
    <w:rsid w:val="00B64854"/>
    <w:rsid w:val="00B77E3D"/>
    <w:rsid w:val="00B85035"/>
    <w:rsid w:val="00BB4D43"/>
    <w:rsid w:val="00BF0E50"/>
    <w:rsid w:val="00C13576"/>
    <w:rsid w:val="00C13F89"/>
    <w:rsid w:val="00C5116F"/>
    <w:rsid w:val="00C5390E"/>
    <w:rsid w:val="00C55D07"/>
    <w:rsid w:val="00C55F0A"/>
    <w:rsid w:val="00C60AE5"/>
    <w:rsid w:val="00C64CCA"/>
    <w:rsid w:val="00C65283"/>
    <w:rsid w:val="00C846BC"/>
    <w:rsid w:val="00C90E4D"/>
    <w:rsid w:val="00C969C0"/>
    <w:rsid w:val="00CA28D8"/>
    <w:rsid w:val="00CA5128"/>
    <w:rsid w:val="00CA7831"/>
    <w:rsid w:val="00CE031D"/>
    <w:rsid w:val="00CE5143"/>
    <w:rsid w:val="00CF5E7D"/>
    <w:rsid w:val="00D5407D"/>
    <w:rsid w:val="00D660CB"/>
    <w:rsid w:val="00D670CE"/>
    <w:rsid w:val="00D718E5"/>
    <w:rsid w:val="00D767FB"/>
    <w:rsid w:val="00D841B8"/>
    <w:rsid w:val="00DA6169"/>
    <w:rsid w:val="00DB521F"/>
    <w:rsid w:val="00DD396E"/>
    <w:rsid w:val="00DD3C4A"/>
    <w:rsid w:val="00DE37D5"/>
    <w:rsid w:val="00E002DD"/>
    <w:rsid w:val="00E15AE8"/>
    <w:rsid w:val="00E1727E"/>
    <w:rsid w:val="00E26063"/>
    <w:rsid w:val="00E319C2"/>
    <w:rsid w:val="00E449C3"/>
    <w:rsid w:val="00E67F2E"/>
    <w:rsid w:val="00E86FBA"/>
    <w:rsid w:val="00E93287"/>
    <w:rsid w:val="00E97BCE"/>
    <w:rsid w:val="00EA3F81"/>
    <w:rsid w:val="00EA5B52"/>
    <w:rsid w:val="00F014F2"/>
    <w:rsid w:val="00F01DF9"/>
    <w:rsid w:val="00F13080"/>
    <w:rsid w:val="00F22714"/>
    <w:rsid w:val="00F27F2C"/>
    <w:rsid w:val="00F414FF"/>
    <w:rsid w:val="00F41B6B"/>
    <w:rsid w:val="00F717DC"/>
    <w:rsid w:val="00F77965"/>
    <w:rsid w:val="00F84D75"/>
    <w:rsid w:val="00F85DE2"/>
    <w:rsid w:val="00FA0F0E"/>
    <w:rsid w:val="00FA63B2"/>
    <w:rsid w:val="00FB0F9F"/>
    <w:rsid w:val="00FE179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404">
      <w:bodyDiv w:val="1"/>
      <w:marLeft w:val="0"/>
      <w:marRight w:val="0"/>
      <w:marTop w:val="0"/>
      <w:marBottom w:val="0"/>
      <w:divBdr>
        <w:top w:val="none" w:sz="0" w:space="0" w:color="auto"/>
        <w:left w:val="none" w:sz="0" w:space="0" w:color="auto"/>
        <w:bottom w:val="none" w:sz="0" w:space="0" w:color="auto"/>
        <w:right w:val="none" w:sz="0" w:space="0" w:color="auto"/>
      </w:divBdr>
    </w:div>
    <w:div w:id="306856531">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50461623">
      <w:bodyDiv w:val="1"/>
      <w:marLeft w:val="0"/>
      <w:marRight w:val="0"/>
      <w:marTop w:val="0"/>
      <w:marBottom w:val="0"/>
      <w:divBdr>
        <w:top w:val="none" w:sz="0" w:space="0" w:color="auto"/>
        <w:left w:val="none" w:sz="0" w:space="0" w:color="auto"/>
        <w:bottom w:val="none" w:sz="0" w:space="0" w:color="auto"/>
        <w:right w:val="none" w:sz="0" w:space="0" w:color="auto"/>
      </w:divBdr>
    </w:div>
    <w:div w:id="830101195">
      <w:bodyDiv w:val="1"/>
      <w:marLeft w:val="0"/>
      <w:marRight w:val="0"/>
      <w:marTop w:val="0"/>
      <w:marBottom w:val="0"/>
      <w:divBdr>
        <w:top w:val="none" w:sz="0" w:space="0" w:color="auto"/>
        <w:left w:val="none" w:sz="0" w:space="0" w:color="auto"/>
        <w:bottom w:val="none" w:sz="0" w:space="0" w:color="auto"/>
        <w:right w:val="none" w:sz="0" w:space="0" w:color="auto"/>
      </w:divBdr>
    </w:div>
    <w:div w:id="998312314">
      <w:bodyDiv w:val="1"/>
      <w:marLeft w:val="0"/>
      <w:marRight w:val="0"/>
      <w:marTop w:val="0"/>
      <w:marBottom w:val="0"/>
      <w:divBdr>
        <w:top w:val="none" w:sz="0" w:space="0" w:color="auto"/>
        <w:left w:val="none" w:sz="0" w:space="0" w:color="auto"/>
        <w:bottom w:val="none" w:sz="0" w:space="0" w:color="auto"/>
        <w:right w:val="none" w:sz="0" w:space="0" w:color="auto"/>
      </w:divBdr>
    </w:div>
    <w:div w:id="13294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customXml/itemProps4.xml><?xml version="1.0" encoding="utf-8"?>
<ds:datastoreItem xmlns:ds="http://schemas.openxmlformats.org/officeDocument/2006/customXml" ds:itemID="{4FD41E92-F2C9-42EA-B322-36B38285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14</cp:revision>
  <dcterms:created xsi:type="dcterms:W3CDTF">2021-06-29T08:08:00Z</dcterms:created>
  <dcterms:modified xsi:type="dcterms:W3CDTF">2021-06-29T09:14:00Z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