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950" w:type="dxa"/>
        <w:tblLayout w:type="fixed"/>
        <w:tblCellMar>
          <w:left w:w="0" w:type="dxa"/>
          <w:right w:w="0" w:type="dxa"/>
        </w:tblCellMar>
        <w:tblLook w:val="01E0" w:firstRow="1" w:lastRow="1" w:firstColumn="1" w:lastColumn="1" w:noHBand="0" w:noVBand="0"/>
      </w:tblPr>
      <w:tblGrid>
        <w:gridCol w:w="9950"/>
      </w:tblGrid>
      <w:tr w:rsidR="0099001C" w:rsidRPr="00AA1504" w14:paraId="3EEA5169" w14:textId="77777777" w:rsidTr="00C43A10">
        <w:trPr>
          <w:cantSplit/>
          <w:trHeight w:hRule="exact" w:val="1078"/>
        </w:trPr>
        <w:tc>
          <w:tcPr>
            <w:tcW w:w="9950" w:type="dxa"/>
            <w:tcBorders>
              <w:bottom w:val="single" w:sz="4" w:space="0" w:color="auto"/>
            </w:tcBorders>
            <w:vAlign w:val="bottom"/>
          </w:tcPr>
          <w:p w14:paraId="737A8918" w14:textId="7E120966" w:rsidR="0099001C" w:rsidRPr="00AA1504" w:rsidRDefault="0099001C" w:rsidP="00802916">
            <w:pPr>
              <w:jc w:val="right"/>
              <w:rPr>
                <w:b/>
                <w:sz w:val="40"/>
                <w:szCs w:val="40"/>
              </w:rPr>
            </w:pPr>
            <w:r w:rsidRPr="00AA1504">
              <w:rPr>
                <w:b/>
                <w:sz w:val="40"/>
                <w:szCs w:val="40"/>
              </w:rPr>
              <w:t>UN/SCEGHS/</w:t>
            </w:r>
            <w:r w:rsidR="00802916" w:rsidRPr="00AA1504">
              <w:rPr>
                <w:b/>
                <w:sz w:val="40"/>
                <w:szCs w:val="40"/>
              </w:rPr>
              <w:t>40</w:t>
            </w:r>
            <w:r w:rsidRPr="00AA1504">
              <w:rPr>
                <w:b/>
                <w:sz w:val="40"/>
                <w:szCs w:val="40"/>
              </w:rPr>
              <w:t>/INF.</w:t>
            </w:r>
            <w:r w:rsidR="006613F7">
              <w:rPr>
                <w:b/>
                <w:sz w:val="40"/>
                <w:szCs w:val="40"/>
              </w:rPr>
              <w:t>10</w:t>
            </w:r>
          </w:p>
        </w:tc>
      </w:tr>
      <w:tr w:rsidR="0099001C" w14:paraId="0CF18C10" w14:textId="77777777" w:rsidTr="00C43A10">
        <w:trPr>
          <w:cantSplit/>
          <w:trHeight w:hRule="exact" w:val="3947"/>
        </w:trPr>
        <w:tc>
          <w:tcPr>
            <w:tcW w:w="9950" w:type="dxa"/>
            <w:tcBorders>
              <w:top w:val="single" w:sz="4" w:space="0" w:color="auto"/>
            </w:tcBorders>
          </w:tcPr>
          <w:p w14:paraId="3E41EE01" w14:textId="77777777" w:rsidR="00965932" w:rsidRPr="001B03EA" w:rsidRDefault="00965932" w:rsidP="00965932">
            <w:pPr>
              <w:spacing w:before="120"/>
              <w:rPr>
                <w:b/>
                <w:sz w:val="24"/>
                <w:szCs w:val="24"/>
                <w:lang w:val="en-US"/>
              </w:rPr>
            </w:pPr>
            <w:r w:rsidRPr="001B03EA">
              <w:rPr>
                <w:b/>
                <w:sz w:val="24"/>
                <w:szCs w:val="24"/>
                <w:lang w:val="en-US"/>
              </w:rPr>
              <w:t>Committee of Experts on the Transport of Dangerous Goods</w:t>
            </w:r>
            <w:r w:rsidRPr="001B03EA">
              <w:rPr>
                <w:b/>
                <w:sz w:val="24"/>
                <w:szCs w:val="24"/>
                <w:lang w:val="en-US"/>
              </w:rPr>
              <w:br/>
              <w:t>and on the Globally Harmonized System of Classification</w:t>
            </w:r>
            <w:r w:rsidRPr="001B03EA">
              <w:rPr>
                <w:b/>
                <w:sz w:val="24"/>
                <w:szCs w:val="24"/>
                <w:lang w:val="en-US"/>
              </w:rPr>
              <w:br/>
              <w:t>and Labelling of Chemicals</w:t>
            </w:r>
          </w:p>
          <w:p w14:paraId="0254736F" w14:textId="554E0B45" w:rsidR="00965932" w:rsidRDefault="00085D2B" w:rsidP="00965932">
            <w:pPr>
              <w:tabs>
                <w:tab w:val="left" w:pos="7230"/>
                <w:tab w:val="right" w:pos="9300"/>
              </w:tabs>
              <w:spacing w:before="120"/>
              <w:rPr>
                <w:b/>
                <w:lang w:val="en-US"/>
              </w:rPr>
            </w:pPr>
            <w:r>
              <w:rPr>
                <w:b/>
                <w:lang w:val="en-US"/>
              </w:rPr>
              <w:t xml:space="preserve">Sub-Committee </w:t>
            </w:r>
            <w:r w:rsidR="00965932" w:rsidRPr="001B03EA">
              <w:rPr>
                <w:b/>
                <w:lang w:val="en-US"/>
              </w:rPr>
              <w:t>of Experts on the Globally Harmonized</w:t>
            </w:r>
            <w:r w:rsidR="00965932" w:rsidRPr="001B03EA">
              <w:rPr>
                <w:b/>
                <w:lang w:val="en-US"/>
              </w:rPr>
              <w:br/>
              <w:t>System of Classification and Labelling of Chemicals</w:t>
            </w:r>
            <w:r w:rsidR="00965932" w:rsidRPr="001B03EA">
              <w:rPr>
                <w:b/>
                <w:lang w:val="en-US"/>
              </w:rPr>
              <w:tab/>
            </w:r>
            <w:r w:rsidR="007C1201">
              <w:rPr>
                <w:b/>
                <w:lang w:val="en-US"/>
              </w:rPr>
              <w:tab/>
            </w:r>
            <w:r w:rsidR="00D16EDF">
              <w:rPr>
                <w:b/>
                <w:lang w:val="en-US"/>
              </w:rPr>
              <w:t>16</w:t>
            </w:r>
            <w:r w:rsidR="006E3197" w:rsidRPr="00AA1504">
              <w:rPr>
                <w:b/>
                <w:lang w:val="en-US"/>
              </w:rPr>
              <w:t xml:space="preserve"> </w:t>
            </w:r>
            <w:r w:rsidR="004449CC" w:rsidRPr="00AA1504">
              <w:rPr>
                <w:b/>
                <w:lang w:val="en-US"/>
              </w:rPr>
              <w:t>June</w:t>
            </w:r>
            <w:r w:rsidR="00891141" w:rsidRPr="00AA1504">
              <w:rPr>
                <w:b/>
                <w:lang w:val="en-US"/>
              </w:rPr>
              <w:t xml:space="preserve"> </w:t>
            </w:r>
            <w:r w:rsidR="00AD67E3" w:rsidRPr="00AA1504">
              <w:rPr>
                <w:b/>
                <w:lang w:val="en-US"/>
              </w:rPr>
              <w:t>20</w:t>
            </w:r>
            <w:r w:rsidR="001F0115" w:rsidRPr="00AA1504">
              <w:rPr>
                <w:b/>
                <w:lang w:val="en-US"/>
              </w:rPr>
              <w:t>2</w:t>
            </w:r>
            <w:r w:rsidR="00802916" w:rsidRPr="00AA1504">
              <w:rPr>
                <w:b/>
                <w:lang w:val="en-US"/>
              </w:rPr>
              <w:t>1</w:t>
            </w:r>
          </w:p>
          <w:p w14:paraId="4FA8EFAD" w14:textId="77777777" w:rsidR="00BD13EB" w:rsidRDefault="00BD13EB" w:rsidP="00BD13EB">
            <w:pPr>
              <w:tabs>
                <w:tab w:val="left" w:pos="7230"/>
                <w:tab w:val="right" w:pos="9300"/>
              </w:tabs>
              <w:spacing w:before="120"/>
              <w:jc w:val="right"/>
              <w:rPr>
                <w:b/>
                <w:lang w:val="en-US"/>
              </w:rPr>
            </w:pPr>
          </w:p>
          <w:p w14:paraId="4C9BCE39" w14:textId="77777777" w:rsidR="00CB115F" w:rsidRDefault="00CB115F" w:rsidP="00D55F24">
            <w:pPr>
              <w:rPr>
                <w:b/>
              </w:rPr>
            </w:pPr>
            <w:bookmarkStart w:id="0" w:name="_Hlk35441056"/>
            <w:r>
              <w:rPr>
                <w:b/>
              </w:rPr>
              <w:t>Fortieth session</w:t>
            </w:r>
          </w:p>
          <w:bookmarkEnd w:id="0"/>
          <w:p w14:paraId="10433A06" w14:textId="77777777" w:rsidR="00CB115F" w:rsidRPr="009103F3" w:rsidRDefault="00CB115F" w:rsidP="00CB115F">
            <w:pPr>
              <w:spacing w:before="40"/>
            </w:pPr>
            <w:r w:rsidRPr="009103F3">
              <w:t>Geneva, 5-7 July 2021</w:t>
            </w:r>
          </w:p>
          <w:p w14:paraId="7E15BF6F" w14:textId="29D45B13" w:rsidR="00CB115F" w:rsidRPr="0030509D" w:rsidRDefault="00CB115F" w:rsidP="00CB115F">
            <w:pPr>
              <w:spacing w:before="40"/>
            </w:pPr>
            <w:r w:rsidRPr="0030509D">
              <w:t xml:space="preserve">Item </w:t>
            </w:r>
            <w:r w:rsidR="00EF6A09">
              <w:t>2</w:t>
            </w:r>
            <w:r w:rsidRPr="0030509D">
              <w:t xml:space="preserve"> (</w:t>
            </w:r>
            <w:r w:rsidR="00EF6A09">
              <w:t>d)</w:t>
            </w:r>
            <w:r w:rsidRPr="0030509D">
              <w:t xml:space="preserve"> of the provisional agenda</w:t>
            </w:r>
          </w:p>
          <w:p w14:paraId="4DA34DEE" w14:textId="22A90776" w:rsidR="00D36906" w:rsidRPr="00D36906" w:rsidRDefault="000E4865" w:rsidP="00CB115F">
            <w:pPr>
              <w:spacing w:line="240" w:lineRule="exact"/>
              <w:rPr>
                <w:b/>
                <w:bCs/>
              </w:rPr>
            </w:pPr>
            <w:r w:rsidRPr="00C43A10">
              <w:rPr>
                <w:b/>
                <w:bCs/>
              </w:rPr>
              <w:t xml:space="preserve">Work on the Globally Harmonized System (GHS): </w:t>
            </w:r>
            <w:r w:rsidR="00C43A10" w:rsidRPr="00C43A10">
              <w:rPr>
                <w:b/>
                <w:bCs/>
              </w:rPr>
              <w:t xml:space="preserve"> </w:t>
            </w:r>
            <w:r w:rsidR="00C43A10" w:rsidRPr="00C43A10">
              <w:rPr>
                <w:b/>
                <w:bCs/>
              </w:rPr>
              <w:br/>
              <w:t xml:space="preserve">Classification of skin sensitizers using the results of local lymph </w:t>
            </w:r>
            <w:r w:rsidR="00C43A10">
              <w:rPr>
                <w:b/>
                <w:bCs/>
              </w:rPr>
              <w:br/>
            </w:r>
            <w:r w:rsidR="00C43A10" w:rsidRPr="00C43A10">
              <w:rPr>
                <w:b/>
                <w:bCs/>
              </w:rPr>
              <w:t>node assays (LLNA) test methods in accordance with</w:t>
            </w:r>
            <w:r w:rsidR="00C43A10" w:rsidRPr="002530CE">
              <w:t xml:space="preserve"> </w:t>
            </w:r>
            <w:r w:rsidR="00C43A10" w:rsidRPr="00C43A10">
              <w:rPr>
                <w:b/>
                <w:bCs/>
              </w:rPr>
              <w:t>OECD Test Guideline 442B</w:t>
            </w:r>
          </w:p>
        </w:tc>
      </w:tr>
    </w:tbl>
    <w:p w14:paraId="0CEDAE08" w14:textId="77777777" w:rsidR="00B90C82" w:rsidRPr="00AE4DC1" w:rsidRDefault="00B90C82" w:rsidP="00D55F24">
      <w:pPr>
        <w:pStyle w:val="HChG"/>
        <w:spacing w:before="120"/>
        <w:ind w:left="1140" w:right="1140" w:hanging="1140"/>
        <w:rPr>
          <w:lang w:eastAsia="ja-JP"/>
        </w:rPr>
      </w:pPr>
      <w:r w:rsidRPr="009E7ABD">
        <w:rPr>
          <w:lang w:val="en-US" w:eastAsia="ja-JP"/>
        </w:rPr>
        <w:tab/>
      </w:r>
      <w:r>
        <w:rPr>
          <w:lang w:val="en-US" w:eastAsia="ja-JP"/>
        </w:rPr>
        <w:tab/>
      </w:r>
      <w:r w:rsidRPr="00F23130">
        <w:rPr>
          <w:szCs w:val="28"/>
        </w:rPr>
        <w:t>Clarification of the criteria for classification for skin sensitization using animal studies</w:t>
      </w:r>
    </w:p>
    <w:p w14:paraId="153A2AEC" w14:textId="7E96A024" w:rsidR="00B90C82" w:rsidRPr="00AE4DC1" w:rsidRDefault="00B90C82" w:rsidP="00B90C82">
      <w:pPr>
        <w:pStyle w:val="H1G"/>
        <w:ind w:left="1138" w:right="1138" w:hanging="1138"/>
      </w:pPr>
      <w:r>
        <w:tab/>
      </w:r>
      <w:r>
        <w:tab/>
      </w:r>
      <w:r w:rsidRPr="00F23130">
        <w:rPr>
          <w:szCs w:val="24"/>
        </w:rPr>
        <w:t>Transmitted by the expert from Japan</w:t>
      </w:r>
      <w:r w:rsidRPr="00AE4DC1">
        <w:rPr>
          <w:szCs w:val="24"/>
          <w:lang w:eastAsia="de-DE"/>
        </w:rPr>
        <w:t xml:space="preserve"> </w:t>
      </w:r>
    </w:p>
    <w:p w14:paraId="738D542E" w14:textId="77777777" w:rsidR="00B90C82" w:rsidRPr="00AE4DC1" w:rsidRDefault="00B90C82" w:rsidP="00B90C82">
      <w:pPr>
        <w:pStyle w:val="HChG"/>
        <w:ind w:left="1138" w:right="1138" w:hanging="1138"/>
      </w:pPr>
      <w:r>
        <w:tab/>
      </w:r>
      <w:r w:rsidRPr="00AE4DC1">
        <w:tab/>
        <w:t>Introduction</w:t>
      </w:r>
    </w:p>
    <w:p w14:paraId="0FE36E9C" w14:textId="410EA911" w:rsidR="00B90C82" w:rsidRDefault="00B90C82" w:rsidP="00B90C82">
      <w:pPr>
        <w:pStyle w:val="SingleTxtG"/>
      </w:pPr>
      <w:r>
        <w:t>1.</w:t>
      </w:r>
      <w:r>
        <w:tab/>
        <w:t>This informal paper provides an update on the proposal made by Japan to c</w:t>
      </w:r>
      <w:r w:rsidRPr="009774B4">
        <w:t>larif</w:t>
      </w:r>
      <w:r>
        <w:t>y</w:t>
      </w:r>
      <w:r w:rsidRPr="009774B4">
        <w:t xml:space="preserve"> the criteria for classification for skin sensitization using animal studies </w:t>
      </w:r>
      <w:r>
        <w:rPr>
          <w:szCs w:val="24"/>
          <w:lang w:eastAsia="de-DE"/>
        </w:rPr>
        <w:t>at</w:t>
      </w:r>
      <w:r>
        <w:t xml:space="preserve"> the </w:t>
      </w:r>
      <w:r w:rsidR="00D55F24">
        <w:t>thirty-ninth</w:t>
      </w:r>
      <w:r>
        <w:t xml:space="preserve"> session of the Sub-Committee.</w:t>
      </w:r>
    </w:p>
    <w:p w14:paraId="231720EE" w14:textId="77777777" w:rsidR="00B90C82" w:rsidRPr="008457C1" w:rsidRDefault="00B90C82" w:rsidP="00D55F24">
      <w:pPr>
        <w:pStyle w:val="HChG"/>
      </w:pPr>
      <w:r>
        <w:tab/>
      </w:r>
      <w:r>
        <w:tab/>
      </w:r>
      <w:r w:rsidRPr="008457C1">
        <w:t>Background</w:t>
      </w:r>
    </w:p>
    <w:p w14:paraId="4956FE29" w14:textId="77777777" w:rsidR="00B90C82" w:rsidRPr="0011767E" w:rsidRDefault="00B90C82" w:rsidP="00D55F24">
      <w:pPr>
        <w:pStyle w:val="SingleTxtG"/>
      </w:pPr>
      <w:r w:rsidRPr="0011767E">
        <w:rPr>
          <w:rFonts w:eastAsia="MS PMincho"/>
        </w:rPr>
        <w:t>2.</w:t>
      </w:r>
      <w:r w:rsidRPr="0011767E">
        <w:rPr>
          <w:rFonts w:eastAsia="MS PMincho"/>
        </w:rPr>
        <w:tab/>
        <w:t>Currently, three skin sensitization test methods are listed as test methods to classify GHS category 1 chemicals</w:t>
      </w:r>
      <w:r w:rsidRPr="00271E42">
        <w:t>. These include two guinea pig prediction tests (the guinea pig maximization test and the Buehler test), known as the official test guidelines (TG) 406 of the Organization of Economic Cooperation and Development</w:t>
      </w:r>
      <w:r>
        <w:t xml:space="preserve"> (OECD)</w:t>
      </w:r>
      <w:r w:rsidRPr="00271E42">
        <w:t xml:space="preserve">, and the </w:t>
      </w:r>
      <w:proofErr w:type="spellStart"/>
      <w:r w:rsidRPr="00271E42">
        <w:t>radioisotopic</w:t>
      </w:r>
      <w:proofErr w:type="spellEnd"/>
      <w:r w:rsidRPr="00271E42">
        <w:t xml:space="preserve"> (RI)</w:t>
      </w:r>
      <w:r w:rsidRPr="0011767E">
        <w:t xml:space="preserve"> LLNA (LLNA-RI), known as OECD TG</w:t>
      </w:r>
      <w:r>
        <w:t xml:space="preserve"> </w:t>
      </w:r>
      <w:r w:rsidRPr="0011767E">
        <w:t>429</w:t>
      </w:r>
      <w:r>
        <w:t xml:space="preserve"> (OECD, 2010)</w:t>
      </w:r>
      <w:r w:rsidRPr="0011767E">
        <w:t xml:space="preserve">. And these three methods can be further applied for GHS sub-categorization 1A/1B to provide information on the </w:t>
      </w:r>
      <w:r>
        <w:t xml:space="preserve">skin </w:t>
      </w:r>
      <w:r w:rsidRPr="0011767E">
        <w:t>sensitization potency of chemicals (United Nations, 2019).</w:t>
      </w:r>
    </w:p>
    <w:p w14:paraId="157F5BFC" w14:textId="77777777" w:rsidR="00B90C82" w:rsidRPr="009774B4" w:rsidRDefault="00B90C82" w:rsidP="00B90C82">
      <w:pPr>
        <w:pStyle w:val="SingleTxtG"/>
      </w:pPr>
      <w:r>
        <w:t>3</w:t>
      </w:r>
      <w:r w:rsidRPr="009774B4">
        <w:t>.</w:t>
      </w:r>
      <w:r w:rsidRPr="009774B4">
        <w:tab/>
        <w:t xml:space="preserve">The LLNA: </w:t>
      </w:r>
      <w:proofErr w:type="spellStart"/>
      <w:r w:rsidRPr="009774B4">
        <w:t>BrdU</w:t>
      </w:r>
      <w:proofErr w:type="spellEnd"/>
      <w:r w:rsidRPr="009774B4">
        <w:t>-ELISA</w:t>
      </w:r>
      <w:r w:rsidRPr="009774B4">
        <w:rPr>
          <w:rFonts w:hint="eastAsia"/>
        </w:rPr>
        <w:t xml:space="preserve"> listed in</w:t>
      </w:r>
      <w:r w:rsidRPr="009774B4">
        <w:t xml:space="preserve"> OECD TG</w:t>
      </w:r>
      <w:r>
        <w:t xml:space="preserve"> </w:t>
      </w:r>
      <w:r w:rsidRPr="009774B4">
        <w:t>442B</w:t>
      </w:r>
      <w:r>
        <w:t xml:space="preserve"> (OECD, 2018)</w:t>
      </w:r>
      <w:r w:rsidRPr="009774B4">
        <w:t xml:space="preserve"> is another reliable sensitization test method using the same principle as the standard LLNA-RI in TG 429</w:t>
      </w:r>
      <w:r>
        <w:t xml:space="preserve"> (OECD, 2010)</w:t>
      </w:r>
      <w:r w:rsidRPr="009774B4">
        <w:t>.</w:t>
      </w:r>
      <w:r>
        <w:t xml:space="preserve"> The </w:t>
      </w:r>
      <w:r w:rsidRPr="009774B4">
        <w:t xml:space="preserve">LLNA: </w:t>
      </w:r>
      <w:proofErr w:type="spellStart"/>
      <w:r w:rsidRPr="009774B4">
        <w:t>BrdU</w:t>
      </w:r>
      <w:proofErr w:type="spellEnd"/>
      <w:r w:rsidRPr="009774B4">
        <w:t xml:space="preserve">-ELISA was scientifically validated and peer-reviewed by ICCVAM in 2010 and is used as a conventional skin sensitization test method worldwide and can be used to classify GHS category 1 versus </w:t>
      </w:r>
      <w:r>
        <w:rPr>
          <w:rFonts w:hint="eastAsia"/>
          <w:lang w:eastAsia="ja-JP"/>
        </w:rPr>
        <w:t>Not classified</w:t>
      </w:r>
      <w:r>
        <w:rPr>
          <w:lang w:eastAsia="ja-JP"/>
        </w:rPr>
        <w:t>.</w:t>
      </w:r>
    </w:p>
    <w:p w14:paraId="4A67B5BE" w14:textId="77777777" w:rsidR="00B90C82" w:rsidRPr="009774B4" w:rsidRDefault="00B90C82" w:rsidP="00B90C82">
      <w:pPr>
        <w:pStyle w:val="SingleTxtG"/>
      </w:pPr>
      <w:r>
        <w:t>4</w:t>
      </w:r>
      <w:r w:rsidRPr="009774B4">
        <w:t>.</w:t>
      </w:r>
      <w:r w:rsidRPr="009774B4">
        <w:tab/>
        <w:t xml:space="preserve">Recently, Japanese researchers re-analysed 32 skin sensitizers data, used in the validation and peer review of LLNA: </w:t>
      </w:r>
      <w:proofErr w:type="spellStart"/>
      <w:r w:rsidRPr="009774B4">
        <w:t>BrdU</w:t>
      </w:r>
      <w:proofErr w:type="spellEnd"/>
      <w:r w:rsidRPr="009774B4">
        <w:t xml:space="preserve">-ELISA, that are classified as </w:t>
      </w:r>
      <w:r>
        <w:t xml:space="preserve">GHS </w:t>
      </w:r>
      <w:r w:rsidRPr="009774B4">
        <w:t xml:space="preserve">Category 1A or </w:t>
      </w:r>
      <w:r>
        <w:t xml:space="preserve">GHS </w:t>
      </w:r>
      <w:r w:rsidRPr="009774B4">
        <w:t>Category1B , and attempted to determine optimal criteri</w:t>
      </w:r>
      <w:r>
        <w:t>on</w:t>
      </w:r>
      <w:r w:rsidRPr="009774B4">
        <w:t xml:space="preserve"> for GHS sub-categorization using this method. Consequently, the optimal criterion for the GHS sub-categorization was determined to be 6% when using EC1.6</w:t>
      </w:r>
      <w:r>
        <w:t>, a</w:t>
      </w:r>
      <w:r w:rsidRPr="009774B4">
        <w:t>nd the criterion</w:t>
      </w:r>
      <w:r w:rsidRPr="009774B4">
        <w:rPr>
          <w:rFonts w:hint="eastAsia"/>
        </w:rPr>
        <w:t xml:space="preserve"> </w:t>
      </w:r>
      <w:r w:rsidRPr="009774B4">
        <w:t>represents</w:t>
      </w:r>
      <w:r w:rsidRPr="009774B4">
        <w:rPr>
          <w:rFonts w:hint="eastAsia"/>
        </w:rPr>
        <w:t xml:space="preserve"> </w:t>
      </w:r>
      <w:r w:rsidRPr="009774B4">
        <w:t xml:space="preserve">almost equivalent GHS sub-categorization performance to the existing criterion of the cut-off of 2% with LLNA-RI data (Maeda and </w:t>
      </w:r>
      <w:proofErr w:type="spellStart"/>
      <w:r w:rsidRPr="009774B4">
        <w:t>Takeyoshi</w:t>
      </w:r>
      <w:proofErr w:type="spellEnd"/>
      <w:r w:rsidRPr="009774B4">
        <w:t>, 2019). Using this criterion, the correct outcomes (%) for GHS 1A and GHS 1B category chemicals were 92.3 and 84.2</w:t>
      </w:r>
      <w:r>
        <w:t>. respectively,</w:t>
      </w:r>
      <w:r w:rsidRPr="009774B4">
        <w:t xml:space="preserve"> for all 32 chemicals. When excluding 2-mercaptobenzothiazole which may cause a strain-specific low response in this assay system, the correct outcome (%) for GHS 1A chemicals was 100.</w:t>
      </w:r>
    </w:p>
    <w:p w14:paraId="07B414EA" w14:textId="77777777" w:rsidR="00B90C82" w:rsidRPr="009774B4" w:rsidRDefault="00B90C82" w:rsidP="00B90C82">
      <w:pPr>
        <w:pStyle w:val="SingleTxtG"/>
      </w:pPr>
    </w:p>
    <w:p w14:paraId="22931526" w14:textId="77777777" w:rsidR="00B90C82" w:rsidRPr="009774B4" w:rsidRDefault="00B90C82" w:rsidP="00B90C82">
      <w:pPr>
        <w:pStyle w:val="SingleTxtG"/>
        <w:jc w:val="center"/>
      </w:pPr>
      <w:r>
        <w:lastRenderedPageBreak/>
        <w:t xml:space="preserve">Table 1.  </w:t>
      </w:r>
      <w:r w:rsidRPr="009774B4">
        <w:t xml:space="preserve">Proposed GHS sub-categorization criterion for LLNA: </w:t>
      </w:r>
      <w:proofErr w:type="spellStart"/>
      <w:r w:rsidRPr="009774B4">
        <w:t>BrdU</w:t>
      </w:r>
      <w:proofErr w:type="spellEnd"/>
      <w:r w:rsidRPr="009774B4">
        <w:t>-ELISA</w:t>
      </w:r>
    </w:p>
    <w:tbl>
      <w:tblPr>
        <w:tblW w:w="5780" w:type="dxa"/>
        <w:jc w:val="center"/>
        <w:tblCellMar>
          <w:left w:w="99" w:type="dxa"/>
          <w:right w:w="99" w:type="dxa"/>
        </w:tblCellMar>
        <w:tblLook w:val="04A0" w:firstRow="1" w:lastRow="0" w:firstColumn="1" w:lastColumn="0" w:noHBand="0" w:noVBand="1"/>
      </w:tblPr>
      <w:tblGrid>
        <w:gridCol w:w="3200"/>
        <w:gridCol w:w="3189"/>
      </w:tblGrid>
      <w:tr w:rsidR="00B90C82" w:rsidRPr="00DD7216" w14:paraId="5D423870" w14:textId="77777777" w:rsidTr="00F0243D">
        <w:trPr>
          <w:trHeight w:val="285"/>
          <w:jc w:val="center"/>
        </w:trPr>
        <w:tc>
          <w:tcPr>
            <w:tcW w:w="13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F9F18DC" w14:textId="77777777" w:rsidR="00B90C82" w:rsidRPr="009774B4" w:rsidRDefault="00B90C82" w:rsidP="00F0243D">
            <w:pPr>
              <w:pStyle w:val="SingleTxtG"/>
            </w:pPr>
            <w:r w:rsidRPr="009774B4">
              <w:t>Category</w:t>
            </w:r>
          </w:p>
        </w:tc>
        <w:tc>
          <w:tcPr>
            <w:tcW w:w="4480" w:type="dxa"/>
            <w:tcBorders>
              <w:top w:val="single" w:sz="8" w:space="0" w:color="000000"/>
              <w:left w:val="nil"/>
              <w:bottom w:val="single" w:sz="8" w:space="0" w:color="000000"/>
              <w:right w:val="single" w:sz="8" w:space="0" w:color="000000"/>
            </w:tcBorders>
            <w:shd w:val="clear" w:color="auto" w:fill="auto"/>
            <w:vAlign w:val="center"/>
            <w:hideMark/>
          </w:tcPr>
          <w:p w14:paraId="1589A9C2" w14:textId="77777777" w:rsidR="00B90C82" w:rsidRPr="009774B4" w:rsidRDefault="00B90C82" w:rsidP="00F0243D">
            <w:pPr>
              <w:pStyle w:val="SingleTxtG"/>
            </w:pPr>
            <w:r w:rsidRPr="009774B4">
              <w:t>Criterion</w:t>
            </w:r>
          </w:p>
        </w:tc>
      </w:tr>
      <w:tr w:rsidR="00B90C82" w:rsidRPr="00DD7216" w14:paraId="02CB16DE" w14:textId="77777777" w:rsidTr="00F0243D">
        <w:trPr>
          <w:trHeight w:val="285"/>
          <w:jc w:val="center"/>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507C0D08" w14:textId="77777777" w:rsidR="00B90C82" w:rsidRPr="009774B4" w:rsidRDefault="00B90C82" w:rsidP="00F0243D">
            <w:pPr>
              <w:pStyle w:val="SingleTxtG"/>
            </w:pPr>
            <w:r w:rsidRPr="009774B4">
              <w:t>Cat.1</w:t>
            </w:r>
          </w:p>
        </w:tc>
        <w:tc>
          <w:tcPr>
            <w:tcW w:w="4480" w:type="dxa"/>
            <w:tcBorders>
              <w:top w:val="nil"/>
              <w:left w:val="nil"/>
              <w:bottom w:val="single" w:sz="8" w:space="0" w:color="000000"/>
              <w:right w:val="single" w:sz="8" w:space="0" w:color="000000"/>
            </w:tcBorders>
            <w:shd w:val="clear" w:color="auto" w:fill="auto"/>
            <w:vAlign w:val="center"/>
            <w:hideMark/>
          </w:tcPr>
          <w:p w14:paraId="420CDEC6" w14:textId="77777777" w:rsidR="00B90C82" w:rsidRPr="009774B4" w:rsidRDefault="00B90C82" w:rsidP="00F0243D">
            <w:pPr>
              <w:pStyle w:val="SingleTxtG"/>
              <w:ind w:left="321" w:right="544"/>
            </w:pPr>
            <w:r w:rsidRPr="009774B4">
              <w:t>SI ≥ 1.6</w:t>
            </w:r>
          </w:p>
        </w:tc>
      </w:tr>
      <w:tr w:rsidR="00B90C82" w:rsidRPr="00DD7216" w14:paraId="558AACE1" w14:textId="77777777" w:rsidTr="00F0243D">
        <w:trPr>
          <w:trHeight w:val="285"/>
          <w:jc w:val="center"/>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4438FA52" w14:textId="77777777" w:rsidR="00B90C82" w:rsidRPr="009774B4" w:rsidRDefault="00B90C82" w:rsidP="00F0243D">
            <w:pPr>
              <w:pStyle w:val="SingleTxtG"/>
            </w:pPr>
            <w:r w:rsidRPr="009774B4">
              <w:t>Cat.1A</w:t>
            </w:r>
          </w:p>
        </w:tc>
        <w:tc>
          <w:tcPr>
            <w:tcW w:w="4480" w:type="dxa"/>
            <w:tcBorders>
              <w:top w:val="nil"/>
              <w:left w:val="nil"/>
              <w:bottom w:val="single" w:sz="8" w:space="0" w:color="000000"/>
              <w:right w:val="single" w:sz="8" w:space="0" w:color="000000"/>
            </w:tcBorders>
            <w:shd w:val="clear" w:color="auto" w:fill="auto"/>
            <w:vAlign w:val="center"/>
            <w:hideMark/>
          </w:tcPr>
          <w:p w14:paraId="58E7F40E" w14:textId="77777777" w:rsidR="00B90C82" w:rsidRPr="009774B4" w:rsidRDefault="00B90C82" w:rsidP="00F0243D">
            <w:pPr>
              <w:pStyle w:val="SingleTxtG"/>
              <w:ind w:left="321" w:right="544"/>
            </w:pPr>
            <w:r w:rsidRPr="009774B4">
              <w:t>EC1.6 value ≤ 6%</w:t>
            </w:r>
          </w:p>
        </w:tc>
      </w:tr>
      <w:tr w:rsidR="00B90C82" w:rsidRPr="00DD7216" w14:paraId="0F7A21A5" w14:textId="77777777" w:rsidTr="00F0243D">
        <w:trPr>
          <w:trHeight w:val="285"/>
          <w:jc w:val="center"/>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44170DE1" w14:textId="77777777" w:rsidR="00B90C82" w:rsidRPr="009774B4" w:rsidRDefault="00B90C82" w:rsidP="00F0243D">
            <w:pPr>
              <w:pStyle w:val="SingleTxtG"/>
            </w:pPr>
            <w:r w:rsidRPr="009774B4">
              <w:t>Cat.1B</w:t>
            </w:r>
          </w:p>
        </w:tc>
        <w:tc>
          <w:tcPr>
            <w:tcW w:w="4480" w:type="dxa"/>
            <w:tcBorders>
              <w:top w:val="nil"/>
              <w:left w:val="nil"/>
              <w:bottom w:val="single" w:sz="8" w:space="0" w:color="000000"/>
              <w:right w:val="single" w:sz="8" w:space="0" w:color="000000"/>
            </w:tcBorders>
            <w:shd w:val="clear" w:color="auto" w:fill="auto"/>
            <w:vAlign w:val="center"/>
            <w:hideMark/>
          </w:tcPr>
          <w:p w14:paraId="437C37EC" w14:textId="77777777" w:rsidR="00B90C82" w:rsidRPr="009774B4" w:rsidRDefault="00B90C82" w:rsidP="00F0243D">
            <w:pPr>
              <w:pStyle w:val="SingleTxtG"/>
              <w:ind w:left="321" w:right="544"/>
            </w:pPr>
            <w:r w:rsidRPr="009774B4">
              <w:t>EC1.6 value &gt; 6%</w:t>
            </w:r>
          </w:p>
        </w:tc>
      </w:tr>
    </w:tbl>
    <w:p w14:paraId="74A04E00" w14:textId="77777777" w:rsidR="00B90C82" w:rsidRDefault="00B90C82" w:rsidP="00D55F24">
      <w:pPr>
        <w:pStyle w:val="SingleTxtG"/>
        <w:spacing w:before="240"/>
      </w:pPr>
      <w:r>
        <w:t>5</w:t>
      </w:r>
      <w:r w:rsidRPr="009774B4">
        <w:rPr>
          <w:rFonts w:hint="eastAsia"/>
        </w:rPr>
        <w:t>.</w:t>
      </w:r>
      <w:r w:rsidRPr="009774B4">
        <w:tab/>
        <w:t>Further examination to confirm the applicability of the proposed GHS sub-categorization criterion to data derived from the commonly used mouse strain was conducted with fifteen chemicals categorized in GHS Category 1A or Category 1B sensitizers listed in the LLNA performance standard. The results revealed that all GHS Category 1A or Category 1B chemicals could be correctly assigned using the newly proposed criterion.</w:t>
      </w:r>
      <w:r w:rsidRPr="00D8189B">
        <w:t xml:space="preserve"> </w:t>
      </w:r>
      <w:r w:rsidRPr="009774B4">
        <w:t>(Kobayashi et al., 2020).</w:t>
      </w:r>
    </w:p>
    <w:p w14:paraId="77529C77" w14:textId="454131C9" w:rsidR="00B90C82" w:rsidRDefault="00B90C82" w:rsidP="00B90C82">
      <w:pPr>
        <w:pStyle w:val="SingleTxtG"/>
      </w:pPr>
      <w:r>
        <w:t>6</w:t>
      </w:r>
      <w:r w:rsidR="00780ABB">
        <w:t>.</w:t>
      </w:r>
      <w:r>
        <w:tab/>
        <w:t xml:space="preserve">The proposal above was discussed by the OECD </w:t>
      </w:r>
      <w:r w:rsidRPr="002035EB">
        <w:t>expert group on alternative methods for skin sensiti</w:t>
      </w:r>
      <w:r>
        <w:t>z</w:t>
      </w:r>
      <w:r w:rsidRPr="002035EB">
        <w:t>ation</w:t>
      </w:r>
      <w:r>
        <w:t xml:space="preserve"> at a meeting held in October 2020, and the group decided to support the proposal.</w:t>
      </w:r>
    </w:p>
    <w:p w14:paraId="167399A1" w14:textId="7ED1C562" w:rsidR="00B90C82" w:rsidRDefault="00B90C82" w:rsidP="00B90C82">
      <w:pPr>
        <w:pStyle w:val="SingleTxtG"/>
      </w:pPr>
      <w:r>
        <w:t xml:space="preserve">7. </w:t>
      </w:r>
      <w:r>
        <w:tab/>
      </w:r>
      <w:r w:rsidRPr="00AB3D1F">
        <w:t xml:space="preserve">Then the proposal was submitted to the </w:t>
      </w:r>
      <w:r>
        <w:t>39</w:t>
      </w:r>
      <w:r w:rsidRPr="00C92F03">
        <w:rPr>
          <w:vertAlign w:val="superscript"/>
        </w:rPr>
        <w:t>th</w:t>
      </w:r>
      <w:r w:rsidRPr="00AB3D1F">
        <w:t xml:space="preserve"> </w:t>
      </w:r>
      <w:r w:rsidR="00C06FAE">
        <w:t xml:space="preserve">session of the </w:t>
      </w:r>
      <w:r w:rsidRPr="00AB3D1F">
        <w:t xml:space="preserve">Sub-Committee and was agreed to </w:t>
      </w:r>
      <w:r>
        <w:t xml:space="preserve">be </w:t>
      </w:r>
      <w:r w:rsidRPr="00AB3D1F">
        <w:t>include</w:t>
      </w:r>
      <w:r>
        <w:t>d</w:t>
      </w:r>
      <w:r w:rsidRPr="00AB3D1F">
        <w:t xml:space="preserve"> </w:t>
      </w:r>
      <w:r>
        <w:t xml:space="preserve">in </w:t>
      </w:r>
      <w:r w:rsidRPr="00AB3D1F">
        <w:t xml:space="preserve">the two-year work plan </w:t>
      </w:r>
      <w:r>
        <w:t>for</w:t>
      </w:r>
      <w:r w:rsidRPr="00AB3D1F">
        <w:t xml:space="preserve"> 2021-2022. </w:t>
      </w:r>
      <w:r>
        <w:t>Noting</w:t>
      </w:r>
      <w:r w:rsidRPr="00AB3D1F">
        <w:t xml:space="preserve"> that this issue had been considered by the OECD Expert Group on skin sensitization,</w:t>
      </w:r>
      <w:r>
        <w:t xml:space="preserve"> t</w:t>
      </w:r>
      <w:r w:rsidRPr="00AB3D1F">
        <w:t>he Sub-</w:t>
      </w:r>
      <w:proofErr w:type="spellStart"/>
      <w:r w:rsidRPr="00AB3D1F">
        <w:t>Committee</w:t>
      </w:r>
      <w:r>
        <w:t>,</w:t>
      </w:r>
      <w:r w:rsidRPr="00AB3D1F">
        <w:t>as</w:t>
      </w:r>
      <w:proofErr w:type="spellEnd"/>
      <w:r w:rsidRPr="00AB3D1F">
        <w:t xml:space="preserve"> a first step, invited the expert from Japan to report to the Sub-Committee at the </w:t>
      </w:r>
      <w:r>
        <w:t>40</w:t>
      </w:r>
      <w:r w:rsidRPr="00C92F03">
        <w:rPr>
          <w:vertAlign w:val="superscript"/>
        </w:rPr>
        <w:t>th</w:t>
      </w:r>
      <w:r w:rsidRPr="00AB3D1F">
        <w:t xml:space="preserve"> session on the discussions on this topic and their outcome at </w:t>
      </w:r>
      <w:r>
        <w:t xml:space="preserve">the </w:t>
      </w:r>
      <w:r w:rsidRPr="00AB3D1F">
        <w:t>OECD level. It was also noted that the work led by Japan should be done in parallel and in coordination with the on-going work on non-animal test methods led by the United Kingdom and the Netherlands.</w:t>
      </w:r>
    </w:p>
    <w:p w14:paraId="6BD967FD" w14:textId="77777777" w:rsidR="00B90C82" w:rsidRPr="001169A8" w:rsidRDefault="00B90C82" w:rsidP="00D55F24">
      <w:pPr>
        <w:pStyle w:val="HChG"/>
      </w:pPr>
      <w:r w:rsidRPr="001169A8">
        <w:tab/>
      </w:r>
      <w:r w:rsidRPr="001169A8">
        <w:tab/>
        <w:t>Status report</w:t>
      </w:r>
    </w:p>
    <w:p w14:paraId="0E773F16" w14:textId="77777777" w:rsidR="00B90C82" w:rsidRPr="003D2839" w:rsidRDefault="00B90C82" w:rsidP="00B90C82">
      <w:pPr>
        <w:pStyle w:val="SingleTxtG"/>
      </w:pPr>
      <w:r w:rsidRPr="003D2839">
        <w:t>8.</w:t>
      </w:r>
      <w:r w:rsidRPr="003D2839">
        <w:tab/>
      </w:r>
      <w:r>
        <w:t>Based on the discussion with the OECD secretariat for the support work t</w:t>
      </w:r>
      <w:r w:rsidRPr="003D2839">
        <w:t xml:space="preserve">o strengthen the rationale for the proposed criterion, an independent review of the data would be desirable. </w:t>
      </w:r>
      <w:r>
        <w:t xml:space="preserve">The </w:t>
      </w:r>
      <w:r w:rsidRPr="003D2839">
        <w:t>OECD Secretariat proposed to involve the skin sensitization expert group in the review of the data</w:t>
      </w:r>
      <w:r>
        <w:t xml:space="preserve"> used to decide the criterion.</w:t>
      </w:r>
    </w:p>
    <w:p w14:paraId="38250DA9" w14:textId="77777777" w:rsidR="00B90C82" w:rsidRDefault="00B90C82" w:rsidP="00B90C82">
      <w:pPr>
        <w:pStyle w:val="SingleTxtG"/>
      </w:pPr>
      <w:r w:rsidRPr="003D2839">
        <w:rPr>
          <w:rFonts w:hint="eastAsia"/>
        </w:rPr>
        <w:t xml:space="preserve">9. </w:t>
      </w:r>
      <w:r>
        <w:tab/>
      </w:r>
      <w:r w:rsidRPr="003D2839">
        <w:t xml:space="preserve">The proposed criterion is based on two publications (Maeda and </w:t>
      </w:r>
      <w:proofErr w:type="spellStart"/>
      <w:r w:rsidRPr="003D2839">
        <w:t>Takeyoshi</w:t>
      </w:r>
      <w:proofErr w:type="spellEnd"/>
      <w:r w:rsidRPr="003D2839">
        <w:t xml:space="preserve">, 2019; Kobayashi, et al., 2020). The first publication (Maeda and </w:t>
      </w:r>
      <w:proofErr w:type="spellStart"/>
      <w:r w:rsidRPr="003D2839">
        <w:t>Takeyoshi</w:t>
      </w:r>
      <w:proofErr w:type="spellEnd"/>
      <w:r w:rsidRPr="003D2839">
        <w:t>, 2019) supports the establishment of the criterion based on the existing data cited in the peer review report of ICCVAM (ICCVAM, 2010). The second publication (Kobayashi, et al., 2020) confirms the applicability of the proposed criterion to the commonly used mouse strain, based on additional experimental work on 15 skin sensiti</w:t>
      </w:r>
      <w:r>
        <w:t>z</w:t>
      </w:r>
      <w:r w:rsidRPr="003D2839">
        <w:t>ers.</w:t>
      </w:r>
    </w:p>
    <w:p w14:paraId="43B47017" w14:textId="4B3BB77E" w:rsidR="00B90C82" w:rsidRDefault="00B90C82" w:rsidP="00B90C82">
      <w:pPr>
        <w:pStyle w:val="SingleTxtG"/>
      </w:pPr>
      <w:r>
        <w:t>10.</w:t>
      </w:r>
      <w:r>
        <w:tab/>
      </w:r>
      <w:r w:rsidRPr="003D2839">
        <w:t xml:space="preserve">Accordingly, the objective of the </w:t>
      </w:r>
      <w:r>
        <w:t xml:space="preserve">OECD </w:t>
      </w:r>
      <w:r w:rsidRPr="003D2839">
        <w:t>review would be to evaluate (</w:t>
      </w:r>
      <w:proofErr w:type="spellStart"/>
      <w:r w:rsidRPr="003D2839">
        <w:t>i</w:t>
      </w:r>
      <w:proofErr w:type="spellEnd"/>
      <w:r w:rsidRPr="003D2839">
        <w:t xml:space="preserve">) the process of setting the criterion </w:t>
      </w:r>
      <w:r>
        <w:t xml:space="preserve">used </w:t>
      </w:r>
      <w:r w:rsidRPr="003D2839">
        <w:t xml:space="preserve">in the first publication, and (ii) the validity of the data and the results </w:t>
      </w:r>
      <w:r>
        <w:t>presented in</w:t>
      </w:r>
      <w:r w:rsidRPr="003D2839">
        <w:t xml:space="preserve"> the second publication, and finally (iii) the overall robustness of the sub-categori</w:t>
      </w:r>
      <w:r>
        <w:t>z</w:t>
      </w:r>
      <w:r w:rsidRPr="003D2839">
        <w:t>ation criterion on the full data set.</w:t>
      </w:r>
    </w:p>
    <w:p w14:paraId="4D44890A" w14:textId="77777777" w:rsidR="00B90C82" w:rsidRDefault="00B90C82" w:rsidP="00B90C82">
      <w:pPr>
        <w:pStyle w:val="SingleTxtG"/>
      </w:pPr>
      <w:r>
        <w:t xml:space="preserve">11. </w:t>
      </w:r>
      <w:r>
        <w:tab/>
        <w:t xml:space="preserve"> The OECD support work plan and the timeline (OECD, 2021) was submitted </w:t>
      </w:r>
      <w:r>
        <w:rPr>
          <w:rFonts w:hint="eastAsia"/>
          <w:lang w:eastAsia="ja-JP"/>
        </w:rPr>
        <w:t>f</w:t>
      </w:r>
      <w:r>
        <w:rPr>
          <w:lang w:eastAsia="ja-JP"/>
        </w:rPr>
        <w:t xml:space="preserve">or approval at the </w:t>
      </w:r>
      <w:r>
        <w:t>33</w:t>
      </w:r>
      <w:r w:rsidRPr="001C121D">
        <w:rPr>
          <w:vertAlign w:val="superscript"/>
        </w:rPr>
        <w:t>rd</w:t>
      </w:r>
      <w:r>
        <w:t xml:space="preserve"> </w:t>
      </w:r>
      <w:r w:rsidRPr="00242340">
        <w:t>Meeting of the Working Party of the National Coordinators of the Test Guidelines Programme</w:t>
      </w:r>
      <w:r>
        <w:t xml:space="preserve"> (WNT</w:t>
      </w:r>
      <w:proofErr w:type="gramStart"/>
      <w:r>
        <w:t>)</w:t>
      </w:r>
      <w:r>
        <w:rPr>
          <w:rFonts w:hint="eastAsia"/>
          <w:lang w:eastAsia="ja-JP"/>
        </w:rPr>
        <w:t>,</w:t>
      </w:r>
      <w:r>
        <w:t xml:space="preserve"> and</w:t>
      </w:r>
      <w:proofErr w:type="gramEnd"/>
      <w:r>
        <w:t xml:space="preserve"> approved. T</w:t>
      </w:r>
      <w:r w:rsidRPr="00666941">
        <w:t xml:space="preserve">he timeline and anticipated actions </w:t>
      </w:r>
      <w:r>
        <w:t xml:space="preserve">in OECD and GHS </w:t>
      </w:r>
      <w:r w:rsidRPr="00AB3D1F">
        <w:t>Sub-Committee</w:t>
      </w:r>
      <w:r w:rsidRPr="00666941">
        <w:t xml:space="preserve"> are shown in </w:t>
      </w:r>
      <w:r>
        <w:t>T</w:t>
      </w:r>
      <w:r w:rsidRPr="00666941">
        <w:t>able</w:t>
      </w:r>
      <w:r>
        <w:t xml:space="preserve"> 2.</w:t>
      </w:r>
    </w:p>
    <w:p w14:paraId="0974B12B" w14:textId="4E6F5A7E" w:rsidR="00B90C82" w:rsidRPr="004B4936" w:rsidRDefault="00B90C82" w:rsidP="00B90C82">
      <w:pPr>
        <w:pStyle w:val="SingleTxtG"/>
      </w:pPr>
      <w:r>
        <w:t xml:space="preserve">12. </w:t>
      </w:r>
      <w:r>
        <w:tab/>
        <w:t>After the discussion of the review results with t</w:t>
      </w:r>
      <w:r w:rsidRPr="001C121D">
        <w:t>he OECD expert group on alternative methods for skin sensiti</w:t>
      </w:r>
      <w:r>
        <w:t>z</w:t>
      </w:r>
      <w:r w:rsidRPr="001C121D">
        <w:t xml:space="preserve">ation </w:t>
      </w:r>
      <w:r>
        <w:t xml:space="preserve">at a meeting to be </w:t>
      </w:r>
      <w:r w:rsidRPr="001C121D">
        <w:t>held in October 202</w:t>
      </w:r>
      <w:r>
        <w:t>1, the interim review results will be reported to the 41</w:t>
      </w:r>
      <w:r w:rsidRPr="006F00E9">
        <w:rPr>
          <w:vertAlign w:val="superscript"/>
        </w:rPr>
        <w:t>st</w:t>
      </w:r>
      <w:r>
        <w:t xml:space="preserve"> </w:t>
      </w:r>
      <w:r w:rsidR="001F4CBE">
        <w:t xml:space="preserve">session of the </w:t>
      </w:r>
      <w:r w:rsidRPr="00AB3D1F">
        <w:t>Sub-Committee</w:t>
      </w:r>
      <w:r>
        <w:t>. Then OECD</w:t>
      </w:r>
      <w:r w:rsidRPr="004B4936">
        <w:t xml:space="preserve"> w</w:t>
      </w:r>
      <w:r>
        <w:t>ill</w:t>
      </w:r>
      <w:r w:rsidRPr="004B4936">
        <w:t xml:space="preserve"> complete the support work and preparation of the support document by February 2022.</w:t>
      </w:r>
    </w:p>
    <w:p w14:paraId="6DE8570F" w14:textId="4E248CD0" w:rsidR="00B90C82" w:rsidRDefault="00B90C82" w:rsidP="00B90C82">
      <w:pPr>
        <w:pStyle w:val="SingleTxtG"/>
        <w:rPr>
          <w:lang w:eastAsia="ja-JP"/>
        </w:rPr>
      </w:pPr>
      <w:r>
        <w:rPr>
          <w:rFonts w:hint="eastAsia"/>
        </w:rPr>
        <w:t xml:space="preserve">13. </w:t>
      </w:r>
      <w:r>
        <w:rPr>
          <w:rFonts w:hint="eastAsia"/>
        </w:rPr>
        <w:tab/>
      </w:r>
      <w:r>
        <w:t xml:space="preserve">Japan aims to submit the working document for approval of the proposal to </w:t>
      </w:r>
      <w:r w:rsidRPr="00137E56">
        <w:t xml:space="preserve">the </w:t>
      </w:r>
      <w:r>
        <w:t>42</w:t>
      </w:r>
      <w:r w:rsidRPr="001C121D">
        <w:rPr>
          <w:vertAlign w:val="superscript"/>
        </w:rPr>
        <w:t>nd</w:t>
      </w:r>
      <w:r>
        <w:t xml:space="preserve"> </w:t>
      </w:r>
      <w:r w:rsidR="001F4CBE">
        <w:t xml:space="preserve">session of the </w:t>
      </w:r>
      <w:r w:rsidRPr="00137E56">
        <w:t xml:space="preserve">GHS </w:t>
      </w:r>
      <w:r w:rsidR="001F4CBE">
        <w:t>S</w:t>
      </w:r>
      <w:r w:rsidRPr="00137E56">
        <w:t>ub-</w:t>
      </w:r>
      <w:r w:rsidR="001F4CBE">
        <w:t>C</w:t>
      </w:r>
      <w:r w:rsidRPr="00137E56">
        <w:t>ommittee</w:t>
      </w:r>
      <w:r w:rsidRPr="00666941">
        <w:t xml:space="preserve"> </w:t>
      </w:r>
      <w:r>
        <w:t>with the OECD review report.</w:t>
      </w:r>
    </w:p>
    <w:p w14:paraId="0560C154" w14:textId="77777777" w:rsidR="00B90C82" w:rsidRDefault="00B90C82" w:rsidP="00B90C82">
      <w:pPr>
        <w:suppressAutoHyphens w:val="0"/>
        <w:spacing w:line="240" w:lineRule="auto"/>
      </w:pPr>
      <w:r>
        <w:br w:type="page"/>
      </w:r>
    </w:p>
    <w:tbl>
      <w:tblPr>
        <w:tblStyle w:val="TableGrid"/>
        <w:tblpPr w:leftFromText="142" w:rightFromText="142" w:vertAnchor="text" w:tblpY="1"/>
        <w:tblOverlap w:val="never"/>
        <w:tblW w:w="0" w:type="auto"/>
        <w:tblLook w:val="04A0" w:firstRow="1" w:lastRow="0" w:firstColumn="1" w:lastColumn="0" w:noHBand="0" w:noVBand="1"/>
      </w:tblPr>
      <w:tblGrid>
        <w:gridCol w:w="423"/>
        <w:gridCol w:w="210"/>
        <w:gridCol w:w="1068"/>
        <w:gridCol w:w="1276"/>
        <w:gridCol w:w="6662"/>
      </w:tblGrid>
      <w:tr w:rsidR="00B90C82" w14:paraId="5CF195D2" w14:textId="77777777" w:rsidTr="00F0243D">
        <w:trPr>
          <w:trHeight w:val="270"/>
        </w:trPr>
        <w:tc>
          <w:tcPr>
            <w:tcW w:w="9639" w:type="dxa"/>
            <w:gridSpan w:val="5"/>
            <w:tcBorders>
              <w:top w:val="nil"/>
              <w:left w:val="nil"/>
              <w:bottom w:val="single" w:sz="4" w:space="0" w:color="auto"/>
              <w:right w:val="nil"/>
            </w:tcBorders>
            <w:noWrap/>
            <w:hideMark/>
          </w:tcPr>
          <w:p w14:paraId="6BE57620" w14:textId="77777777" w:rsidR="00B90C82" w:rsidRDefault="00B90C82" w:rsidP="00D55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60" w:lineRule="exact"/>
              <w:jc w:val="center"/>
              <w:rPr>
                <w:rFonts w:eastAsia="MS PMincho"/>
                <w:lang w:eastAsia="ja-JP"/>
              </w:rPr>
            </w:pPr>
            <w:r>
              <w:rPr>
                <w:rFonts w:eastAsia="MS PMincho"/>
                <w:lang w:eastAsia="ja-JP"/>
              </w:rPr>
              <w:lastRenderedPageBreak/>
              <w:t>Table 2. Timeline and the anticipated actions required for the work plan*</w:t>
            </w:r>
          </w:p>
        </w:tc>
      </w:tr>
      <w:tr w:rsidR="00B90C82" w14:paraId="57B3A141" w14:textId="77777777" w:rsidTr="00F0243D">
        <w:trPr>
          <w:trHeight w:val="270"/>
        </w:trPr>
        <w:tc>
          <w:tcPr>
            <w:tcW w:w="633" w:type="dxa"/>
            <w:gridSpan w:val="2"/>
            <w:vMerge w:val="restart"/>
            <w:tcBorders>
              <w:top w:val="single" w:sz="4" w:space="0" w:color="auto"/>
              <w:left w:val="single" w:sz="4" w:space="0" w:color="auto"/>
              <w:bottom w:val="single" w:sz="4" w:space="0" w:color="auto"/>
              <w:right w:val="single" w:sz="4" w:space="0" w:color="auto"/>
            </w:tcBorders>
            <w:noWrap/>
          </w:tcPr>
          <w:p w14:paraId="3B0D7E38"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rPr>
                <w:rFonts w:eastAsia="MS PMincho"/>
                <w:lang w:eastAsia="x-none"/>
              </w:rPr>
            </w:pPr>
            <w:r>
              <w:rPr>
                <w:rFonts w:eastAsia="MS PMincho"/>
                <w:lang w:val="x-none" w:eastAsia="x-none"/>
              </w:rPr>
              <w:br w:type="page"/>
            </w:r>
          </w:p>
        </w:tc>
        <w:tc>
          <w:tcPr>
            <w:tcW w:w="2344" w:type="dxa"/>
            <w:gridSpan w:val="2"/>
            <w:tcBorders>
              <w:top w:val="single" w:sz="4" w:space="0" w:color="auto"/>
              <w:left w:val="single" w:sz="4" w:space="0" w:color="auto"/>
              <w:bottom w:val="single" w:sz="4" w:space="0" w:color="auto"/>
              <w:right w:val="single" w:sz="4" w:space="0" w:color="auto"/>
            </w:tcBorders>
            <w:noWrap/>
            <w:hideMark/>
          </w:tcPr>
          <w:p w14:paraId="0FAFF786"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jc w:val="center"/>
              <w:rPr>
                <w:rFonts w:eastAsia="MS PMincho"/>
                <w:lang w:eastAsia="x-none"/>
              </w:rPr>
            </w:pPr>
            <w:r>
              <w:rPr>
                <w:rFonts w:eastAsia="MS PMincho"/>
                <w:lang w:eastAsia="x-none"/>
              </w:rPr>
              <w:t>Events</w:t>
            </w:r>
          </w:p>
        </w:tc>
        <w:tc>
          <w:tcPr>
            <w:tcW w:w="6662" w:type="dxa"/>
            <w:vMerge w:val="restart"/>
            <w:tcBorders>
              <w:top w:val="single" w:sz="4" w:space="0" w:color="auto"/>
              <w:left w:val="single" w:sz="4" w:space="0" w:color="auto"/>
              <w:bottom w:val="single" w:sz="4" w:space="0" w:color="auto"/>
              <w:right w:val="single" w:sz="4" w:space="0" w:color="auto"/>
            </w:tcBorders>
            <w:noWrap/>
            <w:hideMark/>
          </w:tcPr>
          <w:p w14:paraId="6CB7869A"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jc w:val="center"/>
              <w:rPr>
                <w:rFonts w:eastAsia="MS PMincho"/>
                <w:lang w:eastAsia="x-none"/>
              </w:rPr>
            </w:pPr>
            <w:r>
              <w:rPr>
                <w:rFonts w:eastAsia="MS PMincho"/>
                <w:lang w:eastAsia="x-none"/>
              </w:rPr>
              <w:t>Actions</w:t>
            </w:r>
          </w:p>
        </w:tc>
      </w:tr>
      <w:tr w:rsidR="00B90C82" w14:paraId="05D1DE43" w14:textId="77777777" w:rsidTr="00F0243D">
        <w:trPr>
          <w:trHeight w:val="27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13E1641" w14:textId="77777777" w:rsidR="00B90C82" w:rsidRDefault="00B90C82" w:rsidP="00F0243D">
            <w:pPr>
              <w:spacing w:line="300" w:lineRule="exact"/>
              <w:rPr>
                <w:rFonts w:eastAsia="MS PMincho"/>
                <w:lang w:eastAsia="x-none"/>
              </w:rPr>
            </w:pPr>
          </w:p>
        </w:tc>
        <w:tc>
          <w:tcPr>
            <w:tcW w:w="1068" w:type="dxa"/>
            <w:tcBorders>
              <w:top w:val="single" w:sz="4" w:space="0" w:color="auto"/>
              <w:left w:val="single" w:sz="4" w:space="0" w:color="auto"/>
              <w:bottom w:val="single" w:sz="4" w:space="0" w:color="auto"/>
              <w:right w:val="single" w:sz="4" w:space="0" w:color="auto"/>
            </w:tcBorders>
            <w:noWrap/>
            <w:hideMark/>
          </w:tcPr>
          <w:p w14:paraId="65E874B5"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jc w:val="center"/>
              <w:rPr>
                <w:rFonts w:eastAsia="MS PMincho"/>
                <w:lang w:eastAsia="x-none"/>
              </w:rPr>
            </w:pPr>
            <w:r>
              <w:rPr>
                <w:rFonts w:eastAsia="MS PMincho"/>
                <w:lang w:eastAsia="x-none"/>
              </w:rPr>
              <w:t>OECD</w:t>
            </w:r>
          </w:p>
        </w:tc>
        <w:tc>
          <w:tcPr>
            <w:tcW w:w="1276" w:type="dxa"/>
            <w:tcBorders>
              <w:top w:val="single" w:sz="4" w:space="0" w:color="auto"/>
              <w:left w:val="single" w:sz="4" w:space="0" w:color="auto"/>
              <w:bottom w:val="single" w:sz="4" w:space="0" w:color="auto"/>
              <w:right w:val="single" w:sz="4" w:space="0" w:color="auto"/>
            </w:tcBorders>
            <w:noWrap/>
            <w:hideMark/>
          </w:tcPr>
          <w:p w14:paraId="21D22D54"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jc w:val="center"/>
              <w:rPr>
                <w:rFonts w:eastAsia="MS PMincho"/>
                <w:lang w:eastAsia="x-none"/>
              </w:rPr>
            </w:pPr>
            <w:r>
              <w:rPr>
                <w:rFonts w:eastAsia="MS PMincho"/>
                <w:lang w:eastAsia="x-none"/>
              </w:rPr>
              <w:t>UN</w:t>
            </w:r>
          </w:p>
        </w:tc>
        <w:tc>
          <w:tcPr>
            <w:tcW w:w="6662" w:type="dxa"/>
            <w:vMerge/>
            <w:tcBorders>
              <w:top w:val="single" w:sz="4" w:space="0" w:color="auto"/>
              <w:left w:val="single" w:sz="4" w:space="0" w:color="auto"/>
              <w:bottom w:val="single" w:sz="4" w:space="0" w:color="auto"/>
              <w:right w:val="single" w:sz="4" w:space="0" w:color="auto"/>
            </w:tcBorders>
            <w:vAlign w:val="center"/>
            <w:hideMark/>
          </w:tcPr>
          <w:p w14:paraId="1721C6BC" w14:textId="77777777" w:rsidR="00B90C82" w:rsidRDefault="00B90C82" w:rsidP="00F0243D">
            <w:pPr>
              <w:spacing w:line="300" w:lineRule="exact"/>
              <w:rPr>
                <w:rFonts w:eastAsia="MS PMincho"/>
                <w:lang w:eastAsia="x-none"/>
              </w:rPr>
            </w:pPr>
          </w:p>
        </w:tc>
      </w:tr>
      <w:tr w:rsidR="00B90C82" w14:paraId="2A342290" w14:textId="77777777" w:rsidTr="00F0243D">
        <w:trPr>
          <w:trHeight w:val="270"/>
        </w:trPr>
        <w:tc>
          <w:tcPr>
            <w:tcW w:w="423" w:type="dxa"/>
            <w:vMerge w:val="restart"/>
            <w:tcBorders>
              <w:top w:val="single" w:sz="4" w:space="0" w:color="auto"/>
              <w:left w:val="single" w:sz="4" w:space="0" w:color="auto"/>
              <w:bottom w:val="single" w:sz="4" w:space="0" w:color="auto"/>
              <w:right w:val="single" w:sz="4" w:space="0" w:color="auto"/>
            </w:tcBorders>
            <w:noWrap/>
            <w:hideMark/>
          </w:tcPr>
          <w:p w14:paraId="5F485A26"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rPr>
                <w:rFonts w:eastAsia="MS PMincho"/>
                <w:lang w:eastAsia="x-none"/>
              </w:rPr>
            </w:pPr>
            <w:r>
              <w:rPr>
                <w:rFonts w:eastAsia="MS PMincho"/>
                <w:lang w:eastAsia="x-none"/>
              </w:rPr>
              <w:t>2021</w:t>
            </w:r>
          </w:p>
        </w:tc>
        <w:tc>
          <w:tcPr>
            <w:tcW w:w="210" w:type="dxa"/>
            <w:tcBorders>
              <w:top w:val="single" w:sz="4" w:space="0" w:color="auto"/>
              <w:left w:val="single" w:sz="4" w:space="0" w:color="auto"/>
              <w:bottom w:val="single" w:sz="4" w:space="0" w:color="auto"/>
              <w:right w:val="single" w:sz="4" w:space="0" w:color="auto"/>
            </w:tcBorders>
            <w:noWrap/>
            <w:hideMark/>
          </w:tcPr>
          <w:p w14:paraId="75B74B47"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jc w:val="center"/>
              <w:rPr>
                <w:rFonts w:eastAsia="MS PMincho"/>
                <w:lang w:eastAsia="x-none"/>
              </w:rPr>
            </w:pPr>
            <w:r>
              <w:rPr>
                <w:rFonts w:eastAsia="MS PMincho"/>
                <w:lang w:eastAsia="x-none"/>
              </w:rPr>
              <w:t>4</w:t>
            </w:r>
          </w:p>
        </w:tc>
        <w:tc>
          <w:tcPr>
            <w:tcW w:w="1068" w:type="dxa"/>
            <w:tcBorders>
              <w:top w:val="single" w:sz="4" w:space="0" w:color="auto"/>
              <w:left w:val="single" w:sz="4" w:space="0" w:color="auto"/>
              <w:bottom w:val="single" w:sz="4" w:space="0" w:color="auto"/>
              <w:right w:val="single" w:sz="4" w:space="0" w:color="auto"/>
            </w:tcBorders>
            <w:noWrap/>
            <w:hideMark/>
          </w:tcPr>
          <w:p w14:paraId="13CFDD14"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rPr>
                <w:rFonts w:eastAsia="MS PMincho"/>
                <w:lang w:eastAsia="x-none"/>
              </w:rPr>
            </w:pPr>
            <w:r>
              <w:rPr>
                <w:rFonts w:eastAsia="MS PMincho"/>
                <w:lang w:eastAsia="x-none"/>
              </w:rPr>
              <w:t>33</w:t>
            </w:r>
            <w:r w:rsidRPr="00BE122C">
              <w:rPr>
                <w:rFonts w:eastAsia="MS PMincho"/>
                <w:vertAlign w:val="superscript"/>
                <w:lang w:eastAsia="x-none"/>
              </w:rPr>
              <w:t>rd</w:t>
            </w:r>
            <w:r>
              <w:rPr>
                <w:rFonts w:eastAsia="MS PMincho"/>
                <w:lang w:eastAsia="x-none"/>
              </w:rPr>
              <w:t xml:space="preserve"> WNT</w:t>
            </w:r>
          </w:p>
        </w:tc>
        <w:tc>
          <w:tcPr>
            <w:tcW w:w="1276" w:type="dxa"/>
            <w:tcBorders>
              <w:top w:val="single" w:sz="4" w:space="0" w:color="auto"/>
              <w:left w:val="single" w:sz="4" w:space="0" w:color="auto"/>
              <w:bottom w:val="single" w:sz="4" w:space="0" w:color="auto"/>
              <w:right w:val="single" w:sz="4" w:space="0" w:color="auto"/>
            </w:tcBorders>
            <w:noWrap/>
            <w:hideMark/>
          </w:tcPr>
          <w:p w14:paraId="28610C87" w14:textId="77777777" w:rsidR="00B90C82" w:rsidRDefault="00B90C82" w:rsidP="00F0243D">
            <w:pPr>
              <w:spacing w:line="300" w:lineRule="exact"/>
              <w:rPr>
                <w:rFonts w:eastAsia="MS PMincho"/>
                <w:lang w:eastAsia="x-none"/>
              </w:rPr>
            </w:pPr>
          </w:p>
        </w:tc>
        <w:tc>
          <w:tcPr>
            <w:tcW w:w="6662" w:type="dxa"/>
            <w:tcBorders>
              <w:top w:val="single" w:sz="4" w:space="0" w:color="auto"/>
              <w:left w:val="single" w:sz="4" w:space="0" w:color="auto"/>
              <w:bottom w:val="single" w:sz="4" w:space="0" w:color="auto"/>
              <w:right w:val="single" w:sz="4" w:space="0" w:color="auto"/>
            </w:tcBorders>
            <w:noWrap/>
            <w:hideMark/>
          </w:tcPr>
          <w:p w14:paraId="2E2A5CBA"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rPr>
                <w:rFonts w:eastAsia="MS PMincho"/>
                <w:lang w:eastAsia="x-none"/>
              </w:rPr>
            </w:pPr>
            <w:r>
              <w:rPr>
                <w:rFonts w:eastAsia="MS PMincho"/>
                <w:lang w:eastAsia="x-none"/>
              </w:rPr>
              <w:t>Approval of the support from the OECD Expert Group on skin sensitisation for the review and timelines</w:t>
            </w:r>
          </w:p>
        </w:tc>
      </w:tr>
      <w:tr w:rsidR="00B90C82" w14:paraId="7FC879A0" w14:textId="77777777" w:rsidTr="00F0243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1EC3BB" w14:textId="77777777" w:rsidR="00B90C82" w:rsidRDefault="00B90C82" w:rsidP="00F0243D">
            <w:pPr>
              <w:spacing w:line="300" w:lineRule="exact"/>
              <w:rPr>
                <w:rFonts w:eastAsia="MS PMincho"/>
                <w:lang w:eastAsia="x-none"/>
              </w:rPr>
            </w:pPr>
          </w:p>
        </w:tc>
        <w:tc>
          <w:tcPr>
            <w:tcW w:w="210" w:type="dxa"/>
            <w:tcBorders>
              <w:top w:val="single" w:sz="4" w:space="0" w:color="auto"/>
              <w:left w:val="single" w:sz="4" w:space="0" w:color="auto"/>
              <w:bottom w:val="single" w:sz="4" w:space="0" w:color="auto"/>
              <w:right w:val="single" w:sz="4" w:space="0" w:color="auto"/>
            </w:tcBorders>
            <w:noWrap/>
            <w:hideMark/>
          </w:tcPr>
          <w:p w14:paraId="1047B979"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jc w:val="center"/>
              <w:rPr>
                <w:rFonts w:eastAsia="MS PMincho"/>
                <w:lang w:eastAsia="x-none"/>
              </w:rPr>
            </w:pPr>
            <w:r>
              <w:rPr>
                <w:rFonts w:eastAsia="MS PMincho"/>
                <w:lang w:eastAsia="x-none"/>
              </w:rPr>
              <w:t>5</w:t>
            </w:r>
          </w:p>
        </w:tc>
        <w:tc>
          <w:tcPr>
            <w:tcW w:w="1068" w:type="dxa"/>
            <w:tcBorders>
              <w:top w:val="single" w:sz="4" w:space="0" w:color="auto"/>
              <w:left w:val="single" w:sz="4" w:space="0" w:color="auto"/>
              <w:bottom w:val="single" w:sz="4" w:space="0" w:color="auto"/>
              <w:right w:val="single" w:sz="4" w:space="0" w:color="auto"/>
            </w:tcBorders>
            <w:noWrap/>
            <w:hideMark/>
          </w:tcPr>
          <w:p w14:paraId="2AA316F3"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rPr>
                <w:rFonts w:eastAsia="MS PMincho"/>
                <w:lang w:eastAsia="x-none"/>
              </w:rPr>
            </w:pPr>
            <w:r>
              <w:rPr>
                <w:rFonts w:eastAsia="MS PMincho" w:hint="eastAsia"/>
                <w:lang w:val="x-none" w:eastAsia="x-none"/>
              </w:rPr>
              <w:t xml:space="preserve">　</w:t>
            </w:r>
          </w:p>
        </w:tc>
        <w:tc>
          <w:tcPr>
            <w:tcW w:w="1276" w:type="dxa"/>
            <w:tcBorders>
              <w:top w:val="single" w:sz="4" w:space="0" w:color="auto"/>
              <w:left w:val="single" w:sz="4" w:space="0" w:color="auto"/>
              <w:bottom w:val="single" w:sz="4" w:space="0" w:color="auto"/>
              <w:right w:val="single" w:sz="4" w:space="0" w:color="auto"/>
            </w:tcBorders>
            <w:noWrap/>
            <w:hideMark/>
          </w:tcPr>
          <w:p w14:paraId="4DB42066"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rPr>
                <w:rFonts w:eastAsia="MS PMincho"/>
                <w:lang w:eastAsia="x-none"/>
              </w:rPr>
            </w:pPr>
            <w:r>
              <w:rPr>
                <w:rFonts w:eastAsia="MS PMincho" w:hint="eastAsia"/>
                <w:lang w:val="x-none" w:eastAsia="x-none"/>
              </w:rPr>
              <w:t xml:space="preserve">　</w:t>
            </w:r>
          </w:p>
        </w:tc>
        <w:tc>
          <w:tcPr>
            <w:tcW w:w="6662" w:type="dxa"/>
            <w:tcBorders>
              <w:top w:val="single" w:sz="4" w:space="0" w:color="auto"/>
              <w:left w:val="single" w:sz="4" w:space="0" w:color="auto"/>
              <w:bottom w:val="single" w:sz="4" w:space="0" w:color="auto"/>
              <w:right w:val="single" w:sz="4" w:space="0" w:color="auto"/>
            </w:tcBorders>
            <w:noWrap/>
            <w:hideMark/>
          </w:tcPr>
          <w:p w14:paraId="124BC4C5"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rPr>
                <w:rFonts w:eastAsia="MS PMincho"/>
                <w:lang w:eastAsia="x-none"/>
              </w:rPr>
            </w:pPr>
            <w:r>
              <w:rPr>
                <w:rFonts w:eastAsia="MS PMincho" w:hint="eastAsia"/>
                <w:lang w:val="x-none" w:eastAsia="x-none"/>
              </w:rPr>
              <w:t xml:space="preserve">　</w:t>
            </w:r>
          </w:p>
        </w:tc>
      </w:tr>
      <w:tr w:rsidR="00B90C82" w14:paraId="3C9846F4" w14:textId="77777777" w:rsidTr="00F0243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EEFAF1" w14:textId="77777777" w:rsidR="00B90C82" w:rsidRDefault="00B90C82" w:rsidP="00F0243D">
            <w:pPr>
              <w:spacing w:line="300" w:lineRule="exact"/>
              <w:rPr>
                <w:rFonts w:eastAsia="MS PMincho"/>
                <w:lang w:eastAsia="x-none"/>
              </w:rPr>
            </w:pPr>
          </w:p>
        </w:tc>
        <w:tc>
          <w:tcPr>
            <w:tcW w:w="210" w:type="dxa"/>
            <w:tcBorders>
              <w:top w:val="single" w:sz="4" w:space="0" w:color="auto"/>
              <w:left w:val="single" w:sz="4" w:space="0" w:color="auto"/>
              <w:bottom w:val="single" w:sz="4" w:space="0" w:color="auto"/>
              <w:right w:val="single" w:sz="4" w:space="0" w:color="auto"/>
            </w:tcBorders>
            <w:noWrap/>
            <w:hideMark/>
          </w:tcPr>
          <w:p w14:paraId="131DC74B"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jc w:val="center"/>
              <w:rPr>
                <w:rFonts w:eastAsia="MS PMincho"/>
                <w:lang w:eastAsia="x-none"/>
              </w:rPr>
            </w:pPr>
            <w:r>
              <w:rPr>
                <w:rFonts w:eastAsia="MS PMincho"/>
                <w:lang w:eastAsia="x-none"/>
              </w:rPr>
              <w:t>6</w:t>
            </w:r>
          </w:p>
        </w:tc>
        <w:tc>
          <w:tcPr>
            <w:tcW w:w="1068" w:type="dxa"/>
            <w:tcBorders>
              <w:top w:val="single" w:sz="4" w:space="0" w:color="auto"/>
              <w:left w:val="single" w:sz="4" w:space="0" w:color="auto"/>
              <w:bottom w:val="single" w:sz="4" w:space="0" w:color="auto"/>
              <w:right w:val="single" w:sz="4" w:space="0" w:color="auto"/>
            </w:tcBorders>
            <w:noWrap/>
            <w:hideMark/>
          </w:tcPr>
          <w:p w14:paraId="7873569E"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rPr>
                <w:rFonts w:eastAsia="MS PMincho"/>
                <w:lang w:eastAsia="x-none"/>
              </w:rPr>
            </w:pPr>
            <w:r>
              <w:rPr>
                <w:rFonts w:eastAsia="MS PMincho" w:hint="eastAsia"/>
                <w:lang w:val="x-none" w:eastAsia="x-none"/>
              </w:rPr>
              <w:t xml:space="preserve">　</w:t>
            </w:r>
          </w:p>
        </w:tc>
        <w:tc>
          <w:tcPr>
            <w:tcW w:w="1276" w:type="dxa"/>
            <w:tcBorders>
              <w:top w:val="single" w:sz="4" w:space="0" w:color="auto"/>
              <w:left w:val="single" w:sz="4" w:space="0" w:color="auto"/>
              <w:bottom w:val="single" w:sz="4" w:space="0" w:color="auto"/>
              <w:right w:val="single" w:sz="4" w:space="0" w:color="auto"/>
            </w:tcBorders>
            <w:noWrap/>
            <w:hideMark/>
          </w:tcPr>
          <w:p w14:paraId="7BCEEB73"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rPr>
                <w:rFonts w:eastAsia="MS PMincho"/>
                <w:lang w:eastAsia="x-none"/>
              </w:rPr>
            </w:pPr>
            <w:r>
              <w:rPr>
                <w:rFonts w:eastAsia="MS PMincho" w:hint="eastAsia"/>
                <w:lang w:val="x-none" w:eastAsia="x-none"/>
              </w:rPr>
              <w:t xml:space="preserve">　</w:t>
            </w:r>
          </w:p>
        </w:tc>
        <w:tc>
          <w:tcPr>
            <w:tcW w:w="6662" w:type="dxa"/>
            <w:tcBorders>
              <w:top w:val="single" w:sz="4" w:space="0" w:color="auto"/>
              <w:left w:val="single" w:sz="4" w:space="0" w:color="auto"/>
              <w:bottom w:val="single" w:sz="4" w:space="0" w:color="auto"/>
              <w:right w:val="single" w:sz="4" w:space="0" w:color="auto"/>
            </w:tcBorders>
            <w:noWrap/>
            <w:hideMark/>
          </w:tcPr>
          <w:p w14:paraId="4C2B84F3"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rPr>
                <w:rFonts w:eastAsia="MS PMincho"/>
                <w:lang w:eastAsia="x-none"/>
              </w:rPr>
            </w:pPr>
            <w:r>
              <w:rPr>
                <w:rFonts w:eastAsia="MS PMincho"/>
                <w:lang w:eastAsia="x-none"/>
              </w:rPr>
              <w:t xml:space="preserve">Beginning of review work for the proposed criterion for sub-categorisation </w:t>
            </w:r>
          </w:p>
        </w:tc>
      </w:tr>
      <w:tr w:rsidR="00B90C82" w14:paraId="36DDC8A5" w14:textId="77777777" w:rsidTr="00F0243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E6CEF7" w14:textId="77777777" w:rsidR="00B90C82" w:rsidRDefault="00B90C82" w:rsidP="00F0243D">
            <w:pPr>
              <w:spacing w:line="300" w:lineRule="exact"/>
              <w:rPr>
                <w:rFonts w:eastAsia="MS PMincho"/>
                <w:lang w:eastAsia="x-none"/>
              </w:rPr>
            </w:pPr>
          </w:p>
        </w:tc>
        <w:tc>
          <w:tcPr>
            <w:tcW w:w="210" w:type="dxa"/>
            <w:tcBorders>
              <w:top w:val="single" w:sz="4" w:space="0" w:color="auto"/>
              <w:left w:val="single" w:sz="4" w:space="0" w:color="auto"/>
              <w:bottom w:val="single" w:sz="4" w:space="0" w:color="auto"/>
              <w:right w:val="single" w:sz="4" w:space="0" w:color="auto"/>
            </w:tcBorders>
            <w:noWrap/>
            <w:hideMark/>
          </w:tcPr>
          <w:p w14:paraId="099EA8C9"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jc w:val="center"/>
              <w:rPr>
                <w:rFonts w:eastAsia="MS PMincho"/>
                <w:lang w:eastAsia="x-none"/>
              </w:rPr>
            </w:pPr>
            <w:r>
              <w:rPr>
                <w:rFonts w:eastAsia="MS PMincho"/>
                <w:lang w:eastAsia="x-none"/>
              </w:rPr>
              <w:t>7</w:t>
            </w:r>
          </w:p>
        </w:tc>
        <w:tc>
          <w:tcPr>
            <w:tcW w:w="1068" w:type="dxa"/>
            <w:tcBorders>
              <w:top w:val="single" w:sz="4" w:space="0" w:color="auto"/>
              <w:left w:val="single" w:sz="4" w:space="0" w:color="auto"/>
              <w:bottom w:val="single" w:sz="4" w:space="0" w:color="auto"/>
              <w:right w:val="single" w:sz="4" w:space="0" w:color="auto"/>
            </w:tcBorders>
            <w:noWrap/>
            <w:hideMark/>
          </w:tcPr>
          <w:p w14:paraId="26BDCC56"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rPr>
                <w:rFonts w:eastAsia="MS PMincho"/>
                <w:lang w:eastAsia="x-none"/>
              </w:rPr>
            </w:pPr>
            <w:r>
              <w:rPr>
                <w:rFonts w:eastAsia="MS PMincho" w:hint="eastAsia"/>
                <w:lang w:val="x-none" w:eastAsia="x-none"/>
              </w:rPr>
              <w:t xml:space="preserve">　</w:t>
            </w:r>
          </w:p>
        </w:tc>
        <w:tc>
          <w:tcPr>
            <w:tcW w:w="1276" w:type="dxa"/>
            <w:tcBorders>
              <w:top w:val="single" w:sz="4" w:space="0" w:color="auto"/>
              <w:left w:val="single" w:sz="4" w:space="0" w:color="auto"/>
              <w:bottom w:val="single" w:sz="4" w:space="0" w:color="auto"/>
              <w:right w:val="single" w:sz="4" w:space="0" w:color="auto"/>
            </w:tcBorders>
            <w:noWrap/>
            <w:hideMark/>
          </w:tcPr>
          <w:p w14:paraId="5A54C440"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rPr>
                <w:rFonts w:eastAsia="MS PMincho"/>
                <w:lang w:eastAsia="x-none"/>
              </w:rPr>
            </w:pPr>
            <w:r>
              <w:rPr>
                <w:rFonts w:eastAsia="MS PMincho"/>
                <w:lang w:eastAsia="x-none"/>
              </w:rPr>
              <w:t>40</w:t>
            </w:r>
            <w:r w:rsidRPr="00BE122C">
              <w:rPr>
                <w:rFonts w:eastAsia="MS PMincho"/>
                <w:vertAlign w:val="superscript"/>
                <w:lang w:eastAsia="x-none"/>
              </w:rPr>
              <w:t>th</w:t>
            </w:r>
            <w:r>
              <w:rPr>
                <w:rFonts w:eastAsia="MS PMincho"/>
                <w:lang w:eastAsia="x-none"/>
              </w:rPr>
              <w:t xml:space="preserve"> GHS SCE</w:t>
            </w:r>
          </w:p>
        </w:tc>
        <w:tc>
          <w:tcPr>
            <w:tcW w:w="6662" w:type="dxa"/>
            <w:tcBorders>
              <w:top w:val="single" w:sz="4" w:space="0" w:color="auto"/>
              <w:left w:val="single" w:sz="4" w:space="0" w:color="auto"/>
              <w:bottom w:val="single" w:sz="4" w:space="0" w:color="auto"/>
              <w:right w:val="single" w:sz="4" w:space="0" w:color="auto"/>
            </w:tcBorders>
            <w:noWrap/>
            <w:hideMark/>
          </w:tcPr>
          <w:p w14:paraId="00F9B042" w14:textId="77777777" w:rsidR="00B90C82" w:rsidRPr="00C33134"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rPr>
                <w:rFonts w:eastAsia="MS PMincho"/>
                <w:color w:val="000000" w:themeColor="text1"/>
                <w:lang w:eastAsia="x-none"/>
              </w:rPr>
            </w:pPr>
            <w:r w:rsidRPr="00C33134">
              <w:rPr>
                <w:rFonts w:eastAsia="MS PMincho"/>
                <w:color w:val="000000" w:themeColor="text1"/>
                <w:lang w:eastAsia="x-none"/>
              </w:rPr>
              <w:t>Explanation of the proposal from Japan</w:t>
            </w:r>
          </w:p>
          <w:p w14:paraId="05EB81C3" w14:textId="77777777" w:rsidR="00B90C82" w:rsidRPr="00C33134"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rPr>
                <w:rFonts w:eastAsia="MS PMincho"/>
                <w:color w:val="FF0000"/>
                <w:lang w:eastAsia="x-none"/>
              </w:rPr>
            </w:pPr>
          </w:p>
        </w:tc>
      </w:tr>
      <w:tr w:rsidR="00B90C82" w14:paraId="17DD5D6F" w14:textId="77777777" w:rsidTr="00F0243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6726C1" w14:textId="77777777" w:rsidR="00B90C82" w:rsidRDefault="00B90C82" w:rsidP="00F0243D">
            <w:pPr>
              <w:spacing w:line="300" w:lineRule="exact"/>
              <w:rPr>
                <w:rFonts w:eastAsia="MS PMincho"/>
                <w:lang w:eastAsia="x-none"/>
              </w:rPr>
            </w:pPr>
          </w:p>
        </w:tc>
        <w:tc>
          <w:tcPr>
            <w:tcW w:w="210" w:type="dxa"/>
            <w:tcBorders>
              <w:top w:val="single" w:sz="4" w:space="0" w:color="auto"/>
              <w:left w:val="single" w:sz="4" w:space="0" w:color="auto"/>
              <w:bottom w:val="single" w:sz="4" w:space="0" w:color="auto"/>
              <w:right w:val="single" w:sz="4" w:space="0" w:color="auto"/>
            </w:tcBorders>
            <w:noWrap/>
            <w:hideMark/>
          </w:tcPr>
          <w:p w14:paraId="1146BFA4"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jc w:val="center"/>
              <w:rPr>
                <w:rFonts w:eastAsia="MS PMincho"/>
                <w:lang w:eastAsia="x-none"/>
              </w:rPr>
            </w:pPr>
            <w:r>
              <w:rPr>
                <w:rFonts w:eastAsia="MS PMincho"/>
                <w:lang w:eastAsia="x-none"/>
              </w:rPr>
              <w:t>8</w:t>
            </w:r>
          </w:p>
        </w:tc>
        <w:tc>
          <w:tcPr>
            <w:tcW w:w="1068" w:type="dxa"/>
            <w:tcBorders>
              <w:top w:val="single" w:sz="4" w:space="0" w:color="auto"/>
              <w:left w:val="single" w:sz="4" w:space="0" w:color="auto"/>
              <w:bottom w:val="single" w:sz="4" w:space="0" w:color="auto"/>
              <w:right w:val="single" w:sz="4" w:space="0" w:color="auto"/>
            </w:tcBorders>
            <w:noWrap/>
            <w:hideMark/>
          </w:tcPr>
          <w:p w14:paraId="62329E10"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rPr>
                <w:rFonts w:eastAsia="MS PMincho"/>
                <w:lang w:eastAsia="x-none"/>
              </w:rPr>
            </w:pPr>
            <w:r>
              <w:rPr>
                <w:rFonts w:eastAsia="MS PMincho" w:hint="eastAsia"/>
                <w:lang w:val="x-none" w:eastAsia="x-none"/>
              </w:rPr>
              <w:t xml:space="preserve">　</w:t>
            </w:r>
          </w:p>
        </w:tc>
        <w:tc>
          <w:tcPr>
            <w:tcW w:w="1276" w:type="dxa"/>
            <w:tcBorders>
              <w:top w:val="single" w:sz="4" w:space="0" w:color="auto"/>
              <w:left w:val="single" w:sz="4" w:space="0" w:color="auto"/>
              <w:bottom w:val="single" w:sz="4" w:space="0" w:color="auto"/>
              <w:right w:val="single" w:sz="4" w:space="0" w:color="auto"/>
            </w:tcBorders>
            <w:noWrap/>
            <w:hideMark/>
          </w:tcPr>
          <w:p w14:paraId="4AE6C173"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rPr>
                <w:rFonts w:eastAsia="MS PMincho"/>
                <w:lang w:eastAsia="x-none"/>
              </w:rPr>
            </w:pPr>
            <w:r>
              <w:rPr>
                <w:rFonts w:eastAsia="MS PMincho" w:hint="eastAsia"/>
                <w:lang w:val="x-none" w:eastAsia="x-none"/>
              </w:rPr>
              <w:t xml:space="preserve">　</w:t>
            </w:r>
          </w:p>
        </w:tc>
        <w:tc>
          <w:tcPr>
            <w:tcW w:w="6662" w:type="dxa"/>
            <w:tcBorders>
              <w:top w:val="single" w:sz="4" w:space="0" w:color="auto"/>
              <w:left w:val="single" w:sz="4" w:space="0" w:color="auto"/>
              <w:bottom w:val="single" w:sz="4" w:space="0" w:color="auto"/>
              <w:right w:val="single" w:sz="4" w:space="0" w:color="auto"/>
            </w:tcBorders>
            <w:noWrap/>
            <w:hideMark/>
          </w:tcPr>
          <w:p w14:paraId="1198395D"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rPr>
                <w:rFonts w:eastAsia="MS PMincho"/>
                <w:lang w:eastAsia="x-none"/>
              </w:rPr>
            </w:pPr>
            <w:r>
              <w:rPr>
                <w:rFonts w:eastAsia="MS PMincho" w:hint="eastAsia"/>
                <w:lang w:val="x-none" w:eastAsia="x-none"/>
              </w:rPr>
              <w:t xml:space="preserve">　</w:t>
            </w:r>
          </w:p>
        </w:tc>
      </w:tr>
      <w:tr w:rsidR="00B90C82" w14:paraId="438DECE9" w14:textId="77777777" w:rsidTr="00F0243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562B17" w14:textId="77777777" w:rsidR="00B90C82" w:rsidRDefault="00B90C82" w:rsidP="00F0243D">
            <w:pPr>
              <w:spacing w:line="300" w:lineRule="exact"/>
              <w:rPr>
                <w:rFonts w:eastAsia="MS PMincho"/>
                <w:lang w:eastAsia="x-none"/>
              </w:rPr>
            </w:pPr>
          </w:p>
        </w:tc>
        <w:tc>
          <w:tcPr>
            <w:tcW w:w="210" w:type="dxa"/>
            <w:tcBorders>
              <w:top w:val="single" w:sz="4" w:space="0" w:color="auto"/>
              <w:left w:val="single" w:sz="4" w:space="0" w:color="auto"/>
              <w:bottom w:val="single" w:sz="4" w:space="0" w:color="auto"/>
              <w:right w:val="single" w:sz="4" w:space="0" w:color="auto"/>
            </w:tcBorders>
            <w:noWrap/>
            <w:hideMark/>
          </w:tcPr>
          <w:p w14:paraId="5EBFDAEF"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jc w:val="center"/>
              <w:rPr>
                <w:rFonts w:eastAsia="MS PMincho"/>
                <w:lang w:eastAsia="x-none"/>
              </w:rPr>
            </w:pPr>
            <w:r>
              <w:rPr>
                <w:rFonts w:eastAsia="MS PMincho"/>
                <w:lang w:eastAsia="x-none"/>
              </w:rPr>
              <w:t>9</w:t>
            </w:r>
          </w:p>
        </w:tc>
        <w:tc>
          <w:tcPr>
            <w:tcW w:w="1068" w:type="dxa"/>
            <w:tcBorders>
              <w:top w:val="single" w:sz="4" w:space="0" w:color="auto"/>
              <w:left w:val="single" w:sz="4" w:space="0" w:color="auto"/>
              <w:bottom w:val="single" w:sz="4" w:space="0" w:color="auto"/>
              <w:right w:val="single" w:sz="4" w:space="0" w:color="auto"/>
            </w:tcBorders>
            <w:noWrap/>
            <w:hideMark/>
          </w:tcPr>
          <w:p w14:paraId="013EEAE7"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rPr>
                <w:rFonts w:eastAsia="MS PMincho"/>
                <w:lang w:eastAsia="x-none"/>
              </w:rPr>
            </w:pPr>
            <w:r>
              <w:rPr>
                <w:rFonts w:eastAsia="MS PMincho" w:hint="eastAsia"/>
                <w:lang w:val="x-none" w:eastAsia="x-none"/>
              </w:rPr>
              <w:t xml:space="preserve">　</w:t>
            </w:r>
          </w:p>
        </w:tc>
        <w:tc>
          <w:tcPr>
            <w:tcW w:w="1276" w:type="dxa"/>
            <w:tcBorders>
              <w:top w:val="single" w:sz="4" w:space="0" w:color="auto"/>
              <w:left w:val="single" w:sz="4" w:space="0" w:color="auto"/>
              <w:bottom w:val="single" w:sz="4" w:space="0" w:color="auto"/>
              <w:right w:val="single" w:sz="4" w:space="0" w:color="auto"/>
            </w:tcBorders>
            <w:noWrap/>
            <w:hideMark/>
          </w:tcPr>
          <w:p w14:paraId="65C65EDB"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rPr>
                <w:rFonts w:eastAsia="MS PMincho"/>
                <w:lang w:eastAsia="x-none"/>
              </w:rPr>
            </w:pPr>
            <w:r>
              <w:rPr>
                <w:rFonts w:eastAsia="MS PMincho" w:hint="eastAsia"/>
                <w:lang w:val="x-none" w:eastAsia="x-none"/>
              </w:rPr>
              <w:t xml:space="preserve">　</w:t>
            </w:r>
          </w:p>
        </w:tc>
        <w:tc>
          <w:tcPr>
            <w:tcW w:w="6662" w:type="dxa"/>
            <w:tcBorders>
              <w:top w:val="single" w:sz="4" w:space="0" w:color="auto"/>
              <w:left w:val="single" w:sz="4" w:space="0" w:color="auto"/>
              <w:bottom w:val="single" w:sz="4" w:space="0" w:color="auto"/>
              <w:right w:val="single" w:sz="4" w:space="0" w:color="auto"/>
            </w:tcBorders>
            <w:noWrap/>
            <w:hideMark/>
          </w:tcPr>
          <w:p w14:paraId="0631E795"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rPr>
                <w:rFonts w:eastAsia="MS PMincho"/>
                <w:lang w:eastAsia="x-none"/>
              </w:rPr>
            </w:pPr>
            <w:r>
              <w:rPr>
                <w:rFonts w:eastAsia="MS PMincho" w:hint="eastAsia"/>
                <w:lang w:val="x-none" w:eastAsia="x-none"/>
              </w:rPr>
              <w:t xml:space="preserve">　</w:t>
            </w:r>
          </w:p>
        </w:tc>
      </w:tr>
      <w:tr w:rsidR="00B90C82" w14:paraId="0A4B92F8" w14:textId="77777777" w:rsidTr="00F0243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C67FCF" w14:textId="77777777" w:rsidR="00B90C82" w:rsidRDefault="00B90C82" w:rsidP="00F0243D">
            <w:pPr>
              <w:spacing w:line="300" w:lineRule="exact"/>
              <w:rPr>
                <w:rFonts w:eastAsia="MS PMincho"/>
                <w:lang w:eastAsia="x-none"/>
              </w:rPr>
            </w:pPr>
          </w:p>
        </w:tc>
        <w:tc>
          <w:tcPr>
            <w:tcW w:w="210" w:type="dxa"/>
            <w:tcBorders>
              <w:top w:val="single" w:sz="4" w:space="0" w:color="auto"/>
              <w:left w:val="single" w:sz="4" w:space="0" w:color="auto"/>
              <w:bottom w:val="single" w:sz="4" w:space="0" w:color="auto"/>
              <w:right w:val="single" w:sz="4" w:space="0" w:color="auto"/>
            </w:tcBorders>
            <w:noWrap/>
            <w:hideMark/>
          </w:tcPr>
          <w:p w14:paraId="782207E1"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jc w:val="center"/>
              <w:rPr>
                <w:rFonts w:eastAsia="MS PMincho"/>
                <w:lang w:eastAsia="x-none"/>
              </w:rPr>
            </w:pPr>
            <w:r>
              <w:rPr>
                <w:rFonts w:eastAsia="MS PMincho"/>
                <w:lang w:eastAsia="x-none"/>
              </w:rPr>
              <w:t>10</w:t>
            </w:r>
          </w:p>
        </w:tc>
        <w:tc>
          <w:tcPr>
            <w:tcW w:w="1068" w:type="dxa"/>
            <w:tcBorders>
              <w:top w:val="single" w:sz="4" w:space="0" w:color="auto"/>
              <w:left w:val="single" w:sz="4" w:space="0" w:color="auto"/>
              <w:bottom w:val="single" w:sz="4" w:space="0" w:color="auto"/>
              <w:right w:val="single" w:sz="4" w:space="0" w:color="auto"/>
            </w:tcBorders>
            <w:noWrap/>
            <w:hideMark/>
          </w:tcPr>
          <w:p w14:paraId="4C954137"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rPr>
                <w:rFonts w:eastAsia="MS PMincho"/>
                <w:lang w:eastAsia="x-none"/>
              </w:rPr>
            </w:pPr>
            <w:r>
              <w:rPr>
                <w:rFonts w:eastAsia="MS PMincho"/>
                <w:lang w:eastAsia="x-none"/>
              </w:rPr>
              <w:t>OECD sensitization EG</w:t>
            </w:r>
          </w:p>
        </w:tc>
        <w:tc>
          <w:tcPr>
            <w:tcW w:w="1276" w:type="dxa"/>
            <w:tcBorders>
              <w:top w:val="single" w:sz="4" w:space="0" w:color="auto"/>
              <w:left w:val="single" w:sz="4" w:space="0" w:color="auto"/>
              <w:bottom w:val="single" w:sz="4" w:space="0" w:color="auto"/>
              <w:right w:val="single" w:sz="4" w:space="0" w:color="auto"/>
            </w:tcBorders>
            <w:noWrap/>
            <w:hideMark/>
          </w:tcPr>
          <w:p w14:paraId="14F3CC33" w14:textId="77777777" w:rsidR="00B90C82" w:rsidRDefault="00B90C82" w:rsidP="00F0243D">
            <w:pPr>
              <w:spacing w:line="300" w:lineRule="exact"/>
              <w:rPr>
                <w:rFonts w:eastAsia="MS PMincho"/>
                <w:lang w:eastAsia="x-none"/>
              </w:rPr>
            </w:pPr>
          </w:p>
        </w:tc>
        <w:tc>
          <w:tcPr>
            <w:tcW w:w="6662" w:type="dxa"/>
            <w:tcBorders>
              <w:top w:val="single" w:sz="4" w:space="0" w:color="auto"/>
              <w:left w:val="single" w:sz="4" w:space="0" w:color="auto"/>
              <w:bottom w:val="single" w:sz="4" w:space="0" w:color="auto"/>
              <w:right w:val="single" w:sz="4" w:space="0" w:color="auto"/>
            </w:tcBorders>
            <w:noWrap/>
            <w:hideMark/>
          </w:tcPr>
          <w:p w14:paraId="67ED859C" w14:textId="77777777" w:rsidR="00B90C82" w:rsidRDefault="00B90C82" w:rsidP="00B90C82">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contextualSpacing w:val="0"/>
              <w:rPr>
                <w:rFonts w:eastAsia="MS PMincho"/>
                <w:lang w:eastAsia="x-none"/>
              </w:rPr>
            </w:pPr>
            <w:r>
              <w:rPr>
                <w:rFonts w:eastAsia="MS PMincho"/>
                <w:lang w:eastAsia="x-none"/>
              </w:rPr>
              <w:t>Submission of an SPSF to the WNT for the project to be included formally in the OECD work plan</w:t>
            </w:r>
          </w:p>
          <w:p w14:paraId="1E2B9DA5" w14:textId="77777777" w:rsidR="00B90C82" w:rsidRDefault="00B90C82" w:rsidP="00B90C82">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contextualSpacing w:val="0"/>
              <w:rPr>
                <w:rFonts w:eastAsia="MS PMincho"/>
                <w:lang w:eastAsia="x-none"/>
              </w:rPr>
            </w:pPr>
            <w:r>
              <w:rPr>
                <w:rFonts w:eastAsia="MS PMincho"/>
                <w:lang w:eastAsia="x-none"/>
              </w:rPr>
              <w:t>Discussion of review progress/outcome</w:t>
            </w:r>
          </w:p>
        </w:tc>
      </w:tr>
      <w:tr w:rsidR="00B90C82" w14:paraId="74E1838A" w14:textId="77777777" w:rsidTr="00F0243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51E746" w14:textId="77777777" w:rsidR="00B90C82" w:rsidRDefault="00B90C82" w:rsidP="00F0243D">
            <w:pPr>
              <w:spacing w:beforeAutospacing="1" w:afterAutospacing="1" w:line="300" w:lineRule="exact"/>
              <w:rPr>
                <w:rFonts w:eastAsia="MS PMincho"/>
                <w:lang w:eastAsia="x-none"/>
              </w:rPr>
            </w:pPr>
          </w:p>
        </w:tc>
        <w:tc>
          <w:tcPr>
            <w:tcW w:w="210" w:type="dxa"/>
            <w:tcBorders>
              <w:top w:val="single" w:sz="4" w:space="0" w:color="auto"/>
              <w:left w:val="single" w:sz="4" w:space="0" w:color="auto"/>
              <w:bottom w:val="single" w:sz="4" w:space="0" w:color="auto"/>
              <w:right w:val="single" w:sz="4" w:space="0" w:color="auto"/>
            </w:tcBorders>
            <w:noWrap/>
            <w:hideMark/>
          </w:tcPr>
          <w:p w14:paraId="31221E3B"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jc w:val="center"/>
              <w:rPr>
                <w:rFonts w:eastAsia="MS PMincho"/>
                <w:lang w:eastAsia="x-none"/>
              </w:rPr>
            </w:pPr>
            <w:r>
              <w:rPr>
                <w:rFonts w:eastAsia="MS PMincho"/>
                <w:lang w:eastAsia="x-none"/>
              </w:rPr>
              <w:t>11</w:t>
            </w:r>
          </w:p>
        </w:tc>
        <w:tc>
          <w:tcPr>
            <w:tcW w:w="1068" w:type="dxa"/>
            <w:tcBorders>
              <w:top w:val="single" w:sz="4" w:space="0" w:color="auto"/>
              <w:left w:val="single" w:sz="4" w:space="0" w:color="auto"/>
              <w:bottom w:val="single" w:sz="4" w:space="0" w:color="auto"/>
              <w:right w:val="single" w:sz="4" w:space="0" w:color="auto"/>
            </w:tcBorders>
            <w:noWrap/>
            <w:hideMark/>
          </w:tcPr>
          <w:p w14:paraId="04EE80F3"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rPr>
                <w:rFonts w:eastAsia="MS PMincho"/>
                <w:lang w:eastAsia="x-none"/>
              </w:rPr>
            </w:pPr>
            <w:r>
              <w:rPr>
                <w:rFonts w:eastAsia="MS PMincho" w:hint="eastAsia"/>
                <w:lang w:val="x-none" w:eastAsia="x-none"/>
              </w:rPr>
              <w:t xml:space="preserve">　</w:t>
            </w:r>
          </w:p>
        </w:tc>
        <w:tc>
          <w:tcPr>
            <w:tcW w:w="1276" w:type="dxa"/>
            <w:tcBorders>
              <w:top w:val="single" w:sz="4" w:space="0" w:color="auto"/>
              <w:left w:val="single" w:sz="4" w:space="0" w:color="auto"/>
              <w:bottom w:val="single" w:sz="4" w:space="0" w:color="auto"/>
              <w:right w:val="single" w:sz="4" w:space="0" w:color="auto"/>
            </w:tcBorders>
            <w:noWrap/>
            <w:hideMark/>
          </w:tcPr>
          <w:p w14:paraId="4CD590A4"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rPr>
                <w:rFonts w:eastAsia="MS PMincho"/>
                <w:lang w:eastAsia="x-none"/>
              </w:rPr>
            </w:pPr>
            <w:r>
              <w:rPr>
                <w:rFonts w:eastAsia="MS PMincho" w:hint="eastAsia"/>
                <w:lang w:val="x-none" w:eastAsia="x-none"/>
              </w:rPr>
              <w:t xml:space="preserve">　</w:t>
            </w:r>
          </w:p>
        </w:tc>
        <w:tc>
          <w:tcPr>
            <w:tcW w:w="6662" w:type="dxa"/>
            <w:tcBorders>
              <w:top w:val="single" w:sz="4" w:space="0" w:color="auto"/>
              <w:left w:val="single" w:sz="4" w:space="0" w:color="auto"/>
              <w:bottom w:val="single" w:sz="4" w:space="0" w:color="auto"/>
              <w:right w:val="single" w:sz="4" w:space="0" w:color="auto"/>
            </w:tcBorders>
            <w:noWrap/>
            <w:hideMark/>
          </w:tcPr>
          <w:p w14:paraId="381ABD6B"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rPr>
                <w:rFonts w:eastAsia="MS PMincho"/>
                <w:lang w:eastAsia="x-none"/>
              </w:rPr>
            </w:pPr>
            <w:r>
              <w:rPr>
                <w:rFonts w:eastAsia="MS PMincho"/>
                <w:lang w:eastAsia="x-none"/>
              </w:rPr>
              <w:t>Submission of the Informal paper (IP) reporting the interim review result</w:t>
            </w:r>
          </w:p>
        </w:tc>
      </w:tr>
      <w:tr w:rsidR="00B90C82" w14:paraId="13B6938E" w14:textId="77777777" w:rsidTr="00F0243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8044E4" w14:textId="77777777" w:rsidR="00B90C82" w:rsidRDefault="00B90C82" w:rsidP="00F0243D">
            <w:pPr>
              <w:spacing w:beforeAutospacing="1" w:afterAutospacing="1" w:line="300" w:lineRule="exact"/>
              <w:rPr>
                <w:rFonts w:eastAsia="MS PMincho"/>
                <w:lang w:eastAsia="x-none"/>
              </w:rPr>
            </w:pPr>
          </w:p>
        </w:tc>
        <w:tc>
          <w:tcPr>
            <w:tcW w:w="210" w:type="dxa"/>
            <w:tcBorders>
              <w:top w:val="single" w:sz="4" w:space="0" w:color="auto"/>
              <w:left w:val="single" w:sz="4" w:space="0" w:color="auto"/>
              <w:bottom w:val="single" w:sz="4" w:space="0" w:color="auto"/>
              <w:right w:val="single" w:sz="4" w:space="0" w:color="auto"/>
            </w:tcBorders>
            <w:noWrap/>
            <w:hideMark/>
          </w:tcPr>
          <w:p w14:paraId="75DF86C3"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jc w:val="center"/>
              <w:rPr>
                <w:rFonts w:eastAsia="MS PMincho"/>
                <w:lang w:eastAsia="x-none"/>
              </w:rPr>
            </w:pPr>
            <w:r>
              <w:rPr>
                <w:rFonts w:eastAsia="MS PMincho"/>
                <w:lang w:eastAsia="x-none"/>
              </w:rPr>
              <w:t>12</w:t>
            </w:r>
          </w:p>
        </w:tc>
        <w:tc>
          <w:tcPr>
            <w:tcW w:w="1068" w:type="dxa"/>
            <w:tcBorders>
              <w:top w:val="single" w:sz="4" w:space="0" w:color="auto"/>
              <w:left w:val="single" w:sz="4" w:space="0" w:color="auto"/>
              <w:bottom w:val="single" w:sz="4" w:space="0" w:color="auto"/>
              <w:right w:val="single" w:sz="4" w:space="0" w:color="auto"/>
            </w:tcBorders>
            <w:noWrap/>
            <w:hideMark/>
          </w:tcPr>
          <w:p w14:paraId="1B41DFED"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rPr>
                <w:rFonts w:eastAsia="MS PMincho"/>
                <w:lang w:eastAsia="x-none"/>
              </w:rPr>
            </w:pPr>
            <w:r>
              <w:rPr>
                <w:rFonts w:eastAsia="MS PMincho" w:hint="eastAsia"/>
                <w:lang w:val="x-none" w:eastAsia="x-none"/>
              </w:rPr>
              <w:t xml:space="preserve">　</w:t>
            </w:r>
          </w:p>
        </w:tc>
        <w:tc>
          <w:tcPr>
            <w:tcW w:w="1276" w:type="dxa"/>
            <w:tcBorders>
              <w:top w:val="single" w:sz="4" w:space="0" w:color="auto"/>
              <w:left w:val="single" w:sz="4" w:space="0" w:color="auto"/>
              <w:bottom w:val="single" w:sz="4" w:space="0" w:color="auto"/>
              <w:right w:val="single" w:sz="4" w:space="0" w:color="auto"/>
            </w:tcBorders>
            <w:noWrap/>
            <w:hideMark/>
          </w:tcPr>
          <w:p w14:paraId="49384EF4"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rPr>
                <w:rFonts w:eastAsia="MS PMincho"/>
                <w:lang w:eastAsia="x-none"/>
              </w:rPr>
            </w:pPr>
            <w:r>
              <w:rPr>
                <w:rFonts w:eastAsia="MS PMincho"/>
                <w:lang w:eastAsia="x-none"/>
              </w:rPr>
              <w:t>41</w:t>
            </w:r>
            <w:r w:rsidRPr="00BE122C">
              <w:rPr>
                <w:rFonts w:eastAsia="MS PMincho"/>
                <w:vertAlign w:val="superscript"/>
                <w:lang w:eastAsia="x-none"/>
              </w:rPr>
              <w:t>st</w:t>
            </w:r>
            <w:r>
              <w:rPr>
                <w:rFonts w:eastAsia="MS PMincho"/>
                <w:lang w:eastAsia="x-none"/>
              </w:rPr>
              <w:t xml:space="preserve"> GHS SCE</w:t>
            </w:r>
          </w:p>
        </w:tc>
        <w:tc>
          <w:tcPr>
            <w:tcW w:w="6662" w:type="dxa"/>
            <w:tcBorders>
              <w:top w:val="single" w:sz="4" w:space="0" w:color="auto"/>
              <w:left w:val="single" w:sz="4" w:space="0" w:color="auto"/>
              <w:bottom w:val="single" w:sz="4" w:space="0" w:color="auto"/>
              <w:right w:val="single" w:sz="4" w:space="0" w:color="auto"/>
            </w:tcBorders>
            <w:noWrap/>
            <w:hideMark/>
          </w:tcPr>
          <w:p w14:paraId="1039C7E7"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rPr>
                <w:rFonts w:eastAsia="MS PMincho"/>
                <w:lang w:eastAsia="x-none"/>
              </w:rPr>
            </w:pPr>
            <w:r>
              <w:rPr>
                <w:rFonts w:eastAsia="MS PMincho"/>
                <w:lang w:eastAsia="x-none"/>
              </w:rPr>
              <w:t>Reporting and discussion of IP for the interim review result</w:t>
            </w:r>
          </w:p>
        </w:tc>
      </w:tr>
      <w:tr w:rsidR="00B90C82" w14:paraId="552FAB21" w14:textId="77777777" w:rsidTr="00F0243D">
        <w:trPr>
          <w:trHeight w:val="270"/>
        </w:trPr>
        <w:tc>
          <w:tcPr>
            <w:tcW w:w="423" w:type="dxa"/>
            <w:vMerge w:val="restart"/>
            <w:tcBorders>
              <w:top w:val="single" w:sz="4" w:space="0" w:color="auto"/>
              <w:left w:val="single" w:sz="4" w:space="0" w:color="auto"/>
              <w:bottom w:val="single" w:sz="4" w:space="0" w:color="auto"/>
              <w:right w:val="single" w:sz="4" w:space="0" w:color="auto"/>
            </w:tcBorders>
            <w:noWrap/>
            <w:hideMark/>
          </w:tcPr>
          <w:p w14:paraId="5E476F9F"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rPr>
                <w:rFonts w:eastAsia="MS PMincho"/>
                <w:lang w:eastAsia="x-none"/>
              </w:rPr>
            </w:pPr>
            <w:r>
              <w:rPr>
                <w:rFonts w:eastAsia="MS PMincho"/>
                <w:lang w:eastAsia="x-none"/>
              </w:rPr>
              <w:t>2022</w:t>
            </w:r>
          </w:p>
        </w:tc>
        <w:tc>
          <w:tcPr>
            <w:tcW w:w="210" w:type="dxa"/>
            <w:tcBorders>
              <w:top w:val="single" w:sz="4" w:space="0" w:color="auto"/>
              <w:left w:val="single" w:sz="4" w:space="0" w:color="auto"/>
              <w:bottom w:val="single" w:sz="4" w:space="0" w:color="auto"/>
              <w:right w:val="single" w:sz="4" w:space="0" w:color="auto"/>
            </w:tcBorders>
            <w:noWrap/>
            <w:hideMark/>
          </w:tcPr>
          <w:p w14:paraId="75921A13"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jc w:val="center"/>
              <w:rPr>
                <w:rFonts w:eastAsia="MS PMincho"/>
                <w:lang w:eastAsia="x-none"/>
              </w:rPr>
            </w:pPr>
            <w:r>
              <w:rPr>
                <w:rFonts w:eastAsia="MS PMincho"/>
                <w:lang w:eastAsia="x-none"/>
              </w:rPr>
              <w:t>1</w:t>
            </w:r>
          </w:p>
        </w:tc>
        <w:tc>
          <w:tcPr>
            <w:tcW w:w="1068" w:type="dxa"/>
            <w:tcBorders>
              <w:top w:val="single" w:sz="4" w:space="0" w:color="auto"/>
              <w:left w:val="single" w:sz="4" w:space="0" w:color="auto"/>
              <w:bottom w:val="single" w:sz="4" w:space="0" w:color="auto"/>
              <w:right w:val="single" w:sz="4" w:space="0" w:color="auto"/>
            </w:tcBorders>
            <w:noWrap/>
            <w:hideMark/>
          </w:tcPr>
          <w:p w14:paraId="00FF39A7"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rPr>
                <w:rFonts w:eastAsia="MS PMincho"/>
                <w:lang w:eastAsia="x-none"/>
              </w:rPr>
            </w:pPr>
            <w:r>
              <w:rPr>
                <w:rFonts w:eastAsia="MS PMincho" w:hint="eastAsia"/>
                <w:lang w:val="x-none" w:eastAsia="x-none"/>
              </w:rPr>
              <w:t xml:space="preserve">　</w:t>
            </w:r>
          </w:p>
        </w:tc>
        <w:tc>
          <w:tcPr>
            <w:tcW w:w="1276" w:type="dxa"/>
            <w:tcBorders>
              <w:top w:val="single" w:sz="4" w:space="0" w:color="auto"/>
              <w:left w:val="single" w:sz="4" w:space="0" w:color="auto"/>
              <w:bottom w:val="single" w:sz="4" w:space="0" w:color="auto"/>
              <w:right w:val="single" w:sz="4" w:space="0" w:color="auto"/>
            </w:tcBorders>
            <w:noWrap/>
            <w:hideMark/>
          </w:tcPr>
          <w:p w14:paraId="5A535AC3"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rPr>
                <w:rFonts w:eastAsia="MS PMincho"/>
                <w:lang w:eastAsia="x-none"/>
              </w:rPr>
            </w:pPr>
            <w:r>
              <w:rPr>
                <w:rFonts w:eastAsia="MS PMincho" w:hint="eastAsia"/>
                <w:lang w:val="x-none" w:eastAsia="x-none"/>
              </w:rPr>
              <w:t xml:space="preserve">　</w:t>
            </w:r>
          </w:p>
        </w:tc>
        <w:tc>
          <w:tcPr>
            <w:tcW w:w="6662" w:type="dxa"/>
            <w:tcBorders>
              <w:top w:val="single" w:sz="4" w:space="0" w:color="auto"/>
              <w:left w:val="single" w:sz="4" w:space="0" w:color="auto"/>
              <w:bottom w:val="single" w:sz="4" w:space="0" w:color="auto"/>
              <w:right w:val="single" w:sz="4" w:space="0" w:color="auto"/>
            </w:tcBorders>
            <w:noWrap/>
            <w:hideMark/>
          </w:tcPr>
          <w:p w14:paraId="4ACDD34A"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rPr>
                <w:rFonts w:eastAsia="MS PMincho"/>
                <w:lang w:eastAsia="x-none"/>
              </w:rPr>
            </w:pPr>
            <w:r>
              <w:rPr>
                <w:rFonts w:eastAsia="MS PMincho" w:hint="eastAsia"/>
                <w:lang w:val="x-none" w:eastAsia="x-none"/>
              </w:rPr>
              <w:t xml:space="preserve">　</w:t>
            </w:r>
          </w:p>
        </w:tc>
      </w:tr>
      <w:tr w:rsidR="00B90C82" w14:paraId="6DDA9150" w14:textId="77777777" w:rsidTr="00F0243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C4E463" w14:textId="77777777" w:rsidR="00B90C82" w:rsidRDefault="00B90C82" w:rsidP="00F0243D">
            <w:pPr>
              <w:spacing w:beforeAutospacing="1" w:afterAutospacing="1" w:line="300" w:lineRule="exact"/>
              <w:rPr>
                <w:rFonts w:eastAsia="MS PMincho"/>
                <w:lang w:eastAsia="x-none"/>
              </w:rPr>
            </w:pPr>
          </w:p>
        </w:tc>
        <w:tc>
          <w:tcPr>
            <w:tcW w:w="210" w:type="dxa"/>
            <w:tcBorders>
              <w:top w:val="single" w:sz="4" w:space="0" w:color="auto"/>
              <w:left w:val="single" w:sz="4" w:space="0" w:color="auto"/>
              <w:bottom w:val="single" w:sz="4" w:space="0" w:color="auto"/>
              <w:right w:val="single" w:sz="4" w:space="0" w:color="auto"/>
            </w:tcBorders>
            <w:noWrap/>
            <w:hideMark/>
          </w:tcPr>
          <w:p w14:paraId="3C7A63CF"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jc w:val="center"/>
              <w:rPr>
                <w:rFonts w:eastAsia="MS PMincho"/>
                <w:lang w:eastAsia="x-none"/>
              </w:rPr>
            </w:pPr>
            <w:r>
              <w:rPr>
                <w:rFonts w:eastAsia="MS PMincho"/>
                <w:lang w:eastAsia="x-none"/>
              </w:rPr>
              <w:t>2</w:t>
            </w:r>
          </w:p>
        </w:tc>
        <w:tc>
          <w:tcPr>
            <w:tcW w:w="1068" w:type="dxa"/>
            <w:tcBorders>
              <w:top w:val="single" w:sz="4" w:space="0" w:color="auto"/>
              <w:left w:val="single" w:sz="4" w:space="0" w:color="auto"/>
              <w:bottom w:val="single" w:sz="4" w:space="0" w:color="auto"/>
              <w:right w:val="single" w:sz="4" w:space="0" w:color="auto"/>
            </w:tcBorders>
            <w:noWrap/>
            <w:hideMark/>
          </w:tcPr>
          <w:p w14:paraId="3E53DEBB"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rPr>
                <w:rFonts w:eastAsia="MS PMincho"/>
                <w:lang w:eastAsia="x-none"/>
              </w:rPr>
            </w:pPr>
            <w:r>
              <w:rPr>
                <w:rFonts w:eastAsia="MS PMincho" w:hint="eastAsia"/>
                <w:lang w:val="x-none" w:eastAsia="x-none"/>
              </w:rPr>
              <w:t xml:space="preserve">　</w:t>
            </w:r>
          </w:p>
        </w:tc>
        <w:tc>
          <w:tcPr>
            <w:tcW w:w="1276" w:type="dxa"/>
            <w:tcBorders>
              <w:top w:val="single" w:sz="4" w:space="0" w:color="auto"/>
              <w:left w:val="single" w:sz="4" w:space="0" w:color="auto"/>
              <w:bottom w:val="single" w:sz="4" w:space="0" w:color="auto"/>
              <w:right w:val="single" w:sz="4" w:space="0" w:color="auto"/>
            </w:tcBorders>
            <w:noWrap/>
            <w:hideMark/>
          </w:tcPr>
          <w:p w14:paraId="3294804E"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rPr>
                <w:rFonts w:eastAsia="MS PMincho"/>
                <w:lang w:eastAsia="x-none"/>
              </w:rPr>
            </w:pPr>
            <w:r>
              <w:rPr>
                <w:rFonts w:eastAsia="MS PMincho" w:hint="eastAsia"/>
                <w:lang w:val="x-none" w:eastAsia="x-none"/>
              </w:rPr>
              <w:t xml:space="preserve">　</w:t>
            </w:r>
          </w:p>
        </w:tc>
        <w:tc>
          <w:tcPr>
            <w:tcW w:w="6662" w:type="dxa"/>
            <w:tcBorders>
              <w:top w:val="single" w:sz="4" w:space="0" w:color="auto"/>
              <w:left w:val="single" w:sz="4" w:space="0" w:color="auto"/>
              <w:bottom w:val="single" w:sz="4" w:space="0" w:color="auto"/>
              <w:right w:val="single" w:sz="4" w:space="0" w:color="auto"/>
            </w:tcBorders>
            <w:noWrap/>
            <w:hideMark/>
          </w:tcPr>
          <w:p w14:paraId="060AF80C"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rPr>
                <w:rFonts w:eastAsia="MS PMincho"/>
                <w:lang w:eastAsia="ja-JP"/>
              </w:rPr>
            </w:pPr>
            <w:r>
              <w:rPr>
                <w:rFonts w:eastAsia="MS PMincho"/>
                <w:lang w:eastAsia="ja-JP"/>
              </w:rPr>
              <w:t>Finalization of the supporting document based on the review result</w:t>
            </w:r>
          </w:p>
        </w:tc>
      </w:tr>
      <w:tr w:rsidR="00B90C82" w14:paraId="0FDE002C" w14:textId="77777777" w:rsidTr="00F0243D">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05A9AA" w14:textId="77777777" w:rsidR="00B90C82" w:rsidRDefault="00B90C82" w:rsidP="00F0243D">
            <w:pPr>
              <w:spacing w:beforeAutospacing="1" w:afterAutospacing="1" w:line="300" w:lineRule="exact"/>
              <w:rPr>
                <w:rFonts w:eastAsia="MS PMincho"/>
                <w:lang w:eastAsia="x-none"/>
              </w:rPr>
            </w:pPr>
          </w:p>
        </w:tc>
        <w:tc>
          <w:tcPr>
            <w:tcW w:w="210" w:type="dxa"/>
            <w:tcBorders>
              <w:top w:val="single" w:sz="4" w:space="0" w:color="auto"/>
              <w:left w:val="single" w:sz="4" w:space="0" w:color="auto"/>
              <w:bottom w:val="single" w:sz="4" w:space="0" w:color="auto"/>
              <w:right w:val="single" w:sz="4" w:space="0" w:color="auto"/>
            </w:tcBorders>
            <w:noWrap/>
            <w:hideMark/>
          </w:tcPr>
          <w:p w14:paraId="754AC57B"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jc w:val="center"/>
              <w:rPr>
                <w:rFonts w:eastAsia="MS PMincho"/>
                <w:lang w:eastAsia="x-none"/>
              </w:rPr>
            </w:pPr>
            <w:r>
              <w:rPr>
                <w:rFonts w:eastAsia="MS PMincho"/>
                <w:lang w:eastAsia="x-none"/>
              </w:rPr>
              <w:t>3</w:t>
            </w:r>
          </w:p>
        </w:tc>
        <w:tc>
          <w:tcPr>
            <w:tcW w:w="1068" w:type="dxa"/>
            <w:tcBorders>
              <w:top w:val="single" w:sz="4" w:space="0" w:color="auto"/>
              <w:left w:val="single" w:sz="4" w:space="0" w:color="auto"/>
              <w:bottom w:val="single" w:sz="4" w:space="0" w:color="auto"/>
              <w:right w:val="single" w:sz="4" w:space="0" w:color="auto"/>
            </w:tcBorders>
            <w:noWrap/>
            <w:hideMark/>
          </w:tcPr>
          <w:p w14:paraId="50870116"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rPr>
                <w:rFonts w:eastAsia="MS PMincho"/>
                <w:lang w:eastAsia="x-none"/>
              </w:rPr>
            </w:pPr>
            <w:r>
              <w:rPr>
                <w:rFonts w:eastAsia="MS PMincho" w:hint="eastAsia"/>
                <w:lang w:val="x-none" w:eastAsia="x-none"/>
              </w:rPr>
              <w:t xml:space="preserve">　</w:t>
            </w:r>
          </w:p>
        </w:tc>
        <w:tc>
          <w:tcPr>
            <w:tcW w:w="1276" w:type="dxa"/>
            <w:tcBorders>
              <w:top w:val="single" w:sz="4" w:space="0" w:color="auto"/>
              <w:left w:val="single" w:sz="4" w:space="0" w:color="auto"/>
              <w:bottom w:val="single" w:sz="4" w:space="0" w:color="auto"/>
              <w:right w:val="single" w:sz="4" w:space="0" w:color="auto"/>
            </w:tcBorders>
            <w:noWrap/>
            <w:hideMark/>
          </w:tcPr>
          <w:p w14:paraId="66417724"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rPr>
                <w:rFonts w:eastAsia="MS PMincho"/>
                <w:lang w:eastAsia="x-none"/>
              </w:rPr>
            </w:pPr>
            <w:r>
              <w:rPr>
                <w:rFonts w:eastAsia="MS PMincho" w:hint="eastAsia"/>
                <w:lang w:val="x-none" w:eastAsia="x-none"/>
              </w:rPr>
              <w:t xml:space="preserve">　</w:t>
            </w:r>
          </w:p>
        </w:tc>
        <w:tc>
          <w:tcPr>
            <w:tcW w:w="6662" w:type="dxa"/>
            <w:tcBorders>
              <w:top w:val="single" w:sz="4" w:space="0" w:color="auto"/>
              <w:left w:val="single" w:sz="4" w:space="0" w:color="auto"/>
              <w:bottom w:val="single" w:sz="4" w:space="0" w:color="auto"/>
              <w:right w:val="single" w:sz="4" w:space="0" w:color="auto"/>
            </w:tcBorders>
            <w:hideMark/>
          </w:tcPr>
          <w:p w14:paraId="78848B39"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rPr>
                <w:rFonts w:eastAsia="MS PMincho"/>
                <w:lang w:eastAsia="x-none"/>
              </w:rPr>
            </w:pPr>
            <w:r>
              <w:rPr>
                <w:rFonts w:eastAsia="MS PMincho"/>
                <w:lang w:eastAsia="x-none"/>
              </w:rPr>
              <w:t>Submission of the Working document (WD) to the 42</w:t>
            </w:r>
            <w:r w:rsidRPr="00BE122C">
              <w:rPr>
                <w:rFonts w:eastAsia="MS PMincho"/>
                <w:vertAlign w:val="superscript"/>
                <w:lang w:eastAsia="x-none"/>
              </w:rPr>
              <w:t>nd</w:t>
            </w:r>
            <w:r>
              <w:rPr>
                <w:rFonts w:eastAsia="MS PMincho"/>
                <w:lang w:eastAsia="x-none"/>
              </w:rPr>
              <w:t xml:space="preserve"> GHS sub-committee with the supporting document of OECD</w:t>
            </w:r>
          </w:p>
        </w:tc>
      </w:tr>
      <w:tr w:rsidR="00B90C82" w14:paraId="3A7EBE92" w14:textId="77777777" w:rsidTr="00F0243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B95234" w14:textId="77777777" w:rsidR="00B90C82" w:rsidRDefault="00B90C82" w:rsidP="00F0243D">
            <w:pPr>
              <w:spacing w:beforeAutospacing="1" w:afterAutospacing="1" w:line="300" w:lineRule="exact"/>
              <w:rPr>
                <w:rFonts w:eastAsia="MS PMincho"/>
                <w:lang w:eastAsia="x-none"/>
              </w:rPr>
            </w:pPr>
          </w:p>
        </w:tc>
        <w:tc>
          <w:tcPr>
            <w:tcW w:w="210" w:type="dxa"/>
            <w:tcBorders>
              <w:top w:val="single" w:sz="4" w:space="0" w:color="auto"/>
              <w:left w:val="single" w:sz="4" w:space="0" w:color="auto"/>
              <w:bottom w:val="single" w:sz="4" w:space="0" w:color="auto"/>
              <w:right w:val="single" w:sz="4" w:space="0" w:color="auto"/>
            </w:tcBorders>
            <w:noWrap/>
            <w:hideMark/>
          </w:tcPr>
          <w:p w14:paraId="2A9373E7"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jc w:val="center"/>
              <w:rPr>
                <w:rFonts w:eastAsia="MS PMincho"/>
                <w:lang w:eastAsia="x-none"/>
              </w:rPr>
            </w:pPr>
            <w:r>
              <w:rPr>
                <w:rFonts w:eastAsia="MS PMincho"/>
                <w:lang w:eastAsia="x-none"/>
              </w:rPr>
              <w:t>4</w:t>
            </w:r>
          </w:p>
        </w:tc>
        <w:tc>
          <w:tcPr>
            <w:tcW w:w="1068" w:type="dxa"/>
            <w:tcBorders>
              <w:top w:val="single" w:sz="4" w:space="0" w:color="auto"/>
              <w:left w:val="single" w:sz="4" w:space="0" w:color="auto"/>
              <w:bottom w:val="single" w:sz="4" w:space="0" w:color="auto"/>
              <w:right w:val="single" w:sz="4" w:space="0" w:color="auto"/>
            </w:tcBorders>
            <w:noWrap/>
            <w:hideMark/>
          </w:tcPr>
          <w:p w14:paraId="75D224AE"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rPr>
                <w:rFonts w:eastAsia="MS PMincho"/>
                <w:lang w:eastAsia="x-none"/>
              </w:rPr>
            </w:pPr>
            <w:r>
              <w:rPr>
                <w:rFonts w:eastAsia="MS PMincho"/>
                <w:lang w:eastAsia="x-none"/>
              </w:rPr>
              <w:t>34</w:t>
            </w:r>
            <w:r w:rsidRPr="00BE122C">
              <w:rPr>
                <w:rFonts w:eastAsia="MS PMincho"/>
                <w:vertAlign w:val="superscript"/>
                <w:lang w:eastAsia="x-none"/>
              </w:rPr>
              <w:t>th</w:t>
            </w:r>
            <w:r>
              <w:rPr>
                <w:rFonts w:eastAsia="MS PMincho"/>
                <w:lang w:eastAsia="x-none"/>
              </w:rPr>
              <w:t xml:space="preserve"> WNT</w:t>
            </w:r>
          </w:p>
        </w:tc>
        <w:tc>
          <w:tcPr>
            <w:tcW w:w="1276" w:type="dxa"/>
            <w:tcBorders>
              <w:top w:val="single" w:sz="4" w:space="0" w:color="auto"/>
              <w:left w:val="single" w:sz="4" w:space="0" w:color="auto"/>
              <w:bottom w:val="single" w:sz="4" w:space="0" w:color="auto"/>
              <w:right w:val="single" w:sz="4" w:space="0" w:color="auto"/>
            </w:tcBorders>
            <w:noWrap/>
            <w:hideMark/>
          </w:tcPr>
          <w:p w14:paraId="19D61728" w14:textId="77777777" w:rsidR="00B90C82" w:rsidRDefault="00B90C82" w:rsidP="00F0243D">
            <w:pPr>
              <w:spacing w:line="300" w:lineRule="exact"/>
              <w:rPr>
                <w:rFonts w:eastAsia="MS PMincho"/>
                <w:lang w:eastAsia="x-none"/>
              </w:rPr>
            </w:pPr>
          </w:p>
        </w:tc>
        <w:tc>
          <w:tcPr>
            <w:tcW w:w="6662" w:type="dxa"/>
            <w:tcBorders>
              <w:top w:val="single" w:sz="4" w:space="0" w:color="auto"/>
              <w:left w:val="single" w:sz="4" w:space="0" w:color="auto"/>
              <w:bottom w:val="single" w:sz="4" w:space="0" w:color="auto"/>
              <w:right w:val="single" w:sz="4" w:space="0" w:color="auto"/>
            </w:tcBorders>
            <w:noWrap/>
            <w:hideMark/>
          </w:tcPr>
          <w:p w14:paraId="45431B65"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rPr>
                <w:rFonts w:eastAsia="MS PMincho"/>
                <w:lang w:eastAsia="x-none"/>
              </w:rPr>
            </w:pPr>
            <w:r>
              <w:rPr>
                <w:rFonts w:eastAsia="MS PMincho"/>
                <w:lang w:eastAsia="x-none"/>
              </w:rPr>
              <w:t>Reporting of the output from the 41</w:t>
            </w:r>
            <w:r w:rsidRPr="00BE122C">
              <w:rPr>
                <w:rFonts w:eastAsia="MS PMincho"/>
                <w:vertAlign w:val="superscript"/>
                <w:lang w:eastAsia="x-none"/>
              </w:rPr>
              <w:t>st</w:t>
            </w:r>
            <w:r>
              <w:rPr>
                <w:rFonts w:eastAsia="MS PMincho"/>
                <w:lang w:eastAsia="x-none"/>
              </w:rPr>
              <w:t xml:space="preserve"> GHS sub-committee</w:t>
            </w:r>
          </w:p>
        </w:tc>
      </w:tr>
      <w:tr w:rsidR="00B90C82" w14:paraId="583B4D8C" w14:textId="77777777" w:rsidTr="00F0243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61A874" w14:textId="77777777" w:rsidR="00B90C82" w:rsidRDefault="00B90C82" w:rsidP="00F0243D">
            <w:pPr>
              <w:spacing w:beforeAutospacing="1" w:afterAutospacing="1" w:line="300" w:lineRule="exact"/>
              <w:rPr>
                <w:rFonts w:eastAsia="MS PMincho"/>
                <w:lang w:eastAsia="x-none"/>
              </w:rPr>
            </w:pPr>
          </w:p>
        </w:tc>
        <w:tc>
          <w:tcPr>
            <w:tcW w:w="210" w:type="dxa"/>
            <w:tcBorders>
              <w:top w:val="single" w:sz="4" w:space="0" w:color="auto"/>
              <w:left w:val="single" w:sz="4" w:space="0" w:color="auto"/>
              <w:bottom w:val="single" w:sz="4" w:space="0" w:color="auto"/>
              <w:right w:val="single" w:sz="4" w:space="0" w:color="auto"/>
            </w:tcBorders>
            <w:noWrap/>
            <w:hideMark/>
          </w:tcPr>
          <w:p w14:paraId="5C883392"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jc w:val="center"/>
              <w:rPr>
                <w:rFonts w:eastAsia="MS PMincho"/>
                <w:lang w:eastAsia="x-none"/>
              </w:rPr>
            </w:pPr>
            <w:r>
              <w:rPr>
                <w:rFonts w:eastAsia="MS PMincho"/>
                <w:lang w:eastAsia="x-none"/>
              </w:rPr>
              <w:t>5</w:t>
            </w:r>
          </w:p>
        </w:tc>
        <w:tc>
          <w:tcPr>
            <w:tcW w:w="1068" w:type="dxa"/>
            <w:tcBorders>
              <w:top w:val="single" w:sz="4" w:space="0" w:color="auto"/>
              <w:left w:val="single" w:sz="4" w:space="0" w:color="auto"/>
              <w:bottom w:val="single" w:sz="4" w:space="0" w:color="auto"/>
              <w:right w:val="single" w:sz="4" w:space="0" w:color="auto"/>
            </w:tcBorders>
            <w:noWrap/>
            <w:hideMark/>
          </w:tcPr>
          <w:p w14:paraId="702F422D"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rPr>
                <w:rFonts w:eastAsia="MS PMincho"/>
                <w:lang w:eastAsia="x-none"/>
              </w:rPr>
            </w:pPr>
            <w:r>
              <w:rPr>
                <w:rFonts w:eastAsia="MS PMincho" w:hint="eastAsia"/>
                <w:lang w:val="x-none" w:eastAsia="x-none"/>
              </w:rPr>
              <w:t xml:space="preserve">　</w:t>
            </w:r>
          </w:p>
        </w:tc>
        <w:tc>
          <w:tcPr>
            <w:tcW w:w="1276" w:type="dxa"/>
            <w:tcBorders>
              <w:top w:val="single" w:sz="4" w:space="0" w:color="auto"/>
              <w:left w:val="single" w:sz="4" w:space="0" w:color="auto"/>
              <w:bottom w:val="single" w:sz="4" w:space="0" w:color="auto"/>
              <w:right w:val="single" w:sz="4" w:space="0" w:color="auto"/>
            </w:tcBorders>
            <w:noWrap/>
            <w:hideMark/>
          </w:tcPr>
          <w:p w14:paraId="600AA5E4"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rPr>
                <w:rFonts w:eastAsia="MS PMincho"/>
                <w:lang w:eastAsia="x-none"/>
              </w:rPr>
            </w:pPr>
            <w:r>
              <w:rPr>
                <w:rFonts w:eastAsia="MS PMincho" w:hint="eastAsia"/>
                <w:lang w:val="x-none" w:eastAsia="x-none"/>
              </w:rPr>
              <w:t xml:space="preserve">　</w:t>
            </w:r>
          </w:p>
        </w:tc>
        <w:tc>
          <w:tcPr>
            <w:tcW w:w="6662" w:type="dxa"/>
            <w:tcBorders>
              <w:top w:val="single" w:sz="4" w:space="0" w:color="auto"/>
              <w:left w:val="single" w:sz="4" w:space="0" w:color="auto"/>
              <w:bottom w:val="single" w:sz="4" w:space="0" w:color="auto"/>
              <w:right w:val="single" w:sz="4" w:space="0" w:color="auto"/>
            </w:tcBorders>
            <w:noWrap/>
            <w:hideMark/>
          </w:tcPr>
          <w:p w14:paraId="138B0B40"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rPr>
                <w:rFonts w:eastAsia="MS PMincho"/>
                <w:lang w:eastAsia="x-none"/>
              </w:rPr>
            </w:pPr>
            <w:r>
              <w:rPr>
                <w:rFonts w:eastAsia="MS PMincho" w:hint="eastAsia"/>
                <w:lang w:val="x-none" w:eastAsia="x-none"/>
              </w:rPr>
              <w:t xml:space="preserve">　</w:t>
            </w:r>
          </w:p>
        </w:tc>
      </w:tr>
      <w:tr w:rsidR="00B90C82" w14:paraId="6E8F0D2D" w14:textId="77777777" w:rsidTr="00F0243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1ACFA5" w14:textId="77777777" w:rsidR="00B90C82" w:rsidRDefault="00B90C82" w:rsidP="00F0243D">
            <w:pPr>
              <w:spacing w:beforeAutospacing="1" w:afterAutospacing="1" w:line="300" w:lineRule="exact"/>
              <w:rPr>
                <w:rFonts w:eastAsia="MS PMincho"/>
                <w:lang w:eastAsia="x-none"/>
              </w:rPr>
            </w:pPr>
          </w:p>
        </w:tc>
        <w:tc>
          <w:tcPr>
            <w:tcW w:w="210" w:type="dxa"/>
            <w:tcBorders>
              <w:top w:val="single" w:sz="4" w:space="0" w:color="auto"/>
              <w:left w:val="single" w:sz="4" w:space="0" w:color="auto"/>
              <w:bottom w:val="single" w:sz="4" w:space="0" w:color="auto"/>
              <w:right w:val="single" w:sz="4" w:space="0" w:color="auto"/>
            </w:tcBorders>
            <w:noWrap/>
            <w:hideMark/>
          </w:tcPr>
          <w:p w14:paraId="7D9CDA55"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jc w:val="center"/>
              <w:rPr>
                <w:rFonts w:eastAsia="MS PMincho"/>
                <w:lang w:eastAsia="x-none"/>
              </w:rPr>
            </w:pPr>
            <w:r>
              <w:rPr>
                <w:rFonts w:eastAsia="MS PMincho"/>
                <w:lang w:eastAsia="x-none"/>
              </w:rPr>
              <w:t>6</w:t>
            </w:r>
          </w:p>
        </w:tc>
        <w:tc>
          <w:tcPr>
            <w:tcW w:w="1068" w:type="dxa"/>
            <w:tcBorders>
              <w:top w:val="single" w:sz="4" w:space="0" w:color="auto"/>
              <w:left w:val="single" w:sz="4" w:space="0" w:color="auto"/>
              <w:bottom w:val="single" w:sz="4" w:space="0" w:color="auto"/>
              <w:right w:val="single" w:sz="4" w:space="0" w:color="auto"/>
            </w:tcBorders>
            <w:noWrap/>
            <w:hideMark/>
          </w:tcPr>
          <w:p w14:paraId="0570F694"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rPr>
                <w:rFonts w:eastAsia="MS PMincho"/>
                <w:lang w:eastAsia="x-none"/>
              </w:rPr>
            </w:pPr>
            <w:r>
              <w:rPr>
                <w:rFonts w:eastAsia="MS PMincho" w:hint="eastAsia"/>
                <w:lang w:val="x-none" w:eastAsia="x-none"/>
              </w:rPr>
              <w:t xml:space="preserve">　</w:t>
            </w:r>
          </w:p>
        </w:tc>
        <w:tc>
          <w:tcPr>
            <w:tcW w:w="1276" w:type="dxa"/>
            <w:tcBorders>
              <w:top w:val="single" w:sz="4" w:space="0" w:color="auto"/>
              <w:left w:val="single" w:sz="4" w:space="0" w:color="auto"/>
              <w:bottom w:val="single" w:sz="4" w:space="0" w:color="auto"/>
              <w:right w:val="single" w:sz="4" w:space="0" w:color="auto"/>
            </w:tcBorders>
            <w:noWrap/>
            <w:hideMark/>
          </w:tcPr>
          <w:p w14:paraId="59B03D71"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rPr>
                <w:rFonts w:eastAsia="MS PMincho"/>
                <w:lang w:eastAsia="x-none"/>
              </w:rPr>
            </w:pPr>
            <w:r>
              <w:rPr>
                <w:rFonts w:eastAsia="MS PMincho" w:hint="eastAsia"/>
                <w:lang w:val="x-none" w:eastAsia="x-none"/>
              </w:rPr>
              <w:t xml:space="preserve">　</w:t>
            </w:r>
          </w:p>
        </w:tc>
        <w:tc>
          <w:tcPr>
            <w:tcW w:w="6662" w:type="dxa"/>
            <w:tcBorders>
              <w:top w:val="single" w:sz="4" w:space="0" w:color="auto"/>
              <w:left w:val="single" w:sz="4" w:space="0" w:color="auto"/>
              <w:bottom w:val="single" w:sz="4" w:space="0" w:color="auto"/>
              <w:right w:val="single" w:sz="4" w:space="0" w:color="auto"/>
            </w:tcBorders>
            <w:noWrap/>
            <w:hideMark/>
          </w:tcPr>
          <w:p w14:paraId="5932024C"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rPr>
                <w:rFonts w:eastAsia="MS PMincho"/>
                <w:lang w:eastAsia="x-none"/>
              </w:rPr>
            </w:pPr>
            <w:r>
              <w:rPr>
                <w:rFonts w:eastAsia="MS PMincho" w:hint="eastAsia"/>
                <w:lang w:val="x-none" w:eastAsia="x-none"/>
              </w:rPr>
              <w:t xml:space="preserve">　</w:t>
            </w:r>
          </w:p>
        </w:tc>
      </w:tr>
      <w:tr w:rsidR="00B90C82" w14:paraId="1773026F" w14:textId="77777777" w:rsidTr="00F0243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F962F3" w14:textId="77777777" w:rsidR="00B90C82" w:rsidRDefault="00B90C82" w:rsidP="00F0243D">
            <w:pPr>
              <w:spacing w:beforeAutospacing="1" w:afterAutospacing="1" w:line="300" w:lineRule="exact"/>
              <w:rPr>
                <w:rFonts w:eastAsia="MS PMincho"/>
                <w:lang w:eastAsia="x-none"/>
              </w:rPr>
            </w:pPr>
          </w:p>
        </w:tc>
        <w:tc>
          <w:tcPr>
            <w:tcW w:w="210" w:type="dxa"/>
            <w:tcBorders>
              <w:top w:val="single" w:sz="4" w:space="0" w:color="auto"/>
              <w:left w:val="single" w:sz="4" w:space="0" w:color="auto"/>
              <w:bottom w:val="single" w:sz="4" w:space="0" w:color="auto"/>
              <w:right w:val="single" w:sz="4" w:space="0" w:color="auto"/>
            </w:tcBorders>
            <w:noWrap/>
            <w:hideMark/>
          </w:tcPr>
          <w:p w14:paraId="7A55B175"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jc w:val="center"/>
              <w:rPr>
                <w:rFonts w:eastAsia="MS PMincho"/>
                <w:lang w:eastAsia="x-none"/>
              </w:rPr>
            </w:pPr>
            <w:r>
              <w:rPr>
                <w:rFonts w:eastAsia="MS PMincho"/>
                <w:lang w:eastAsia="x-none"/>
              </w:rPr>
              <w:t>7</w:t>
            </w:r>
          </w:p>
        </w:tc>
        <w:tc>
          <w:tcPr>
            <w:tcW w:w="1068" w:type="dxa"/>
            <w:tcBorders>
              <w:top w:val="single" w:sz="4" w:space="0" w:color="auto"/>
              <w:left w:val="single" w:sz="4" w:space="0" w:color="auto"/>
              <w:bottom w:val="single" w:sz="4" w:space="0" w:color="auto"/>
              <w:right w:val="single" w:sz="4" w:space="0" w:color="auto"/>
            </w:tcBorders>
            <w:noWrap/>
            <w:hideMark/>
          </w:tcPr>
          <w:p w14:paraId="4485C3A6"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rPr>
                <w:rFonts w:eastAsia="MS PMincho"/>
                <w:lang w:eastAsia="x-none"/>
              </w:rPr>
            </w:pPr>
            <w:r>
              <w:rPr>
                <w:rFonts w:eastAsia="MS PMincho" w:hint="eastAsia"/>
                <w:lang w:val="x-none" w:eastAsia="x-none"/>
              </w:rPr>
              <w:t xml:space="preserve">　</w:t>
            </w:r>
          </w:p>
        </w:tc>
        <w:tc>
          <w:tcPr>
            <w:tcW w:w="1276" w:type="dxa"/>
            <w:tcBorders>
              <w:top w:val="single" w:sz="4" w:space="0" w:color="auto"/>
              <w:left w:val="single" w:sz="4" w:space="0" w:color="auto"/>
              <w:bottom w:val="single" w:sz="4" w:space="0" w:color="auto"/>
              <w:right w:val="single" w:sz="4" w:space="0" w:color="auto"/>
            </w:tcBorders>
            <w:noWrap/>
            <w:hideMark/>
          </w:tcPr>
          <w:p w14:paraId="5AAF9D22"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rPr>
                <w:rFonts w:eastAsia="MS PMincho"/>
                <w:lang w:eastAsia="x-none"/>
              </w:rPr>
            </w:pPr>
            <w:r>
              <w:rPr>
                <w:rFonts w:eastAsia="MS PMincho"/>
                <w:lang w:eastAsia="x-none"/>
              </w:rPr>
              <w:t>42</w:t>
            </w:r>
            <w:r w:rsidRPr="0011767E">
              <w:rPr>
                <w:rFonts w:eastAsia="MS PMincho"/>
                <w:vertAlign w:val="superscript"/>
                <w:lang w:eastAsia="x-none"/>
              </w:rPr>
              <w:t>nd</w:t>
            </w:r>
            <w:r>
              <w:rPr>
                <w:rFonts w:eastAsia="MS PMincho"/>
                <w:lang w:eastAsia="x-none"/>
              </w:rPr>
              <w:t xml:space="preserve"> GHS SCE</w:t>
            </w:r>
          </w:p>
        </w:tc>
        <w:tc>
          <w:tcPr>
            <w:tcW w:w="6662" w:type="dxa"/>
            <w:tcBorders>
              <w:top w:val="single" w:sz="4" w:space="0" w:color="auto"/>
              <w:left w:val="single" w:sz="4" w:space="0" w:color="auto"/>
              <w:bottom w:val="single" w:sz="4" w:space="0" w:color="auto"/>
              <w:right w:val="single" w:sz="4" w:space="0" w:color="auto"/>
            </w:tcBorders>
            <w:noWrap/>
            <w:hideMark/>
          </w:tcPr>
          <w:p w14:paraId="1E2BF56C"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rPr>
                <w:rFonts w:eastAsia="MS PMincho"/>
                <w:lang w:eastAsia="x-none"/>
              </w:rPr>
            </w:pPr>
            <w:r>
              <w:rPr>
                <w:rFonts w:eastAsia="MS PMincho"/>
                <w:lang w:eastAsia="x-none"/>
              </w:rPr>
              <w:t>Reporting and discussion of the WD for approval</w:t>
            </w:r>
          </w:p>
        </w:tc>
      </w:tr>
      <w:tr w:rsidR="00B90C82" w14:paraId="43D8E459" w14:textId="77777777" w:rsidTr="00F0243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3119C4" w14:textId="77777777" w:rsidR="00B90C82" w:rsidRDefault="00B90C82" w:rsidP="00F0243D">
            <w:pPr>
              <w:spacing w:beforeAutospacing="1" w:afterAutospacing="1" w:line="300" w:lineRule="exact"/>
              <w:rPr>
                <w:rFonts w:eastAsia="MS PMincho"/>
                <w:lang w:eastAsia="x-none"/>
              </w:rPr>
            </w:pPr>
          </w:p>
        </w:tc>
        <w:tc>
          <w:tcPr>
            <w:tcW w:w="210" w:type="dxa"/>
            <w:tcBorders>
              <w:top w:val="single" w:sz="4" w:space="0" w:color="auto"/>
              <w:left w:val="single" w:sz="4" w:space="0" w:color="auto"/>
              <w:bottom w:val="single" w:sz="4" w:space="0" w:color="auto"/>
              <w:right w:val="single" w:sz="4" w:space="0" w:color="auto"/>
            </w:tcBorders>
            <w:noWrap/>
            <w:hideMark/>
          </w:tcPr>
          <w:p w14:paraId="20B64BF2"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jc w:val="center"/>
              <w:rPr>
                <w:rFonts w:eastAsia="MS PMincho"/>
                <w:lang w:eastAsia="x-none"/>
              </w:rPr>
            </w:pPr>
            <w:r>
              <w:rPr>
                <w:rFonts w:eastAsia="MS PMincho"/>
                <w:lang w:eastAsia="x-none"/>
              </w:rPr>
              <w:t>8</w:t>
            </w:r>
          </w:p>
        </w:tc>
        <w:tc>
          <w:tcPr>
            <w:tcW w:w="1068" w:type="dxa"/>
            <w:tcBorders>
              <w:top w:val="single" w:sz="4" w:space="0" w:color="auto"/>
              <w:left w:val="single" w:sz="4" w:space="0" w:color="auto"/>
              <w:bottom w:val="single" w:sz="4" w:space="0" w:color="auto"/>
              <w:right w:val="single" w:sz="4" w:space="0" w:color="auto"/>
            </w:tcBorders>
            <w:noWrap/>
            <w:hideMark/>
          </w:tcPr>
          <w:p w14:paraId="0C8C514B"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rPr>
                <w:rFonts w:eastAsia="MS PMincho"/>
                <w:lang w:eastAsia="x-none"/>
              </w:rPr>
            </w:pPr>
            <w:r>
              <w:rPr>
                <w:rFonts w:eastAsia="MS PMincho" w:hint="eastAsia"/>
                <w:lang w:val="x-none" w:eastAsia="x-none"/>
              </w:rPr>
              <w:t xml:space="preserve">　</w:t>
            </w:r>
          </w:p>
        </w:tc>
        <w:tc>
          <w:tcPr>
            <w:tcW w:w="1276" w:type="dxa"/>
            <w:tcBorders>
              <w:top w:val="single" w:sz="4" w:space="0" w:color="auto"/>
              <w:left w:val="single" w:sz="4" w:space="0" w:color="auto"/>
              <w:bottom w:val="single" w:sz="4" w:space="0" w:color="auto"/>
              <w:right w:val="single" w:sz="4" w:space="0" w:color="auto"/>
            </w:tcBorders>
            <w:noWrap/>
            <w:hideMark/>
          </w:tcPr>
          <w:p w14:paraId="7E175D92"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rPr>
                <w:rFonts w:eastAsia="MS PMincho"/>
                <w:lang w:eastAsia="x-none"/>
              </w:rPr>
            </w:pPr>
            <w:r>
              <w:rPr>
                <w:rFonts w:eastAsia="MS PMincho" w:hint="eastAsia"/>
                <w:lang w:val="x-none" w:eastAsia="x-none"/>
              </w:rPr>
              <w:t xml:space="preserve">　</w:t>
            </w:r>
          </w:p>
        </w:tc>
        <w:tc>
          <w:tcPr>
            <w:tcW w:w="6662" w:type="dxa"/>
            <w:tcBorders>
              <w:top w:val="single" w:sz="4" w:space="0" w:color="auto"/>
              <w:left w:val="single" w:sz="4" w:space="0" w:color="auto"/>
              <w:bottom w:val="single" w:sz="4" w:space="0" w:color="auto"/>
              <w:right w:val="single" w:sz="4" w:space="0" w:color="auto"/>
            </w:tcBorders>
            <w:noWrap/>
            <w:hideMark/>
          </w:tcPr>
          <w:p w14:paraId="616D9423"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rPr>
                <w:rFonts w:eastAsia="MS PMincho"/>
                <w:lang w:eastAsia="x-none"/>
              </w:rPr>
            </w:pPr>
            <w:r>
              <w:rPr>
                <w:rFonts w:eastAsia="MS PMincho" w:hint="eastAsia"/>
                <w:lang w:val="x-none" w:eastAsia="x-none"/>
              </w:rPr>
              <w:t xml:space="preserve">　</w:t>
            </w:r>
          </w:p>
        </w:tc>
      </w:tr>
      <w:tr w:rsidR="00B90C82" w14:paraId="40B45261" w14:textId="77777777" w:rsidTr="00F0243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BCF7CE" w14:textId="77777777" w:rsidR="00B90C82" w:rsidRDefault="00B90C82" w:rsidP="00F0243D">
            <w:pPr>
              <w:spacing w:beforeAutospacing="1" w:afterAutospacing="1" w:line="300" w:lineRule="exact"/>
              <w:rPr>
                <w:rFonts w:eastAsia="MS PMincho"/>
                <w:lang w:eastAsia="x-none"/>
              </w:rPr>
            </w:pPr>
          </w:p>
        </w:tc>
        <w:tc>
          <w:tcPr>
            <w:tcW w:w="210" w:type="dxa"/>
            <w:tcBorders>
              <w:top w:val="single" w:sz="4" w:space="0" w:color="auto"/>
              <w:left w:val="single" w:sz="4" w:space="0" w:color="auto"/>
              <w:bottom w:val="single" w:sz="4" w:space="0" w:color="auto"/>
              <w:right w:val="single" w:sz="4" w:space="0" w:color="auto"/>
            </w:tcBorders>
            <w:noWrap/>
            <w:hideMark/>
          </w:tcPr>
          <w:p w14:paraId="567B92FE"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jc w:val="center"/>
              <w:rPr>
                <w:rFonts w:eastAsia="MS PMincho"/>
                <w:lang w:eastAsia="x-none"/>
              </w:rPr>
            </w:pPr>
            <w:r>
              <w:rPr>
                <w:rFonts w:eastAsia="MS PMincho"/>
                <w:lang w:eastAsia="x-none"/>
              </w:rPr>
              <w:t>9</w:t>
            </w:r>
          </w:p>
        </w:tc>
        <w:tc>
          <w:tcPr>
            <w:tcW w:w="1068" w:type="dxa"/>
            <w:tcBorders>
              <w:top w:val="single" w:sz="4" w:space="0" w:color="auto"/>
              <w:left w:val="single" w:sz="4" w:space="0" w:color="auto"/>
              <w:bottom w:val="single" w:sz="4" w:space="0" w:color="auto"/>
              <w:right w:val="single" w:sz="4" w:space="0" w:color="auto"/>
            </w:tcBorders>
            <w:noWrap/>
            <w:hideMark/>
          </w:tcPr>
          <w:p w14:paraId="5DC30F89"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rPr>
                <w:rFonts w:eastAsia="MS PMincho"/>
                <w:lang w:eastAsia="x-none"/>
              </w:rPr>
            </w:pPr>
            <w:r>
              <w:rPr>
                <w:rFonts w:eastAsia="MS PMincho" w:hint="eastAsia"/>
                <w:lang w:val="x-none" w:eastAsia="x-none"/>
              </w:rPr>
              <w:t xml:space="preserve">　</w:t>
            </w:r>
          </w:p>
        </w:tc>
        <w:tc>
          <w:tcPr>
            <w:tcW w:w="1276" w:type="dxa"/>
            <w:tcBorders>
              <w:top w:val="single" w:sz="4" w:space="0" w:color="auto"/>
              <w:left w:val="single" w:sz="4" w:space="0" w:color="auto"/>
              <w:bottom w:val="single" w:sz="4" w:space="0" w:color="auto"/>
              <w:right w:val="single" w:sz="4" w:space="0" w:color="auto"/>
            </w:tcBorders>
            <w:noWrap/>
            <w:hideMark/>
          </w:tcPr>
          <w:p w14:paraId="1F37DEE0"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rPr>
                <w:rFonts w:eastAsia="MS PMincho"/>
                <w:lang w:eastAsia="x-none"/>
              </w:rPr>
            </w:pPr>
            <w:r>
              <w:rPr>
                <w:rFonts w:eastAsia="MS PMincho" w:hint="eastAsia"/>
                <w:lang w:val="x-none" w:eastAsia="x-none"/>
              </w:rPr>
              <w:t xml:space="preserve">　</w:t>
            </w:r>
          </w:p>
        </w:tc>
        <w:tc>
          <w:tcPr>
            <w:tcW w:w="6662" w:type="dxa"/>
            <w:tcBorders>
              <w:top w:val="single" w:sz="4" w:space="0" w:color="auto"/>
              <w:left w:val="single" w:sz="4" w:space="0" w:color="auto"/>
              <w:bottom w:val="single" w:sz="4" w:space="0" w:color="auto"/>
              <w:right w:val="single" w:sz="4" w:space="0" w:color="auto"/>
            </w:tcBorders>
            <w:noWrap/>
            <w:hideMark/>
          </w:tcPr>
          <w:p w14:paraId="3D6E04A0"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rPr>
                <w:rFonts w:eastAsia="MS PMincho"/>
                <w:lang w:eastAsia="x-none"/>
              </w:rPr>
            </w:pPr>
            <w:r>
              <w:rPr>
                <w:rFonts w:eastAsia="MS PMincho" w:hint="eastAsia"/>
                <w:lang w:val="x-none" w:eastAsia="x-none"/>
              </w:rPr>
              <w:t xml:space="preserve">　</w:t>
            </w:r>
          </w:p>
        </w:tc>
      </w:tr>
      <w:tr w:rsidR="00B90C82" w14:paraId="037E14D7" w14:textId="77777777" w:rsidTr="00F0243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C92E6D" w14:textId="77777777" w:rsidR="00B90C82" w:rsidRDefault="00B90C82" w:rsidP="00F0243D">
            <w:pPr>
              <w:spacing w:beforeAutospacing="1" w:afterAutospacing="1" w:line="300" w:lineRule="exact"/>
              <w:rPr>
                <w:rFonts w:eastAsia="MS PMincho"/>
                <w:lang w:eastAsia="x-none"/>
              </w:rPr>
            </w:pPr>
          </w:p>
        </w:tc>
        <w:tc>
          <w:tcPr>
            <w:tcW w:w="210" w:type="dxa"/>
            <w:tcBorders>
              <w:top w:val="single" w:sz="4" w:space="0" w:color="auto"/>
              <w:left w:val="single" w:sz="4" w:space="0" w:color="auto"/>
              <w:bottom w:val="single" w:sz="4" w:space="0" w:color="auto"/>
              <w:right w:val="single" w:sz="4" w:space="0" w:color="auto"/>
            </w:tcBorders>
            <w:noWrap/>
            <w:hideMark/>
          </w:tcPr>
          <w:p w14:paraId="2106E79D"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jc w:val="center"/>
              <w:rPr>
                <w:rFonts w:eastAsia="MS PMincho"/>
                <w:lang w:eastAsia="x-none"/>
              </w:rPr>
            </w:pPr>
            <w:r>
              <w:rPr>
                <w:rFonts w:eastAsia="MS PMincho"/>
                <w:lang w:eastAsia="x-none"/>
              </w:rPr>
              <w:t>10</w:t>
            </w:r>
          </w:p>
        </w:tc>
        <w:tc>
          <w:tcPr>
            <w:tcW w:w="1068" w:type="dxa"/>
            <w:tcBorders>
              <w:top w:val="single" w:sz="4" w:space="0" w:color="auto"/>
              <w:left w:val="single" w:sz="4" w:space="0" w:color="auto"/>
              <w:bottom w:val="single" w:sz="4" w:space="0" w:color="auto"/>
              <w:right w:val="single" w:sz="4" w:space="0" w:color="auto"/>
            </w:tcBorders>
            <w:noWrap/>
            <w:hideMark/>
          </w:tcPr>
          <w:p w14:paraId="20F0279C"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rPr>
                <w:rFonts w:eastAsia="MS PMincho"/>
                <w:lang w:eastAsia="x-none"/>
              </w:rPr>
            </w:pPr>
            <w:r>
              <w:rPr>
                <w:rFonts w:eastAsia="MS PMincho"/>
                <w:lang w:eastAsia="x-none"/>
              </w:rPr>
              <w:t>OECD sensitization EG</w:t>
            </w:r>
          </w:p>
        </w:tc>
        <w:tc>
          <w:tcPr>
            <w:tcW w:w="1276" w:type="dxa"/>
            <w:tcBorders>
              <w:top w:val="single" w:sz="4" w:space="0" w:color="auto"/>
              <w:left w:val="single" w:sz="4" w:space="0" w:color="auto"/>
              <w:bottom w:val="single" w:sz="4" w:space="0" w:color="auto"/>
              <w:right w:val="single" w:sz="4" w:space="0" w:color="auto"/>
            </w:tcBorders>
            <w:noWrap/>
            <w:hideMark/>
          </w:tcPr>
          <w:p w14:paraId="382C60A4" w14:textId="77777777" w:rsidR="00B90C82" w:rsidRDefault="00B90C82" w:rsidP="00F0243D">
            <w:pPr>
              <w:spacing w:line="300" w:lineRule="exact"/>
              <w:rPr>
                <w:rFonts w:eastAsia="MS PMincho"/>
                <w:lang w:eastAsia="x-none"/>
              </w:rPr>
            </w:pPr>
          </w:p>
        </w:tc>
        <w:tc>
          <w:tcPr>
            <w:tcW w:w="6662" w:type="dxa"/>
            <w:tcBorders>
              <w:top w:val="single" w:sz="4" w:space="0" w:color="auto"/>
              <w:left w:val="single" w:sz="4" w:space="0" w:color="auto"/>
              <w:bottom w:val="single" w:sz="4" w:space="0" w:color="auto"/>
              <w:right w:val="single" w:sz="4" w:space="0" w:color="auto"/>
            </w:tcBorders>
            <w:noWrap/>
            <w:hideMark/>
          </w:tcPr>
          <w:p w14:paraId="19844CAC"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rPr>
                <w:rFonts w:eastAsia="MS PMincho"/>
                <w:lang w:eastAsia="x-none"/>
              </w:rPr>
            </w:pPr>
            <w:r>
              <w:rPr>
                <w:rFonts w:eastAsia="MS PMincho"/>
                <w:lang w:eastAsia="x-none"/>
              </w:rPr>
              <w:t>Reporting of the output from the 42</w:t>
            </w:r>
            <w:r w:rsidRPr="00BE122C">
              <w:rPr>
                <w:rFonts w:eastAsia="MS PMincho"/>
                <w:vertAlign w:val="superscript"/>
                <w:lang w:eastAsia="x-none"/>
              </w:rPr>
              <w:t>nd</w:t>
            </w:r>
            <w:r>
              <w:rPr>
                <w:rFonts w:eastAsia="MS PMincho"/>
                <w:lang w:eastAsia="x-none"/>
              </w:rPr>
              <w:t xml:space="preserve"> GHS sub-committee</w:t>
            </w:r>
          </w:p>
        </w:tc>
      </w:tr>
      <w:tr w:rsidR="00B90C82" w14:paraId="2F91CAF4" w14:textId="77777777" w:rsidTr="00F0243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F231FB" w14:textId="77777777" w:rsidR="00B90C82" w:rsidRDefault="00B90C82" w:rsidP="00F0243D">
            <w:pPr>
              <w:spacing w:beforeAutospacing="1" w:afterAutospacing="1" w:line="300" w:lineRule="exact"/>
              <w:rPr>
                <w:rFonts w:eastAsia="MS PMincho"/>
                <w:lang w:eastAsia="x-none"/>
              </w:rPr>
            </w:pPr>
          </w:p>
        </w:tc>
        <w:tc>
          <w:tcPr>
            <w:tcW w:w="210" w:type="dxa"/>
            <w:tcBorders>
              <w:top w:val="single" w:sz="4" w:space="0" w:color="auto"/>
              <w:left w:val="single" w:sz="4" w:space="0" w:color="auto"/>
              <w:bottom w:val="single" w:sz="4" w:space="0" w:color="auto"/>
              <w:right w:val="single" w:sz="4" w:space="0" w:color="auto"/>
            </w:tcBorders>
            <w:noWrap/>
            <w:hideMark/>
          </w:tcPr>
          <w:p w14:paraId="647434A9"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jc w:val="center"/>
              <w:rPr>
                <w:rFonts w:eastAsia="MS PMincho"/>
                <w:lang w:eastAsia="x-none"/>
              </w:rPr>
            </w:pPr>
            <w:r>
              <w:rPr>
                <w:rFonts w:eastAsia="MS PMincho"/>
                <w:lang w:eastAsia="x-none"/>
              </w:rPr>
              <w:t>11</w:t>
            </w:r>
          </w:p>
        </w:tc>
        <w:tc>
          <w:tcPr>
            <w:tcW w:w="1068" w:type="dxa"/>
            <w:tcBorders>
              <w:top w:val="single" w:sz="4" w:space="0" w:color="auto"/>
              <w:left w:val="single" w:sz="4" w:space="0" w:color="auto"/>
              <w:bottom w:val="single" w:sz="4" w:space="0" w:color="auto"/>
              <w:right w:val="single" w:sz="4" w:space="0" w:color="auto"/>
            </w:tcBorders>
            <w:noWrap/>
            <w:hideMark/>
          </w:tcPr>
          <w:p w14:paraId="5915265D"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rPr>
                <w:rFonts w:eastAsia="MS PMincho"/>
                <w:lang w:eastAsia="x-none"/>
              </w:rPr>
            </w:pPr>
            <w:r>
              <w:rPr>
                <w:rFonts w:eastAsia="MS PMincho" w:hint="eastAsia"/>
                <w:lang w:val="x-none" w:eastAsia="x-none"/>
              </w:rPr>
              <w:t xml:space="preserve">　</w:t>
            </w:r>
          </w:p>
        </w:tc>
        <w:tc>
          <w:tcPr>
            <w:tcW w:w="1276" w:type="dxa"/>
            <w:tcBorders>
              <w:top w:val="single" w:sz="4" w:space="0" w:color="auto"/>
              <w:left w:val="single" w:sz="4" w:space="0" w:color="auto"/>
              <w:bottom w:val="single" w:sz="4" w:space="0" w:color="auto"/>
              <w:right w:val="single" w:sz="4" w:space="0" w:color="auto"/>
            </w:tcBorders>
            <w:noWrap/>
            <w:hideMark/>
          </w:tcPr>
          <w:p w14:paraId="1B6D9800"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rPr>
                <w:rFonts w:eastAsia="MS PMincho"/>
                <w:lang w:eastAsia="x-none"/>
              </w:rPr>
            </w:pPr>
            <w:r>
              <w:rPr>
                <w:rFonts w:eastAsia="MS PMincho" w:hint="eastAsia"/>
                <w:lang w:val="x-none" w:eastAsia="x-none"/>
              </w:rPr>
              <w:t xml:space="preserve">　</w:t>
            </w:r>
          </w:p>
        </w:tc>
        <w:tc>
          <w:tcPr>
            <w:tcW w:w="6662" w:type="dxa"/>
            <w:tcBorders>
              <w:top w:val="single" w:sz="4" w:space="0" w:color="auto"/>
              <w:left w:val="single" w:sz="4" w:space="0" w:color="auto"/>
              <w:bottom w:val="single" w:sz="4" w:space="0" w:color="auto"/>
              <w:right w:val="single" w:sz="4" w:space="0" w:color="auto"/>
            </w:tcBorders>
            <w:noWrap/>
            <w:hideMark/>
          </w:tcPr>
          <w:p w14:paraId="566D0626"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rPr>
                <w:rFonts w:eastAsia="MS PMincho"/>
                <w:lang w:eastAsia="x-none"/>
              </w:rPr>
            </w:pPr>
            <w:r>
              <w:rPr>
                <w:rFonts w:eastAsia="MS PMincho" w:hint="eastAsia"/>
                <w:lang w:val="x-none" w:eastAsia="x-none"/>
              </w:rPr>
              <w:t xml:space="preserve">　</w:t>
            </w:r>
          </w:p>
        </w:tc>
      </w:tr>
      <w:tr w:rsidR="00B90C82" w14:paraId="39C91556" w14:textId="77777777" w:rsidTr="00F0243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23C2BE" w14:textId="77777777" w:rsidR="00B90C82" w:rsidRDefault="00B90C82" w:rsidP="00F0243D">
            <w:pPr>
              <w:spacing w:beforeAutospacing="1" w:afterAutospacing="1" w:line="300" w:lineRule="exact"/>
              <w:rPr>
                <w:rFonts w:eastAsia="MS PMincho"/>
                <w:lang w:eastAsia="x-none"/>
              </w:rPr>
            </w:pPr>
          </w:p>
        </w:tc>
        <w:tc>
          <w:tcPr>
            <w:tcW w:w="210" w:type="dxa"/>
            <w:tcBorders>
              <w:top w:val="single" w:sz="4" w:space="0" w:color="auto"/>
              <w:left w:val="single" w:sz="4" w:space="0" w:color="auto"/>
              <w:bottom w:val="single" w:sz="4" w:space="0" w:color="auto"/>
              <w:right w:val="single" w:sz="4" w:space="0" w:color="auto"/>
            </w:tcBorders>
            <w:noWrap/>
            <w:hideMark/>
          </w:tcPr>
          <w:p w14:paraId="01F2AD2C"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jc w:val="center"/>
              <w:rPr>
                <w:rFonts w:eastAsia="MS PMincho"/>
                <w:lang w:eastAsia="x-none"/>
              </w:rPr>
            </w:pPr>
            <w:r>
              <w:rPr>
                <w:rFonts w:eastAsia="MS PMincho"/>
                <w:lang w:eastAsia="x-none"/>
              </w:rPr>
              <w:t>12</w:t>
            </w:r>
          </w:p>
        </w:tc>
        <w:tc>
          <w:tcPr>
            <w:tcW w:w="1068" w:type="dxa"/>
            <w:tcBorders>
              <w:top w:val="single" w:sz="4" w:space="0" w:color="auto"/>
              <w:left w:val="single" w:sz="4" w:space="0" w:color="auto"/>
              <w:bottom w:val="single" w:sz="4" w:space="0" w:color="auto"/>
              <w:right w:val="single" w:sz="4" w:space="0" w:color="auto"/>
            </w:tcBorders>
            <w:noWrap/>
            <w:hideMark/>
          </w:tcPr>
          <w:p w14:paraId="55EA22A9"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rPr>
                <w:rFonts w:eastAsia="MS PMincho"/>
                <w:lang w:eastAsia="x-none"/>
              </w:rPr>
            </w:pPr>
            <w:r>
              <w:rPr>
                <w:rFonts w:eastAsia="MS PMincho" w:hint="eastAsia"/>
                <w:lang w:val="x-none" w:eastAsia="x-none"/>
              </w:rPr>
              <w:t xml:space="preserve">　</w:t>
            </w:r>
          </w:p>
        </w:tc>
        <w:tc>
          <w:tcPr>
            <w:tcW w:w="1276" w:type="dxa"/>
            <w:tcBorders>
              <w:top w:val="single" w:sz="4" w:space="0" w:color="auto"/>
              <w:left w:val="single" w:sz="4" w:space="0" w:color="auto"/>
              <w:bottom w:val="single" w:sz="4" w:space="0" w:color="auto"/>
              <w:right w:val="single" w:sz="4" w:space="0" w:color="auto"/>
            </w:tcBorders>
            <w:noWrap/>
            <w:hideMark/>
          </w:tcPr>
          <w:p w14:paraId="124097A6"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rPr>
                <w:rFonts w:eastAsia="MS PMincho"/>
                <w:lang w:eastAsia="x-none"/>
              </w:rPr>
            </w:pPr>
            <w:r>
              <w:rPr>
                <w:rFonts w:eastAsia="MS PMincho"/>
                <w:lang w:eastAsia="x-none"/>
              </w:rPr>
              <w:t>43</w:t>
            </w:r>
            <w:r w:rsidRPr="00BE122C">
              <w:rPr>
                <w:rFonts w:eastAsia="MS PMincho"/>
                <w:vertAlign w:val="superscript"/>
                <w:lang w:eastAsia="x-none"/>
              </w:rPr>
              <w:t>rd</w:t>
            </w:r>
            <w:r>
              <w:rPr>
                <w:rFonts w:eastAsia="MS PMincho"/>
                <w:lang w:eastAsia="x-none"/>
              </w:rPr>
              <w:t xml:space="preserve"> GHS SCE</w:t>
            </w:r>
          </w:p>
        </w:tc>
        <w:tc>
          <w:tcPr>
            <w:tcW w:w="6662" w:type="dxa"/>
            <w:tcBorders>
              <w:top w:val="single" w:sz="4" w:space="0" w:color="auto"/>
              <w:left w:val="single" w:sz="4" w:space="0" w:color="auto"/>
              <w:bottom w:val="single" w:sz="4" w:space="0" w:color="auto"/>
              <w:right w:val="single" w:sz="4" w:space="0" w:color="auto"/>
            </w:tcBorders>
            <w:noWrap/>
            <w:hideMark/>
          </w:tcPr>
          <w:p w14:paraId="53067526"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rPr>
                <w:rFonts w:eastAsia="MS PMincho"/>
                <w:lang w:eastAsia="x-none"/>
              </w:rPr>
            </w:pPr>
            <w:r>
              <w:rPr>
                <w:rFonts w:eastAsia="MS PMincho"/>
                <w:lang w:eastAsia="x-none"/>
              </w:rPr>
              <w:t>End of the two-year work plan and approval of all outputs</w:t>
            </w:r>
          </w:p>
        </w:tc>
      </w:tr>
      <w:tr w:rsidR="00B90C82" w14:paraId="0127B67C" w14:textId="77777777" w:rsidTr="00F0243D">
        <w:trPr>
          <w:trHeight w:val="270"/>
        </w:trPr>
        <w:tc>
          <w:tcPr>
            <w:tcW w:w="423" w:type="dxa"/>
            <w:vMerge w:val="restart"/>
            <w:tcBorders>
              <w:top w:val="single" w:sz="4" w:space="0" w:color="auto"/>
              <w:left w:val="single" w:sz="4" w:space="0" w:color="auto"/>
              <w:bottom w:val="single" w:sz="4" w:space="0" w:color="auto"/>
              <w:right w:val="single" w:sz="4" w:space="0" w:color="auto"/>
            </w:tcBorders>
            <w:noWrap/>
            <w:hideMark/>
          </w:tcPr>
          <w:p w14:paraId="7244589C"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rPr>
                <w:rFonts w:eastAsia="MS PMincho"/>
                <w:lang w:eastAsia="x-none"/>
              </w:rPr>
            </w:pPr>
            <w:r>
              <w:rPr>
                <w:rFonts w:eastAsia="MS PMincho"/>
                <w:lang w:eastAsia="x-none"/>
              </w:rPr>
              <w:t>2023</w:t>
            </w:r>
          </w:p>
        </w:tc>
        <w:tc>
          <w:tcPr>
            <w:tcW w:w="210" w:type="dxa"/>
            <w:tcBorders>
              <w:top w:val="single" w:sz="4" w:space="0" w:color="auto"/>
              <w:left w:val="single" w:sz="4" w:space="0" w:color="auto"/>
              <w:bottom w:val="single" w:sz="4" w:space="0" w:color="auto"/>
              <w:right w:val="single" w:sz="4" w:space="0" w:color="auto"/>
            </w:tcBorders>
            <w:noWrap/>
            <w:hideMark/>
          </w:tcPr>
          <w:p w14:paraId="430846BE"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jc w:val="center"/>
              <w:rPr>
                <w:rFonts w:eastAsia="MS PMincho"/>
                <w:lang w:eastAsia="x-none"/>
              </w:rPr>
            </w:pPr>
            <w:r>
              <w:rPr>
                <w:rFonts w:eastAsia="MS PMincho"/>
                <w:lang w:eastAsia="x-none"/>
              </w:rPr>
              <w:t>1</w:t>
            </w:r>
          </w:p>
        </w:tc>
        <w:tc>
          <w:tcPr>
            <w:tcW w:w="1068" w:type="dxa"/>
            <w:tcBorders>
              <w:top w:val="single" w:sz="4" w:space="0" w:color="auto"/>
              <w:left w:val="single" w:sz="4" w:space="0" w:color="auto"/>
              <w:bottom w:val="single" w:sz="4" w:space="0" w:color="auto"/>
              <w:right w:val="single" w:sz="4" w:space="0" w:color="auto"/>
            </w:tcBorders>
            <w:noWrap/>
            <w:hideMark/>
          </w:tcPr>
          <w:p w14:paraId="2F8EBA6C"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rPr>
                <w:rFonts w:eastAsia="MS PMincho"/>
                <w:lang w:eastAsia="x-none"/>
              </w:rPr>
            </w:pPr>
            <w:r>
              <w:rPr>
                <w:rFonts w:eastAsia="MS PMincho" w:hint="eastAsia"/>
                <w:lang w:val="x-none" w:eastAsia="x-none"/>
              </w:rPr>
              <w:t xml:space="preserve">　</w:t>
            </w:r>
          </w:p>
        </w:tc>
        <w:tc>
          <w:tcPr>
            <w:tcW w:w="1276" w:type="dxa"/>
            <w:tcBorders>
              <w:top w:val="single" w:sz="4" w:space="0" w:color="auto"/>
              <w:left w:val="single" w:sz="4" w:space="0" w:color="auto"/>
              <w:bottom w:val="single" w:sz="4" w:space="0" w:color="auto"/>
              <w:right w:val="single" w:sz="4" w:space="0" w:color="auto"/>
            </w:tcBorders>
            <w:noWrap/>
            <w:hideMark/>
          </w:tcPr>
          <w:p w14:paraId="11927B15"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rPr>
                <w:rFonts w:eastAsia="MS PMincho"/>
                <w:lang w:eastAsia="x-none"/>
              </w:rPr>
            </w:pPr>
            <w:r>
              <w:rPr>
                <w:rFonts w:eastAsia="MS PMincho" w:hint="eastAsia"/>
                <w:lang w:val="x-none" w:eastAsia="x-none"/>
              </w:rPr>
              <w:t xml:space="preserve">　</w:t>
            </w:r>
          </w:p>
        </w:tc>
        <w:tc>
          <w:tcPr>
            <w:tcW w:w="6662" w:type="dxa"/>
            <w:tcBorders>
              <w:top w:val="single" w:sz="4" w:space="0" w:color="auto"/>
              <w:left w:val="single" w:sz="4" w:space="0" w:color="auto"/>
              <w:bottom w:val="single" w:sz="4" w:space="0" w:color="auto"/>
              <w:right w:val="single" w:sz="4" w:space="0" w:color="auto"/>
            </w:tcBorders>
            <w:noWrap/>
            <w:hideMark/>
          </w:tcPr>
          <w:p w14:paraId="3B8890CC"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rPr>
                <w:rFonts w:eastAsia="MS PMincho"/>
                <w:lang w:eastAsia="x-none"/>
              </w:rPr>
            </w:pPr>
            <w:r>
              <w:rPr>
                <w:rFonts w:eastAsia="MS PMincho" w:hint="eastAsia"/>
                <w:lang w:val="x-none" w:eastAsia="x-none"/>
              </w:rPr>
              <w:t xml:space="preserve">　</w:t>
            </w:r>
          </w:p>
        </w:tc>
      </w:tr>
      <w:tr w:rsidR="00B90C82" w14:paraId="3DA64701" w14:textId="77777777" w:rsidTr="00F0243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905463" w14:textId="77777777" w:rsidR="00B90C82" w:rsidRDefault="00B90C82" w:rsidP="00F0243D">
            <w:pPr>
              <w:spacing w:beforeAutospacing="1" w:afterAutospacing="1" w:line="300" w:lineRule="exact"/>
              <w:rPr>
                <w:rFonts w:eastAsia="MS PMincho"/>
                <w:lang w:eastAsia="x-none"/>
              </w:rPr>
            </w:pPr>
          </w:p>
        </w:tc>
        <w:tc>
          <w:tcPr>
            <w:tcW w:w="210" w:type="dxa"/>
            <w:tcBorders>
              <w:top w:val="single" w:sz="4" w:space="0" w:color="auto"/>
              <w:left w:val="single" w:sz="4" w:space="0" w:color="auto"/>
              <w:bottom w:val="single" w:sz="4" w:space="0" w:color="auto"/>
              <w:right w:val="single" w:sz="4" w:space="0" w:color="auto"/>
            </w:tcBorders>
            <w:noWrap/>
            <w:hideMark/>
          </w:tcPr>
          <w:p w14:paraId="1B0253A7"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jc w:val="center"/>
              <w:rPr>
                <w:rFonts w:eastAsia="MS PMincho"/>
                <w:lang w:eastAsia="x-none"/>
              </w:rPr>
            </w:pPr>
            <w:r>
              <w:rPr>
                <w:rFonts w:eastAsia="MS PMincho"/>
                <w:lang w:eastAsia="x-none"/>
              </w:rPr>
              <w:t>2</w:t>
            </w:r>
          </w:p>
        </w:tc>
        <w:tc>
          <w:tcPr>
            <w:tcW w:w="1068" w:type="dxa"/>
            <w:tcBorders>
              <w:top w:val="single" w:sz="4" w:space="0" w:color="auto"/>
              <w:left w:val="single" w:sz="4" w:space="0" w:color="auto"/>
              <w:bottom w:val="single" w:sz="4" w:space="0" w:color="auto"/>
              <w:right w:val="single" w:sz="4" w:space="0" w:color="auto"/>
            </w:tcBorders>
            <w:noWrap/>
            <w:hideMark/>
          </w:tcPr>
          <w:p w14:paraId="434FEC15"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rPr>
                <w:rFonts w:eastAsia="MS PMincho"/>
                <w:lang w:eastAsia="x-none"/>
              </w:rPr>
            </w:pPr>
            <w:r>
              <w:rPr>
                <w:rFonts w:eastAsia="MS PMincho" w:hint="eastAsia"/>
                <w:lang w:val="x-none" w:eastAsia="x-none"/>
              </w:rPr>
              <w:t xml:space="preserve">　</w:t>
            </w:r>
          </w:p>
        </w:tc>
        <w:tc>
          <w:tcPr>
            <w:tcW w:w="1276" w:type="dxa"/>
            <w:tcBorders>
              <w:top w:val="single" w:sz="4" w:space="0" w:color="auto"/>
              <w:left w:val="single" w:sz="4" w:space="0" w:color="auto"/>
              <w:bottom w:val="single" w:sz="4" w:space="0" w:color="auto"/>
              <w:right w:val="single" w:sz="4" w:space="0" w:color="auto"/>
            </w:tcBorders>
            <w:noWrap/>
            <w:hideMark/>
          </w:tcPr>
          <w:p w14:paraId="6C20C73B"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rPr>
                <w:rFonts w:eastAsia="MS PMincho"/>
                <w:lang w:eastAsia="x-none"/>
              </w:rPr>
            </w:pPr>
            <w:r>
              <w:rPr>
                <w:rFonts w:eastAsia="MS PMincho" w:hint="eastAsia"/>
                <w:lang w:val="x-none" w:eastAsia="x-none"/>
              </w:rPr>
              <w:t xml:space="preserve">　</w:t>
            </w:r>
          </w:p>
        </w:tc>
        <w:tc>
          <w:tcPr>
            <w:tcW w:w="6662" w:type="dxa"/>
            <w:tcBorders>
              <w:top w:val="single" w:sz="4" w:space="0" w:color="auto"/>
              <w:left w:val="single" w:sz="4" w:space="0" w:color="auto"/>
              <w:bottom w:val="single" w:sz="4" w:space="0" w:color="auto"/>
              <w:right w:val="single" w:sz="4" w:space="0" w:color="auto"/>
            </w:tcBorders>
            <w:noWrap/>
            <w:hideMark/>
          </w:tcPr>
          <w:p w14:paraId="408807F6"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rPr>
                <w:rFonts w:eastAsia="MS PMincho"/>
                <w:lang w:eastAsia="x-none"/>
              </w:rPr>
            </w:pPr>
            <w:r>
              <w:rPr>
                <w:rFonts w:eastAsia="MS PMincho" w:hint="eastAsia"/>
                <w:lang w:val="x-none" w:eastAsia="x-none"/>
              </w:rPr>
              <w:t xml:space="preserve">　</w:t>
            </w:r>
          </w:p>
        </w:tc>
      </w:tr>
      <w:tr w:rsidR="00B90C82" w14:paraId="2D93994F" w14:textId="77777777" w:rsidTr="00F0243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FEB4A6" w14:textId="77777777" w:rsidR="00B90C82" w:rsidRDefault="00B90C82" w:rsidP="00F0243D">
            <w:pPr>
              <w:spacing w:beforeAutospacing="1" w:afterAutospacing="1" w:line="300" w:lineRule="exact"/>
              <w:rPr>
                <w:rFonts w:eastAsia="MS PMincho"/>
                <w:lang w:eastAsia="x-none"/>
              </w:rPr>
            </w:pPr>
          </w:p>
        </w:tc>
        <w:tc>
          <w:tcPr>
            <w:tcW w:w="210" w:type="dxa"/>
            <w:tcBorders>
              <w:top w:val="single" w:sz="4" w:space="0" w:color="auto"/>
              <w:left w:val="single" w:sz="4" w:space="0" w:color="auto"/>
              <w:bottom w:val="single" w:sz="4" w:space="0" w:color="auto"/>
              <w:right w:val="single" w:sz="4" w:space="0" w:color="auto"/>
            </w:tcBorders>
            <w:noWrap/>
            <w:hideMark/>
          </w:tcPr>
          <w:p w14:paraId="7C65227C"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jc w:val="center"/>
              <w:rPr>
                <w:rFonts w:eastAsia="MS PMincho"/>
                <w:lang w:eastAsia="x-none"/>
              </w:rPr>
            </w:pPr>
            <w:r>
              <w:rPr>
                <w:rFonts w:eastAsia="MS PMincho"/>
                <w:lang w:eastAsia="x-none"/>
              </w:rPr>
              <w:t>3</w:t>
            </w:r>
          </w:p>
        </w:tc>
        <w:tc>
          <w:tcPr>
            <w:tcW w:w="1068" w:type="dxa"/>
            <w:tcBorders>
              <w:top w:val="single" w:sz="4" w:space="0" w:color="auto"/>
              <w:left w:val="single" w:sz="4" w:space="0" w:color="auto"/>
              <w:bottom w:val="single" w:sz="4" w:space="0" w:color="auto"/>
              <w:right w:val="single" w:sz="4" w:space="0" w:color="auto"/>
            </w:tcBorders>
            <w:noWrap/>
            <w:hideMark/>
          </w:tcPr>
          <w:p w14:paraId="4EE8FB9D"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rPr>
                <w:rFonts w:eastAsia="MS PMincho"/>
                <w:lang w:eastAsia="x-none"/>
              </w:rPr>
            </w:pPr>
            <w:r>
              <w:rPr>
                <w:rFonts w:eastAsia="MS PMincho" w:hint="eastAsia"/>
                <w:lang w:val="x-none" w:eastAsia="x-none"/>
              </w:rPr>
              <w:t xml:space="preserve">　</w:t>
            </w:r>
          </w:p>
        </w:tc>
        <w:tc>
          <w:tcPr>
            <w:tcW w:w="1276" w:type="dxa"/>
            <w:tcBorders>
              <w:top w:val="single" w:sz="4" w:space="0" w:color="auto"/>
              <w:left w:val="single" w:sz="4" w:space="0" w:color="auto"/>
              <w:bottom w:val="single" w:sz="4" w:space="0" w:color="auto"/>
              <w:right w:val="single" w:sz="4" w:space="0" w:color="auto"/>
            </w:tcBorders>
            <w:noWrap/>
            <w:hideMark/>
          </w:tcPr>
          <w:p w14:paraId="5B098695"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rPr>
                <w:rFonts w:eastAsia="MS PMincho"/>
                <w:lang w:eastAsia="x-none"/>
              </w:rPr>
            </w:pPr>
            <w:r>
              <w:rPr>
                <w:rFonts w:eastAsia="MS PMincho" w:hint="eastAsia"/>
                <w:lang w:val="x-none" w:eastAsia="x-none"/>
              </w:rPr>
              <w:t xml:space="preserve">　</w:t>
            </w:r>
          </w:p>
        </w:tc>
        <w:tc>
          <w:tcPr>
            <w:tcW w:w="6662" w:type="dxa"/>
            <w:tcBorders>
              <w:top w:val="single" w:sz="4" w:space="0" w:color="auto"/>
              <w:left w:val="single" w:sz="4" w:space="0" w:color="auto"/>
              <w:bottom w:val="single" w:sz="4" w:space="0" w:color="auto"/>
              <w:right w:val="single" w:sz="4" w:space="0" w:color="auto"/>
            </w:tcBorders>
            <w:noWrap/>
            <w:hideMark/>
          </w:tcPr>
          <w:p w14:paraId="177CE616"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rPr>
                <w:rFonts w:eastAsia="MS PMincho"/>
                <w:lang w:eastAsia="x-none"/>
              </w:rPr>
            </w:pPr>
            <w:r>
              <w:rPr>
                <w:rFonts w:eastAsia="MS PMincho" w:hint="eastAsia"/>
                <w:lang w:val="x-none" w:eastAsia="x-none"/>
              </w:rPr>
              <w:t xml:space="preserve">　</w:t>
            </w:r>
          </w:p>
        </w:tc>
      </w:tr>
      <w:tr w:rsidR="00B90C82" w14:paraId="1BC669BE" w14:textId="77777777" w:rsidTr="00F0243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6D31D6" w14:textId="77777777" w:rsidR="00B90C82" w:rsidRDefault="00B90C82" w:rsidP="00F0243D">
            <w:pPr>
              <w:spacing w:beforeAutospacing="1" w:afterAutospacing="1" w:line="300" w:lineRule="exact"/>
              <w:rPr>
                <w:rFonts w:eastAsia="MS PMincho"/>
                <w:lang w:eastAsia="x-none"/>
              </w:rPr>
            </w:pPr>
          </w:p>
        </w:tc>
        <w:tc>
          <w:tcPr>
            <w:tcW w:w="210" w:type="dxa"/>
            <w:tcBorders>
              <w:top w:val="single" w:sz="4" w:space="0" w:color="auto"/>
              <w:left w:val="single" w:sz="4" w:space="0" w:color="auto"/>
              <w:bottom w:val="single" w:sz="4" w:space="0" w:color="auto"/>
              <w:right w:val="single" w:sz="4" w:space="0" w:color="auto"/>
            </w:tcBorders>
            <w:noWrap/>
            <w:hideMark/>
          </w:tcPr>
          <w:p w14:paraId="021D92D2"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jc w:val="center"/>
              <w:rPr>
                <w:rFonts w:eastAsia="MS PMincho"/>
                <w:lang w:eastAsia="x-none"/>
              </w:rPr>
            </w:pPr>
            <w:r>
              <w:rPr>
                <w:rFonts w:eastAsia="MS PMincho"/>
                <w:lang w:eastAsia="x-none"/>
              </w:rPr>
              <w:t>4</w:t>
            </w:r>
          </w:p>
        </w:tc>
        <w:tc>
          <w:tcPr>
            <w:tcW w:w="1068" w:type="dxa"/>
            <w:tcBorders>
              <w:top w:val="single" w:sz="4" w:space="0" w:color="auto"/>
              <w:left w:val="single" w:sz="4" w:space="0" w:color="auto"/>
              <w:bottom w:val="single" w:sz="4" w:space="0" w:color="auto"/>
              <w:right w:val="single" w:sz="4" w:space="0" w:color="auto"/>
            </w:tcBorders>
            <w:noWrap/>
            <w:hideMark/>
          </w:tcPr>
          <w:p w14:paraId="43963EFB"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rPr>
                <w:rFonts w:eastAsia="MS PMincho"/>
                <w:lang w:eastAsia="x-none"/>
              </w:rPr>
            </w:pPr>
            <w:r>
              <w:rPr>
                <w:rFonts w:eastAsia="MS PMincho"/>
                <w:lang w:eastAsia="x-none"/>
              </w:rPr>
              <w:t>35</w:t>
            </w:r>
            <w:r w:rsidRPr="00BE122C">
              <w:rPr>
                <w:rFonts w:eastAsia="MS PMincho"/>
                <w:vertAlign w:val="superscript"/>
                <w:lang w:eastAsia="x-none"/>
              </w:rPr>
              <w:t>th</w:t>
            </w:r>
            <w:r>
              <w:rPr>
                <w:rFonts w:eastAsia="MS PMincho"/>
                <w:lang w:eastAsia="x-none"/>
              </w:rPr>
              <w:t xml:space="preserve"> WNT</w:t>
            </w:r>
          </w:p>
        </w:tc>
        <w:tc>
          <w:tcPr>
            <w:tcW w:w="1276" w:type="dxa"/>
            <w:tcBorders>
              <w:top w:val="single" w:sz="4" w:space="0" w:color="auto"/>
              <w:left w:val="single" w:sz="4" w:space="0" w:color="auto"/>
              <w:bottom w:val="single" w:sz="4" w:space="0" w:color="auto"/>
              <w:right w:val="single" w:sz="4" w:space="0" w:color="auto"/>
            </w:tcBorders>
            <w:noWrap/>
            <w:hideMark/>
          </w:tcPr>
          <w:p w14:paraId="75FB01F8"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rPr>
                <w:rFonts w:eastAsia="MS PMincho"/>
                <w:lang w:eastAsia="x-none"/>
              </w:rPr>
            </w:pPr>
            <w:r>
              <w:rPr>
                <w:rFonts w:eastAsia="MS PMincho" w:hint="eastAsia"/>
                <w:lang w:val="x-none" w:eastAsia="x-none"/>
              </w:rPr>
              <w:t xml:space="preserve">　</w:t>
            </w:r>
          </w:p>
        </w:tc>
        <w:tc>
          <w:tcPr>
            <w:tcW w:w="6662" w:type="dxa"/>
            <w:tcBorders>
              <w:top w:val="single" w:sz="4" w:space="0" w:color="auto"/>
              <w:left w:val="single" w:sz="4" w:space="0" w:color="auto"/>
              <w:bottom w:val="single" w:sz="4" w:space="0" w:color="auto"/>
              <w:right w:val="single" w:sz="4" w:space="0" w:color="auto"/>
            </w:tcBorders>
            <w:noWrap/>
            <w:hideMark/>
          </w:tcPr>
          <w:p w14:paraId="39876F52" w14:textId="77777777" w:rsidR="00B90C82" w:rsidRDefault="00B90C82" w:rsidP="00F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00" w:lineRule="exact"/>
              <w:rPr>
                <w:rFonts w:eastAsia="MS PMincho"/>
                <w:lang w:eastAsia="x-none"/>
              </w:rPr>
            </w:pPr>
            <w:r>
              <w:rPr>
                <w:rFonts w:eastAsia="MS PMincho"/>
                <w:lang w:eastAsia="x-none"/>
              </w:rPr>
              <w:t>Reporting of the final output</w:t>
            </w:r>
          </w:p>
        </w:tc>
      </w:tr>
    </w:tbl>
    <w:p w14:paraId="25D36668" w14:textId="77777777" w:rsidR="00B90C82" w:rsidRPr="00C33134" w:rsidRDefault="00B90C82" w:rsidP="00B90C82">
      <w:pPr>
        <w:suppressAutoHyphens w:val="0"/>
        <w:spacing w:line="240" w:lineRule="auto"/>
        <w:rPr>
          <w:b/>
          <w:sz w:val="28"/>
          <w:lang w:val="en-US"/>
        </w:rPr>
      </w:pPr>
      <w:r w:rsidRPr="00061CBE">
        <w:rPr>
          <w:rFonts w:eastAsia="MS PMincho" w:hint="eastAsia"/>
          <w:lang w:eastAsia="ja-JP"/>
        </w:rPr>
        <w:t>*</w:t>
      </w:r>
      <w:r w:rsidRPr="00061CBE">
        <w:rPr>
          <w:rFonts w:eastAsia="MS PMincho"/>
          <w:lang w:eastAsia="ja-JP"/>
        </w:rPr>
        <w:t>cited from the meeting document in the 33</w:t>
      </w:r>
      <w:r w:rsidRPr="00C33134">
        <w:rPr>
          <w:rFonts w:eastAsia="MS PMincho"/>
          <w:vertAlign w:val="superscript"/>
          <w:lang w:eastAsia="ja-JP"/>
        </w:rPr>
        <w:t>rd</w:t>
      </w:r>
      <w:r w:rsidRPr="00061CBE">
        <w:rPr>
          <w:rFonts w:eastAsia="MS PMincho"/>
          <w:lang w:eastAsia="ja-JP"/>
        </w:rPr>
        <w:t xml:space="preserve"> WNT meeting (</w:t>
      </w:r>
      <w:r>
        <w:rPr>
          <w:rFonts w:eastAsia="MS PMincho"/>
          <w:lang w:eastAsia="ja-JP"/>
        </w:rPr>
        <w:t>OECD, 2021)</w:t>
      </w:r>
      <w:r w:rsidRPr="00C33134">
        <w:rPr>
          <w:b/>
          <w:sz w:val="28"/>
          <w:lang w:val="en-US"/>
        </w:rPr>
        <w:br w:type="page"/>
      </w:r>
    </w:p>
    <w:p w14:paraId="3A0C6917" w14:textId="77777777" w:rsidR="00B90C82" w:rsidRDefault="00B90C82" w:rsidP="00D55F24">
      <w:pPr>
        <w:pStyle w:val="HChG"/>
        <w:ind w:firstLine="0"/>
        <w:rPr>
          <w:lang w:val="en-US"/>
        </w:rPr>
      </w:pPr>
      <w:r>
        <w:rPr>
          <w:lang w:val="en-US"/>
        </w:rPr>
        <w:lastRenderedPageBreak/>
        <w:t>References</w:t>
      </w:r>
    </w:p>
    <w:p w14:paraId="092871DF" w14:textId="77777777" w:rsidR="00B90C82" w:rsidRPr="00C67F91" w:rsidRDefault="00B90C82" w:rsidP="00D55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60" w:lineRule="exact"/>
        <w:ind w:left="1134" w:right="1134"/>
        <w:jc w:val="both"/>
        <w:rPr>
          <w:rFonts w:eastAsia="MS PMincho"/>
          <w:sz w:val="21"/>
          <w:szCs w:val="21"/>
          <w:lang w:val="x-none" w:eastAsia="x-none"/>
        </w:rPr>
      </w:pPr>
      <w:r w:rsidRPr="00C67F91">
        <w:rPr>
          <w:rFonts w:eastAsia="MS PMincho"/>
          <w:sz w:val="21"/>
          <w:szCs w:val="21"/>
          <w:lang w:val="x-none" w:eastAsia="x-none"/>
        </w:rPr>
        <w:t xml:space="preserve">Kobayashi T, Maeda Y, Kondo H, </w:t>
      </w:r>
      <w:proofErr w:type="spellStart"/>
      <w:r w:rsidRPr="00C67F91">
        <w:rPr>
          <w:rFonts w:eastAsia="MS PMincho"/>
          <w:sz w:val="21"/>
          <w:szCs w:val="21"/>
          <w:lang w:val="x-none" w:eastAsia="x-none"/>
        </w:rPr>
        <w:t>Takeyoshi</w:t>
      </w:r>
      <w:proofErr w:type="spellEnd"/>
      <w:r w:rsidRPr="00C67F91">
        <w:rPr>
          <w:rFonts w:eastAsia="MS PMincho"/>
          <w:sz w:val="21"/>
          <w:szCs w:val="21"/>
          <w:lang w:val="x-none" w:eastAsia="x-none"/>
        </w:rPr>
        <w:t xml:space="preserve"> M. (2020). Applicability of the proposed GHS sub-categorization criterion for LLNA: </w:t>
      </w:r>
      <w:proofErr w:type="spellStart"/>
      <w:r w:rsidRPr="00C67F91">
        <w:rPr>
          <w:rFonts w:eastAsia="MS PMincho"/>
          <w:sz w:val="21"/>
          <w:szCs w:val="21"/>
          <w:lang w:val="x-none" w:eastAsia="x-none"/>
        </w:rPr>
        <w:t>BrdU</w:t>
      </w:r>
      <w:proofErr w:type="spellEnd"/>
      <w:r w:rsidRPr="00C67F91">
        <w:rPr>
          <w:rFonts w:eastAsia="MS PMincho"/>
          <w:sz w:val="21"/>
          <w:szCs w:val="21"/>
          <w:lang w:val="x-none" w:eastAsia="x-none"/>
        </w:rPr>
        <w:t xml:space="preserve">-ELISA (OECD TG442B) to the CBA/J strain mouse. J </w:t>
      </w:r>
      <w:proofErr w:type="spellStart"/>
      <w:r w:rsidRPr="00C67F91">
        <w:rPr>
          <w:rFonts w:eastAsia="MS PMincho"/>
          <w:sz w:val="21"/>
          <w:szCs w:val="21"/>
          <w:lang w:val="x-none" w:eastAsia="x-none"/>
        </w:rPr>
        <w:t>Appl</w:t>
      </w:r>
      <w:proofErr w:type="spellEnd"/>
      <w:r w:rsidRPr="00C67F91">
        <w:rPr>
          <w:rFonts w:eastAsia="MS PMincho"/>
          <w:sz w:val="21"/>
          <w:szCs w:val="21"/>
          <w:lang w:val="x-none" w:eastAsia="x-none"/>
        </w:rPr>
        <w:t xml:space="preserve"> </w:t>
      </w:r>
      <w:proofErr w:type="spellStart"/>
      <w:r w:rsidRPr="00C67F91">
        <w:rPr>
          <w:rFonts w:eastAsia="MS PMincho"/>
          <w:sz w:val="21"/>
          <w:szCs w:val="21"/>
          <w:lang w:val="x-none" w:eastAsia="x-none"/>
        </w:rPr>
        <w:t>Toxicol</w:t>
      </w:r>
      <w:proofErr w:type="spellEnd"/>
      <w:r w:rsidRPr="00C67F91">
        <w:rPr>
          <w:rFonts w:eastAsia="MS PMincho"/>
          <w:sz w:val="21"/>
          <w:szCs w:val="21"/>
          <w:lang w:val="x-none" w:eastAsia="x-none"/>
        </w:rPr>
        <w:t>.; 1-5. https://doi.org/10.1002/jat.3996.</w:t>
      </w:r>
    </w:p>
    <w:p w14:paraId="6FA53BAB" w14:textId="77777777" w:rsidR="00B90C82" w:rsidRDefault="00B90C82" w:rsidP="00D55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60" w:lineRule="exact"/>
        <w:ind w:left="1134" w:right="1134"/>
        <w:jc w:val="both"/>
        <w:rPr>
          <w:rFonts w:eastAsia="MS PMincho"/>
          <w:sz w:val="21"/>
          <w:szCs w:val="21"/>
          <w:lang w:val="x-none" w:eastAsia="x-none"/>
        </w:rPr>
      </w:pPr>
    </w:p>
    <w:p w14:paraId="30EF1026" w14:textId="77777777" w:rsidR="00B90C82" w:rsidRPr="00C67F91" w:rsidRDefault="00B90C82" w:rsidP="00D55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60" w:lineRule="exact"/>
        <w:ind w:left="1134" w:right="1134"/>
        <w:jc w:val="both"/>
        <w:rPr>
          <w:rFonts w:eastAsia="MS PMincho"/>
          <w:sz w:val="21"/>
          <w:szCs w:val="21"/>
          <w:lang w:val="x-none" w:eastAsia="x-none"/>
        </w:rPr>
      </w:pPr>
      <w:r w:rsidRPr="00C67F91">
        <w:rPr>
          <w:rFonts w:eastAsia="MS PMincho"/>
          <w:sz w:val="21"/>
          <w:szCs w:val="21"/>
          <w:lang w:val="x-none" w:eastAsia="x-none"/>
        </w:rPr>
        <w:t xml:space="preserve">Maeda Y, </w:t>
      </w:r>
      <w:proofErr w:type="spellStart"/>
      <w:r w:rsidRPr="00C67F91">
        <w:rPr>
          <w:rFonts w:eastAsia="MS PMincho"/>
          <w:sz w:val="21"/>
          <w:szCs w:val="21"/>
          <w:lang w:val="x-none" w:eastAsia="x-none"/>
        </w:rPr>
        <w:t>Takeyoshi</w:t>
      </w:r>
      <w:proofErr w:type="spellEnd"/>
      <w:r w:rsidRPr="00C67F91">
        <w:rPr>
          <w:rFonts w:eastAsia="MS PMincho"/>
          <w:sz w:val="21"/>
          <w:szCs w:val="21"/>
          <w:lang w:val="x-none" w:eastAsia="x-none"/>
        </w:rPr>
        <w:t xml:space="preserve"> M. (2019). Proposal of GHS sub-categorization criteria for LLNA: </w:t>
      </w:r>
      <w:proofErr w:type="spellStart"/>
      <w:r w:rsidRPr="00C67F91">
        <w:rPr>
          <w:rFonts w:eastAsia="MS PMincho"/>
          <w:sz w:val="21"/>
          <w:szCs w:val="21"/>
          <w:lang w:val="x-none" w:eastAsia="x-none"/>
        </w:rPr>
        <w:t>BrdU</w:t>
      </w:r>
      <w:proofErr w:type="spellEnd"/>
      <w:r w:rsidRPr="00C67F91">
        <w:rPr>
          <w:rFonts w:eastAsia="MS PMincho"/>
          <w:sz w:val="21"/>
          <w:szCs w:val="21"/>
          <w:lang w:val="x-none" w:eastAsia="x-none"/>
        </w:rPr>
        <w:t xml:space="preserve">-ELISA (OECD TG442B). </w:t>
      </w:r>
      <w:proofErr w:type="spellStart"/>
      <w:r w:rsidRPr="00C67F91">
        <w:rPr>
          <w:rFonts w:eastAsia="MS PMincho"/>
          <w:sz w:val="21"/>
          <w:szCs w:val="21"/>
          <w:lang w:val="x-none" w:eastAsia="x-none"/>
        </w:rPr>
        <w:t>Regul</w:t>
      </w:r>
      <w:proofErr w:type="spellEnd"/>
      <w:r w:rsidRPr="00C67F91">
        <w:rPr>
          <w:rFonts w:eastAsia="MS PMincho"/>
          <w:sz w:val="21"/>
          <w:szCs w:val="21"/>
          <w:lang w:val="x-none" w:eastAsia="x-none"/>
        </w:rPr>
        <w:t xml:space="preserve"> </w:t>
      </w:r>
      <w:proofErr w:type="spellStart"/>
      <w:r w:rsidRPr="00C67F91">
        <w:rPr>
          <w:rFonts w:eastAsia="MS PMincho"/>
          <w:sz w:val="21"/>
          <w:szCs w:val="21"/>
          <w:lang w:val="x-none" w:eastAsia="x-none"/>
        </w:rPr>
        <w:t>Toxicol</w:t>
      </w:r>
      <w:proofErr w:type="spellEnd"/>
      <w:r w:rsidRPr="00C67F91">
        <w:rPr>
          <w:rFonts w:eastAsia="MS PMincho"/>
          <w:sz w:val="21"/>
          <w:szCs w:val="21"/>
          <w:lang w:val="x-none" w:eastAsia="x-none"/>
        </w:rPr>
        <w:t xml:space="preserve"> </w:t>
      </w:r>
      <w:proofErr w:type="spellStart"/>
      <w:r w:rsidRPr="00C67F91">
        <w:rPr>
          <w:rFonts w:eastAsia="MS PMincho"/>
          <w:sz w:val="21"/>
          <w:szCs w:val="21"/>
          <w:lang w:val="x-none" w:eastAsia="x-none"/>
        </w:rPr>
        <w:t>Pharmacol</w:t>
      </w:r>
      <w:proofErr w:type="spellEnd"/>
      <w:r w:rsidRPr="00C67F91">
        <w:rPr>
          <w:rFonts w:eastAsia="MS PMincho"/>
          <w:sz w:val="21"/>
          <w:szCs w:val="21"/>
          <w:lang w:val="x-none" w:eastAsia="x-none"/>
        </w:rPr>
        <w:t xml:space="preserve">. 107:104409. </w:t>
      </w:r>
    </w:p>
    <w:p w14:paraId="5E4B538D" w14:textId="77777777" w:rsidR="00B90C82" w:rsidRPr="00C67F91" w:rsidRDefault="00B90C82" w:rsidP="00D55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60" w:lineRule="exact"/>
        <w:ind w:left="1134" w:right="1134"/>
        <w:jc w:val="both"/>
        <w:rPr>
          <w:rFonts w:eastAsia="MS PMincho"/>
          <w:sz w:val="21"/>
          <w:szCs w:val="21"/>
          <w:lang w:val="x-none" w:eastAsia="x-none"/>
        </w:rPr>
      </w:pPr>
    </w:p>
    <w:p w14:paraId="0AD12896" w14:textId="77777777" w:rsidR="00B90C82" w:rsidRPr="00C67F91" w:rsidRDefault="00B90C82" w:rsidP="00D55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60" w:lineRule="exact"/>
        <w:ind w:left="1134" w:right="1134"/>
        <w:jc w:val="both"/>
        <w:rPr>
          <w:rFonts w:eastAsia="MS PMincho"/>
          <w:sz w:val="21"/>
          <w:szCs w:val="21"/>
          <w:lang w:val="x-none" w:eastAsia="x-none"/>
        </w:rPr>
      </w:pPr>
      <w:r w:rsidRPr="00C67F91">
        <w:rPr>
          <w:rFonts w:eastAsia="MS PMincho"/>
          <w:sz w:val="21"/>
          <w:szCs w:val="21"/>
          <w:lang w:val="x-none" w:eastAsia="x-none"/>
        </w:rPr>
        <w:t>Organization for Economic Co-operation and Development (OECD). (2010). OECD GUIDELINE FOR THE TESTING OF CHEMICALS No.429, Skin Sensitization: Local Lymph Node Assay. OECD, Paris</w:t>
      </w:r>
    </w:p>
    <w:p w14:paraId="150EA63C" w14:textId="77777777" w:rsidR="00B90C82" w:rsidRPr="00C67F91" w:rsidRDefault="00B90C82" w:rsidP="00D55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60" w:lineRule="exact"/>
        <w:ind w:left="1134" w:right="1134"/>
        <w:jc w:val="both"/>
        <w:rPr>
          <w:rFonts w:eastAsia="MS PMincho"/>
          <w:sz w:val="21"/>
          <w:szCs w:val="21"/>
          <w:lang w:val="x-none" w:eastAsia="x-none"/>
        </w:rPr>
      </w:pPr>
    </w:p>
    <w:p w14:paraId="6E0C17EC" w14:textId="77777777" w:rsidR="00B90C82" w:rsidRPr="00C67F91" w:rsidRDefault="00B90C82" w:rsidP="00D55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60" w:lineRule="exact"/>
        <w:ind w:left="1134" w:right="1134"/>
        <w:jc w:val="both"/>
        <w:rPr>
          <w:rFonts w:eastAsia="MS PMincho"/>
          <w:sz w:val="21"/>
          <w:szCs w:val="21"/>
          <w:lang w:val="x-none" w:eastAsia="x-none"/>
        </w:rPr>
      </w:pPr>
      <w:r w:rsidRPr="00C67F91">
        <w:rPr>
          <w:rFonts w:eastAsia="MS PMincho"/>
          <w:sz w:val="21"/>
          <w:szCs w:val="21"/>
          <w:lang w:val="x-none" w:eastAsia="x-none"/>
        </w:rPr>
        <w:t xml:space="preserve">Organization for Economic Co-operation and Development (OECD). (2018). OECD GUIDELINE FOR THE TESTING OF CHEMICALS No.442B Appendix IA, Skin Sensitisation: Local Lymph Node Assay: </w:t>
      </w:r>
      <w:proofErr w:type="spellStart"/>
      <w:r w:rsidRPr="00C67F91">
        <w:rPr>
          <w:rFonts w:eastAsia="MS PMincho"/>
          <w:sz w:val="21"/>
          <w:szCs w:val="21"/>
          <w:lang w:val="x-none" w:eastAsia="x-none"/>
        </w:rPr>
        <w:t>BrdU</w:t>
      </w:r>
      <w:proofErr w:type="spellEnd"/>
      <w:r w:rsidRPr="00C67F91">
        <w:rPr>
          <w:rFonts w:eastAsia="MS PMincho"/>
          <w:sz w:val="21"/>
          <w:szCs w:val="21"/>
          <w:lang w:val="x-none" w:eastAsia="x-none"/>
        </w:rPr>
        <w:t>-ELISA. OECD, Paris</w:t>
      </w:r>
    </w:p>
    <w:p w14:paraId="60FEA78D" w14:textId="77777777" w:rsidR="00B90C82" w:rsidRPr="00C67F91" w:rsidRDefault="00B90C82" w:rsidP="00D55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60" w:lineRule="exact"/>
        <w:ind w:left="1134" w:right="1134"/>
        <w:jc w:val="both"/>
        <w:rPr>
          <w:rFonts w:eastAsia="MS PMincho"/>
          <w:sz w:val="21"/>
          <w:szCs w:val="21"/>
          <w:lang w:val="x-none" w:eastAsia="x-none"/>
        </w:rPr>
      </w:pPr>
    </w:p>
    <w:p w14:paraId="246EBEF1" w14:textId="77777777" w:rsidR="00B90C82" w:rsidRPr="008C0C4C" w:rsidRDefault="00B90C82" w:rsidP="00D55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60" w:lineRule="exact"/>
        <w:ind w:left="1134" w:right="1134"/>
        <w:jc w:val="both"/>
        <w:rPr>
          <w:rFonts w:eastAsia="MS PMincho"/>
          <w:sz w:val="21"/>
          <w:szCs w:val="21"/>
          <w:lang w:val="x-none" w:eastAsia="x-none"/>
        </w:rPr>
      </w:pPr>
      <w:r w:rsidRPr="008C0C4C">
        <w:rPr>
          <w:rFonts w:eastAsia="MS PMincho"/>
          <w:sz w:val="21"/>
          <w:szCs w:val="21"/>
          <w:lang w:val="x-none" w:eastAsia="x-none"/>
        </w:rPr>
        <w:t>Organization for Economic Co-operation and Development (OECD). (20</w:t>
      </w:r>
      <w:r>
        <w:rPr>
          <w:rFonts w:eastAsia="MS PMincho"/>
          <w:sz w:val="21"/>
          <w:szCs w:val="21"/>
          <w:lang w:val="x-none" w:eastAsia="x-none"/>
        </w:rPr>
        <w:t>21</w:t>
      </w:r>
      <w:r w:rsidRPr="008C0C4C">
        <w:rPr>
          <w:rFonts w:eastAsia="MS PMincho"/>
          <w:sz w:val="21"/>
          <w:szCs w:val="21"/>
          <w:lang w:val="x-none" w:eastAsia="x-none"/>
        </w:rPr>
        <w:t xml:space="preserve">). REQUEST FROM </w:t>
      </w:r>
      <w:r>
        <w:rPr>
          <w:rFonts w:eastAsia="MS PMincho"/>
          <w:sz w:val="21"/>
          <w:szCs w:val="21"/>
          <w:lang w:val="x-none" w:eastAsia="x-none"/>
        </w:rPr>
        <w:t>J</w:t>
      </w:r>
      <w:r w:rsidRPr="008C0C4C">
        <w:rPr>
          <w:rFonts w:eastAsia="MS PMincho"/>
          <w:sz w:val="21"/>
          <w:szCs w:val="21"/>
          <w:lang w:val="x-none" w:eastAsia="x-none"/>
        </w:rPr>
        <w:t xml:space="preserve">APAN TO SUPPORT THE REVIEW OF DATA FROM </w:t>
      </w:r>
      <w:r>
        <w:rPr>
          <w:rFonts w:eastAsia="MS PMincho"/>
          <w:sz w:val="21"/>
          <w:szCs w:val="21"/>
          <w:lang w:val="x-none" w:eastAsia="x-none"/>
        </w:rPr>
        <w:t>T</w:t>
      </w:r>
      <w:r w:rsidRPr="008C0C4C">
        <w:rPr>
          <w:rFonts w:eastAsia="MS PMincho"/>
          <w:sz w:val="21"/>
          <w:szCs w:val="21"/>
          <w:lang w:val="x-none" w:eastAsia="x-none"/>
        </w:rPr>
        <w:t xml:space="preserve">HE </w:t>
      </w:r>
      <w:r>
        <w:rPr>
          <w:rFonts w:eastAsia="MS PMincho"/>
          <w:sz w:val="21"/>
          <w:szCs w:val="21"/>
          <w:lang w:val="x-none" w:eastAsia="x-none"/>
        </w:rPr>
        <w:t>LLNA</w:t>
      </w:r>
      <w:r w:rsidRPr="008C0C4C">
        <w:rPr>
          <w:rFonts w:eastAsia="MS PMincho"/>
          <w:sz w:val="21"/>
          <w:szCs w:val="21"/>
          <w:lang w:val="x-none" w:eastAsia="x-none"/>
        </w:rPr>
        <w:t xml:space="preserve"> BRD</w:t>
      </w:r>
      <w:r>
        <w:rPr>
          <w:rFonts w:eastAsia="MS PMincho"/>
          <w:sz w:val="21"/>
          <w:szCs w:val="21"/>
          <w:lang w:val="x-none" w:eastAsia="x-none"/>
        </w:rPr>
        <w:t>U</w:t>
      </w:r>
      <w:r w:rsidRPr="008C0C4C">
        <w:rPr>
          <w:rFonts w:eastAsia="MS PMincho"/>
          <w:sz w:val="21"/>
          <w:szCs w:val="21"/>
          <w:lang w:val="x-none" w:eastAsia="x-none"/>
        </w:rPr>
        <w:t xml:space="preserve"> E</w:t>
      </w:r>
      <w:r>
        <w:rPr>
          <w:rFonts w:eastAsia="MS PMincho"/>
          <w:sz w:val="21"/>
          <w:szCs w:val="21"/>
          <w:lang w:val="x-none" w:eastAsia="x-none"/>
        </w:rPr>
        <w:t>LISA</w:t>
      </w:r>
      <w:r w:rsidRPr="008C0C4C">
        <w:rPr>
          <w:rFonts w:eastAsia="MS PMincho"/>
          <w:sz w:val="21"/>
          <w:szCs w:val="21"/>
          <w:lang w:val="x-none" w:eastAsia="x-none"/>
        </w:rPr>
        <w:t xml:space="preserve"> METHOD FOR SKIN SENSITISATION SUB-CATEGORISATION</w:t>
      </w:r>
      <w:r>
        <w:rPr>
          <w:rFonts w:eastAsia="MS PMincho"/>
          <w:sz w:val="21"/>
          <w:szCs w:val="21"/>
          <w:lang w:val="x-none" w:eastAsia="x-none"/>
        </w:rPr>
        <w:t>, E</w:t>
      </w:r>
      <w:r w:rsidRPr="008C0C4C">
        <w:rPr>
          <w:rFonts w:eastAsia="MS PMincho"/>
          <w:sz w:val="21"/>
          <w:szCs w:val="21"/>
          <w:lang w:val="x-none" w:eastAsia="x-none"/>
        </w:rPr>
        <w:t>NV/CBC/TG(2021)24</w:t>
      </w:r>
    </w:p>
    <w:p w14:paraId="479FDA8C" w14:textId="77777777" w:rsidR="00B90C82" w:rsidRDefault="00B90C82" w:rsidP="00D55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60" w:lineRule="exact"/>
        <w:ind w:left="1134" w:right="1134"/>
        <w:jc w:val="both"/>
        <w:rPr>
          <w:rFonts w:eastAsia="MS PMincho"/>
          <w:sz w:val="21"/>
          <w:szCs w:val="21"/>
          <w:lang w:val="x-none" w:eastAsia="x-none"/>
        </w:rPr>
      </w:pPr>
    </w:p>
    <w:p w14:paraId="5A901323" w14:textId="77777777" w:rsidR="00B90C82" w:rsidRPr="00C67F91" w:rsidRDefault="00B90C82" w:rsidP="00D55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60" w:lineRule="exact"/>
        <w:ind w:left="1134" w:right="1134"/>
        <w:jc w:val="both"/>
        <w:rPr>
          <w:rFonts w:eastAsia="MS PMincho"/>
          <w:sz w:val="21"/>
          <w:szCs w:val="21"/>
          <w:lang w:val="x-none" w:eastAsia="x-none"/>
        </w:rPr>
      </w:pPr>
      <w:r w:rsidRPr="00C67F91">
        <w:rPr>
          <w:rFonts w:eastAsia="MS PMincho"/>
          <w:sz w:val="21"/>
          <w:szCs w:val="21"/>
          <w:lang w:val="x-none" w:eastAsia="x-none"/>
        </w:rPr>
        <w:t xml:space="preserve">The Interagency Coordinating Committee on the Validation of Alternative Methods (ICCVAM). (2010). ICCVAM Test Method Evaluation Report on the Murine Local Lymph Node Assay: </w:t>
      </w:r>
      <w:proofErr w:type="spellStart"/>
      <w:r w:rsidRPr="00C67F91">
        <w:rPr>
          <w:rFonts w:eastAsia="MS PMincho"/>
          <w:sz w:val="21"/>
          <w:szCs w:val="21"/>
          <w:lang w:val="x-none" w:eastAsia="x-none"/>
        </w:rPr>
        <w:t>BrdU</w:t>
      </w:r>
      <w:proofErr w:type="spellEnd"/>
      <w:r w:rsidRPr="00C67F91">
        <w:rPr>
          <w:rFonts w:eastAsia="MS PMincho"/>
          <w:sz w:val="21"/>
          <w:szCs w:val="21"/>
          <w:lang w:val="x-none" w:eastAsia="x-none"/>
        </w:rPr>
        <w:t>-ELISA. A Nonradioactive Alternative Test Method to Assess the Allergic Contact Dermatitis Potential of Chemicals and Products. https://ntp.niehs.nih.gov/iccvam/docs/immunotox_docs/llna-elisa/tmer.pdf (accessed on January 12, 2021)</w:t>
      </w:r>
    </w:p>
    <w:p w14:paraId="643AFD3B" w14:textId="77777777" w:rsidR="00B90C82" w:rsidRPr="00C67F91" w:rsidRDefault="00B90C82" w:rsidP="00D55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60" w:lineRule="exact"/>
        <w:ind w:left="1134" w:right="1134"/>
        <w:jc w:val="both"/>
        <w:rPr>
          <w:rFonts w:eastAsia="MS PMincho"/>
          <w:sz w:val="21"/>
          <w:szCs w:val="21"/>
          <w:lang w:val="x-none" w:eastAsia="x-none"/>
        </w:rPr>
      </w:pPr>
    </w:p>
    <w:p w14:paraId="4611A044" w14:textId="77777777" w:rsidR="00B90C82" w:rsidRPr="00C67F91" w:rsidRDefault="00B90C82" w:rsidP="00D55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60" w:lineRule="exact"/>
        <w:ind w:left="1134" w:right="1134"/>
        <w:jc w:val="both"/>
        <w:rPr>
          <w:rFonts w:eastAsia="MS PMincho"/>
          <w:sz w:val="21"/>
          <w:szCs w:val="21"/>
          <w:lang w:val="x-none" w:eastAsia="x-none"/>
        </w:rPr>
      </w:pPr>
      <w:r w:rsidRPr="00C67F91">
        <w:rPr>
          <w:rFonts w:eastAsia="MS PMincho"/>
          <w:sz w:val="21"/>
          <w:szCs w:val="21"/>
          <w:lang w:val="x-none" w:eastAsia="x-none"/>
        </w:rPr>
        <w:t>United Nations (2019). Globally Harmonized System of Classification and Labelling of Chemicals (GHS) 8th revised edition. Chapter 3.4 Respiratory or skin sensitization. United Nations Publications. New York. pp. 161-170</w:t>
      </w:r>
    </w:p>
    <w:p w14:paraId="2D3E36C2" w14:textId="77777777" w:rsidR="00B90C82" w:rsidRPr="00C67F91" w:rsidRDefault="00B90C82" w:rsidP="00D55F24">
      <w:pPr>
        <w:widowControl w:val="0"/>
        <w:suppressAutoHyphens w:val="0"/>
        <w:spacing w:line="240" w:lineRule="auto"/>
        <w:ind w:left="1134" w:right="1134"/>
        <w:jc w:val="both"/>
        <w:rPr>
          <w:rFonts w:eastAsia="MS PMincho"/>
          <w:sz w:val="21"/>
          <w:szCs w:val="21"/>
          <w:lang w:val="x-none" w:eastAsia="x-none"/>
        </w:rPr>
      </w:pPr>
    </w:p>
    <w:p w14:paraId="46C77316" w14:textId="77777777" w:rsidR="00B90C82" w:rsidRPr="00C67F91" w:rsidRDefault="00B90C82" w:rsidP="00D55F24">
      <w:pPr>
        <w:suppressAutoHyphens w:val="0"/>
        <w:spacing w:line="260" w:lineRule="exact"/>
        <w:ind w:left="1134" w:right="1134"/>
        <w:jc w:val="both"/>
        <w:rPr>
          <w:rFonts w:eastAsia="MS PMincho"/>
          <w:sz w:val="21"/>
          <w:szCs w:val="21"/>
          <w:lang w:val="x-none" w:eastAsia="x-none"/>
        </w:rPr>
      </w:pPr>
      <w:r w:rsidRPr="00C67F91">
        <w:rPr>
          <w:rFonts w:eastAsia="MS PMincho"/>
          <w:sz w:val="21"/>
          <w:szCs w:val="21"/>
          <w:lang w:val="x-none" w:eastAsia="x-none"/>
        </w:rPr>
        <w:t xml:space="preserve">United Nations (2020). Clarification of the criteria for classification for skin sensitization using animal studies. </w:t>
      </w:r>
      <w:hyperlink r:id="rId11" w:history="1">
        <w:r w:rsidRPr="00C67F91">
          <w:rPr>
            <w:rFonts w:eastAsia="MS PMincho"/>
            <w:color w:val="0000FF" w:themeColor="hyperlink"/>
            <w:sz w:val="21"/>
            <w:szCs w:val="21"/>
            <w:u w:val="single"/>
            <w:lang w:val="x-none" w:eastAsia="x-none"/>
          </w:rPr>
          <w:t>https://unece.org/fileadmin/DAM/trans/doc/2020/dgac10c4/UN-SCEGHS-39-INF15e.pdf</w:t>
        </w:r>
      </w:hyperlink>
      <w:r w:rsidRPr="00C67F91">
        <w:rPr>
          <w:rFonts w:eastAsia="MS PMincho"/>
          <w:sz w:val="21"/>
          <w:szCs w:val="21"/>
          <w:lang w:val="x-none" w:eastAsia="x-none"/>
        </w:rPr>
        <w:t xml:space="preserve"> (accessed on January 12, 2021)</w:t>
      </w:r>
    </w:p>
    <w:p w14:paraId="6C96FF30" w14:textId="0FF9D874" w:rsidR="00B90C82" w:rsidRPr="00D55F24" w:rsidRDefault="00D55F24" w:rsidP="00D55F24">
      <w:pPr>
        <w:spacing w:before="240"/>
        <w:jc w:val="center"/>
        <w:rPr>
          <w:u w:val="single"/>
        </w:rPr>
      </w:pPr>
      <w:r>
        <w:rPr>
          <w:u w:val="single"/>
        </w:rPr>
        <w:tab/>
      </w:r>
      <w:r>
        <w:rPr>
          <w:u w:val="single"/>
        </w:rPr>
        <w:tab/>
      </w:r>
      <w:r>
        <w:rPr>
          <w:u w:val="single"/>
        </w:rPr>
        <w:tab/>
      </w:r>
    </w:p>
    <w:p w14:paraId="77C8B95D" w14:textId="77777777" w:rsidR="00B90C82" w:rsidRPr="00C67F91" w:rsidRDefault="00B90C82" w:rsidP="00D55F24">
      <w:pPr>
        <w:ind w:right="140"/>
        <w:rPr>
          <w:lang w:val="x-none"/>
        </w:rPr>
      </w:pPr>
    </w:p>
    <w:p w14:paraId="6A7C1866" w14:textId="77777777" w:rsidR="00B90C82" w:rsidRPr="002465B8" w:rsidRDefault="00B90C82" w:rsidP="00B90C82">
      <w:pPr>
        <w:pStyle w:val="SingleTxtG"/>
        <w:spacing w:line="300" w:lineRule="exact"/>
        <w:ind w:left="0"/>
        <w:jc w:val="left"/>
        <w:rPr>
          <w:lang w:val="x-none"/>
        </w:rPr>
      </w:pPr>
    </w:p>
    <w:p w14:paraId="7644A221" w14:textId="77777777" w:rsidR="006613F7" w:rsidRDefault="006613F7" w:rsidP="006613F7">
      <w:pPr>
        <w:spacing w:before="240"/>
        <w:rPr>
          <w:rStyle w:val="SingleTxtGCar"/>
          <w:u w:val="single"/>
        </w:rPr>
      </w:pPr>
    </w:p>
    <w:p w14:paraId="7C844DB1" w14:textId="77777777" w:rsidR="006613F7" w:rsidRDefault="006613F7" w:rsidP="006613F7">
      <w:pPr>
        <w:spacing w:before="240"/>
        <w:rPr>
          <w:rStyle w:val="SingleTxtGCar"/>
          <w:u w:val="single"/>
        </w:rPr>
      </w:pPr>
    </w:p>
    <w:sectPr w:rsidR="006613F7" w:rsidSect="002B37B6">
      <w:headerReference w:type="even" r:id="rId12"/>
      <w:headerReference w:type="default" r:id="rId13"/>
      <w:footerReference w:type="even" r:id="rId14"/>
      <w:footerReference w:type="default" r:id="rId15"/>
      <w:head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41F99" w14:textId="77777777" w:rsidR="00707458" w:rsidRDefault="00707458"/>
  </w:endnote>
  <w:endnote w:type="continuationSeparator" w:id="0">
    <w:p w14:paraId="49FAAC1B" w14:textId="77777777" w:rsidR="00707458" w:rsidRDefault="00707458"/>
  </w:endnote>
  <w:endnote w:type="continuationNotice" w:id="1">
    <w:p w14:paraId="6BDD7CF1" w14:textId="77777777" w:rsidR="00707458" w:rsidRDefault="007074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PMincho">
    <w:altName w:val="MS Gothic"/>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41E8C" w14:textId="3E8AEB14"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BF2C8E">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BF98B" w14:textId="674F0284"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BF2C8E">
      <w:rPr>
        <w:b/>
        <w:noProof/>
        <w:sz w:val="18"/>
      </w:rPr>
      <w:t>3</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03FE9" w14:textId="77777777" w:rsidR="00707458" w:rsidRPr="000B175B" w:rsidRDefault="00707458" w:rsidP="000B175B">
      <w:pPr>
        <w:tabs>
          <w:tab w:val="right" w:pos="2155"/>
        </w:tabs>
        <w:spacing w:after="80"/>
        <w:ind w:left="680"/>
        <w:rPr>
          <w:u w:val="single"/>
        </w:rPr>
      </w:pPr>
      <w:r>
        <w:rPr>
          <w:u w:val="single"/>
        </w:rPr>
        <w:tab/>
      </w:r>
    </w:p>
  </w:footnote>
  <w:footnote w:type="continuationSeparator" w:id="0">
    <w:p w14:paraId="1040CA1C" w14:textId="77777777" w:rsidR="00707458" w:rsidRPr="00FC68B7" w:rsidRDefault="00707458" w:rsidP="00FC68B7">
      <w:pPr>
        <w:tabs>
          <w:tab w:val="left" w:pos="2155"/>
        </w:tabs>
        <w:spacing w:after="80"/>
        <w:ind w:left="680"/>
        <w:rPr>
          <w:u w:val="single"/>
        </w:rPr>
      </w:pPr>
      <w:r>
        <w:rPr>
          <w:u w:val="single"/>
        </w:rPr>
        <w:tab/>
      </w:r>
    </w:p>
  </w:footnote>
  <w:footnote w:type="continuationNotice" w:id="1">
    <w:p w14:paraId="3F44C89E" w14:textId="77777777" w:rsidR="00707458" w:rsidRDefault="007074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7FFE2" w14:textId="77186B28" w:rsidR="006A7757" w:rsidRPr="0099001C" w:rsidRDefault="006A7757" w:rsidP="00366CA7">
    <w:pPr>
      <w:pStyle w:val="Header"/>
    </w:pPr>
    <w:r w:rsidRPr="00464075">
      <w:t>UN/SCEGHS/</w:t>
    </w:r>
    <w:r w:rsidR="00B912C5" w:rsidRPr="00464075">
      <w:t>40</w:t>
    </w:r>
    <w:r w:rsidRPr="00464075">
      <w:t>/INF</w:t>
    </w:r>
    <w:r w:rsidR="00464075" w:rsidRPr="00464075">
      <w:t>.</w:t>
    </w:r>
    <w:r w:rsidR="00D55F24">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6E8B9" w14:textId="03CBAB7A" w:rsidR="006A7757" w:rsidRPr="0099001C" w:rsidRDefault="006A7757" w:rsidP="0099001C">
    <w:pPr>
      <w:pStyle w:val="Header"/>
      <w:jc w:val="right"/>
    </w:pPr>
    <w:r>
      <w:t>UN/SCEGHS/</w:t>
    </w:r>
    <w:r w:rsidR="00BF2C8E">
      <w:t>40</w:t>
    </w:r>
    <w:r>
      <w:t>/INF.</w:t>
    </w:r>
    <w:r w:rsidR="00D55F24">
      <w:t>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34577" w14:textId="5549C634" w:rsidR="00A90064" w:rsidRDefault="00A90064" w:rsidP="00E458F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F"/>
    <w:multiLevelType w:val="multilevel"/>
    <w:tmpl w:val="0000000F"/>
    <w:name w:val="WW8Num15"/>
    <w:lvl w:ilvl="0">
      <w:start w:val="1"/>
      <w:numFmt w:val="decimal"/>
      <w:lvlText w:val="%1."/>
      <w:lvlJc w:val="left"/>
      <w:pPr>
        <w:tabs>
          <w:tab w:val="num" w:pos="1689"/>
        </w:tabs>
        <w:ind w:left="1689" w:hanging="555"/>
      </w:pPr>
      <w:rPr>
        <w:bCs/>
        <w:color w:val="000000"/>
        <w:lang w:val="en-US"/>
      </w:rPr>
    </w:lvl>
    <w:lvl w:ilvl="1">
      <w:start w:val="1"/>
      <w:numFmt w:val="lowerLetter"/>
      <w:lvlText w:val="%2."/>
      <w:lvlJc w:val="left"/>
      <w:pPr>
        <w:tabs>
          <w:tab w:val="num" w:pos="2214"/>
        </w:tabs>
        <w:ind w:left="2214" w:hanging="360"/>
      </w:pPr>
      <w:rPr>
        <w:b/>
        <w:bCs/>
        <w:sz w:val="28"/>
      </w:rPr>
    </w:lvl>
    <w:lvl w:ilvl="2">
      <w:start w:val="1"/>
      <w:numFmt w:val="lowerLetter"/>
      <w:lvlText w:val="(%3)"/>
      <w:lvlJc w:val="left"/>
      <w:pPr>
        <w:tabs>
          <w:tab w:val="num" w:pos="3324"/>
        </w:tabs>
        <w:ind w:left="3324" w:hanging="570"/>
      </w:pPr>
      <w:rPr>
        <w:bCs/>
        <w:color w:val="000000"/>
        <w:lang w:val="en-US"/>
      </w:r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E63C0"/>
    <w:multiLevelType w:val="hybridMultilevel"/>
    <w:tmpl w:val="0F8E0432"/>
    <w:lvl w:ilvl="0" w:tplc="F90E470C">
      <w:start w:val="1"/>
      <w:numFmt w:val="lowerLetter"/>
      <w:lvlText w:val="(%1)"/>
      <w:lvlJc w:val="left"/>
      <w:pPr>
        <w:ind w:left="2424" w:hanging="360"/>
      </w:pPr>
      <w:rPr>
        <w:rFonts w:hint="default"/>
      </w:rPr>
    </w:lvl>
    <w:lvl w:ilvl="1" w:tplc="10090019" w:tentative="1">
      <w:start w:val="1"/>
      <w:numFmt w:val="lowerLetter"/>
      <w:lvlText w:val="%2."/>
      <w:lvlJc w:val="left"/>
      <w:pPr>
        <w:ind w:left="3144" w:hanging="360"/>
      </w:pPr>
    </w:lvl>
    <w:lvl w:ilvl="2" w:tplc="1009001B" w:tentative="1">
      <w:start w:val="1"/>
      <w:numFmt w:val="lowerRoman"/>
      <w:lvlText w:val="%3."/>
      <w:lvlJc w:val="right"/>
      <w:pPr>
        <w:ind w:left="3864" w:hanging="180"/>
      </w:pPr>
    </w:lvl>
    <w:lvl w:ilvl="3" w:tplc="1009000F" w:tentative="1">
      <w:start w:val="1"/>
      <w:numFmt w:val="decimal"/>
      <w:lvlText w:val="%4."/>
      <w:lvlJc w:val="left"/>
      <w:pPr>
        <w:ind w:left="4584" w:hanging="360"/>
      </w:pPr>
    </w:lvl>
    <w:lvl w:ilvl="4" w:tplc="10090019" w:tentative="1">
      <w:start w:val="1"/>
      <w:numFmt w:val="lowerLetter"/>
      <w:lvlText w:val="%5."/>
      <w:lvlJc w:val="left"/>
      <w:pPr>
        <w:ind w:left="5304" w:hanging="360"/>
      </w:pPr>
    </w:lvl>
    <w:lvl w:ilvl="5" w:tplc="1009001B" w:tentative="1">
      <w:start w:val="1"/>
      <w:numFmt w:val="lowerRoman"/>
      <w:lvlText w:val="%6."/>
      <w:lvlJc w:val="right"/>
      <w:pPr>
        <w:ind w:left="6024" w:hanging="180"/>
      </w:pPr>
    </w:lvl>
    <w:lvl w:ilvl="6" w:tplc="1009000F" w:tentative="1">
      <w:start w:val="1"/>
      <w:numFmt w:val="decimal"/>
      <w:lvlText w:val="%7."/>
      <w:lvlJc w:val="left"/>
      <w:pPr>
        <w:ind w:left="6744" w:hanging="360"/>
      </w:pPr>
    </w:lvl>
    <w:lvl w:ilvl="7" w:tplc="10090019" w:tentative="1">
      <w:start w:val="1"/>
      <w:numFmt w:val="lowerLetter"/>
      <w:lvlText w:val="%8."/>
      <w:lvlJc w:val="left"/>
      <w:pPr>
        <w:ind w:left="7464" w:hanging="360"/>
      </w:pPr>
    </w:lvl>
    <w:lvl w:ilvl="8" w:tplc="1009001B" w:tentative="1">
      <w:start w:val="1"/>
      <w:numFmt w:val="lowerRoman"/>
      <w:lvlText w:val="%9."/>
      <w:lvlJc w:val="right"/>
      <w:pPr>
        <w:ind w:left="8184" w:hanging="180"/>
      </w:pPr>
    </w:lvl>
  </w:abstractNum>
  <w:abstractNum w:abstractNumId="3" w15:restartNumberingAfterBreak="0">
    <w:nsid w:val="0B5E48FE"/>
    <w:multiLevelType w:val="hybridMultilevel"/>
    <w:tmpl w:val="E4F656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2CE1077"/>
    <w:multiLevelType w:val="hybridMultilevel"/>
    <w:tmpl w:val="D236F57E"/>
    <w:lvl w:ilvl="0" w:tplc="A768C694">
      <w:numFmt w:val="bullet"/>
      <w:lvlText w:val="•"/>
      <w:lvlJc w:val="left"/>
      <w:pPr>
        <w:ind w:left="2838" w:hanging="564"/>
      </w:pPr>
      <w:rPr>
        <w:rFonts w:ascii="Times New Roman" w:eastAsia="Times New Roman" w:hAnsi="Times New Roman" w:cs="Times New Roman" w:hint="default"/>
      </w:rPr>
    </w:lvl>
    <w:lvl w:ilvl="1" w:tplc="10090003" w:tentative="1">
      <w:start w:val="1"/>
      <w:numFmt w:val="bullet"/>
      <w:lvlText w:val="o"/>
      <w:lvlJc w:val="left"/>
      <w:pPr>
        <w:ind w:left="3354" w:hanging="360"/>
      </w:pPr>
      <w:rPr>
        <w:rFonts w:ascii="Courier New" w:hAnsi="Courier New" w:cs="Courier New" w:hint="default"/>
      </w:rPr>
    </w:lvl>
    <w:lvl w:ilvl="2" w:tplc="10090005" w:tentative="1">
      <w:start w:val="1"/>
      <w:numFmt w:val="bullet"/>
      <w:lvlText w:val=""/>
      <w:lvlJc w:val="left"/>
      <w:pPr>
        <w:ind w:left="4074" w:hanging="360"/>
      </w:pPr>
      <w:rPr>
        <w:rFonts w:ascii="Wingdings" w:hAnsi="Wingdings" w:hint="default"/>
      </w:rPr>
    </w:lvl>
    <w:lvl w:ilvl="3" w:tplc="10090001" w:tentative="1">
      <w:start w:val="1"/>
      <w:numFmt w:val="bullet"/>
      <w:lvlText w:val=""/>
      <w:lvlJc w:val="left"/>
      <w:pPr>
        <w:ind w:left="4794" w:hanging="360"/>
      </w:pPr>
      <w:rPr>
        <w:rFonts w:ascii="Symbol" w:hAnsi="Symbol" w:hint="default"/>
      </w:rPr>
    </w:lvl>
    <w:lvl w:ilvl="4" w:tplc="10090003" w:tentative="1">
      <w:start w:val="1"/>
      <w:numFmt w:val="bullet"/>
      <w:lvlText w:val="o"/>
      <w:lvlJc w:val="left"/>
      <w:pPr>
        <w:ind w:left="5514" w:hanging="360"/>
      </w:pPr>
      <w:rPr>
        <w:rFonts w:ascii="Courier New" w:hAnsi="Courier New" w:cs="Courier New" w:hint="default"/>
      </w:rPr>
    </w:lvl>
    <w:lvl w:ilvl="5" w:tplc="10090005" w:tentative="1">
      <w:start w:val="1"/>
      <w:numFmt w:val="bullet"/>
      <w:lvlText w:val=""/>
      <w:lvlJc w:val="left"/>
      <w:pPr>
        <w:ind w:left="6234" w:hanging="360"/>
      </w:pPr>
      <w:rPr>
        <w:rFonts w:ascii="Wingdings" w:hAnsi="Wingdings" w:hint="default"/>
      </w:rPr>
    </w:lvl>
    <w:lvl w:ilvl="6" w:tplc="10090001" w:tentative="1">
      <w:start w:val="1"/>
      <w:numFmt w:val="bullet"/>
      <w:lvlText w:val=""/>
      <w:lvlJc w:val="left"/>
      <w:pPr>
        <w:ind w:left="6954" w:hanging="360"/>
      </w:pPr>
      <w:rPr>
        <w:rFonts w:ascii="Symbol" w:hAnsi="Symbol" w:hint="default"/>
      </w:rPr>
    </w:lvl>
    <w:lvl w:ilvl="7" w:tplc="10090003" w:tentative="1">
      <w:start w:val="1"/>
      <w:numFmt w:val="bullet"/>
      <w:lvlText w:val="o"/>
      <w:lvlJc w:val="left"/>
      <w:pPr>
        <w:ind w:left="7674" w:hanging="360"/>
      </w:pPr>
      <w:rPr>
        <w:rFonts w:ascii="Courier New" w:hAnsi="Courier New" w:cs="Courier New" w:hint="default"/>
      </w:rPr>
    </w:lvl>
    <w:lvl w:ilvl="8" w:tplc="10090005" w:tentative="1">
      <w:start w:val="1"/>
      <w:numFmt w:val="bullet"/>
      <w:lvlText w:val=""/>
      <w:lvlJc w:val="left"/>
      <w:pPr>
        <w:ind w:left="8394" w:hanging="360"/>
      </w:pPr>
      <w:rPr>
        <w:rFonts w:ascii="Wingdings" w:hAnsi="Wingdings" w:hint="default"/>
      </w:rPr>
    </w:lvl>
  </w:abstractNum>
  <w:abstractNum w:abstractNumId="5" w15:restartNumberingAfterBreak="0">
    <w:nsid w:val="133C2596"/>
    <w:multiLevelType w:val="hybridMultilevel"/>
    <w:tmpl w:val="5010D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BF6392"/>
    <w:multiLevelType w:val="hybridMultilevel"/>
    <w:tmpl w:val="545EEC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2084FD6"/>
    <w:multiLevelType w:val="hybridMultilevel"/>
    <w:tmpl w:val="AE36043C"/>
    <w:lvl w:ilvl="0" w:tplc="2098BA6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9" w15:restartNumberingAfterBreak="0">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0" w15:restartNumberingAfterBreak="0">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1" w15:restartNumberingAfterBreak="0">
    <w:nsid w:val="344870D6"/>
    <w:multiLevelType w:val="hybridMultilevel"/>
    <w:tmpl w:val="B4803ED4"/>
    <w:lvl w:ilvl="0" w:tplc="F90E470C">
      <w:start w:val="1"/>
      <w:numFmt w:val="lowerLetter"/>
      <w:lvlText w:val="(%1)"/>
      <w:lvlJc w:val="left"/>
      <w:pPr>
        <w:ind w:left="1854" w:hanging="360"/>
      </w:pPr>
      <w:rPr>
        <w:rFonts w:hint="default"/>
      </w:rPr>
    </w:lvl>
    <w:lvl w:ilvl="1" w:tplc="11C290A0">
      <w:start w:val="1"/>
      <w:numFmt w:val="lowerRoman"/>
      <w:lvlText w:val="(%2)"/>
      <w:lvlJc w:val="right"/>
      <w:pPr>
        <w:ind w:left="2574" w:hanging="360"/>
      </w:pPr>
      <w:rPr>
        <w:rFonts w:hint="default"/>
      </w:r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2" w15:restartNumberingAfterBreak="0">
    <w:nsid w:val="3BB43636"/>
    <w:multiLevelType w:val="hybridMultilevel"/>
    <w:tmpl w:val="D43A5FDC"/>
    <w:lvl w:ilvl="0" w:tplc="D81C2A86">
      <w:start w:val="1"/>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13" w15:restartNumberingAfterBreak="0">
    <w:nsid w:val="3DEF3213"/>
    <w:multiLevelType w:val="hybridMultilevel"/>
    <w:tmpl w:val="A5F4F4B4"/>
    <w:lvl w:ilvl="0" w:tplc="F90E470C">
      <w:start w:val="1"/>
      <w:numFmt w:val="lowerLetter"/>
      <w:lvlText w:val="(%1)"/>
      <w:lvlJc w:val="left"/>
      <w:pPr>
        <w:ind w:left="1854" w:hanging="360"/>
      </w:pPr>
      <w:rPr>
        <w:rFonts w:hint="default"/>
      </w:rPr>
    </w:lvl>
    <w:lvl w:ilvl="1" w:tplc="041D001B">
      <w:start w:val="1"/>
      <w:numFmt w:val="lowerRoman"/>
      <w:lvlText w:val="%2."/>
      <w:lvlJc w:val="righ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4" w15:restartNumberingAfterBreak="0">
    <w:nsid w:val="488A1E94"/>
    <w:multiLevelType w:val="hybridMultilevel"/>
    <w:tmpl w:val="814CC3EE"/>
    <w:lvl w:ilvl="0" w:tplc="D926489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4D6D0C6C"/>
    <w:multiLevelType w:val="hybridMultilevel"/>
    <w:tmpl w:val="ED7C4AF8"/>
    <w:lvl w:ilvl="0" w:tplc="37DA2ED4">
      <w:start w:val="1"/>
      <w:numFmt w:val="decimal"/>
      <w:lvlText w:val="%1."/>
      <w:lvlJc w:val="left"/>
      <w:pPr>
        <w:ind w:left="1710" w:hanging="564"/>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6"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59990823"/>
    <w:multiLevelType w:val="hybridMultilevel"/>
    <w:tmpl w:val="C108C684"/>
    <w:lvl w:ilvl="0" w:tplc="B1FEDF3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5FB45A0E"/>
    <w:multiLevelType w:val="hybridMultilevel"/>
    <w:tmpl w:val="C2001A22"/>
    <w:lvl w:ilvl="0" w:tplc="6C5466F8">
      <w:start w:val="1"/>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19" w15:restartNumberingAfterBreak="0">
    <w:nsid w:val="62F4007A"/>
    <w:multiLevelType w:val="hybridMultilevel"/>
    <w:tmpl w:val="C2A4BB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7282859"/>
    <w:multiLevelType w:val="hybridMultilevel"/>
    <w:tmpl w:val="4F420252"/>
    <w:lvl w:ilvl="0" w:tplc="F90E470C">
      <w:start w:val="1"/>
      <w:numFmt w:val="lowerLetter"/>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D967DA"/>
    <w:multiLevelType w:val="hybridMultilevel"/>
    <w:tmpl w:val="118C6788"/>
    <w:lvl w:ilvl="0" w:tplc="F90E470C">
      <w:start w:val="1"/>
      <w:numFmt w:val="lowerLetter"/>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3" w15:restartNumberingAfterBreak="0">
    <w:nsid w:val="6CAD7784"/>
    <w:multiLevelType w:val="hybridMultilevel"/>
    <w:tmpl w:val="038C5DBA"/>
    <w:lvl w:ilvl="0" w:tplc="01080422">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4" w15:restartNumberingAfterBreak="0">
    <w:nsid w:val="6D687645"/>
    <w:multiLevelType w:val="hybridMultilevel"/>
    <w:tmpl w:val="2DB02938"/>
    <w:lvl w:ilvl="0" w:tplc="F90E470C">
      <w:start w:val="1"/>
      <w:numFmt w:val="lowerLetter"/>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5" w15:restartNumberingAfterBreak="0">
    <w:nsid w:val="71CE2A36"/>
    <w:multiLevelType w:val="hybridMultilevel"/>
    <w:tmpl w:val="2A402A5A"/>
    <w:lvl w:ilvl="0" w:tplc="F90E470C">
      <w:start w:val="1"/>
      <w:numFmt w:val="lowerLetter"/>
      <w:lvlText w:val="(%1)"/>
      <w:lvlJc w:val="left"/>
      <w:pPr>
        <w:ind w:left="2472" w:hanging="360"/>
      </w:pPr>
      <w:rPr>
        <w:rFonts w:hint="default"/>
      </w:rPr>
    </w:lvl>
    <w:lvl w:ilvl="1" w:tplc="10090019" w:tentative="1">
      <w:start w:val="1"/>
      <w:numFmt w:val="lowerLetter"/>
      <w:lvlText w:val="%2."/>
      <w:lvlJc w:val="left"/>
      <w:pPr>
        <w:ind w:left="3192" w:hanging="360"/>
      </w:pPr>
    </w:lvl>
    <w:lvl w:ilvl="2" w:tplc="1009001B" w:tentative="1">
      <w:start w:val="1"/>
      <w:numFmt w:val="lowerRoman"/>
      <w:lvlText w:val="%3."/>
      <w:lvlJc w:val="right"/>
      <w:pPr>
        <w:ind w:left="3912" w:hanging="180"/>
      </w:pPr>
    </w:lvl>
    <w:lvl w:ilvl="3" w:tplc="1009000F" w:tentative="1">
      <w:start w:val="1"/>
      <w:numFmt w:val="decimal"/>
      <w:lvlText w:val="%4."/>
      <w:lvlJc w:val="left"/>
      <w:pPr>
        <w:ind w:left="4632" w:hanging="360"/>
      </w:pPr>
    </w:lvl>
    <w:lvl w:ilvl="4" w:tplc="10090019" w:tentative="1">
      <w:start w:val="1"/>
      <w:numFmt w:val="lowerLetter"/>
      <w:lvlText w:val="%5."/>
      <w:lvlJc w:val="left"/>
      <w:pPr>
        <w:ind w:left="5352" w:hanging="360"/>
      </w:pPr>
    </w:lvl>
    <w:lvl w:ilvl="5" w:tplc="1009001B" w:tentative="1">
      <w:start w:val="1"/>
      <w:numFmt w:val="lowerRoman"/>
      <w:lvlText w:val="%6."/>
      <w:lvlJc w:val="right"/>
      <w:pPr>
        <w:ind w:left="6072" w:hanging="180"/>
      </w:pPr>
    </w:lvl>
    <w:lvl w:ilvl="6" w:tplc="1009000F" w:tentative="1">
      <w:start w:val="1"/>
      <w:numFmt w:val="decimal"/>
      <w:lvlText w:val="%7."/>
      <w:lvlJc w:val="left"/>
      <w:pPr>
        <w:ind w:left="6792" w:hanging="360"/>
      </w:pPr>
    </w:lvl>
    <w:lvl w:ilvl="7" w:tplc="10090019" w:tentative="1">
      <w:start w:val="1"/>
      <w:numFmt w:val="lowerLetter"/>
      <w:lvlText w:val="%8."/>
      <w:lvlJc w:val="left"/>
      <w:pPr>
        <w:ind w:left="7512" w:hanging="360"/>
      </w:pPr>
    </w:lvl>
    <w:lvl w:ilvl="8" w:tplc="1009001B" w:tentative="1">
      <w:start w:val="1"/>
      <w:numFmt w:val="lowerRoman"/>
      <w:lvlText w:val="%9."/>
      <w:lvlJc w:val="right"/>
      <w:pPr>
        <w:ind w:left="8232" w:hanging="180"/>
      </w:pPr>
    </w:lvl>
  </w:abstractNum>
  <w:abstractNum w:abstractNumId="26" w15:restartNumberingAfterBreak="0">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1"/>
  </w:num>
  <w:num w:numId="2">
    <w:abstractNumId w:val="21"/>
  </w:num>
  <w:num w:numId="3">
    <w:abstractNumId w:val="16"/>
  </w:num>
  <w:num w:numId="4">
    <w:abstractNumId w:val="8"/>
  </w:num>
  <w:num w:numId="5">
    <w:abstractNumId w:val="9"/>
  </w:num>
  <w:num w:numId="6">
    <w:abstractNumId w:val="10"/>
  </w:num>
  <w:num w:numId="7">
    <w:abstractNumId w:val="26"/>
  </w:num>
  <w:num w:numId="8">
    <w:abstractNumId w:val="1"/>
  </w:num>
  <w:num w:numId="9">
    <w:abstractNumId w:val="3"/>
  </w:num>
  <w:num w:numId="10">
    <w:abstractNumId w:val="19"/>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8"/>
  </w:num>
  <w:num w:numId="15">
    <w:abstractNumId w:val="22"/>
  </w:num>
  <w:num w:numId="16">
    <w:abstractNumId w:val="24"/>
  </w:num>
  <w:num w:numId="17">
    <w:abstractNumId w:val="13"/>
  </w:num>
  <w:num w:numId="18">
    <w:abstractNumId w:val="11"/>
  </w:num>
  <w:num w:numId="19">
    <w:abstractNumId w:val="20"/>
  </w:num>
  <w:num w:numId="20">
    <w:abstractNumId w:val="2"/>
  </w:num>
  <w:num w:numId="21">
    <w:abstractNumId w:val="4"/>
  </w:num>
  <w:num w:numId="22">
    <w:abstractNumId w:val="25"/>
  </w:num>
  <w:num w:numId="23">
    <w:abstractNumId w:val="15"/>
  </w:num>
  <w:num w:numId="24">
    <w:abstractNumId w:val="17"/>
  </w:num>
  <w:num w:numId="25">
    <w:abstractNumId w:val="14"/>
  </w:num>
  <w:num w:numId="26">
    <w:abstractNumId w:val="7"/>
  </w:num>
  <w:num w:numId="27">
    <w:abstractNumId w:val="23"/>
  </w:num>
  <w:num w:numId="2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en-CA" w:vendorID="64" w:dllVersion="6" w:nlCheck="1" w:checkStyle="0"/>
  <w:activeWritingStyle w:appName="MSWord" w:lang="fr-CA" w:vendorID="64" w:dllVersion="6" w:nlCheck="1" w:checkStyle="0"/>
  <w:activeWritingStyle w:appName="MSWord" w:lang="fr-CA" w:vendorID="64" w:dllVersion="0" w:nlCheck="1" w:checkStyle="0"/>
  <w:activeWritingStyle w:appName="MSWord" w:lang="en-CA"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01C"/>
    <w:rsid w:val="00002EFA"/>
    <w:rsid w:val="00011A6C"/>
    <w:rsid w:val="00012269"/>
    <w:rsid w:val="00015281"/>
    <w:rsid w:val="00016322"/>
    <w:rsid w:val="00016F90"/>
    <w:rsid w:val="0001762F"/>
    <w:rsid w:val="00021F69"/>
    <w:rsid w:val="00023D11"/>
    <w:rsid w:val="000247DA"/>
    <w:rsid w:val="000248C1"/>
    <w:rsid w:val="000309E1"/>
    <w:rsid w:val="00030DD3"/>
    <w:rsid w:val="00033B3D"/>
    <w:rsid w:val="00036757"/>
    <w:rsid w:val="00041F29"/>
    <w:rsid w:val="000465C7"/>
    <w:rsid w:val="00050F6B"/>
    <w:rsid w:val="00056ADD"/>
    <w:rsid w:val="0006093B"/>
    <w:rsid w:val="00065DE6"/>
    <w:rsid w:val="00072C8C"/>
    <w:rsid w:val="00073D8C"/>
    <w:rsid w:val="00074E61"/>
    <w:rsid w:val="00075848"/>
    <w:rsid w:val="00081647"/>
    <w:rsid w:val="00085D2B"/>
    <w:rsid w:val="00086CD6"/>
    <w:rsid w:val="00092477"/>
    <w:rsid w:val="000931C0"/>
    <w:rsid w:val="00093AA0"/>
    <w:rsid w:val="000A48A1"/>
    <w:rsid w:val="000A6544"/>
    <w:rsid w:val="000A6AF2"/>
    <w:rsid w:val="000B037C"/>
    <w:rsid w:val="000B0443"/>
    <w:rsid w:val="000B175B"/>
    <w:rsid w:val="000B3A0F"/>
    <w:rsid w:val="000B3D62"/>
    <w:rsid w:val="000C6544"/>
    <w:rsid w:val="000D10AA"/>
    <w:rsid w:val="000D4EE2"/>
    <w:rsid w:val="000E0415"/>
    <w:rsid w:val="000E4865"/>
    <w:rsid w:val="000F599C"/>
    <w:rsid w:val="001074C7"/>
    <w:rsid w:val="00111760"/>
    <w:rsid w:val="00115ECB"/>
    <w:rsid w:val="001220B8"/>
    <w:rsid w:val="00135B50"/>
    <w:rsid w:val="00140DE6"/>
    <w:rsid w:val="00141658"/>
    <w:rsid w:val="00142E4D"/>
    <w:rsid w:val="0015005D"/>
    <w:rsid w:val="00156444"/>
    <w:rsid w:val="00156F3C"/>
    <w:rsid w:val="00162BF7"/>
    <w:rsid w:val="00170DBB"/>
    <w:rsid w:val="001748C5"/>
    <w:rsid w:val="00181192"/>
    <w:rsid w:val="00190AEA"/>
    <w:rsid w:val="00191F6F"/>
    <w:rsid w:val="00195871"/>
    <w:rsid w:val="00196E86"/>
    <w:rsid w:val="001976A3"/>
    <w:rsid w:val="001A0F7B"/>
    <w:rsid w:val="001A2FA5"/>
    <w:rsid w:val="001B4B04"/>
    <w:rsid w:val="001B5F24"/>
    <w:rsid w:val="001B69DC"/>
    <w:rsid w:val="001C6663"/>
    <w:rsid w:val="001C7895"/>
    <w:rsid w:val="001D1E83"/>
    <w:rsid w:val="001D26DF"/>
    <w:rsid w:val="001D3206"/>
    <w:rsid w:val="001D648C"/>
    <w:rsid w:val="001E47FD"/>
    <w:rsid w:val="001E7F58"/>
    <w:rsid w:val="001F0115"/>
    <w:rsid w:val="001F4CBE"/>
    <w:rsid w:val="00202FFC"/>
    <w:rsid w:val="002115B7"/>
    <w:rsid w:val="00211E0B"/>
    <w:rsid w:val="00213E9F"/>
    <w:rsid w:val="00217B78"/>
    <w:rsid w:val="00221DF0"/>
    <w:rsid w:val="00231C90"/>
    <w:rsid w:val="002366A3"/>
    <w:rsid w:val="002405A7"/>
    <w:rsid w:val="00245FA7"/>
    <w:rsid w:val="00247C31"/>
    <w:rsid w:val="0025322D"/>
    <w:rsid w:val="002544BF"/>
    <w:rsid w:val="00254C1C"/>
    <w:rsid w:val="00257E45"/>
    <w:rsid w:val="00262488"/>
    <w:rsid w:val="00271E2A"/>
    <w:rsid w:val="0027295D"/>
    <w:rsid w:val="00273022"/>
    <w:rsid w:val="00285190"/>
    <w:rsid w:val="0028578C"/>
    <w:rsid w:val="00286FDE"/>
    <w:rsid w:val="002B1884"/>
    <w:rsid w:val="002B37B6"/>
    <w:rsid w:val="002B3D6F"/>
    <w:rsid w:val="002D037D"/>
    <w:rsid w:val="002D0C22"/>
    <w:rsid w:val="002D2D8D"/>
    <w:rsid w:val="002D2FB8"/>
    <w:rsid w:val="002D3A9B"/>
    <w:rsid w:val="002D59D3"/>
    <w:rsid w:val="002D6144"/>
    <w:rsid w:val="002F31E1"/>
    <w:rsid w:val="003107FA"/>
    <w:rsid w:val="003127A2"/>
    <w:rsid w:val="003229D8"/>
    <w:rsid w:val="00322FAA"/>
    <w:rsid w:val="00323694"/>
    <w:rsid w:val="0032550E"/>
    <w:rsid w:val="00327615"/>
    <w:rsid w:val="00335925"/>
    <w:rsid w:val="0033745A"/>
    <w:rsid w:val="00337A81"/>
    <w:rsid w:val="00341051"/>
    <w:rsid w:val="00357D6F"/>
    <w:rsid w:val="003642AF"/>
    <w:rsid w:val="00364D89"/>
    <w:rsid w:val="00366CA7"/>
    <w:rsid w:val="0037026E"/>
    <w:rsid w:val="00370421"/>
    <w:rsid w:val="0037693E"/>
    <w:rsid w:val="0039277A"/>
    <w:rsid w:val="003936C1"/>
    <w:rsid w:val="0039696D"/>
    <w:rsid w:val="003972E0"/>
    <w:rsid w:val="003A3AEF"/>
    <w:rsid w:val="003A7753"/>
    <w:rsid w:val="003B0C4F"/>
    <w:rsid w:val="003B3A99"/>
    <w:rsid w:val="003C2CC4"/>
    <w:rsid w:val="003C3936"/>
    <w:rsid w:val="003D0D56"/>
    <w:rsid w:val="003D2270"/>
    <w:rsid w:val="003D4009"/>
    <w:rsid w:val="003D4B23"/>
    <w:rsid w:val="003D57CD"/>
    <w:rsid w:val="003E1828"/>
    <w:rsid w:val="003E4C6B"/>
    <w:rsid w:val="003E6173"/>
    <w:rsid w:val="003F1ED3"/>
    <w:rsid w:val="003F548D"/>
    <w:rsid w:val="00404110"/>
    <w:rsid w:val="0040593A"/>
    <w:rsid w:val="00421612"/>
    <w:rsid w:val="00422AA7"/>
    <w:rsid w:val="00425CB5"/>
    <w:rsid w:val="00426F57"/>
    <w:rsid w:val="00427C61"/>
    <w:rsid w:val="004325CB"/>
    <w:rsid w:val="004449CC"/>
    <w:rsid w:val="00446DE4"/>
    <w:rsid w:val="00455E21"/>
    <w:rsid w:val="00460165"/>
    <w:rsid w:val="00460DD9"/>
    <w:rsid w:val="00464075"/>
    <w:rsid w:val="0046499D"/>
    <w:rsid w:val="00467F71"/>
    <w:rsid w:val="0047442B"/>
    <w:rsid w:val="00474F1C"/>
    <w:rsid w:val="00477371"/>
    <w:rsid w:val="00481AF5"/>
    <w:rsid w:val="004827D3"/>
    <w:rsid w:val="00485881"/>
    <w:rsid w:val="00492FBB"/>
    <w:rsid w:val="00496EBE"/>
    <w:rsid w:val="004975BF"/>
    <w:rsid w:val="00497EF1"/>
    <w:rsid w:val="004A41CA"/>
    <w:rsid w:val="004A4C5A"/>
    <w:rsid w:val="004A4EB2"/>
    <w:rsid w:val="004A4F3D"/>
    <w:rsid w:val="004B036A"/>
    <w:rsid w:val="004B748C"/>
    <w:rsid w:val="004C3441"/>
    <w:rsid w:val="004D0C85"/>
    <w:rsid w:val="004E0B23"/>
    <w:rsid w:val="004E31C7"/>
    <w:rsid w:val="004E33F9"/>
    <w:rsid w:val="004E36F5"/>
    <w:rsid w:val="004E3E6C"/>
    <w:rsid w:val="004E7ED6"/>
    <w:rsid w:val="004F6FA2"/>
    <w:rsid w:val="004F7D12"/>
    <w:rsid w:val="005014A3"/>
    <w:rsid w:val="00503228"/>
    <w:rsid w:val="005034AA"/>
    <w:rsid w:val="00505384"/>
    <w:rsid w:val="005163CC"/>
    <w:rsid w:val="0053092F"/>
    <w:rsid w:val="00530B20"/>
    <w:rsid w:val="00532617"/>
    <w:rsid w:val="00532EF8"/>
    <w:rsid w:val="00533DBE"/>
    <w:rsid w:val="00535116"/>
    <w:rsid w:val="00535BDE"/>
    <w:rsid w:val="0053769E"/>
    <w:rsid w:val="00540050"/>
    <w:rsid w:val="005420F2"/>
    <w:rsid w:val="00543A6D"/>
    <w:rsid w:val="00545F0E"/>
    <w:rsid w:val="00546218"/>
    <w:rsid w:val="005547AA"/>
    <w:rsid w:val="005560AA"/>
    <w:rsid w:val="005745F6"/>
    <w:rsid w:val="00583B10"/>
    <w:rsid w:val="005906CF"/>
    <w:rsid w:val="005A3BFC"/>
    <w:rsid w:val="005B0D15"/>
    <w:rsid w:val="005B2C89"/>
    <w:rsid w:val="005B3DB3"/>
    <w:rsid w:val="005B758B"/>
    <w:rsid w:val="005C47BF"/>
    <w:rsid w:val="005D1A62"/>
    <w:rsid w:val="005D1C72"/>
    <w:rsid w:val="005D23F3"/>
    <w:rsid w:val="005D2A49"/>
    <w:rsid w:val="005D7387"/>
    <w:rsid w:val="005E1EDC"/>
    <w:rsid w:val="005E22FE"/>
    <w:rsid w:val="005E5FFD"/>
    <w:rsid w:val="005F7D6B"/>
    <w:rsid w:val="00601906"/>
    <w:rsid w:val="00603CBF"/>
    <w:rsid w:val="0060668D"/>
    <w:rsid w:val="00611326"/>
    <w:rsid w:val="0061196B"/>
    <w:rsid w:val="00611FC4"/>
    <w:rsid w:val="0061427C"/>
    <w:rsid w:val="006176FB"/>
    <w:rsid w:val="00617FFE"/>
    <w:rsid w:val="00625098"/>
    <w:rsid w:val="00627ED0"/>
    <w:rsid w:val="006326F0"/>
    <w:rsid w:val="00635219"/>
    <w:rsid w:val="00635EF4"/>
    <w:rsid w:val="00640B26"/>
    <w:rsid w:val="00645B5D"/>
    <w:rsid w:val="006613F7"/>
    <w:rsid w:val="006653E5"/>
    <w:rsid w:val="00665595"/>
    <w:rsid w:val="006672E3"/>
    <w:rsid w:val="00680CDA"/>
    <w:rsid w:val="006866A5"/>
    <w:rsid w:val="0068708F"/>
    <w:rsid w:val="00691F20"/>
    <w:rsid w:val="00693543"/>
    <w:rsid w:val="006A7392"/>
    <w:rsid w:val="006A7757"/>
    <w:rsid w:val="006A7857"/>
    <w:rsid w:val="006A7DFD"/>
    <w:rsid w:val="006B1B5A"/>
    <w:rsid w:val="006B2509"/>
    <w:rsid w:val="006B6238"/>
    <w:rsid w:val="006C16AC"/>
    <w:rsid w:val="006C2521"/>
    <w:rsid w:val="006E032B"/>
    <w:rsid w:val="006E3197"/>
    <w:rsid w:val="006E564B"/>
    <w:rsid w:val="006F0395"/>
    <w:rsid w:val="00707458"/>
    <w:rsid w:val="007107D8"/>
    <w:rsid w:val="0071248A"/>
    <w:rsid w:val="0071349F"/>
    <w:rsid w:val="00714AEE"/>
    <w:rsid w:val="00717623"/>
    <w:rsid w:val="00720DEB"/>
    <w:rsid w:val="0072632A"/>
    <w:rsid w:val="00727A68"/>
    <w:rsid w:val="00732654"/>
    <w:rsid w:val="00733AAE"/>
    <w:rsid w:val="00734A5D"/>
    <w:rsid w:val="007361DA"/>
    <w:rsid w:val="007439EB"/>
    <w:rsid w:val="00754226"/>
    <w:rsid w:val="007560E6"/>
    <w:rsid w:val="007564A9"/>
    <w:rsid w:val="0076223F"/>
    <w:rsid w:val="007640D5"/>
    <w:rsid w:val="007673C7"/>
    <w:rsid w:val="007719BA"/>
    <w:rsid w:val="00775EC7"/>
    <w:rsid w:val="00780ABB"/>
    <w:rsid w:val="00781A60"/>
    <w:rsid w:val="00784208"/>
    <w:rsid w:val="00787DA4"/>
    <w:rsid w:val="00793314"/>
    <w:rsid w:val="007A0B22"/>
    <w:rsid w:val="007A7E59"/>
    <w:rsid w:val="007B3D58"/>
    <w:rsid w:val="007B6BA5"/>
    <w:rsid w:val="007C1201"/>
    <w:rsid w:val="007C3390"/>
    <w:rsid w:val="007C4F4B"/>
    <w:rsid w:val="007C5A03"/>
    <w:rsid w:val="007C6F15"/>
    <w:rsid w:val="007C710E"/>
    <w:rsid w:val="007C7B1E"/>
    <w:rsid w:val="007D2D6D"/>
    <w:rsid w:val="007D4D7A"/>
    <w:rsid w:val="007D61DF"/>
    <w:rsid w:val="007D7920"/>
    <w:rsid w:val="007E0557"/>
    <w:rsid w:val="007F0B83"/>
    <w:rsid w:val="007F48EF"/>
    <w:rsid w:val="007F4FCD"/>
    <w:rsid w:val="007F6611"/>
    <w:rsid w:val="00802916"/>
    <w:rsid w:val="00802F98"/>
    <w:rsid w:val="00807005"/>
    <w:rsid w:val="0081004A"/>
    <w:rsid w:val="00811719"/>
    <w:rsid w:val="008121E9"/>
    <w:rsid w:val="00815255"/>
    <w:rsid w:val="0081732C"/>
    <w:rsid w:val="008175E9"/>
    <w:rsid w:val="008242D7"/>
    <w:rsid w:val="00826F10"/>
    <w:rsid w:val="0082702F"/>
    <w:rsid w:val="00827E05"/>
    <w:rsid w:val="008308E6"/>
    <w:rsid w:val="008311A3"/>
    <w:rsid w:val="00832B3A"/>
    <w:rsid w:val="00836AF7"/>
    <w:rsid w:val="0084107B"/>
    <w:rsid w:val="00843C36"/>
    <w:rsid w:val="0084467B"/>
    <w:rsid w:val="00845A34"/>
    <w:rsid w:val="00862FF3"/>
    <w:rsid w:val="008705FA"/>
    <w:rsid w:val="00871FD5"/>
    <w:rsid w:val="008748E0"/>
    <w:rsid w:val="00875CAA"/>
    <w:rsid w:val="008762FC"/>
    <w:rsid w:val="00877165"/>
    <w:rsid w:val="00883D22"/>
    <w:rsid w:val="00884C4B"/>
    <w:rsid w:val="00887D87"/>
    <w:rsid w:val="00887F74"/>
    <w:rsid w:val="00891141"/>
    <w:rsid w:val="00893791"/>
    <w:rsid w:val="00893960"/>
    <w:rsid w:val="0089738F"/>
    <w:rsid w:val="008979B1"/>
    <w:rsid w:val="008A32BF"/>
    <w:rsid w:val="008A583E"/>
    <w:rsid w:val="008A6B25"/>
    <w:rsid w:val="008A6C4F"/>
    <w:rsid w:val="008B2AE3"/>
    <w:rsid w:val="008B33DF"/>
    <w:rsid w:val="008B6E26"/>
    <w:rsid w:val="008C63EB"/>
    <w:rsid w:val="008C7D7C"/>
    <w:rsid w:val="008C7F06"/>
    <w:rsid w:val="008D16E2"/>
    <w:rsid w:val="008D2529"/>
    <w:rsid w:val="008E0E46"/>
    <w:rsid w:val="008E4C4C"/>
    <w:rsid w:val="008F08B4"/>
    <w:rsid w:val="008F2D8E"/>
    <w:rsid w:val="008F2E36"/>
    <w:rsid w:val="008F5985"/>
    <w:rsid w:val="008F6FE3"/>
    <w:rsid w:val="008F7879"/>
    <w:rsid w:val="00907AD2"/>
    <w:rsid w:val="00911047"/>
    <w:rsid w:val="00917E75"/>
    <w:rsid w:val="00921FB5"/>
    <w:rsid w:val="00924BEA"/>
    <w:rsid w:val="009302FB"/>
    <w:rsid w:val="009321E9"/>
    <w:rsid w:val="009464AD"/>
    <w:rsid w:val="00947761"/>
    <w:rsid w:val="0095078A"/>
    <w:rsid w:val="0096014D"/>
    <w:rsid w:val="00961A01"/>
    <w:rsid w:val="00963CBA"/>
    <w:rsid w:val="009650E6"/>
    <w:rsid w:val="00965932"/>
    <w:rsid w:val="0096617E"/>
    <w:rsid w:val="009717C3"/>
    <w:rsid w:val="00971BB4"/>
    <w:rsid w:val="00974A8D"/>
    <w:rsid w:val="0099001C"/>
    <w:rsid w:val="00991261"/>
    <w:rsid w:val="00992F6B"/>
    <w:rsid w:val="009A1558"/>
    <w:rsid w:val="009A1717"/>
    <w:rsid w:val="009A276C"/>
    <w:rsid w:val="009B7F3C"/>
    <w:rsid w:val="009C127C"/>
    <w:rsid w:val="009C12F6"/>
    <w:rsid w:val="009C2E40"/>
    <w:rsid w:val="009D26EF"/>
    <w:rsid w:val="009D555E"/>
    <w:rsid w:val="009E2F92"/>
    <w:rsid w:val="009E46E9"/>
    <w:rsid w:val="009F1B31"/>
    <w:rsid w:val="009F3A17"/>
    <w:rsid w:val="009F3D53"/>
    <w:rsid w:val="009F5A94"/>
    <w:rsid w:val="009F7870"/>
    <w:rsid w:val="00A00230"/>
    <w:rsid w:val="00A01958"/>
    <w:rsid w:val="00A02F4C"/>
    <w:rsid w:val="00A10E05"/>
    <w:rsid w:val="00A1427D"/>
    <w:rsid w:val="00A17045"/>
    <w:rsid w:val="00A2158F"/>
    <w:rsid w:val="00A230AE"/>
    <w:rsid w:val="00A250EB"/>
    <w:rsid w:val="00A2678C"/>
    <w:rsid w:val="00A31083"/>
    <w:rsid w:val="00A32AEE"/>
    <w:rsid w:val="00A352D7"/>
    <w:rsid w:val="00A37265"/>
    <w:rsid w:val="00A426FB"/>
    <w:rsid w:val="00A47476"/>
    <w:rsid w:val="00A55FB2"/>
    <w:rsid w:val="00A57424"/>
    <w:rsid w:val="00A62A71"/>
    <w:rsid w:val="00A63E4A"/>
    <w:rsid w:val="00A64D33"/>
    <w:rsid w:val="00A72F22"/>
    <w:rsid w:val="00A73939"/>
    <w:rsid w:val="00A74632"/>
    <w:rsid w:val="00A748A6"/>
    <w:rsid w:val="00A80459"/>
    <w:rsid w:val="00A805EB"/>
    <w:rsid w:val="00A80F63"/>
    <w:rsid w:val="00A8573F"/>
    <w:rsid w:val="00A85E95"/>
    <w:rsid w:val="00A8760B"/>
    <w:rsid w:val="00A8762E"/>
    <w:rsid w:val="00A87771"/>
    <w:rsid w:val="00A879A4"/>
    <w:rsid w:val="00A90064"/>
    <w:rsid w:val="00AA1504"/>
    <w:rsid w:val="00AA42B2"/>
    <w:rsid w:val="00AA496B"/>
    <w:rsid w:val="00AB19FE"/>
    <w:rsid w:val="00AB38F8"/>
    <w:rsid w:val="00AC5C02"/>
    <w:rsid w:val="00AC6CF5"/>
    <w:rsid w:val="00AD275E"/>
    <w:rsid w:val="00AD30B7"/>
    <w:rsid w:val="00AD6396"/>
    <w:rsid w:val="00AD67E3"/>
    <w:rsid w:val="00AE1248"/>
    <w:rsid w:val="00AE50AE"/>
    <w:rsid w:val="00AE5F9C"/>
    <w:rsid w:val="00AE71F3"/>
    <w:rsid w:val="00AF3DD5"/>
    <w:rsid w:val="00B012DF"/>
    <w:rsid w:val="00B1225A"/>
    <w:rsid w:val="00B13651"/>
    <w:rsid w:val="00B13801"/>
    <w:rsid w:val="00B14DCA"/>
    <w:rsid w:val="00B150D8"/>
    <w:rsid w:val="00B1615F"/>
    <w:rsid w:val="00B163F4"/>
    <w:rsid w:val="00B30179"/>
    <w:rsid w:val="00B30D47"/>
    <w:rsid w:val="00B30E8F"/>
    <w:rsid w:val="00B32782"/>
    <w:rsid w:val="00B33EC0"/>
    <w:rsid w:val="00B543C9"/>
    <w:rsid w:val="00B5760A"/>
    <w:rsid w:val="00B724A0"/>
    <w:rsid w:val="00B735E2"/>
    <w:rsid w:val="00B760A8"/>
    <w:rsid w:val="00B76F60"/>
    <w:rsid w:val="00B770F6"/>
    <w:rsid w:val="00B80297"/>
    <w:rsid w:val="00B80CCF"/>
    <w:rsid w:val="00B81E12"/>
    <w:rsid w:val="00B8484B"/>
    <w:rsid w:val="00B90C82"/>
    <w:rsid w:val="00B912C5"/>
    <w:rsid w:val="00B91C47"/>
    <w:rsid w:val="00B91E3A"/>
    <w:rsid w:val="00B97D28"/>
    <w:rsid w:val="00BC74E9"/>
    <w:rsid w:val="00BD13EB"/>
    <w:rsid w:val="00BD1504"/>
    <w:rsid w:val="00BD1EA1"/>
    <w:rsid w:val="00BD2146"/>
    <w:rsid w:val="00BD4DD7"/>
    <w:rsid w:val="00BD62B0"/>
    <w:rsid w:val="00BE3F8A"/>
    <w:rsid w:val="00BE4F74"/>
    <w:rsid w:val="00BE59FB"/>
    <w:rsid w:val="00BE618E"/>
    <w:rsid w:val="00BF2C8E"/>
    <w:rsid w:val="00BF4542"/>
    <w:rsid w:val="00C01530"/>
    <w:rsid w:val="00C0361E"/>
    <w:rsid w:val="00C06FAE"/>
    <w:rsid w:val="00C164A6"/>
    <w:rsid w:val="00C17699"/>
    <w:rsid w:val="00C1778D"/>
    <w:rsid w:val="00C21C71"/>
    <w:rsid w:val="00C22EE1"/>
    <w:rsid w:val="00C27390"/>
    <w:rsid w:val="00C31445"/>
    <w:rsid w:val="00C36CE3"/>
    <w:rsid w:val="00C3770A"/>
    <w:rsid w:val="00C41A28"/>
    <w:rsid w:val="00C43A10"/>
    <w:rsid w:val="00C463DD"/>
    <w:rsid w:val="00C51B20"/>
    <w:rsid w:val="00C524BA"/>
    <w:rsid w:val="00C56EB4"/>
    <w:rsid w:val="00C56F3F"/>
    <w:rsid w:val="00C60A9D"/>
    <w:rsid w:val="00C60AC5"/>
    <w:rsid w:val="00C6210B"/>
    <w:rsid w:val="00C66551"/>
    <w:rsid w:val="00C745C3"/>
    <w:rsid w:val="00C8043E"/>
    <w:rsid w:val="00C80ECA"/>
    <w:rsid w:val="00C84CBF"/>
    <w:rsid w:val="00C8562E"/>
    <w:rsid w:val="00C86EEF"/>
    <w:rsid w:val="00C945EB"/>
    <w:rsid w:val="00C95AB8"/>
    <w:rsid w:val="00CA2305"/>
    <w:rsid w:val="00CB115F"/>
    <w:rsid w:val="00CC4CCF"/>
    <w:rsid w:val="00CC65B7"/>
    <w:rsid w:val="00CD14FE"/>
    <w:rsid w:val="00CD6C80"/>
    <w:rsid w:val="00CD7685"/>
    <w:rsid w:val="00CD7D8E"/>
    <w:rsid w:val="00CE0A90"/>
    <w:rsid w:val="00CE4865"/>
    <w:rsid w:val="00CE4A8F"/>
    <w:rsid w:val="00CF22A3"/>
    <w:rsid w:val="00CF6AE6"/>
    <w:rsid w:val="00D03FFD"/>
    <w:rsid w:val="00D04E00"/>
    <w:rsid w:val="00D055EB"/>
    <w:rsid w:val="00D0666B"/>
    <w:rsid w:val="00D16719"/>
    <w:rsid w:val="00D16EDF"/>
    <w:rsid w:val="00D2031B"/>
    <w:rsid w:val="00D22C96"/>
    <w:rsid w:val="00D2318A"/>
    <w:rsid w:val="00D25FE2"/>
    <w:rsid w:val="00D26258"/>
    <w:rsid w:val="00D27AEC"/>
    <w:rsid w:val="00D317BB"/>
    <w:rsid w:val="00D34FBA"/>
    <w:rsid w:val="00D350A0"/>
    <w:rsid w:val="00D355AF"/>
    <w:rsid w:val="00D35D8F"/>
    <w:rsid w:val="00D36906"/>
    <w:rsid w:val="00D37411"/>
    <w:rsid w:val="00D4297A"/>
    <w:rsid w:val="00D43252"/>
    <w:rsid w:val="00D470D5"/>
    <w:rsid w:val="00D51194"/>
    <w:rsid w:val="00D527B3"/>
    <w:rsid w:val="00D55E97"/>
    <w:rsid w:val="00D55F24"/>
    <w:rsid w:val="00D62155"/>
    <w:rsid w:val="00D6273B"/>
    <w:rsid w:val="00D63881"/>
    <w:rsid w:val="00D6703D"/>
    <w:rsid w:val="00D7387D"/>
    <w:rsid w:val="00D833D0"/>
    <w:rsid w:val="00D85614"/>
    <w:rsid w:val="00D96E16"/>
    <w:rsid w:val="00D978C6"/>
    <w:rsid w:val="00DA1089"/>
    <w:rsid w:val="00DA284A"/>
    <w:rsid w:val="00DA67AD"/>
    <w:rsid w:val="00DB4371"/>
    <w:rsid w:val="00DB4CDB"/>
    <w:rsid w:val="00DB5D0F"/>
    <w:rsid w:val="00DB63C8"/>
    <w:rsid w:val="00DC3242"/>
    <w:rsid w:val="00DD6C58"/>
    <w:rsid w:val="00DE167F"/>
    <w:rsid w:val="00DE7F20"/>
    <w:rsid w:val="00DF03A4"/>
    <w:rsid w:val="00DF12F7"/>
    <w:rsid w:val="00DF1C68"/>
    <w:rsid w:val="00DF1C69"/>
    <w:rsid w:val="00DF2C64"/>
    <w:rsid w:val="00E024BA"/>
    <w:rsid w:val="00E02C81"/>
    <w:rsid w:val="00E04A75"/>
    <w:rsid w:val="00E06EAB"/>
    <w:rsid w:val="00E1025A"/>
    <w:rsid w:val="00E120AF"/>
    <w:rsid w:val="00E130AB"/>
    <w:rsid w:val="00E137B8"/>
    <w:rsid w:val="00E21BBE"/>
    <w:rsid w:val="00E22E6E"/>
    <w:rsid w:val="00E2519A"/>
    <w:rsid w:val="00E2641E"/>
    <w:rsid w:val="00E31C87"/>
    <w:rsid w:val="00E32E6C"/>
    <w:rsid w:val="00E366A9"/>
    <w:rsid w:val="00E366C2"/>
    <w:rsid w:val="00E40F55"/>
    <w:rsid w:val="00E458FC"/>
    <w:rsid w:val="00E5372F"/>
    <w:rsid w:val="00E54C89"/>
    <w:rsid w:val="00E677EC"/>
    <w:rsid w:val="00E70DF5"/>
    <w:rsid w:val="00E7260F"/>
    <w:rsid w:val="00E72804"/>
    <w:rsid w:val="00E80F5F"/>
    <w:rsid w:val="00E81B89"/>
    <w:rsid w:val="00E82B4A"/>
    <w:rsid w:val="00E84CF6"/>
    <w:rsid w:val="00E87921"/>
    <w:rsid w:val="00E95364"/>
    <w:rsid w:val="00E96630"/>
    <w:rsid w:val="00EA264E"/>
    <w:rsid w:val="00EA3A41"/>
    <w:rsid w:val="00EA612C"/>
    <w:rsid w:val="00EB3EB6"/>
    <w:rsid w:val="00EC01FD"/>
    <w:rsid w:val="00ED1541"/>
    <w:rsid w:val="00ED157F"/>
    <w:rsid w:val="00ED3980"/>
    <w:rsid w:val="00ED71D9"/>
    <w:rsid w:val="00ED76D4"/>
    <w:rsid w:val="00ED7A2A"/>
    <w:rsid w:val="00EE0215"/>
    <w:rsid w:val="00EE7E6D"/>
    <w:rsid w:val="00EF17EB"/>
    <w:rsid w:val="00EF1D7F"/>
    <w:rsid w:val="00EF3556"/>
    <w:rsid w:val="00EF358F"/>
    <w:rsid w:val="00EF6A09"/>
    <w:rsid w:val="00F012BE"/>
    <w:rsid w:val="00F02CCD"/>
    <w:rsid w:val="00F07968"/>
    <w:rsid w:val="00F124A0"/>
    <w:rsid w:val="00F15589"/>
    <w:rsid w:val="00F40D25"/>
    <w:rsid w:val="00F41C2D"/>
    <w:rsid w:val="00F451D9"/>
    <w:rsid w:val="00F452A5"/>
    <w:rsid w:val="00F47494"/>
    <w:rsid w:val="00F47732"/>
    <w:rsid w:val="00F53EDA"/>
    <w:rsid w:val="00F61319"/>
    <w:rsid w:val="00F629B3"/>
    <w:rsid w:val="00F64BCC"/>
    <w:rsid w:val="00F6576F"/>
    <w:rsid w:val="00F66B60"/>
    <w:rsid w:val="00F73015"/>
    <w:rsid w:val="00F7753D"/>
    <w:rsid w:val="00F82328"/>
    <w:rsid w:val="00F85F34"/>
    <w:rsid w:val="00F911C3"/>
    <w:rsid w:val="00F9701C"/>
    <w:rsid w:val="00FA06F7"/>
    <w:rsid w:val="00FA0878"/>
    <w:rsid w:val="00FA7DBC"/>
    <w:rsid w:val="00FB171A"/>
    <w:rsid w:val="00FB6CAB"/>
    <w:rsid w:val="00FC09B8"/>
    <w:rsid w:val="00FC0D04"/>
    <w:rsid w:val="00FC68B7"/>
    <w:rsid w:val="00FD10AB"/>
    <w:rsid w:val="00FD27F5"/>
    <w:rsid w:val="00FD4450"/>
    <w:rsid w:val="00FD4F7E"/>
    <w:rsid w:val="00FD7BF6"/>
    <w:rsid w:val="00FF01E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E7D61"/>
  <w15:docId w15:val="{1C8FCC14-8F81-4A81-87F3-87BC7523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uiPriority w:val="99"/>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B80CC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80CCF"/>
    <w:rPr>
      <w:rFonts w:ascii="Segoe UI" w:hAnsi="Segoe UI" w:cs="Segoe UI"/>
      <w:sz w:val="18"/>
      <w:szCs w:val="18"/>
      <w:lang w:eastAsia="en-US"/>
    </w:rPr>
  </w:style>
  <w:style w:type="character" w:styleId="CommentReference">
    <w:name w:val="annotation reference"/>
    <w:basedOn w:val="DefaultParagraphFont"/>
    <w:semiHidden/>
    <w:unhideWhenUsed/>
    <w:rsid w:val="00A2158F"/>
    <w:rPr>
      <w:sz w:val="16"/>
      <w:szCs w:val="16"/>
    </w:rPr>
  </w:style>
  <w:style w:type="paragraph" w:styleId="CommentText">
    <w:name w:val="annotation text"/>
    <w:basedOn w:val="Normal"/>
    <w:link w:val="CommentTextChar"/>
    <w:semiHidden/>
    <w:unhideWhenUsed/>
    <w:rsid w:val="00A2158F"/>
    <w:pPr>
      <w:spacing w:line="240" w:lineRule="auto"/>
    </w:pPr>
  </w:style>
  <w:style w:type="character" w:customStyle="1" w:styleId="CommentTextChar">
    <w:name w:val="Comment Text Char"/>
    <w:basedOn w:val="DefaultParagraphFont"/>
    <w:link w:val="CommentText"/>
    <w:semiHidden/>
    <w:rsid w:val="00A2158F"/>
    <w:rPr>
      <w:lang w:eastAsia="en-US"/>
    </w:rPr>
  </w:style>
  <w:style w:type="paragraph" w:styleId="CommentSubject">
    <w:name w:val="annotation subject"/>
    <w:basedOn w:val="CommentText"/>
    <w:next w:val="CommentText"/>
    <w:link w:val="CommentSubjectChar"/>
    <w:semiHidden/>
    <w:unhideWhenUsed/>
    <w:rsid w:val="00A2158F"/>
    <w:rPr>
      <w:b/>
      <w:bCs/>
    </w:rPr>
  </w:style>
  <w:style w:type="character" w:customStyle="1" w:styleId="CommentSubjectChar">
    <w:name w:val="Comment Subject Char"/>
    <w:basedOn w:val="CommentTextChar"/>
    <w:link w:val="CommentSubject"/>
    <w:semiHidden/>
    <w:rsid w:val="00A2158F"/>
    <w:rPr>
      <w:b/>
      <w:bCs/>
      <w:lang w:eastAsia="en-US"/>
    </w:rPr>
  </w:style>
  <w:style w:type="paragraph" w:customStyle="1" w:styleId="Default">
    <w:name w:val="Default"/>
    <w:rsid w:val="00C21C71"/>
    <w:pPr>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5A3BFC"/>
    <w:pPr>
      <w:ind w:left="720"/>
      <w:contextualSpacing/>
    </w:pPr>
  </w:style>
  <w:style w:type="paragraph" w:styleId="PlainText">
    <w:name w:val="Plain Text"/>
    <w:basedOn w:val="Normal"/>
    <w:link w:val="PlainTextChar"/>
    <w:uiPriority w:val="99"/>
    <w:unhideWhenUsed/>
    <w:rsid w:val="000F599C"/>
    <w:pPr>
      <w:suppressAutoHyphens w:val="0"/>
      <w:spacing w:line="240" w:lineRule="auto"/>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0F599C"/>
    <w:rPr>
      <w:rFonts w:ascii="Calibri" w:eastAsiaTheme="minorHAnsi" w:hAnsi="Calibri" w:cs="Consolas"/>
      <w:sz w:val="22"/>
      <w:szCs w:val="21"/>
      <w:lang w:eastAsia="en-US"/>
    </w:rPr>
  </w:style>
  <w:style w:type="character" w:customStyle="1" w:styleId="UnresolvedMention1">
    <w:name w:val="Unresolved Mention1"/>
    <w:basedOn w:val="DefaultParagraphFont"/>
    <w:uiPriority w:val="99"/>
    <w:semiHidden/>
    <w:unhideWhenUsed/>
    <w:rsid w:val="00E024BA"/>
    <w:rPr>
      <w:color w:val="605E5C"/>
      <w:shd w:val="clear" w:color="auto" w:fill="E1DFDD"/>
    </w:rPr>
  </w:style>
  <w:style w:type="paragraph" w:styleId="Revision">
    <w:name w:val="Revision"/>
    <w:hidden/>
    <w:uiPriority w:val="99"/>
    <w:semiHidden/>
    <w:rsid w:val="00732654"/>
    <w:rPr>
      <w:lang w:eastAsia="en-US"/>
    </w:rPr>
  </w:style>
  <w:style w:type="character" w:customStyle="1" w:styleId="SingleTxtGCar">
    <w:name w:val="_ Single Txt_G Car"/>
    <w:rsid w:val="005745F6"/>
    <w:rPr>
      <w:lang w:eastAsia="en-US"/>
    </w:rPr>
  </w:style>
  <w:style w:type="character" w:customStyle="1" w:styleId="H1GChar">
    <w:name w:val="_ H_1_G Char"/>
    <w:link w:val="H1G"/>
    <w:rsid w:val="005745F6"/>
    <w:rPr>
      <w:b/>
      <w:sz w:val="24"/>
      <w:lang w:eastAsia="en-US"/>
    </w:rPr>
  </w:style>
  <w:style w:type="table" w:styleId="GridTable1Light">
    <w:name w:val="Grid Table 1 Light"/>
    <w:basedOn w:val="TableNormal"/>
    <w:uiPriority w:val="46"/>
    <w:rsid w:val="0062509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6E0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042133">
      <w:bodyDiv w:val="1"/>
      <w:marLeft w:val="0"/>
      <w:marRight w:val="0"/>
      <w:marTop w:val="0"/>
      <w:marBottom w:val="0"/>
      <w:divBdr>
        <w:top w:val="none" w:sz="0" w:space="0" w:color="auto"/>
        <w:left w:val="none" w:sz="0" w:space="0" w:color="auto"/>
        <w:bottom w:val="none" w:sz="0" w:space="0" w:color="auto"/>
        <w:right w:val="none" w:sz="0" w:space="0" w:color="auto"/>
      </w:divBdr>
      <w:divsChild>
        <w:div w:id="1605964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ce.org/fileadmin/DAM/trans/doc/2020/dgac10c4/UN-SCEGHS-39-INF15e.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646CED-1725-4CB2-8183-7D31F935E5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281DF1-736B-4FE0-A30E-08F77D071F10}">
  <ds:schemaRefs>
    <ds:schemaRef ds:uri="http://schemas.openxmlformats.org/officeDocument/2006/bibliography"/>
  </ds:schemaRefs>
</ds:datastoreItem>
</file>

<file path=customXml/itemProps3.xml><?xml version="1.0" encoding="utf-8"?>
<ds:datastoreItem xmlns:ds="http://schemas.openxmlformats.org/officeDocument/2006/customXml" ds:itemID="{33D3B00F-B97A-4A7F-8CB9-D959CD62CF91}">
  <ds:schemaRefs>
    <ds:schemaRef ds:uri="http://schemas.microsoft.com/sharepoint/v3/contenttype/forms"/>
  </ds:schemaRefs>
</ds:datastoreItem>
</file>

<file path=customXml/itemProps4.xml><?xml version="1.0" encoding="utf-8"?>
<ds:datastoreItem xmlns:ds="http://schemas.openxmlformats.org/officeDocument/2006/customXml" ds:itemID="{26928120-FEA3-4CCA-8A96-89CFFB775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PlainPage_E.dot</Template>
  <TotalTime>14</TotalTime>
  <Pages>4</Pages>
  <Words>1422</Words>
  <Characters>8110</Characters>
  <Application>Microsoft Office Word</Application>
  <DocSecurity>0</DocSecurity>
  <Lines>67</Lines>
  <Paragraphs>19</Paragraphs>
  <ScaleCrop>false</ScaleCrop>
  <HeadingPairs>
    <vt:vector size="6" baseType="variant">
      <vt:variant>
        <vt:lpstr>Title</vt:lpstr>
      </vt:variant>
      <vt:variant>
        <vt:i4>1</vt:i4>
      </vt:variant>
      <vt:variant>
        <vt:lpstr>Otsikko</vt:lpstr>
      </vt:variant>
      <vt:variant>
        <vt:i4>1</vt:i4>
      </vt:variant>
      <vt:variant>
        <vt:lpstr>Titre</vt:lpstr>
      </vt:variant>
      <vt:variant>
        <vt:i4>1</vt:i4>
      </vt:variant>
    </vt:vector>
  </HeadingPairs>
  <TitlesOfParts>
    <vt:vector size="3" baseType="lpstr">
      <vt:lpstr>UN/SCEGHS/19/INF</vt:lpstr>
      <vt:lpstr>UN/SCEGHS/19/INF</vt:lpstr>
      <vt:lpstr>UN/SCEGHS/19/INF</vt:lpstr>
    </vt:vector>
  </TitlesOfParts>
  <Company>CSD</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Rosa Garcia Couto</cp:lastModifiedBy>
  <cp:revision>13</cp:revision>
  <cp:lastPrinted>2018-12-04T07:53:00Z</cp:lastPrinted>
  <dcterms:created xsi:type="dcterms:W3CDTF">2021-06-15T09:18:00Z</dcterms:created>
  <dcterms:modified xsi:type="dcterms:W3CDTF">2021-06-16T14:01:00Z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_dlc_DocIdItemGuid">
    <vt:lpwstr>5ea73172-9699-4f99-bdd8-2bbfd8c4f413</vt:lpwstr>
  </property>
  <property fmtid="{D5CDD505-2E9C-101B-9397-08002B2CF9AE}" pid="4" name="Julkisuusluokka metatiedot">
    <vt:lpwstr/>
  </property>
  <property fmtid="{D5CDD505-2E9C-101B-9397-08002B2CF9AE}" pid="5" name="TukesAliprosessi">
    <vt:lpwstr/>
  </property>
  <property fmtid="{D5CDD505-2E9C-101B-9397-08002B2CF9AE}" pid="6" name="TukesYksikko">
    <vt:lpwstr>1;#Kemikaalit|0942c221-4d4d-461d-93ae-771caa12d25c</vt:lpwstr>
  </property>
  <property fmtid="{D5CDD505-2E9C-101B-9397-08002B2CF9AE}" pid="7" name="TukesProsessi">
    <vt:lpwstr/>
  </property>
  <property fmtid="{D5CDD505-2E9C-101B-9397-08002B2CF9AE}" pid="8" name="TukesRyhma">
    <vt:lpwstr>2;#Teollisuuskemikaalit|0bd4db02-3435-4ac2-8af6-66ffb14a4002</vt:lpwstr>
  </property>
  <property fmtid="{D5CDD505-2E9C-101B-9397-08002B2CF9AE}" pid="9" name="Suojaustaso metatiedot">
    <vt:lpwstr/>
  </property>
</Properties>
</file>