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AA1504" w14:paraId="3EEA5169" w14:textId="77777777" w:rsidTr="00EE7E6D">
        <w:trPr>
          <w:cantSplit/>
          <w:trHeight w:hRule="exact" w:val="913"/>
        </w:trPr>
        <w:tc>
          <w:tcPr>
            <w:tcW w:w="9735" w:type="dxa"/>
            <w:tcBorders>
              <w:bottom w:val="single" w:sz="4" w:space="0" w:color="auto"/>
            </w:tcBorders>
            <w:vAlign w:val="bottom"/>
          </w:tcPr>
          <w:p w14:paraId="737A8918" w14:textId="58C063E7" w:rsidR="0099001C" w:rsidRPr="00AA1504" w:rsidRDefault="0099001C" w:rsidP="00802916">
            <w:pPr>
              <w:jc w:val="right"/>
              <w:rPr>
                <w:b/>
                <w:sz w:val="40"/>
                <w:szCs w:val="40"/>
              </w:rPr>
            </w:pPr>
            <w:r w:rsidRPr="00AA1504">
              <w:rPr>
                <w:b/>
                <w:sz w:val="40"/>
                <w:szCs w:val="40"/>
              </w:rPr>
              <w:t>UN/SCEGHS/</w:t>
            </w:r>
            <w:r w:rsidR="00802916" w:rsidRPr="00AA1504">
              <w:rPr>
                <w:b/>
                <w:sz w:val="40"/>
                <w:szCs w:val="40"/>
              </w:rPr>
              <w:t>40</w:t>
            </w:r>
            <w:r w:rsidRPr="00AA1504">
              <w:rPr>
                <w:b/>
                <w:sz w:val="40"/>
                <w:szCs w:val="40"/>
              </w:rPr>
              <w:t>/INF.</w:t>
            </w:r>
            <w:r w:rsidR="00D16EDF">
              <w:rPr>
                <w:b/>
                <w:sz w:val="40"/>
                <w:szCs w:val="40"/>
              </w:rPr>
              <w:t>9</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554E0B45"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D16EDF">
              <w:rPr>
                <w:b/>
                <w:lang w:val="en-US"/>
              </w:rPr>
              <w:t>16</w:t>
            </w:r>
            <w:r w:rsidR="006E3197" w:rsidRPr="00AA1504">
              <w:rPr>
                <w:b/>
                <w:lang w:val="en-US"/>
              </w:rPr>
              <w:t xml:space="preserve"> </w:t>
            </w:r>
            <w:r w:rsidR="004449CC" w:rsidRPr="00AA1504">
              <w:rPr>
                <w:b/>
                <w:lang w:val="en-US"/>
              </w:rPr>
              <w:t>June</w:t>
            </w:r>
            <w:r w:rsidR="00891141" w:rsidRPr="00AA1504">
              <w:rPr>
                <w:b/>
                <w:lang w:val="en-US"/>
              </w:rPr>
              <w:t xml:space="preserve"> </w:t>
            </w:r>
            <w:r w:rsidR="00AD67E3" w:rsidRPr="00AA1504">
              <w:rPr>
                <w:b/>
                <w:lang w:val="en-US"/>
              </w:rPr>
              <w:t>20</w:t>
            </w:r>
            <w:r w:rsidR="001F0115" w:rsidRPr="00AA1504">
              <w:rPr>
                <w:b/>
                <w:lang w:val="en-US"/>
              </w:rPr>
              <w:t>2</w:t>
            </w:r>
            <w:r w:rsidR="00802916" w:rsidRPr="00AA1504">
              <w:rPr>
                <w:b/>
                <w:lang w:val="en-US"/>
              </w:rPr>
              <w:t>1</w:t>
            </w:r>
          </w:p>
          <w:p w14:paraId="4FA8EFAD" w14:textId="77777777" w:rsidR="00BD13EB" w:rsidRDefault="00BD13EB" w:rsidP="00BD13EB">
            <w:pPr>
              <w:tabs>
                <w:tab w:val="left" w:pos="7230"/>
                <w:tab w:val="right" w:pos="9300"/>
              </w:tabs>
              <w:spacing w:before="120"/>
              <w:jc w:val="right"/>
              <w:rPr>
                <w:b/>
                <w:lang w:val="en-US"/>
              </w:rPr>
            </w:pPr>
          </w:p>
          <w:p w14:paraId="4C9BCE39" w14:textId="77777777" w:rsidR="00CB115F" w:rsidRDefault="00CB115F" w:rsidP="00CB115F">
            <w:pPr>
              <w:spacing w:before="120"/>
              <w:rPr>
                <w:b/>
              </w:rPr>
            </w:pPr>
            <w:bookmarkStart w:id="0" w:name="_Hlk35441056"/>
            <w:r>
              <w:rPr>
                <w:b/>
              </w:rPr>
              <w:t>Fortieth session</w:t>
            </w:r>
          </w:p>
          <w:bookmarkEnd w:id="0"/>
          <w:p w14:paraId="10433A06" w14:textId="77777777" w:rsidR="00CB115F" w:rsidRPr="009103F3" w:rsidRDefault="00CB115F" w:rsidP="00CB115F">
            <w:pPr>
              <w:spacing w:before="40"/>
            </w:pPr>
            <w:r w:rsidRPr="009103F3">
              <w:t>Geneva, 5-7 July 2021</w:t>
            </w:r>
          </w:p>
          <w:p w14:paraId="7E15BF6F" w14:textId="77777777" w:rsidR="00CB115F" w:rsidRPr="0030509D" w:rsidRDefault="00CB115F" w:rsidP="00CB115F">
            <w:pPr>
              <w:spacing w:before="40"/>
            </w:pPr>
            <w:r w:rsidRPr="0030509D">
              <w:t xml:space="preserve">Item </w:t>
            </w:r>
            <w:r>
              <w:t>4</w:t>
            </w:r>
            <w:r w:rsidRPr="0030509D">
              <w:t xml:space="preserve"> (</w:t>
            </w:r>
            <w:r>
              <w:t>c</w:t>
            </w:r>
            <w:r w:rsidRPr="0030509D">
              <w:t>) of the provisional agenda</w:t>
            </w:r>
          </w:p>
          <w:p w14:paraId="4DA34DEE" w14:textId="2F5EC458" w:rsidR="00D36906" w:rsidRPr="00D36906" w:rsidRDefault="00CB115F" w:rsidP="00CB115F">
            <w:pPr>
              <w:spacing w:line="240" w:lineRule="exact"/>
              <w:rPr>
                <w:b/>
                <w:bCs/>
              </w:rPr>
            </w:pPr>
            <w:r w:rsidRPr="00600E60">
              <w:rPr>
                <w:b/>
                <w:bCs/>
              </w:rPr>
              <w:t>Development of guidance on the application of GHS criteria</w:t>
            </w:r>
            <w:r w:rsidRPr="0030509D">
              <w:rPr>
                <w:b/>
                <w:bCs/>
              </w:rPr>
              <w:t>:</w:t>
            </w:r>
            <w:r w:rsidRPr="00600E60">
              <w:rPr>
                <w:rFonts w:eastAsia="SimSun"/>
                <w:lang w:eastAsia="zh-CN"/>
              </w:rPr>
              <w:t xml:space="preserve"> </w:t>
            </w:r>
            <w:r w:rsidR="00845A34">
              <w:rPr>
                <w:rFonts w:eastAsia="SimSun"/>
                <w:lang w:eastAsia="zh-CN"/>
              </w:rPr>
              <w:br/>
            </w:r>
            <w:r w:rsidRPr="00600E60">
              <w:rPr>
                <w:b/>
                <w:bCs/>
              </w:rPr>
              <w:t>Practical labelling issues</w:t>
            </w:r>
          </w:p>
        </w:tc>
      </w:tr>
    </w:tbl>
    <w:p w14:paraId="215990B1" w14:textId="77777777" w:rsidR="00845A34" w:rsidRDefault="00E32E6C" w:rsidP="00845A34">
      <w:pPr>
        <w:pStyle w:val="HChG"/>
        <w:spacing w:before="120"/>
      </w:pPr>
      <w:r w:rsidRPr="00AE50AE">
        <w:rPr>
          <w:sz w:val="24"/>
          <w:szCs w:val="24"/>
        </w:rPr>
        <w:tab/>
      </w:r>
      <w:r w:rsidRPr="00AE50AE">
        <w:rPr>
          <w:sz w:val="24"/>
          <w:szCs w:val="24"/>
        </w:rPr>
        <w:tab/>
      </w:r>
      <w:r w:rsidR="00845A34">
        <w:t>D</w:t>
      </w:r>
      <w:r w:rsidR="00845A34" w:rsidRPr="00DB3A16">
        <w:t>igitalisation of hazard information for chemical products</w:t>
      </w:r>
    </w:p>
    <w:p w14:paraId="04108A3B" w14:textId="77777777" w:rsidR="00845A34" w:rsidRDefault="00845A34" w:rsidP="00845A34">
      <w:pPr>
        <w:pStyle w:val="H1G"/>
      </w:pPr>
      <w:r>
        <w:tab/>
      </w:r>
      <w:r>
        <w:tab/>
      </w:r>
      <w:r w:rsidRPr="00E73501">
        <w:t xml:space="preserve">Transmitted by </w:t>
      </w:r>
      <w:r w:rsidRPr="00600E60">
        <w:t>the European Chemical Industry Council (Cefic) on behalf of the informal working group</w:t>
      </w:r>
    </w:p>
    <w:p w14:paraId="0993A831" w14:textId="77777777" w:rsidR="00845A34" w:rsidRDefault="00845A34" w:rsidP="00845A34">
      <w:pPr>
        <w:pStyle w:val="HChG"/>
      </w:pPr>
      <w:r>
        <w:tab/>
      </w:r>
      <w:r>
        <w:tab/>
        <w:t>Background</w:t>
      </w:r>
    </w:p>
    <w:p w14:paraId="00A82078" w14:textId="77777777" w:rsidR="00845A34" w:rsidRPr="00846327" w:rsidRDefault="00845A34" w:rsidP="00845A34">
      <w:pPr>
        <w:pStyle w:val="SingleTxtG"/>
        <w:tabs>
          <w:tab w:val="left" w:pos="1701"/>
        </w:tabs>
      </w:pPr>
      <w:r w:rsidRPr="00846327">
        <w:t>1.</w:t>
      </w:r>
      <w:r w:rsidRPr="00846327">
        <w:tab/>
        <w:t>At its thirty-ninth session, the Sub-Committee renewed the terms of reference of the informal working group on practical labelling issues, which was asked to consider the opportunities that digitalization may bring to convey GHS hazard information and make proposals to address them.</w:t>
      </w:r>
    </w:p>
    <w:p w14:paraId="4CF245B4" w14:textId="7F1E8475" w:rsidR="00845A34" w:rsidRPr="002D3FE8" w:rsidRDefault="00845A34" w:rsidP="00845A34">
      <w:pPr>
        <w:pStyle w:val="SingleTxtG"/>
        <w:tabs>
          <w:tab w:val="left" w:pos="1701"/>
        </w:tabs>
        <w:rPr>
          <w:rStyle w:val="SingleTxtGCar"/>
        </w:rPr>
      </w:pPr>
      <w:r>
        <w:rPr>
          <w:rStyle w:val="SingleTxtGCar"/>
        </w:rPr>
        <w:t>2.</w:t>
      </w:r>
      <w:r>
        <w:rPr>
          <w:rStyle w:val="SingleTxtGCar"/>
        </w:rPr>
        <w:tab/>
        <w:t xml:space="preserve">Five </w:t>
      </w:r>
      <w:r w:rsidR="00D51194">
        <w:rPr>
          <w:rStyle w:val="SingleTxtGCar"/>
        </w:rPr>
        <w:t>items</w:t>
      </w:r>
      <w:r>
        <w:rPr>
          <w:rStyle w:val="SingleTxtGCar"/>
        </w:rPr>
        <w:t xml:space="preserve"> to explore were identified:</w:t>
      </w:r>
    </w:p>
    <w:p w14:paraId="0568E762" w14:textId="77777777" w:rsidR="00845A34" w:rsidRPr="002D3FE8" w:rsidRDefault="00845A34" w:rsidP="00845A34">
      <w:pPr>
        <w:pStyle w:val="SingleTxtG"/>
        <w:tabs>
          <w:tab w:val="left" w:pos="1701"/>
        </w:tabs>
        <w:ind w:left="2268" w:right="946" w:hanging="567"/>
        <w:rPr>
          <w:rStyle w:val="SingleTxtGCar"/>
        </w:rPr>
      </w:pPr>
      <w:r w:rsidRPr="002D3FE8">
        <w:rPr>
          <w:rStyle w:val="SingleTxtGCar"/>
        </w:rPr>
        <w:t>(</w:t>
      </w:r>
      <w:r>
        <w:rPr>
          <w:rStyle w:val="SingleTxtGCar"/>
        </w:rPr>
        <w:t>a</w:t>
      </w:r>
      <w:r w:rsidRPr="002D3FE8">
        <w:rPr>
          <w:rStyle w:val="SingleTxtGCar"/>
        </w:rPr>
        <w:t>)</w:t>
      </w:r>
      <w:r>
        <w:rPr>
          <w:rStyle w:val="SingleTxtGCar"/>
        </w:rPr>
        <w:tab/>
      </w:r>
      <w:r w:rsidRPr="002D3FE8">
        <w:rPr>
          <w:rStyle w:val="SingleTxtGCar"/>
        </w:rPr>
        <w:t>Access to digitalized information in different jurisdictions;</w:t>
      </w:r>
    </w:p>
    <w:p w14:paraId="24814324" w14:textId="77777777" w:rsidR="00845A34" w:rsidRPr="002D3FE8" w:rsidRDefault="00845A34" w:rsidP="00845A34">
      <w:pPr>
        <w:pStyle w:val="SingleTxtG"/>
        <w:tabs>
          <w:tab w:val="left" w:pos="1701"/>
        </w:tabs>
        <w:ind w:left="2268" w:right="946" w:hanging="567"/>
        <w:rPr>
          <w:rStyle w:val="SingleTxtGCar"/>
        </w:rPr>
      </w:pPr>
      <w:r w:rsidRPr="002D3FE8">
        <w:rPr>
          <w:rStyle w:val="SingleTxtGCar"/>
        </w:rPr>
        <w:t>(</w:t>
      </w:r>
      <w:r>
        <w:rPr>
          <w:rStyle w:val="SingleTxtGCar"/>
        </w:rPr>
        <w:t>b</w:t>
      </w:r>
      <w:r w:rsidRPr="002D3FE8">
        <w:rPr>
          <w:rStyle w:val="SingleTxtGCar"/>
        </w:rPr>
        <w:t>)</w:t>
      </w:r>
      <w:r>
        <w:rPr>
          <w:rStyle w:val="SingleTxtGCar"/>
        </w:rPr>
        <w:tab/>
      </w:r>
      <w:r w:rsidRPr="002D3FE8">
        <w:rPr>
          <w:rStyle w:val="SingleTxtGCar"/>
        </w:rPr>
        <w:t>The extent of harmonization required to avoid uncontrolled</w:t>
      </w:r>
      <w:r>
        <w:rPr>
          <w:rStyle w:val="SingleTxtGCar"/>
        </w:rPr>
        <w:t xml:space="preserve"> </w:t>
      </w:r>
      <w:r w:rsidRPr="002D3FE8">
        <w:rPr>
          <w:rStyle w:val="SingleTxtGCar"/>
        </w:rPr>
        <w:t>situations;</w:t>
      </w:r>
    </w:p>
    <w:p w14:paraId="0DF979D3" w14:textId="77777777" w:rsidR="00845A34" w:rsidRPr="002D3FE8" w:rsidRDefault="00845A34" w:rsidP="00845A34">
      <w:pPr>
        <w:pStyle w:val="SingleTxtG"/>
        <w:tabs>
          <w:tab w:val="left" w:pos="1701"/>
        </w:tabs>
        <w:ind w:left="2268" w:right="946" w:hanging="567"/>
        <w:rPr>
          <w:rStyle w:val="SingleTxtGCar"/>
        </w:rPr>
      </w:pPr>
      <w:r w:rsidRPr="002D3FE8">
        <w:rPr>
          <w:rStyle w:val="SingleTxtGCar"/>
        </w:rPr>
        <w:t>(</w:t>
      </w:r>
      <w:r>
        <w:rPr>
          <w:rStyle w:val="SingleTxtGCar"/>
        </w:rPr>
        <w:t>c</w:t>
      </w:r>
      <w:r w:rsidRPr="002D3FE8">
        <w:rPr>
          <w:rStyle w:val="SingleTxtGCar"/>
        </w:rPr>
        <w:t>)</w:t>
      </w:r>
      <w:r>
        <w:rPr>
          <w:rStyle w:val="SingleTxtGCar"/>
        </w:rPr>
        <w:tab/>
      </w:r>
      <w:r w:rsidRPr="002D3FE8">
        <w:rPr>
          <w:rStyle w:val="SingleTxtGCar"/>
        </w:rPr>
        <w:t>Data privacy for the end user;</w:t>
      </w:r>
    </w:p>
    <w:p w14:paraId="36C33A8B" w14:textId="77777777" w:rsidR="00845A34" w:rsidRPr="002D3FE8" w:rsidRDefault="00845A34" w:rsidP="00845A34">
      <w:pPr>
        <w:pStyle w:val="SingleTxtG"/>
        <w:tabs>
          <w:tab w:val="left" w:pos="1701"/>
        </w:tabs>
        <w:ind w:left="2268" w:right="946" w:hanging="567"/>
        <w:rPr>
          <w:rStyle w:val="SingleTxtGCar"/>
        </w:rPr>
      </w:pPr>
      <w:r w:rsidRPr="002D3FE8">
        <w:rPr>
          <w:rStyle w:val="SingleTxtGCar"/>
        </w:rPr>
        <w:t>(</w:t>
      </w:r>
      <w:r>
        <w:rPr>
          <w:rStyle w:val="SingleTxtGCar"/>
        </w:rPr>
        <w:t>d</w:t>
      </w:r>
      <w:r w:rsidRPr="002D3FE8">
        <w:rPr>
          <w:rStyle w:val="SingleTxtGCar"/>
        </w:rPr>
        <w:t>)</w:t>
      </w:r>
      <w:r>
        <w:rPr>
          <w:rStyle w:val="SingleTxtGCar"/>
        </w:rPr>
        <w:tab/>
      </w:r>
      <w:r w:rsidRPr="002D3FE8">
        <w:rPr>
          <w:rStyle w:val="SingleTxtGCar"/>
        </w:rPr>
        <w:t>Data compatibility across different systems;</w:t>
      </w:r>
    </w:p>
    <w:p w14:paraId="7AA9A462" w14:textId="77777777" w:rsidR="00845A34" w:rsidRPr="00846327" w:rsidRDefault="00845A34" w:rsidP="00845A34">
      <w:pPr>
        <w:pStyle w:val="SingleTxtG"/>
        <w:tabs>
          <w:tab w:val="left" w:pos="1701"/>
        </w:tabs>
        <w:ind w:left="2268" w:right="946" w:hanging="567"/>
        <w:rPr>
          <w:rStyle w:val="SingleTxtGCar"/>
        </w:rPr>
      </w:pPr>
      <w:r w:rsidRPr="00846327">
        <w:rPr>
          <w:rStyle w:val="SingleTxtGCar"/>
        </w:rPr>
        <w:t>(e)</w:t>
      </w:r>
      <w:r>
        <w:rPr>
          <w:rStyle w:val="SingleTxtGCar"/>
        </w:rPr>
        <w:tab/>
      </w:r>
      <w:r w:rsidRPr="00846327">
        <w:rPr>
          <w:rStyle w:val="SingleTxtGCar"/>
        </w:rPr>
        <w:t>Supplemental information versus label information.</w:t>
      </w:r>
    </w:p>
    <w:p w14:paraId="59144527" w14:textId="77777777" w:rsidR="00845A34" w:rsidRPr="00600E60" w:rsidRDefault="00845A34" w:rsidP="00845A34">
      <w:pPr>
        <w:pStyle w:val="H1G"/>
        <w:rPr>
          <w:sz w:val="28"/>
        </w:rPr>
      </w:pPr>
      <w:r w:rsidRPr="002D3FE8">
        <w:rPr>
          <w:lang w:val="fr-FR"/>
        </w:rPr>
        <w:tab/>
      </w:r>
      <w:r w:rsidRPr="002D3FE8">
        <w:rPr>
          <w:lang w:val="fr-FR"/>
        </w:rPr>
        <w:tab/>
      </w:r>
      <w:r w:rsidRPr="00600E60">
        <w:rPr>
          <w:sz w:val="28"/>
        </w:rPr>
        <w:t>Discussion</w:t>
      </w:r>
    </w:p>
    <w:p w14:paraId="79ADC540" w14:textId="77777777" w:rsidR="00845A34" w:rsidRDefault="00845A34" w:rsidP="00845A34">
      <w:pPr>
        <w:pStyle w:val="SingleTxtG"/>
        <w:tabs>
          <w:tab w:val="left" w:pos="1701"/>
        </w:tabs>
        <w:rPr>
          <w:rStyle w:val="SingleTxtGCar"/>
        </w:rPr>
      </w:pPr>
      <w:r w:rsidRPr="00846327">
        <w:rPr>
          <w:rStyle w:val="SingleTxtGCar"/>
        </w:rPr>
        <w:t>3.</w:t>
      </w:r>
      <w:r w:rsidRPr="00846327">
        <w:rPr>
          <w:rStyle w:val="SingleTxtGCar"/>
        </w:rPr>
        <w:tab/>
      </w:r>
      <w:r>
        <w:rPr>
          <w:rStyle w:val="SingleTxtGCar"/>
        </w:rPr>
        <w:t xml:space="preserve">The 2 thought starters provided during biennium 2019-2020 already give some insight: </w:t>
      </w:r>
    </w:p>
    <w:p w14:paraId="1A753185" w14:textId="72EE7D2E" w:rsidR="00845A34" w:rsidRPr="00EF3556" w:rsidRDefault="00845A34" w:rsidP="00845A34">
      <w:pPr>
        <w:pStyle w:val="SingleTxtG"/>
        <w:tabs>
          <w:tab w:val="left" w:pos="2268"/>
        </w:tabs>
        <w:ind w:left="2268" w:hanging="567"/>
        <w:rPr>
          <w:rStyle w:val="SingleTxtGCar"/>
        </w:rPr>
      </w:pPr>
      <w:r w:rsidRPr="00EF3556">
        <w:rPr>
          <w:rStyle w:val="SingleTxtGCar"/>
        </w:rPr>
        <w:t>(a)</w:t>
      </w:r>
      <w:r w:rsidRPr="00EF3556">
        <w:rPr>
          <w:rStyle w:val="SingleTxtGCar"/>
        </w:rPr>
        <w:tab/>
        <w:t>Thought starter on digitalisation of hazard information for chemical products</w:t>
      </w:r>
      <w:r w:rsidR="007564A9" w:rsidRPr="00EF3556">
        <w:rPr>
          <w:rStyle w:val="SingleTxtGCar"/>
        </w:rPr>
        <w:t xml:space="preserve"> (see </w:t>
      </w:r>
      <w:r w:rsidR="00EF3556">
        <w:rPr>
          <w:rStyle w:val="SingleTxtGCar"/>
        </w:rPr>
        <w:t>informal document INF.7, 37</w:t>
      </w:r>
      <w:r w:rsidR="00EF3556" w:rsidRPr="00EF3556">
        <w:rPr>
          <w:rStyle w:val="SingleTxtGCar"/>
          <w:vertAlign w:val="superscript"/>
        </w:rPr>
        <w:t>th</w:t>
      </w:r>
      <w:r w:rsidR="00EF3556">
        <w:rPr>
          <w:rStyle w:val="SingleTxtGCar"/>
        </w:rPr>
        <w:t xml:space="preserve"> session)</w:t>
      </w:r>
      <w:r w:rsidR="00EF3556">
        <w:rPr>
          <w:rStyle w:val="FootnoteReference"/>
        </w:rPr>
        <w:footnoteReference w:id="2"/>
      </w:r>
      <w:r w:rsidR="00EF3556">
        <w:rPr>
          <w:rStyle w:val="SingleTxtGCar"/>
        </w:rPr>
        <w:t>;</w:t>
      </w:r>
    </w:p>
    <w:p w14:paraId="1CF98C2B" w14:textId="1D24A087" w:rsidR="00845A34" w:rsidRPr="00BD4DD7" w:rsidRDefault="00845A34" w:rsidP="00845A34">
      <w:pPr>
        <w:pStyle w:val="SingleTxtG"/>
        <w:ind w:left="2268" w:hanging="567"/>
        <w:rPr>
          <w:rStyle w:val="SingleTxtGCar"/>
        </w:rPr>
      </w:pPr>
      <w:r w:rsidRPr="00BD4DD7">
        <w:rPr>
          <w:rStyle w:val="SingleTxtGCar"/>
        </w:rPr>
        <w:t>(b)</w:t>
      </w:r>
      <w:r w:rsidRPr="00BD4DD7">
        <w:rPr>
          <w:rStyle w:val="SingleTxtGCar"/>
        </w:rPr>
        <w:tab/>
        <w:t>Second thought starter on digitalisation of hazard information for chemical products</w:t>
      </w:r>
      <w:r w:rsidR="00BD4DD7">
        <w:rPr>
          <w:rStyle w:val="SingleTxtGCar"/>
        </w:rPr>
        <w:t xml:space="preserve"> (see informal document INF.22, </w:t>
      </w:r>
      <w:r w:rsidR="00921FB5">
        <w:rPr>
          <w:rStyle w:val="SingleTxtGCar"/>
        </w:rPr>
        <w:t>38</w:t>
      </w:r>
      <w:r w:rsidR="00921FB5" w:rsidRPr="00921FB5">
        <w:rPr>
          <w:rStyle w:val="SingleTxtGCar"/>
          <w:vertAlign w:val="superscript"/>
        </w:rPr>
        <w:t>th</w:t>
      </w:r>
      <w:r w:rsidR="00921FB5">
        <w:rPr>
          <w:rStyle w:val="SingleTxtGCar"/>
        </w:rPr>
        <w:t xml:space="preserve"> session)</w:t>
      </w:r>
      <w:r w:rsidR="00921FB5">
        <w:rPr>
          <w:rStyle w:val="FootnoteReference"/>
        </w:rPr>
        <w:footnoteReference w:id="3"/>
      </w:r>
      <w:r w:rsidR="00921FB5">
        <w:rPr>
          <w:rStyle w:val="SingleTxtGCar"/>
        </w:rPr>
        <w:t>.</w:t>
      </w:r>
    </w:p>
    <w:p w14:paraId="2C8300B9" w14:textId="5C2BA474" w:rsidR="00845A34" w:rsidRDefault="00845A34" w:rsidP="00845A34">
      <w:pPr>
        <w:pStyle w:val="SingleTxtG"/>
        <w:tabs>
          <w:tab w:val="left" w:pos="1701"/>
        </w:tabs>
        <w:rPr>
          <w:rStyle w:val="SingleTxtGCar"/>
        </w:rPr>
      </w:pPr>
      <w:r>
        <w:rPr>
          <w:rStyle w:val="SingleTxtGCar"/>
        </w:rPr>
        <w:t>4</w:t>
      </w:r>
      <w:r w:rsidRPr="00846327">
        <w:rPr>
          <w:rStyle w:val="SingleTxtGCar"/>
        </w:rPr>
        <w:t>.</w:t>
      </w:r>
      <w:r w:rsidRPr="00846327">
        <w:rPr>
          <w:rStyle w:val="SingleTxtGCar"/>
        </w:rPr>
        <w:tab/>
      </w:r>
      <w:r>
        <w:rPr>
          <w:rStyle w:val="SingleTxtGCar"/>
        </w:rPr>
        <w:t>It has been recognized that the supply of hazard information in a digital format does not constitute an alternative to the “physical” label that should follow the labelling procedures set in 1.4.10.</w:t>
      </w:r>
    </w:p>
    <w:p w14:paraId="27C6CD0D" w14:textId="4DB0EBE2" w:rsidR="00845A34" w:rsidRDefault="00845A34" w:rsidP="00845A34">
      <w:pPr>
        <w:pStyle w:val="SingleTxtG"/>
        <w:tabs>
          <w:tab w:val="left" w:pos="1701"/>
        </w:tabs>
        <w:rPr>
          <w:rStyle w:val="SingleTxtGCar"/>
        </w:rPr>
      </w:pPr>
      <w:r>
        <w:rPr>
          <w:rStyle w:val="SingleTxtGCar"/>
        </w:rPr>
        <w:t>5</w:t>
      </w:r>
      <w:r w:rsidRPr="00846327">
        <w:rPr>
          <w:rStyle w:val="SingleTxtGCar"/>
        </w:rPr>
        <w:t>.</w:t>
      </w:r>
      <w:r w:rsidRPr="00846327">
        <w:rPr>
          <w:rStyle w:val="SingleTxtGCar"/>
        </w:rPr>
        <w:tab/>
      </w:r>
      <w:r>
        <w:rPr>
          <w:rStyle w:val="SingleTxtGCar"/>
        </w:rPr>
        <w:t xml:space="preserve">It is proposed to start with the content and purpose of digitalization, i.e. </w:t>
      </w:r>
      <w:r w:rsidR="00D51194">
        <w:rPr>
          <w:rStyle w:val="SingleTxtGCar"/>
        </w:rPr>
        <w:t>items</w:t>
      </w:r>
      <w:r>
        <w:rPr>
          <w:rStyle w:val="SingleTxtGCar"/>
        </w:rPr>
        <w:t xml:space="preserve"> </w:t>
      </w:r>
      <w:r w:rsidR="005D1C72">
        <w:rPr>
          <w:rStyle w:val="SingleTxtGCar"/>
        </w:rPr>
        <w:t>2 (b)</w:t>
      </w:r>
      <w:r>
        <w:rPr>
          <w:rStyle w:val="SingleTxtGCar"/>
        </w:rPr>
        <w:t xml:space="preserve"> and </w:t>
      </w:r>
      <w:r w:rsidR="005D1C72">
        <w:rPr>
          <w:rStyle w:val="SingleTxtGCar"/>
        </w:rPr>
        <w:t xml:space="preserve">2 </w:t>
      </w:r>
      <w:r>
        <w:rPr>
          <w:rStyle w:val="SingleTxtGCar"/>
        </w:rPr>
        <w:t>(</w:t>
      </w:r>
      <w:r w:rsidR="005D1C72">
        <w:rPr>
          <w:rStyle w:val="SingleTxtGCar"/>
        </w:rPr>
        <w:t>e</w:t>
      </w:r>
      <w:r>
        <w:rPr>
          <w:rStyle w:val="SingleTxtGCar"/>
        </w:rPr>
        <w:t xml:space="preserve">) </w:t>
      </w:r>
      <w:r w:rsidR="005D1C72">
        <w:rPr>
          <w:rStyle w:val="SingleTxtGCar"/>
        </w:rPr>
        <w:t xml:space="preserve">above </w:t>
      </w:r>
      <w:r>
        <w:rPr>
          <w:rStyle w:val="SingleTxtGCar"/>
        </w:rPr>
        <w:t>by considering the following questions:</w:t>
      </w:r>
    </w:p>
    <w:p w14:paraId="10B53814" w14:textId="13931AC3" w:rsidR="00845A34" w:rsidRDefault="00323694" w:rsidP="00F629B3">
      <w:pPr>
        <w:pStyle w:val="SingleTxtG"/>
        <w:tabs>
          <w:tab w:val="left" w:pos="1701"/>
        </w:tabs>
        <w:ind w:left="2268" w:right="946" w:hanging="567"/>
        <w:rPr>
          <w:rStyle w:val="SingleTxtGCar"/>
        </w:rPr>
      </w:pPr>
      <w:r>
        <w:rPr>
          <w:rStyle w:val="SingleTxtGCar"/>
        </w:rPr>
        <w:t>(a)</w:t>
      </w:r>
      <w:r w:rsidR="00845A34" w:rsidRPr="00846327">
        <w:rPr>
          <w:rStyle w:val="SingleTxtGCar"/>
        </w:rPr>
        <w:tab/>
      </w:r>
      <w:r w:rsidR="00845A34">
        <w:rPr>
          <w:rStyle w:val="SingleTxtGCar"/>
        </w:rPr>
        <w:t>How can digital information improve the communication on hazards? (</w:t>
      </w:r>
      <w:r w:rsidR="00845A34" w:rsidRPr="00F629B3">
        <w:rPr>
          <w:rStyle w:val="SingleTxtGCar"/>
        </w:rPr>
        <w:t>see paragraphs 6-10 of the second thought starter</w:t>
      </w:r>
      <w:r w:rsidR="00845A34">
        <w:rPr>
          <w:rStyle w:val="SingleTxtGCar"/>
        </w:rPr>
        <w:t>)</w:t>
      </w:r>
    </w:p>
    <w:p w14:paraId="7571069D" w14:textId="36BC7A2B" w:rsidR="00845A34" w:rsidRDefault="00F629B3" w:rsidP="00F629B3">
      <w:pPr>
        <w:pStyle w:val="SingleTxtG"/>
        <w:tabs>
          <w:tab w:val="left" w:pos="1701"/>
        </w:tabs>
        <w:ind w:left="2268" w:right="946" w:hanging="567"/>
        <w:rPr>
          <w:rStyle w:val="SingleTxtGCar"/>
        </w:rPr>
      </w:pPr>
      <w:r w:rsidRPr="00F629B3">
        <w:rPr>
          <w:rStyle w:val="SingleTxtGCar"/>
        </w:rPr>
        <w:lastRenderedPageBreak/>
        <w:t>(b)</w:t>
      </w:r>
      <w:r w:rsidR="00845A34" w:rsidRPr="00F629B3">
        <w:rPr>
          <w:rStyle w:val="SingleTxtGCar"/>
        </w:rPr>
        <w:tab/>
      </w:r>
      <w:r w:rsidR="00845A34">
        <w:rPr>
          <w:rStyle w:val="SingleTxtGCar"/>
        </w:rPr>
        <w:t>Which hazard information not appearing on the label (supplemental) may be provided digitally:</w:t>
      </w:r>
    </w:p>
    <w:p w14:paraId="0C17B2EB" w14:textId="78A77329" w:rsidR="00845A34" w:rsidRPr="00F629B3" w:rsidRDefault="00F629B3" w:rsidP="002F31E1">
      <w:pPr>
        <w:pStyle w:val="SingleTxtG"/>
        <w:tabs>
          <w:tab w:val="left" w:pos="1701"/>
        </w:tabs>
        <w:ind w:left="2835" w:right="946" w:hanging="567"/>
        <w:rPr>
          <w:rStyle w:val="SingleTxtGCar"/>
        </w:rPr>
      </w:pPr>
      <w:r w:rsidRPr="00F629B3">
        <w:rPr>
          <w:rStyle w:val="SingleTxtGCar"/>
        </w:rPr>
        <w:t>(i)</w:t>
      </w:r>
      <w:r w:rsidR="00845A34" w:rsidRPr="00F629B3">
        <w:rPr>
          <w:rStyle w:val="SingleTxtGCar"/>
        </w:rPr>
        <w:tab/>
        <w:t>More detailed list of ingredients than in the product identifier;</w:t>
      </w:r>
    </w:p>
    <w:p w14:paraId="04379AD8" w14:textId="4E5D3A95" w:rsidR="00845A34" w:rsidRPr="00F629B3" w:rsidRDefault="00F629B3" w:rsidP="002F31E1">
      <w:pPr>
        <w:pStyle w:val="SingleTxtG"/>
        <w:tabs>
          <w:tab w:val="left" w:pos="1701"/>
        </w:tabs>
        <w:ind w:left="2835" w:right="946" w:hanging="567"/>
        <w:rPr>
          <w:rStyle w:val="SingleTxtGCar"/>
        </w:rPr>
      </w:pPr>
      <w:r w:rsidRPr="00F629B3">
        <w:rPr>
          <w:rStyle w:val="SingleTxtGCar"/>
        </w:rPr>
        <w:t>(ii)</w:t>
      </w:r>
      <w:r w:rsidR="00845A34" w:rsidRPr="00F629B3">
        <w:rPr>
          <w:rStyle w:val="SingleTxtGCar"/>
        </w:rPr>
        <w:tab/>
        <w:t>Information provided in additional languages (other than the official language(s) of the country where the substance or mixture is placed on the market);</w:t>
      </w:r>
    </w:p>
    <w:p w14:paraId="643C1028" w14:textId="1327BC1B" w:rsidR="00845A34" w:rsidRPr="00F629B3" w:rsidRDefault="00F629B3" w:rsidP="002F31E1">
      <w:pPr>
        <w:pStyle w:val="SingleTxtG"/>
        <w:tabs>
          <w:tab w:val="left" w:pos="1701"/>
        </w:tabs>
        <w:ind w:left="2835" w:right="946" w:hanging="567"/>
        <w:rPr>
          <w:rStyle w:val="SingleTxtGCar"/>
        </w:rPr>
      </w:pPr>
      <w:r w:rsidRPr="00F629B3">
        <w:rPr>
          <w:rStyle w:val="SingleTxtGCar"/>
        </w:rPr>
        <w:t>(iii)</w:t>
      </w:r>
      <w:r w:rsidR="00845A34" w:rsidRPr="00F629B3">
        <w:rPr>
          <w:rStyle w:val="SingleTxtGCar"/>
        </w:rPr>
        <w:tab/>
        <w:t>Information that can be omitted from the label (i.e. small packagings in accordance with 1.4.10.5.4.4);</w:t>
      </w:r>
    </w:p>
    <w:p w14:paraId="6F44B781" w14:textId="1A729FA7" w:rsidR="00845A34" w:rsidRPr="00F629B3" w:rsidRDefault="00F629B3" w:rsidP="002F31E1">
      <w:pPr>
        <w:pStyle w:val="SingleTxtG"/>
        <w:tabs>
          <w:tab w:val="left" w:pos="1701"/>
        </w:tabs>
        <w:ind w:left="2835" w:right="946" w:hanging="567"/>
        <w:rPr>
          <w:rStyle w:val="SingleTxtGCar"/>
        </w:rPr>
      </w:pPr>
      <w:r w:rsidRPr="00F629B3">
        <w:rPr>
          <w:rStyle w:val="SingleTxtGCar"/>
        </w:rPr>
        <w:t>(iv)</w:t>
      </w:r>
      <w:r w:rsidR="00845A34" w:rsidRPr="00F629B3">
        <w:rPr>
          <w:rStyle w:val="SingleTxtGCar"/>
        </w:rPr>
        <w:tab/>
        <w:t>Information on safe use, use instructions;</w:t>
      </w:r>
    </w:p>
    <w:p w14:paraId="3A40BC0F" w14:textId="63691E38" w:rsidR="00845A34" w:rsidRPr="00F629B3" w:rsidRDefault="00F629B3" w:rsidP="002F31E1">
      <w:pPr>
        <w:pStyle w:val="SingleTxtG"/>
        <w:tabs>
          <w:tab w:val="left" w:pos="1701"/>
        </w:tabs>
        <w:ind w:left="2835" w:right="946" w:hanging="567"/>
        <w:rPr>
          <w:rStyle w:val="SingleTxtGCar"/>
        </w:rPr>
      </w:pPr>
      <w:r w:rsidRPr="00F629B3">
        <w:rPr>
          <w:rStyle w:val="SingleTxtGCar"/>
        </w:rPr>
        <w:t>(v)</w:t>
      </w:r>
      <w:r w:rsidR="00845A34" w:rsidRPr="00F629B3">
        <w:rPr>
          <w:rStyle w:val="SingleTxtGCar"/>
        </w:rPr>
        <w:tab/>
        <w:t>…</w:t>
      </w:r>
    </w:p>
    <w:p w14:paraId="7A930669" w14:textId="4CAFB208" w:rsidR="00845A34" w:rsidRDefault="00F629B3" w:rsidP="00F629B3">
      <w:pPr>
        <w:pStyle w:val="SingleTxtG"/>
        <w:tabs>
          <w:tab w:val="left" w:pos="1701"/>
        </w:tabs>
        <w:ind w:left="2268" w:right="946" w:hanging="567"/>
        <w:rPr>
          <w:rStyle w:val="SingleTxtGCar"/>
        </w:rPr>
      </w:pPr>
      <w:r w:rsidRPr="00F629B3">
        <w:rPr>
          <w:rStyle w:val="SingleTxtGCar"/>
        </w:rPr>
        <w:t>(c)</w:t>
      </w:r>
      <w:r w:rsidR="00845A34" w:rsidRPr="00F629B3">
        <w:rPr>
          <w:rStyle w:val="SingleTxtGCar"/>
        </w:rPr>
        <w:tab/>
      </w:r>
      <w:r w:rsidR="00845A34">
        <w:rPr>
          <w:rStyle w:val="SingleTxtGCar"/>
        </w:rPr>
        <w:t>Can/should a distinction be made between digital information for workplace and consumer use?</w:t>
      </w:r>
    </w:p>
    <w:p w14:paraId="7BD46420" w14:textId="0B4DCA74" w:rsidR="00845A34" w:rsidRDefault="00F629B3" w:rsidP="00F629B3">
      <w:pPr>
        <w:pStyle w:val="SingleTxtG"/>
        <w:tabs>
          <w:tab w:val="left" w:pos="1701"/>
        </w:tabs>
        <w:ind w:left="2268" w:right="946" w:hanging="567"/>
        <w:rPr>
          <w:rStyle w:val="SingleTxtGCar"/>
        </w:rPr>
      </w:pPr>
      <w:r w:rsidRPr="00F629B3">
        <w:rPr>
          <w:rStyle w:val="SingleTxtGCar"/>
        </w:rPr>
        <w:t>(d)</w:t>
      </w:r>
      <w:r w:rsidR="00845A34" w:rsidRPr="00F629B3">
        <w:rPr>
          <w:rStyle w:val="SingleTxtGCar"/>
        </w:rPr>
        <w:tab/>
      </w:r>
      <w:r w:rsidR="00845A34">
        <w:rPr>
          <w:rStyle w:val="SingleTxtGCar"/>
        </w:rPr>
        <w:t>Should the digital information duplicate the label elements described in 1.4.10.5.2 to allow for comprehensive information?</w:t>
      </w:r>
    </w:p>
    <w:p w14:paraId="39AF0A81" w14:textId="204B1917" w:rsidR="00845A34" w:rsidRDefault="00F629B3" w:rsidP="00F629B3">
      <w:pPr>
        <w:pStyle w:val="SingleTxtG"/>
        <w:tabs>
          <w:tab w:val="left" w:pos="1701"/>
        </w:tabs>
        <w:ind w:left="2268" w:right="946" w:hanging="567"/>
        <w:rPr>
          <w:rStyle w:val="SingleTxtGCar"/>
        </w:rPr>
      </w:pPr>
      <w:r w:rsidRPr="00F629B3">
        <w:rPr>
          <w:rStyle w:val="SingleTxtGCar"/>
        </w:rPr>
        <w:t>(e)</w:t>
      </w:r>
      <w:r w:rsidR="00845A34" w:rsidRPr="00F629B3">
        <w:rPr>
          <w:rStyle w:val="SingleTxtGCar"/>
        </w:rPr>
        <w:tab/>
      </w:r>
      <w:r w:rsidR="00845A34">
        <w:rPr>
          <w:rStyle w:val="SingleTxtGCar"/>
        </w:rPr>
        <w:t>How to manage the possible coexistence of hazard and commercial information?</w:t>
      </w:r>
    </w:p>
    <w:p w14:paraId="3494DC8F" w14:textId="76097392" w:rsidR="00845A34" w:rsidRDefault="00F629B3" w:rsidP="00F629B3">
      <w:pPr>
        <w:pStyle w:val="SingleTxtG"/>
        <w:tabs>
          <w:tab w:val="left" w:pos="1701"/>
        </w:tabs>
        <w:ind w:left="2268" w:right="946" w:hanging="567"/>
        <w:rPr>
          <w:rStyle w:val="SingleTxtGCar"/>
        </w:rPr>
      </w:pPr>
      <w:r w:rsidRPr="00F629B3">
        <w:rPr>
          <w:rStyle w:val="SingleTxtGCar"/>
        </w:rPr>
        <w:t>(f)</w:t>
      </w:r>
      <w:r w:rsidR="00845A34" w:rsidRPr="00F629B3">
        <w:rPr>
          <w:rStyle w:val="SingleTxtGCar"/>
        </w:rPr>
        <w:tab/>
      </w:r>
      <w:r w:rsidR="00845A34">
        <w:rPr>
          <w:rStyle w:val="SingleTxtGCar"/>
        </w:rPr>
        <w:t xml:space="preserve">How can initiatives to improve the comprehensibility of labels be integrated into our work? </w:t>
      </w:r>
    </w:p>
    <w:p w14:paraId="5F5ECA99" w14:textId="6DD45C4B" w:rsidR="00845A34" w:rsidRDefault="007564A9" w:rsidP="00C36CE3">
      <w:pPr>
        <w:pStyle w:val="SingleTxtG"/>
        <w:tabs>
          <w:tab w:val="left" w:pos="1701"/>
        </w:tabs>
        <w:ind w:left="2268" w:right="946" w:hanging="567"/>
        <w:rPr>
          <w:rStyle w:val="SingleTxtGCar"/>
        </w:rPr>
      </w:pPr>
      <w:r>
        <w:rPr>
          <w:rStyle w:val="SingleTxtGCar"/>
        </w:rPr>
        <w:t>(g)</w:t>
      </w:r>
      <w:r>
        <w:rPr>
          <w:rStyle w:val="SingleTxtGCar"/>
        </w:rPr>
        <w:tab/>
      </w:r>
      <w:r w:rsidR="00845A34">
        <w:rPr>
          <w:rStyle w:val="SingleTxtGCar"/>
        </w:rPr>
        <w:t>Could some information be better read/understood if provided digitally?</w:t>
      </w:r>
      <w:r w:rsidR="00C36CE3">
        <w:rPr>
          <w:rStyle w:val="SingleTxtGCar"/>
        </w:rPr>
        <w:t xml:space="preserve"> </w:t>
      </w:r>
      <w:r w:rsidR="00845A34">
        <w:rPr>
          <w:rStyle w:val="SingleTxtGCar"/>
        </w:rPr>
        <w:t xml:space="preserve">e.g. naming of mixture components other than sensitisers. </w:t>
      </w:r>
    </w:p>
    <w:p w14:paraId="19D314C1" w14:textId="51CFEE4E" w:rsidR="00F629B3" w:rsidRPr="00F629B3" w:rsidRDefault="00F629B3" w:rsidP="00F629B3">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F629B3" w:rsidRPr="00F629B3"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382F" w14:textId="77777777" w:rsidR="009F5A94" w:rsidRDefault="009F5A94"/>
  </w:endnote>
  <w:endnote w:type="continuationSeparator" w:id="0">
    <w:p w14:paraId="0E47F400" w14:textId="77777777" w:rsidR="009F5A94" w:rsidRDefault="009F5A94"/>
  </w:endnote>
  <w:endnote w:type="continuationNotice" w:id="1">
    <w:p w14:paraId="36324F7D" w14:textId="77777777" w:rsidR="009F5A94" w:rsidRDefault="009F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E8C" w14:textId="3E8AEB1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F98B" w14:textId="674F0284"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9A7D" w14:textId="77777777" w:rsidR="009F5A94" w:rsidRPr="000B175B" w:rsidRDefault="009F5A94" w:rsidP="000B175B">
      <w:pPr>
        <w:tabs>
          <w:tab w:val="right" w:pos="2155"/>
        </w:tabs>
        <w:spacing w:after="80"/>
        <w:ind w:left="680"/>
        <w:rPr>
          <w:u w:val="single"/>
        </w:rPr>
      </w:pPr>
      <w:r>
        <w:rPr>
          <w:u w:val="single"/>
        </w:rPr>
        <w:tab/>
      </w:r>
    </w:p>
  </w:footnote>
  <w:footnote w:type="continuationSeparator" w:id="0">
    <w:p w14:paraId="3F45991D" w14:textId="77777777" w:rsidR="009F5A94" w:rsidRPr="00FC68B7" w:rsidRDefault="009F5A94" w:rsidP="00FC68B7">
      <w:pPr>
        <w:tabs>
          <w:tab w:val="left" w:pos="2155"/>
        </w:tabs>
        <w:spacing w:after="80"/>
        <w:ind w:left="680"/>
        <w:rPr>
          <w:u w:val="single"/>
        </w:rPr>
      </w:pPr>
      <w:r>
        <w:rPr>
          <w:u w:val="single"/>
        </w:rPr>
        <w:tab/>
      </w:r>
    </w:p>
  </w:footnote>
  <w:footnote w:type="continuationNotice" w:id="1">
    <w:p w14:paraId="3144435F" w14:textId="77777777" w:rsidR="009F5A94" w:rsidRDefault="009F5A94"/>
  </w:footnote>
  <w:footnote w:id="2">
    <w:p w14:paraId="42454094" w14:textId="32775C9A" w:rsidR="00EF3556" w:rsidRPr="00EF3556" w:rsidRDefault="00921FB5">
      <w:pPr>
        <w:pStyle w:val="FootnoteText"/>
        <w:rPr>
          <w:lang w:val="fr-CH"/>
        </w:rPr>
      </w:pPr>
      <w:r>
        <w:tab/>
      </w:r>
      <w:r w:rsidR="00EF3556">
        <w:rPr>
          <w:rStyle w:val="FootnoteReference"/>
        </w:rPr>
        <w:footnoteRef/>
      </w:r>
      <w:r w:rsidR="00EF3556">
        <w:t xml:space="preserve"> </w:t>
      </w:r>
      <w:r w:rsidR="00EF3556">
        <w:tab/>
      </w:r>
      <w:hyperlink r:id="rId1" w:history="1">
        <w:r w:rsidR="008D2529">
          <w:rPr>
            <w:rStyle w:val="Hyperlink"/>
          </w:rPr>
          <w:t>https://unece.org/DAM/trans/doc/2019/dgac10c4/UN-SCEGHS-37-INF7e.pdf</w:t>
        </w:r>
      </w:hyperlink>
    </w:p>
  </w:footnote>
  <w:footnote w:id="3">
    <w:p w14:paraId="212F21C7" w14:textId="3E907301" w:rsidR="00921FB5" w:rsidRPr="00921FB5" w:rsidRDefault="00921FB5">
      <w:pPr>
        <w:pStyle w:val="FootnoteText"/>
        <w:rPr>
          <w:lang w:val="fr-CH"/>
        </w:rPr>
      </w:pPr>
      <w:r>
        <w:tab/>
      </w:r>
      <w:r>
        <w:rPr>
          <w:rStyle w:val="FootnoteReference"/>
        </w:rPr>
        <w:footnoteRef/>
      </w:r>
      <w:r>
        <w:t xml:space="preserve"> </w:t>
      </w:r>
      <w:r>
        <w:tab/>
      </w:r>
      <w:hyperlink r:id="rId2" w:history="1">
        <w:r w:rsidRPr="00086125">
          <w:rPr>
            <w:rStyle w:val="Hyperlink"/>
          </w:rPr>
          <w:t>https://unece.org/DAM/trans/doc/2019/dgac10c4/UN-SCEGHS-38-INF22e.pdf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FE2" w14:textId="3945285F" w:rsidR="006A7757" w:rsidRPr="0099001C" w:rsidRDefault="006A7757" w:rsidP="00366CA7">
    <w:pPr>
      <w:pStyle w:val="Header"/>
    </w:pPr>
    <w:r w:rsidRPr="00464075">
      <w:t>UN/SCEGHS/</w:t>
    </w:r>
    <w:r w:rsidR="00B912C5" w:rsidRPr="00464075">
      <w:t>40</w:t>
    </w:r>
    <w:r w:rsidRPr="00464075">
      <w:t>/INF</w:t>
    </w:r>
    <w:r w:rsidR="00464075" w:rsidRPr="00464075">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8B9" w14:textId="36CAF5B9" w:rsidR="006A7757" w:rsidRPr="0099001C" w:rsidRDefault="006A7757" w:rsidP="0099001C">
    <w:pPr>
      <w:pStyle w:val="Header"/>
      <w:jc w:val="right"/>
    </w:pPr>
    <w:r>
      <w:t>UN/SCEGHS/</w:t>
    </w:r>
    <w:r w:rsidR="00BF2C8E">
      <w:t>40</w:t>
    </w:r>
    <w:r>
      <w:t>/INF.</w:t>
    </w:r>
    <w:r w:rsidR="008C7D7C">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8"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25"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0"/>
  </w:num>
  <w:num w:numId="3">
    <w:abstractNumId w:val="15"/>
  </w:num>
  <w:num w:numId="4">
    <w:abstractNumId w:val="7"/>
  </w:num>
  <w:num w:numId="5">
    <w:abstractNumId w:val="8"/>
  </w:num>
  <w:num w:numId="6">
    <w:abstractNumId w:val="9"/>
  </w:num>
  <w:num w:numId="7">
    <w:abstractNumId w:val="25"/>
  </w:num>
  <w:num w:numId="8">
    <w:abstractNumId w:val="1"/>
  </w:num>
  <w:num w:numId="9">
    <w:abstractNumId w:val="3"/>
  </w:num>
  <w:num w:numId="10">
    <w:abstractNumId w:val="18"/>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1"/>
  </w:num>
  <w:num w:numId="16">
    <w:abstractNumId w:val="23"/>
  </w:num>
  <w:num w:numId="17">
    <w:abstractNumId w:val="12"/>
  </w:num>
  <w:num w:numId="18">
    <w:abstractNumId w:val="10"/>
  </w:num>
  <w:num w:numId="19">
    <w:abstractNumId w:val="19"/>
  </w:num>
  <w:num w:numId="20">
    <w:abstractNumId w:val="2"/>
  </w:num>
  <w:num w:numId="21">
    <w:abstractNumId w:val="4"/>
  </w:num>
  <w:num w:numId="22">
    <w:abstractNumId w:val="24"/>
  </w:num>
  <w:num w:numId="23">
    <w:abstractNumId w:val="14"/>
  </w:num>
  <w:num w:numId="24">
    <w:abstractNumId w:val="16"/>
  </w:num>
  <w:num w:numId="25">
    <w:abstractNumId w:val="13"/>
  </w:num>
  <w:num w:numId="26">
    <w:abstractNumId w:val="6"/>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2269"/>
    <w:rsid w:val="00015281"/>
    <w:rsid w:val="00016322"/>
    <w:rsid w:val="00016F90"/>
    <w:rsid w:val="0001762F"/>
    <w:rsid w:val="00021F69"/>
    <w:rsid w:val="00023D11"/>
    <w:rsid w:val="000247DA"/>
    <w:rsid w:val="000248C1"/>
    <w:rsid w:val="000309E1"/>
    <w:rsid w:val="00030DD3"/>
    <w:rsid w:val="00033B3D"/>
    <w:rsid w:val="00036757"/>
    <w:rsid w:val="00041F29"/>
    <w:rsid w:val="000465C7"/>
    <w:rsid w:val="00050F6B"/>
    <w:rsid w:val="00056ADD"/>
    <w:rsid w:val="0006093B"/>
    <w:rsid w:val="00065DE6"/>
    <w:rsid w:val="00072C8C"/>
    <w:rsid w:val="00073D8C"/>
    <w:rsid w:val="00074E61"/>
    <w:rsid w:val="00081647"/>
    <w:rsid w:val="00085D2B"/>
    <w:rsid w:val="00086CD6"/>
    <w:rsid w:val="00092477"/>
    <w:rsid w:val="000931C0"/>
    <w:rsid w:val="00093AA0"/>
    <w:rsid w:val="000A48A1"/>
    <w:rsid w:val="000A6544"/>
    <w:rsid w:val="000A6AF2"/>
    <w:rsid w:val="000B037C"/>
    <w:rsid w:val="000B0443"/>
    <w:rsid w:val="000B175B"/>
    <w:rsid w:val="000B3A0F"/>
    <w:rsid w:val="000B3D62"/>
    <w:rsid w:val="000C6544"/>
    <w:rsid w:val="000D10AA"/>
    <w:rsid w:val="000D4EE2"/>
    <w:rsid w:val="000E0415"/>
    <w:rsid w:val="000F599C"/>
    <w:rsid w:val="001074C7"/>
    <w:rsid w:val="00111760"/>
    <w:rsid w:val="00115ECB"/>
    <w:rsid w:val="001220B8"/>
    <w:rsid w:val="00135B50"/>
    <w:rsid w:val="00140DE6"/>
    <w:rsid w:val="00141658"/>
    <w:rsid w:val="00142E4D"/>
    <w:rsid w:val="0015005D"/>
    <w:rsid w:val="00156444"/>
    <w:rsid w:val="00156F3C"/>
    <w:rsid w:val="00162BF7"/>
    <w:rsid w:val="00170DBB"/>
    <w:rsid w:val="001748C5"/>
    <w:rsid w:val="00181192"/>
    <w:rsid w:val="00190AEA"/>
    <w:rsid w:val="00191F6F"/>
    <w:rsid w:val="00195871"/>
    <w:rsid w:val="00196E86"/>
    <w:rsid w:val="001976A3"/>
    <w:rsid w:val="001A0F7B"/>
    <w:rsid w:val="001A2FA5"/>
    <w:rsid w:val="001B4B04"/>
    <w:rsid w:val="001B5F24"/>
    <w:rsid w:val="001B69DC"/>
    <w:rsid w:val="001C6663"/>
    <w:rsid w:val="001C7895"/>
    <w:rsid w:val="001D1E83"/>
    <w:rsid w:val="001D26DF"/>
    <w:rsid w:val="001D3206"/>
    <w:rsid w:val="001D648C"/>
    <w:rsid w:val="001E47FD"/>
    <w:rsid w:val="001E7F58"/>
    <w:rsid w:val="001F0115"/>
    <w:rsid w:val="00202FFC"/>
    <w:rsid w:val="002115B7"/>
    <w:rsid w:val="00211E0B"/>
    <w:rsid w:val="00213E9F"/>
    <w:rsid w:val="00217B78"/>
    <w:rsid w:val="00221DF0"/>
    <w:rsid w:val="00231C90"/>
    <w:rsid w:val="002366A3"/>
    <w:rsid w:val="002405A7"/>
    <w:rsid w:val="00245FA7"/>
    <w:rsid w:val="00247C31"/>
    <w:rsid w:val="0025322D"/>
    <w:rsid w:val="002544BF"/>
    <w:rsid w:val="00254C1C"/>
    <w:rsid w:val="00257E45"/>
    <w:rsid w:val="00262488"/>
    <w:rsid w:val="00271E2A"/>
    <w:rsid w:val="0027295D"/>
    <w:rsid w:val="00273022"/>
    <w:rsid w:val="00285190"/>
    <w:rsid w:val="0028578C"/>
    <w:rsid w:val="00286FDE"/>
    <w:rsid w:val="002B1884"/>
    <w:rsid w:val="002B37B6"/>
    <w:rsid w:val="002B3D6F"/>
    <w:rsid w:val="002D037D"/>
    <w:rsid w:val="002D0C22"/>
    <w:rsid w:val="002D2D8D"/>
    <w:rsid w:val="002D2FB8"/>
    <w:rsid w:val="002D3A9B"/>
    <w:rsid w:val="002D59D3"/>
    <w:rsid w:val="002D6144"/>
    <w:rsid w:val="002F31E1"/>
    <w:rsid w:val="003107FA"/>
    <w:rsid w:val="003127A2"/>
    <w:rsid w:val="003229D8"/>
    <w:rsid w:val="00322FAA"/>
    <w:rsid w:val="00323694"/>
    <w:rsid w:val="0032550E"/>
    <w:rsid w:val="00327615"/>
    <w:rsid w:val="00335925"/>
    <w:rsid w:val="0033745A"/>
    <w:rsid w:val="00337A81"/>
    <w:rsid w:val="00341051"/>
    <w:rsid w:val="00357D6F"/>
    <w:rsid w:val="003642AF"/>
    <w:rsid w:val="00366CA7"/>
    <w:rsid w:val="0037026E"/>
    <w:rsid w:val="00370421"/>
    <w:rsid w:val="0037693E"/>
    <w:rsid w:val="0039277A"/>
    <w:rsid w:val="003936C1"/>
    <w:rsid w:val="0039696D"/>
    <w:rsid w:val="003972E0"/>
    <w:rsid w:val="003A3AEF"/>
    <w:rsid w:val="003A7753"/>
    <w:rsid w:val="003B0C4F"/>
    <w:rsid w:val="003B3A99"/>
    <w:rsid w:val="003C2CC4"/>
    <w:rsid w:val="003C3936"/>
    <w:rsid w:val="003D0D56"/>
    <w:rsid w:val="003D2270"/>
    <w:rsid w:val="003D4009"/>
    <w:rsid w:val="003D4B23"/>
    <w:rsid w:val="003D57CD"/>
    <w:rsid w:val="003E1828"/>
    <w:rsid w:val="003E4C6B"/>
    <w:rsid w:val="003E6173"/>
    <w:rsid w:val="003F1ED3"/>
    <w:rsid w:val="003F548D"/>
    <w:rsid w:val="00404110"/>
    <w:rsid w:val="0040593A"/>
    <w:rsid w:val="00421612"/>
    <w:rsid w:val="00422AA7"/>
    <w:rsid w:val="00425CB5"/>
    <w:rsid w:val="00426F57"/>
    <w:rsid w:val="00427C61"/>
    <w:rsid w:val="004325CB"/>
    <w:rsid w:val="004449CC"/>
    <w:rsid w:val="00446DE4"/>
    <w:rsid w:val="00455E21"/>
    <w:rsid w:val="00460165"/>
    <w:rsid w:val="00460DD9"/>
    <w:rsid w:val="00464075"/>
    <w:rsid w:val="0046499D"/>
    <w:rsid w:val="00467F71"/>
    <w:rsid w:val="0047442B"/>
    <w:rsid w:val="00474F1C"/>
    <w:rsid w:val="00477371"/>
    <w:rsid w:val="00481AF5"/>
    <w:rsid w:val="004827D3"/>
    <w:rsid w:val="00485881"/>
    <w:rsid w:val="00492FBB"/>
    <w:rsid w:val="00496EBE"/>
    <w:rsid w:val="004975BF"/>
    <w:rsid w:val="00497EF1"/>
    <w:rsid w:val="004A41CA"/>
    <w:rsid w:val="004A4C5A"/>
    <w:rsid w:val="004A4EB2"/>
    <w:rsid w:val="004A4F3D"/>
    <w:rsid w:val="004B036A"/>
    <w:rsid w:val="004B748C"/>
    <w:rsid w:val="004C3441"/>
    <w:rsid w:val="004D0C85"/>
    <w:rsid w:val="004E0B23"/>
    <w:rsid w:val="004E31C7"/>
    <w:rsid w:val="004E33F9"/>
    <w:rsid w:val="004E36F5"/>
    <w:rsid w:val="004E3E6C"/>
    <w:rsid w:val="004E7ED6"/>
    <w:rsid w:val="004F6FA2"/>
    <w:rsid w:val="004F7D12"/>
    <w:rsid w:val="005014A3"/>
    <w:rsid w:val="00503228"/>
    <w:rsid w:val="005034AA"/>
    <w:rsid w:val="00505384"/>
    <w:rsid w:val="005163CC"/>
    <w:rsid w:val="0053092F"/>
    <w:rsid w:val="00530B20"/>
    <w:rsid w:val="00532617"/>
    <w:rsid w:val="00532EF8"/>
    <w:rsid w:val="00533DBE"/>
    <w:rsid w:val="00535116"/>
    <w:rsid w:val="00535BDE"/>
    <w:rsid w:val="0053769E"/>
    <w:rsid w:val="00540050"/>
    <w:rsid w:val="005420F2"/>
    <w:rsid w:val="00543A6D"/>
    <w:rsid w:val="00545F0E"/>
    <w:rsid w:val="00546218"/>
    <w:rsid w:val="005547AA"/>
    <w:rsid w:val="005560AA"/>
    <w:rsid w:val="005745F6"/>
    <w:rsid w:val="00583B10"/>
    <w:rsid w:val="005906CF"/>
    <w:rsid w:val="005A3BFC"/>
    <w:rsid w:val="005B0D15"/>
    <w:rsid w:val="005B2C89"/>
    <w:rsid w:val="005B3DB3"/>
    <w:rsid w:val="005B758B"/>
    <w:rsid w:val="005C47BF"/>
    <w:rsid w:val="005D1A62"/>
    <w:rsid w:val="005D1C72"/>
    <w:rsid w:val="005D23F3"/>
    <w:rsid w:val="005D2A49"/>
    <w:rsid w:val="005D7387"/>
    <w:rsid w:val="005E1EDC"/>
    <w:rsid w:val="005E22FE"/>
    <w:rsid w:val="005E5FFD"/>
    <w:rsid w:val="005F7D6B"/>
    <w:rsid w:val="00601906"/>
    <w:rsid w:val="00603CBF"/>
    <w:rsid w:val="0060668D"/>
    <w:rsid w:val="00611326"/>
    <w:rsid w:val="0061196B"/>
    <w:rsid w:val="00611FC4"/>
    <w:rsid w:val="0061427C"/>
    <w:rsid w:val="006176FB"/>
    <w:rsid w:val="00617FFE"/>
    <w:rsid w:val="00625098"/>
    <w:rsid w:val="00627ED0"/>
    <w:rsid w:val="006326F0"/>
    <w:rsid w:val="00635219"/>
    <w:rsid w:val="00635EF4"/>
    <w:rsid w:val="00640B26"/>
    <w:rsid w:val="00645B5D"/>
    <w:rsid w:val="006653E5"/>
    <w:rsid w:val="00665595"/>
    <w:rsid w:val="006672E3"/>
    <w:rsid w:val="00680CDA"/>
    <w:rsid w:val="006866A5"/>
    <w:rsid w:val="0068708F"/>
    <w:rsid w:val="00691F20"/>
    <w:rsid w:val="00693543"/>
    <w:rsid w:val="006A7392"/>
    <w:rsid w:val="006A7757"/>
    <w:rsid w:val="006A7857"/>
    <w:rsid w:val="006A7DFD"/>
    <w:rsid w:val="006B1B5A"/>
    <w:rsid w:val="006B2509"/>
    <w:rsid w:val="006B6238"/>
    <w:rsid w:val="006C16AC"/>
    <w:rsid w:val="006C2521"/>
    <w:rsid w:val="006E032B"/>
    <w:rsid w:val="006E3197"/>
    <w:rsid w:val="006E564B"/>
    <w:rsid w:val="006F0395"/>
    <w:rsid w:val="007107D8"/>
    <w:rsid w:val="0071248A"/>
    <w:rsid w:val="0071349F"/>
    <w:rsid w:val="00714AEE"/>
    <w:rsid w:val="00717623"/>
    <w:rsid w:val="00720DEB"/>
    <w:rsid w:val="0072632A"/>
    <w:rsid w:val="00727A68"/>
    <w:rsid w:val="00732654"/>
    <w:rsid w:val="00733AAE"/>
    <w:rsid w:val="00734A5D"/>
    <w:rsid w:val="007361DA"/>
    <w:rsid w:val="007439EB"/>
    <w:rsid w:val="00754226"/>
    <w:rsid w:val="007560E6"/>
    <w:rsid w:val="007564A9"/>
    <w:rsid w:val="0076223F"/>
    <w:rsid w:val="007640D5"/>
    <w:rsid w:val="007673C7"/>
    <w:rsid w:val="007719BA"/>
    <w:rsid w:val="00775EC7"/>
    <w:rsid w:val="00781A60"/>
    <w:rsid w:val="00784208"/>
    <w:rsid w:val="00787DA4"/>
    <w:rsid w:val="00793314"/>
    <w:rsid w:val="007A0B22"/>
    <w:rsid w:val="007A7E59"/>
    <w:rsid w:val="007B3D58"/>
    <w:rsid w:val="007B6BA5"/>
    <w:rsid w:val="007C1201"/>
    <w:rsid w:val="007C3390"/>
    <w:rsid w:val="007C4F4B"/>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7005"/>
    <w:rsid w:val="0081004A"/>
    <w:rsid w:val="00811719"/>
    <w:rsid w:val="008121E9"/>
    <w:rsid w:val="00815255"/>
    <w:rsid w:val="0081732C"/>
    <w:rsid w:val="008175E9"/>
    <w:rsid w:val="008242D7"/>
    <w:rsid w:val="00826F10"/>
    <w:rsid w:val="0082702F"/>
    <w:rsid w:val="00827E05"/>
    <w:rsid w:val="008308E6"/>
    <w:rsid w:val="008311A3"/>
    <w:rsid w:val="00832B3A"/>
    <w:rsid w:val="00836AF7"/>
    <w:rsid w:val="0084107B"/>
    <w:rsid w:val="00843C36"/>
    <w:rsid w:val="0084467B"/>
    <w:rsid w:val="00845A34"/>
    <w:rsid w:val="00862FF3"/>
    <w:rsid w:val="008705FA"/>
    <w:rsid w:val="00871FD5"/>
    <w:rsid w:val="008748E0"/>
    <w:rsid w:val="00875CAA"/>
    <w:rsid w:val="008762FC"/>
    <w:rsid w:val="00877165"/>
    <w:rsid w:val="00883D22"/>
    <w:rsid w:val="00884C4B"/>
    <w:rsid w:val="00887D87"/>
    <w:rsid w:val="00887F74"/>
    <w:rsid w:val="00891141"/>
    <w:rsid w:val="00893791"/>
    <w:rsid w:val="00893960"/>
    <w:rsid w:val="0089738F"/>
    <w:rsid w:val="008979B1"/>
    <w:rsid w:val="008A32BF"/>
    <w:rsid w:val="008A583E"/>
    <w:rsid w:val="008A6B25"/>
    <w:rsid w:val="008A6C4F"/>
    <w:rsid w:val="008B2AE3"/>
    <w:rsid w:val="008B33DF"/>
    <w:rsid w:val="008B6E26"/>
    <w:rsid w:val="008C63EB"/>
    <w:rsid w:val="008C7D7C"/>
    <w:rsid w:val="008C7F06"/>
    <w:rsid w:val="008D16E2"/>
    <w:rsid w:val="008D2529"/>
    <w:rsid w:val="008E0E46"/>
    <w:rsid w:val="008E4C4C"/>
    <w:rsid w:val="008F08B4"/>
    <w:rsid w:val="008F2D8E"/>
    <w:rsid w:val="008F2E36"/>
    <w:rsid w:val="008F5985"/>
    <w:rsid w:val="008F6FE3"/>
    <w:rsid w:val="008F7879"/>
    <w:rsid w:val="00907AD2"/>
    <w:rsid w:val="00911047"/>
    <w:rsid w:val="00917E75"/>
    <w:rsid w:val="00921FB5"/>
    <w:rsid w:val="00924BEA"/>
    <w:rsid w:val="009302FB"/>
    <w:rsid w:val="009321E9"/>
    <w:rsid w:val="009464AD"/>
    <w:rsid w:val="00947761"/>
    <w:rsid w:val="0096014D"/>
    <w:rsid w:val="00961A01"/>
    <w:rsid w:val="00963CBA"/>
    <w:rsid w:val="009650E6"/>
    <w:rsid w:val="00965932"/>
    <w:rsid w:val="0096617E"/>
    <w:rsid w:val="009717C3"/>
    <w:rsid w:val="00971BB4"/>
    <w:rsid w:val="00974A8D"/>
    <w:rsid w:val="0099001C"/>
    <w:rsid w:val="00991261"/>
    <w:rsid w:val="00992F6B"/>
    <w:rsid w:val="009A1558"/>
    <w:rsid w:val="009A1717"/>
    <w:rsid w:val="009A276C"/>
    <w:rsid w:val="009B7F3C"/>
    <w:rsid w:val="009C127C"/>
    <w:rsid w:val="009C12F6"/>
    <w:rsid w:val="009C2E40"/>
    <w:rsid w:val="009D26EF"/>
    <w:rsid w:val="009D555E"/>
    <w:rsid w:val="009E2F92"/>
    <w:rsid w:val="009E46E9"/>
    <w:rsid w:val="009F1B31"/>
    <w:rsid w:val="009F3A17"/>
    <w:rsid w:val="009F3D53"/>
    <w:rsid w:val="009F5A94"/>
    <w:rsid w:val="009F7870"/>
    <w:rsid w:val="00A00230"/>
    <w:rsid w:val="00A01958"/>
    <w:rsid w:val="00A02F4C"/>
    <w:rsid w:val="00A10E05"/>
    <w:rsid w:val="00A1427D"/>
    <w:rsid w:val="00A17045"/>
    <w:rsid w:val="00A2158F"/>
    <w:rsid w:val="00A230AE"/>
    <w:rsid w:val="00A250EB"/>
    <w:rsid w:val="00A2678C"/>
    <w:rsid w:val="00A31083"/>
    <w:rsid w:val="00A32AEE"/>
    <w:rsid w:val="00A352D7"/>
    <w:rsid w:val="00A37265"/>
    <w:rsid w:val="00A426FB"/>
    <w:rsid w:val="00A47476"/>
    <w:rsid w:val="00A55FB2"/>
    <w:rsid w:val="00A57424"/>
    <w:rsid w:val="00A62A71"/>
    <w:rsid w:val="00A63E4A"/>
    <w:rsid w:val="00A64D33"/>
    <w:rsid w:val="00A72F22"/>
    <w:rsid w:val="00A73939"/>
    <w:rsid w:val="00A74632"/>
    <w:rsid w:val="00A748A6"/>
    <w:rsid w:val="00A80459"/>
    <w:rsid w:val="00A805EB"/>
    <w:rsid w:val="00A80F63"/>
    <w:rsid w:val="00A8573F"/>
    <w:rsid w:val="00A85E95"/>
    <w:rsid w:val="00A8760B"/>
    <w:rsid w:val="00A8762E"/>
    <w:rsid w:val="00A87771"/>
    <w:rsid w:val="00A879A4"/>
    <w:rsid w:val="00A90064"/>
    <w:rsid w:val="00AA1504"/>
    <w:rsid w:val="00AA42B2"/>
    <w:rsid w:val="00AA496B"/>
    <w:rsid w:val="00AB19FE"/>
    <w:rsid w:val="00AB38F8"/>
    <w:rsid w:val="00AC5C02"/>
    <w:rsid w:val="00AC6CF5"/>
    <w:rsid w:val="00AD275E"/>
    <w:rsid w:val="00AD30B7"/>
    <w:rsid w:val="00AD6396"/>
    <w:rsid w:val="00AD67E3"/>
    <w:rsid w:val="00AE1248"/>
    <w:rsid w:val="00AE50AE"/>
    <w:rsid w:val="00AE5F9C"/>
    <w:rsid w:val="00AE71F3"/>
    <w:rsid w:val="00AF3DD5"/>
    <w:rsid w:val="00B012DF"/>
    <w:rsid w:val="00B1225A"/>
    <w:rsid w:val="00B13651"/>
    <w:rsid w:val="00B13801"/>
    <w:rsid w:val="00B14DCA"/>
    <w:rsid w:val="00B150D8"/>
    <w:rsid w:val="00B1615F"/>
    <w:rsid w:val="00B163F4"/>
    <w:rsid w:val="00B30179"/>
    <w:rsid w:val="00B30D47"/>
    <w:rsid w:val="00B30E8F"/>
    <w:rsid w:val="00B32782"/>
    <w:rsid w:val="00B33EC0"/>
    <w:rsid w:val="00B543C9"/>
    <w:rsid w:val="00B5760A"/>
    <w:rsid w:val="00B724A0"/>
    <w:rsid w:val="00B735E2"/>
    <w:rsid w:val="00B760A8"/>
    <w:rsid w:val="00B76F60"/>
    <w:rsid w:val="00B770F6"/>
    <w:rsid w:val="00B80297"/>
    <w:rsid w:val="00B80CCF"/>
    <w:rsid w:val="00B81E12"/>
    <w:rsid w:val="00B8484B"/>
    <w:rsid w:val="00B912C5"/>
    <w:rsid w:val="00B91C47"/>
    <w:rsid w:val="00B91E3A"/>
    <w:rsid w:val="00B97D28"/>
    <w:rsid w:val="00BC74E9"/>
    <w:rsid w:val="00BD13EB"/>
    <w:rsid w:val="00BD1504"/>
    <w:rsid w:val="00BD1EA1"/>
    <w:rsid w:val="00BD2146"/>
    <w:rsid w:val="00BD4DD7"/>
    <w:rsid w:val="00BD62B0"/>
    <w:rsid w:val="00BE3F8A"/>
    <w:rsid w:val="00BE4F74"/>
    <w:rsid w:val="00BE59FB"/>
    <w:rsid w:val="00BE618E"/>
    <w:rsid w:val="00BF2C8E"/>
    <w:rsid w:val="00BF4542"/>
    <w:rsid w:val="00C01530"/>
    <w:rsid w:val="00C0361E"/>
    <w:rsid w:val="00C164A6"/>
    <w:rsid w:val="00C17699"/>
    <w:rsid w:val="00C1778D"/>
    <w:rsid w:val="00C21C71"/>
    <w:rsid w:val="00C22EE1"/>
    <w:rsid w:val="00C27390"/>
    <w:rsid w:val="00C31445"/>
    <w:rsid w:val="00C36CE3"/>
    <w:rsid w:val="00C3770A"/>
    <w:rsid w:val="00C41A28"/>
    <w:rsid w:val="00C463DD"/>
    <w:rsid w:val="00C51B20"/>
    <w:rsid w:val="00C524BA"/>
    <w:rsid w:val="00C56EB4"/>
    <w:rsid w:val="00C56F3F"/>
    <w:rsid w:val="00C60A9D"/>
    <w:rsid w:val="00C60AC5"/>
    <w:rsid w:val="00C6210B"/>
    <w:rsid w:val="00C66551"/>
    <w:rsid w:val="00C745C3"/>
    <w:rsid w:val="00C8043E"/>
    <w:rsid w:val="00C80ECA"/>
    <w:rsid w:val="00C84CBF"/>
    <w:rsid w:val="00C8562E"/>
    <w:rsid w:val="00C86EEF"/>
    <w:rsid w:val="00C945EB"/>
    <w:rsid w:val="00C95AB8"/>
    <w:rsid w:val="00CA2305"/>
    <w:rsid w:val="00CB115F"/>
    <w:rsid w:val="00CC4CCF"/>
    <w:rsid w:val="00CC65B7"/>
    <w:rsid w:val="00CD14FE"/>
    <w:rsid w:val="00CD6C80"/>
    <w:rsid w:val="00CD7685"/>
    <w:rsid w:val="00CD7D8E"/>
    <w:rsid w:val="00CE0A90"/>
    <w:rsid w:val="00CE4865"/>
    <w:rsid w:val="00CE4A8F"/>
    <w:rsid w:val="00CF22A3"/>
    <w:rsid w:val="00CF6AE6"/>
    <w:rsid w:val="00D03FFD"/>
    <w:rsid w:val="00D04E00"/>
    <w:rsid w:val="00D055EB"/>
    <w:rsid w:val="00D0666B"/>
    <w:rsid w:val="00D16719"/>
    <w:rsid w:val="00D16EDF"/>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1194"/>
    <w:rsid w:val="00D527B3"/>
    <w:rsid w:val="00D55E97"/>
    <w:rsid w:val="00D62155"/>
    <w:rsid w:val="00D6273B"/>
    <w:rsid w:val="00D63881"/>
    <w:rsid w:val="00D6703D"/>
    <w:rsid w:val="00D7387D"/>
    <w:rsid w:val="00D833D0"/>
    <w:rsid w:val="00D85614"/>
    <w:rsid w:val="00D96E16"/>
    <w:rsid w:val="00D978C6"/>
    <w:rsid w:val="00DA1089"/>
    <w:rsid w:val="00DA284A"/>
    <w:rsid w:val="00DA67AD"/>
    <w:rsid w:val="00DB4371"/>
    <w:rsid w:val="00DB4CDB"/>
    <w:rsid w:val="00DB5D0F"/>
    <w:rsid w:val="00DB63C8"/>
    <w:rsid w:val="00DC3242"/>
    <w:rsid w:val="00DD6C58"/>
    <w:rsid w:val="00DE167F"/>
    <w:rsid w:val="00DE7F20"/>
    <w:rsid w:val="00DF03A4"/>
    <w:rsid w:val="00DF12F7"/>
    <w:rsid w:val="00DF1C68"/>
    <w:rsid w:val="00DF1C69"/>
    <w:rsid w:val="00DF2C64"/>
    <w:rsid w:val="00E024BA"/>
    <w:rsid w:val="00E02C81"/>
    <w:rsid w:val="00E04A75"/>
    <w:rsid w:val="00E06EAB"/>
    <w:rsid w:val="00E1025A"/>
    <w:rsid w:val="00E120AF"/>
    <w:rsid w:val="00E130AB"/>
    <w:rsid w:val="00E137B8"/>
    <w:rsid w:val="00E21BBE"/>
    <w:rsid w:val="00E22E6E"/>
    <w:rsid w:val="00E2519A"/>
    <w:rsid w:val="00E2641E"/>
    <w:rsid w:val="00E31C87"/>
    <w:rsid w:val="00E32E6C"/>
    <w:rsid w:val="00E366A9"/>
    <w:rsid w:val="00E366C2"/>
    <w:rsid w:val="00E40F55"/>
    <w:rsid w:val="00E458FC"/>
    <w:rsid w:val="00E5372F"/>
    <w:rsid w:val="00E54C89"/>
    <w:rsid w:val="00E677EC"/>
    <w:rsid w:val="00E70DF5"/>
    <w:rsid w:val="00E7260F"/>
    <w:rsid w:val="00E72804"/>
    <w:rsid w:val="00E80F5F"/>
    <w:rsid w:val="00E81B89"/>
    <w:rsid w:val="00E82B4A"/>
    <w:rsid w:val="00E84CF6"/>
    <w:rsid w:val="00E87921"/>
    <w:rsid w:val="00E95364"/>
    <w:rsid w:val="00E96630"/>
    <w:rsid w:val="00EA264E"/>
    <w:rsid w:val="00EA3A41"/>
    <w:rsid w:val="00EA612C"/>
    <w:rsid w:val="00EB3EB6"/>
    <w:rsid w:val="00EC01FD"/>
    <w:rsid w:val="00ED1541"/>
    <w:rsid w:val="00ED157F"/>
    <w:rsid w:val="00ED3980"/>
    <w:rsid w:val="00ED71D9"/>
    <w:rsid w:val="00ED76D4"/>
    <w:rsid w:val="00ED7A2A"/>
    <w:rsid w:val="00EE0215"/>
    <w:rsid w:val="00EE7E6D"/>
    <w:rsid w:val="00EF17EB"/>
    <w:rsid w:val="00EF1D7F"/>
    <w:rsid w:val="00EF3556"/>
    <w:rsid w:val="00EF358F"/>
    <w:rsid w:val="00F012BE"/>
    <w:rsid w:val="00F02CCD"/>
    <w:rsid w:val="00F07968"/>
    <w:rsid w:val="00F124A0"/>
    <w:rsid w:val="00F15589"/>
    <w:rsid w:val="00F40D25"/>
    <w:rsid w:val="00F41C2D"/>
    <w:rsid w:val="00F451D9"/>
    <w:rsid w:val="00F452A5"/>
    <w:rsid w:val="00F47494"/>
    <w:rsid w:val="00F47732"/>
    <w:rsid w:val="00F53EDA"/>
    <w:rsid w:val="00F61319"/>
    <w:rsid w:val="00F629B3"/>
    <w:rsid w:val="00F64BCC"/>
    <w:rsid w:val="00F6576F"/>
    <w:rsid w:val="00F66B60"/>
    <w:rsid w:val="00F73015"/>
    <w:rsid w:val="00F7753D"/>
    <w:rsid w:val="00F82328"/>
    <w:rsid w:val="00F85F34"/>
    <w:rsid w:val="00F911C3"/>
    <w:rsid w:val="00F9701C"/>
    <w:rsid w:val="00FA06F7"/>
    <w:rsid w:val="00FA0878"/>
    <w:rsid w:val="00FA7DBC"/>
    <w:rsid w:val="00FB171A"/>
    <w:rsid w:val="00FB6CAB"/>
    <w:rsid w:val="00FC09B8"/>
    <w:rsid w:val="00FC0D04"/>
    <w:rsid w:val="00FC68B7"/>
    <w:rsid w:val="00FD10AB"/>
    <w:rsid w:val="00FD27F5"/>
    <w:rsid w:val="00FD4450"/>
    <w:rsid w:val="00FD4F7E"/>
    <w:rsid w:val="00FD7BF6"/>
    <w:rsid w:val="00FF01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uiPriority w:val="99"/>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19/dgac10c4/UN-SCEGHS-38-INF22e.pdf" TargetMode="External"/><Relationship Id="rId1" Type="http://schemas.openxmlformats.org/officeDocument/2006/relationships/hyperlink" Target="https://unece.org/DAM/trans/doc/2019/dgac10c4/UN-SCEGHS-37-INF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26928120-FEA3-4CCA-8A96-89CFFB77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267</TotalTime>
  <Pages>2</Pages>
  <Words>462</Words>
  <Characters>2640</Characters>
  <Application>Microsoft Office Word</Application>
  <DocSecurity>0</DocSecurity>
  <Lines>22</Lines>
  <Paragraphs>6</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165</cp:revision>
  <cp:lastPrinted>2018-12-04T07:53:00Z</cp:lastPrinted>
  <dcterms:created xsi:type="dcterms:W3CDTF">2021-05-26T07:58:00Z</dcterms:created>
  <dcterms:modified xsi:type="dcterms:W3CDTF">2021-06-14T10:14:00Z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