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73A4C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DADED94" w14:textId="77777777" w:rsidR="002D5AAC" w:rsidRDefault="002D5AAC" w:rsidP="005E40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480045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33FCBD" w14:textId="3018294D" w:rsidR="002D5AAC" w:rsidRDefault="005E4035" w:rsidP="005E4035">
            <w:pPr>
              <w:jc w:val="right"/>
            </w:pPr>
            <w:r w:rsidRPr="005E4035">
              <w:rPr>
                <w:sz w:val="40"/>
              </w:rPr>
              <w:t>ECE</w:t>
            </w:r>
            <w:r>
              <w:t>/TRANS/WP.15/AC.2/2021/29</w:t>
            </w:r>
          </w:p>
        </w:tc>
      </w:tr>
      <w:tr w:rsidR="002D5AAC" w:rsidRPr="005E4035" w14:paraId="19CC2D2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85DA2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3432920" wp14:editId="728DB8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10202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6377CA" w14:textId="77777777" w:rsidR="002D5AAC" w:rsidRDefault="005E403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77B3FB" w14:textId="52451E91" w:rsidR="005E4035" w:rsidRDefault="005E4035" w:rsidP="005E40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 2021</w:t>
            </w:r>
          </w:p>
          <w:p w14:paraId="3EE618B0" w14:textId="77777777" w:rsidR="005E4035" w:rsidRDefault="005E4035" w:rsidP="005E40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5AD70C5" w14:textId="742D3D61" w:rsidR="005E4035" w:rsidRPr="008D53B6" w:rsidRDefault="005E4035" w:rsidP="005E40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8ED071C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92617C2" w14:textId="77777777" w:rsidR="005E4035" w:rsidRPr="005E4035" w:rsidRDefault="005E4035" w:rsidP="00AC6316">
      <w:pPr>
        <w:spacing w:before="120"/>
        <w:rPr>
          <w:sz w:val="28"/>
          <w:szCs w:val="28"/>
        </w:rPr>
      </w:pPr>
      <w:r w:rsidRPr="005E4035">
        <w:rPr>
          <w:sz w:val="28"/>
          <w:szCs w:val="28"/>
        </w:rPr>
        <w:t>Комитет по внутреннему транспорту</w:t>
      </w:r>
    </w:p>
    <w:p w14:paraId="056A3869" w14:textId="77777777" w:rsidR="005E4035" w:rsidRPr="005E4035" w:rsidRDefault="005E4035" w:rsidP="00AC6316">
      <w:pPr>
        <w:spacing w:before="120"/>
        <w:rPr>
          <w:b/>
          <w:sz w:val="24"/>
          <w:szCs w:val="28"/>
        </w:rPr>
      </w:pPr>
      <w:r w:rsidRPr="005E4035">
        <w:rPr>
          <w:b/>
          <w:bCs/>
          <w:sz w:val="24"/>
          <w:szCs w:val="28"/>
        </w:rPr>
        <w:t>Рабочая группа по перевозкам опасных грузов</w:t>
      </w:r>
    </w:p>
    <w:p w14:paraId="5702B9D5" w14:textId="6FCD7106" w:rsidR="005E4035" w:rsidRPr="005E4035" w:rsidRDefault="005E4035" w:rsidP="00AC6316">
      <w:pPr>
        <w:spacing w:before="120"/>
        <w:rPr>
          <w:b/>
        </w:rPr>
      </w:pPr>
      <w:r w:rsidRPr="005E4035">
        <w:rPr>
          <w:b/>
          <w:bCs/>
        </w:rPr>
        <w:t xml:space="preserve">Совместное совещание экспертов по Правилам, </w:t>
      </w:r>
      <w:r w:rsidR="00AC6316">
        <w:rPr>
          <w:b/>
          <w:bCs/>
        </w:rPr>
        <w:br/>
      </w:r>
      <w:r w:rsidRPr="005E4035">
        <w:rPr>
          <w:b/>
          <w:bCs/>
        </w:rPr>
        <w:t xml:space="preserve">прилагаемым к Европейскому соглашению </w:t>
      </w:r>
      <w:r w:rsidR="00AC6316">
        <w:rPr>
          <w:b/>
          <w:bCs/>
        </w:rPr>
        <w:br/>
      </w:r>
      <w:r w:rsidRPr="005E4035">
        <w:rPr>
          <w:b/>
          <w:bCs/>
        </w:rPr>
        <w:t xml:space="preserve">о международной перевозке опасных грузов </w:t>
      </w:r>
      <w:r w:rsidR="00AC6316">
        <w:rPr>
          <w:b/>
          <w:bCs/>
        </w:rPr>
        <w:br/>
      </w:r>
      <w:r w:rsidRPr="005E4035">
        <w:rPr>
          <w:b/>
          <w:bCs/>
        </w:rPr>
        <w:t>по внутренним водным путям (ВОПОГ)</w:t>
      </w:r>
    </w:p>
    <w:p w14:paraId="1EA0083B" w14:textId="77777777" w:rsidR="005E4035" w:rsidRPr="005E4035" w:rsidRDefault="005E4035" w:rsidP="005E4035">
      <w:pPr>
        <w:rPr>
          <w:b/>
        </w:rPr>
      </w:pPr>
      <w:r w:rsidRPr="005E4035">
        <w:rPr>
          <w:b/>
          <w:bCs/>
        </w:rPr>
        <w:t>(Комитет по вопросам безопасности ВОПОГ)</w:t>
      </w:r>
    </w:p>
    <w:p w14:paraId="7C688FD4" w14:textId="77777777" w:rsidR="005E4035" w:rsidRPr="005E4035" w:rsidRDefault="005E4035" w:rsidP="00AC6316">
      <w:pPr>
        <w:spacing w:before="120"/>
        <w:rPr>
          <w:b/>
        </w:rPr>
      </w:pPr>
      <w:r w:rsidRPr="005E4035">
        <w:rPr>
          <w:b/>
          <w:bCs/>
        </w:rPr>
        <w:t>Тридцать восьмая сессия</w:t>
      </w:r>
    </w:p>
    <w:p w14:paraId="5262B465" w14:textId="77777777" w:rsidR="005E4035" w:rsidRPr="005E4035" w:rsidRDefault="005E4035" w:rsidP="005E4035">
      <w:r w:rsidRPr="005E4035">
        <w:t>Женева, 23‒27 августа 2021 года</w:t>
      </w:r>
    </w:p>
    <w:p w14:paraId="2FAF749D" w14:textId="77777777" w:rsidR="005E4035" w:rsidRPr="005E4035" w:rsidRDefault="005E4035" w:rsidP="005E4035">
      <w:r w:rsidRPr="005E4035">
        <w:t>Пункт 4 b) предварительной повестки дня</w:t>
      </w:r>
    </w:p>
    <w:p w14:paraId="7919706A" w14:textId="2F759A48" w:rsidR="005E4035" w:rsidRPr="005E4035" w:rsidRDefault="005E4035" w:rsidP="005E4035">
      <w:pPr>
        <w:rPr>
          <w:b/>
          <w:bCs/>
        </w:rPr>
      </w:pPr>
      <w:r w:rsidRPr="005E4035">
        <w:rPr>
          <w:b/>
          <w:bCs/>
        </w:rPr>
        <w:t xml:space="preserve">Предложения о внесении поправок в Правила, </w:t>
      </w:r>
      <w:r w:rsidR="00AC6316">
        <w:rPr>
          <w:b/>
          <w:bCs/>
        </w:rPr>
        <w:br/>
      </w:r>
      <w:r w:rsidRPr="005E4035">
        <w:rPr>
          <w:b/>
          <w:bCs/>
        </w:rPr>
        <w:t>прилагаемые к ВОПОГ:</w:t>
      </w:r>
    </w:p>
    <w:p w14:paraId="54ABA106" w14:textId="5FFA9A5A" w:rsidR="00E12C5F" w:rsidRDefault="005E4035" w:rsidP="005E4035">
      <w:r w:rsidRPr="005E4035">
        <w:rPr>
          <w:b/>
          <w:bCs/>
        </w:rPr>
        <w:t>другие предложения</w:t>
      </w:r>
    </w:p>
    <w:p w14:paraId="40A49829" w14:textId="04E4DE1D" w:rsidR="005E4035" w:rsidRPr="005E4035" w:rsidRDefault="005E4035" w:rsidP="005E4035">
      <w:pPr>
        <w:pStyle w:val="HChG"/>
      </w:pPr>
      <w:r w:rsidRPr="005E4035">
        <w:tab/>
      </w:r>
      <w:r w:rsidRPr="005E4035">
        <w:tab/>
        <w:t>Доклад о работе пятого совещания неофициальной рабочей группы по вопросу о «погрузке поверх на</w:t>
      </w:r>
      <w:r>
        <w:rPr>
          <w:lang w:val="en-US"/>
        </w:rPr>
        <w:t> </w:t>
      </w:r>
      <w:r w:rsidRPr="005E4035">
        <w:t>баржах»</w:t>
      </w:r>
    </w:p>
    <w:p w14:paraId="63695082" w14:textId="77C7425B" w:rsidR="005E4035" w:rsidRDefault="005E4035" w:rsidP="00716E30">
      <w:pPr>
        <w:pStyle w:val="H1G"/>
      </w:pPr>
      <w:r w:rsidRPr="005E4035">
        <w:tab/>
      </w:r>
      <w:r w:rsidRPr="005E4035">
        <w:tab/>
        <w:t>Представлено правительством Нидерландов</w:t>
      </w:r>
      <w:r w:rsidRPr="005E4035">
        <w:rPr>
          <w:b w:val="0"/>
          <w:sz w:val="20"/>
          <w:szCs w:val="16"/>
        </w:rPr>
        <w:footnoteReference w:customMarkFollows="1" w:id="1"/>
        <w:t>*</w:t>
      </w:r>
      <w:r w:rsidRPr="005E4035">
        <w:rPr>
          <w:b w:val="0"/>
          <w:sz w:val="20"/>
          <w:szCs w:val="16"/>
          <w:vertAlign w:val="superscript"/>
        </w:rPr>
        <w:t xml:space="preserve"> </w:t>
      </w:r>
      <w:r w:rsidRPr="005E4035">
        <w:rPr>
          <w:b w:val="0"/>
          <w:sz w:val="20"/>
          <w:szCs w:val="16"/>
        </w:rPr>
        <w:footnoteReference w:customMarkFollows="1" w:id="2"/>
        <w:t>**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5953"/>
      </w:tblGrid>
      <w:tr w:rsidR="005E4035" w:rsidRPr="003134DF" w14:paraId="2677CBF4" w14:textId="77777777" w:rsidTr="00716E30">
        <w:trPr>
          <w:jc w:val="center"/>
        </w:trPr>
        <w:tc>
          <w:tcPr>
            <w:tcW w:w="2846" w:type="dxa"/>
          </w:tcPr>
          <w:p w14:paraId="5F0FF5A0" w14:textId="77777777" w:rsidR="005E4035" w:rsidRPr="00F52A7E" w:rsidRDefault="005E4035" w:rsidP="00265596">
            <w:pPr>
              <w:tabs>
                <w:tab w:val="left" w:pos="284"/>
              </w:tabs>
              <w:spacing w:before="120" w:after="100" w:afterAutospacing="1"/>
              <w:ind w:left="208"/>
              <w:rPr>
                <w:b/>
                <w:sz w:val="24"/>
                <w:szCs w:val="24"/>
              </w:rPr>
            </w:pPr>
            <w:r w:rsidRPr="00F52A7E">
              <w:rPr>
                <w:i/>
                <w:iCs/>
                <w:sz w:val="24"/>
                <w:szCs w:val="24"/>
              </w:rPr>
              <w:t>Резюме</w:t>
            </w:r>
          </w:p>
        </w:tc>
        <w:tc>
          <w:tcPr>
            <w:tcW w:w="5953" w:type="dxa"/>
          </w:tcPr>
          <w:p w14:paraId="024EDCC3" w14:textId="77777777" w:rsidR="005E4035" w:rsidRDefault="005E4035" w:rsidP="0030574F">
            <w:pPr>
              <w:spacing w:before="120" w:after="100" w:afterAutospacing="1"/>
              <w:rPr>
                <w:bCs/>
                <w:szCs w:val="24"/>
              </w:rPr>
            </w:pPr>
          </w:p>
        </w:tc>
      </w:tr>
      <w:tr w:rsidR="005E4035" w:rsidRPr="005541D7" w14:paraId="31898406" w14:textId="77777777" w:rsidTr="00716E30">
        <w:trPr>
          <w:jc w:val="center"/>
        </w:trPr>
        <w:tc>
          <w:tcPr>
            <w:tcW w:w="2846" w:type="dxa"/>
          </w:tcPr>
          <w:p w14:paraId="5CD82270" w14:textId="77777777" w:rsidR="005E4035" w:rsidRPr="003134DF" w:rsidRDefault="005E4035" w:rsidP="00265596">
            <w:pPr>
              <w:tabs>
                <w:tab w:val="left" w:pos="284"/>
              </w:tabs>
              <w:spacing w:before="120" w:after="100" w:afterAutospacing="1"/>
              <w:ind w:left="208"/>
            </w:pPr>
            <w:r>
              <w:rPr>
                <w:b/>
                <w:bCs/>
              </w:rPr>
              <w:t>Существо предложения:</w:t>
            </w:r>
          </w:p>
        </w:tc>
        <w:tc>
          <w:tcPr>
            <w:tcW w:w="5953" w:type="dxa"/>
          </w:tcPr>
          <w:p w14:paraId="6AAE0883" w14:textId="77777777" w:rsidR="005E4035" w:rsidRPr="00AB076E" w:rsidRDefault="005E4035" w:rsidP="0030574F">
            <w:pPr>
              <w:spacing w:before="120" w:after="100" w:afterAutospacing="1"/>
            </w:pPr>
            <w:r>
              <w:t>Неофициальная рабочая группа определила три различных типа операций по погрузке поверх.</w:t>
            </w:r>
          </w:p>
        </w:tc>
      </w:tr>
      <w:tr w:rsidR="005E4035" w:rsidRPr="005541D7" w14:paraId="59E064F3" w14:textId="77777777" w:rsidTr="00716E30">
        <w:trPr>
          <w:trHeight w:val="509"/>
          <w:jc w:val="center"/>
        </w:trPr>
        <w:tc>
          <w:tcPr>
            <w:tcW w:w="2846" w:type="dxa"/>
            <w:tcBorders>
              <w:bottom w:val="nil"/>
            </w:tcBorders>
          </w:tcPr>
          <w:p w14:paraId="039AAC61" w14:textId="77777777" w:rsidR="005E4035" w:rsidRPr="003134DF" w:rsidRDefault="005E4035" w:rsidP="00265596">
            <w:pPr>
              <w:tabs>
                <w:tab w:val="left" w:pos="284"/>
              </w:tabs>
              <w:spacing w:before="120" w:after="100" w:afterAutospacing="1"/>
              <w:ind w:left="208"/>
              <w:rPr>
                <w:b/>
              </w:rPr>
            </w:pPr>
            <w:r>
              <w:rPr>
                <w:b/>
                <w:bCs/>
              </w:rPr>
              <w:t>Предлагаемое решение:</w:t>
            </w:r>
          </w:p>
        </w:tc>
        <w:tc>
          <w:tcPr>
            <w:tcW w:w="5953" w:type="dxa"/>
            <w:tcBorders>
              <w:bottom w:val="nil"/>
            </w:tcBorders>
          </w:tcPr>
          <w:p w14:paraId="5FD3C2AE" w14:textId="77777777" w:rsidR="005E4035" w:rsidRPr="00AB076E" w:rsidRDefault="005E4035" w:rsidP="0030574F">
            <w:pPr>
              <w:spacing w:before="120" w:after="120"/>
            </w:pPr>
            <w:r>
              <w:t>В пунктах 11 и 12 Комитету по вопросам безопасности ВОПОГ предлагается рассмотреть результаты работы неофициальной рабочей группы и принять соответствующее решение.</w:t>
            </w:r>
          </w:p>
        </w:tc>
      </w:tr>
      <w:tr w:rsidR="005E4035" w:rsidRPr="005E4035" w14:paraId="114C8852" w14:textId="77777777" w:rsidTr="00716E30">
        <w:trPr>
          <w:jc w:val="center"/>
        </w:trPr>
        <w:tc>
          <w:tcPr>
            <w:tcW w:w="2846" w:type="dxa"/>
            <w:tcBorders>
              <w:top w:val="nil"/>
              <w:bottom w:val="nil"/>
            </w:tcBorders>
          </w:tcPr>
          <w:p w14:paraId="108DB305" w14:textId="77777777" w:rsidR="005E4035" w:rsidRPr="003134DF" w:rsidRDefault="005E4035" w:rsidP="00265596">
            <w:pPr>
              <w:tabs>
                <w:tab w:val="left" w:pos="284"/>
              </w:tabs>
              <w:spacing w:after="100" w:afterAutospacing="1"/>
              <w:ind w:left="208"/>
              <w:rPr>
                <w:b/>
              </w:rPr>
            </w:pPr>
            <w:r>
              <w:rPr>
                <w:b/>
                <w:bCs/>
              </w:rPr>
              <w:t>Справочные документы:</w:t>
            </w: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27197A25" w14:textId="77777777" w:rsidR="005E4035" w:rsidRPr="00AB076E" w:rsidRDefault="005E4035" w:rsidP="0030574F">
            <w:pPr>
              <w:spacing w:before="120" w:after="100" w:afterAutospacing="1" w:line="240" w:lineRule="auto"/>
              <w:contextualSpacing/>
            </w:pPr>
            <w:r>
              <w:t>Неофициальный документ INF.15 тридцатой сессии</w:t>
            </w:r>
          </w:p>
          <w:p w14:paraId="176FA12E" w14:textId="77777777" w:rsidR="005E4035" w:rsidRPr="00AB076E" w:rsidRDefault="005E4035" w:rsidP="0030574F">
            <w:pPr>
              <w:spacing w:after="100" w:afterAutospacing="1" w:line="240" w:lineRule="auto"/>
              <w:contextualSpacing/>
            </w:pPr>
            <w:r>
              <w:t>Неофициальный документ INF.6 тридцать первой сессии в качестве добавления к документу ECE/TRANS/WP.15/AC.2/2017/44</w:t>
            </w:r>
          </w:p>
          <w:p w14:paraId="30871CFB" w14:textId="77777777" w:rsidR="005E4035" w:rsidRPr="00AB076E" w:rsidRDefault="005E4035" w:rsidP="0030574F">
            <w:pPr>
              <w:spacing w:after="100" w:afterAutospacing="1" w:line="240" w:lineRule="auto"/>
              <w:contextualSpacing/>
            </w:pPr>
            <w:r>
              <w:t>Неофициальный документ INF.9 тридцать второй сессии</w:t>
            </w:r>
          </w:p>
          <w:p w14:paraId="4A6F96A9" w14:textId="77777777" w:rsidR="005E4035" w:rsidRDefault="005E4035" w:rsidP="0030574F">
            <w:pPr>
              <w:spacing w:after="100" w:afterAutospacing="1" w:line="240" w:lineRule="auto"/>
              <w:contextualSpacing/>
            </w:pPr>
            <w:r>
              <w:t>ECE/TRANS/WP.15/AC.2/2018/39</w:t>
            </w:r>
          </w:p>
          <w:p w14:paraId="35F3A431" w14:textId="77777777" w:rsidR="005E4035" w:rsidRPr="00AB076E" w:rsidRDefault="005E4035" w:rsidP="0030574F">
            <w:pPr>
              <w:spacing w:after="100" w:afterAutospacing="1" w:line="240" w:lineRule="auto"/>
              <w:contextualSpacing/>
              <w:rPr>
                <w:bCs/>
                <w:spacing w:val="-4"/>
              </w:rPr>
            </w:pPr>
            <w:r>
              <w:t>Неофициальный документ INF.17 тридцать третьей сессии</w:t>
            </w:r>
          </w:p>
          <w:p w14:paraId="5EEEBAA0" w14:textId="4DAC855C" w:rsidR="005E4035" w:rsidRDefault="005E4035" w:rsidP="0030574F">
            <w:pPr>
              <w:spacing w:after="100" w:afterAutospacing="1" w:line="240" w:lineRule="auto"/>
              <w:contextualSpacing/>
            </w:pPr>
            <w:r>
              <w:t>ECE/TRANS/WP.15/AC.2/70</w:t>
            </w:r>
          </w:p>
          <w:p w14:paraId="077A6944" w14:textId="77777777" w:rsidR="005E4035" w:rsidRPr="00AB076E" w:rsidRDefault="005E4035" w:rsidP="0030574F">
            <w:pPr>
              <w:spacing w:after="100" w:afterAutospacing="1" w:line="240" w:lineRule="auto"/>
              <w:contextualSpacing/>
            </w:pPr>
            <w:r>
              <w:t>Неофициальный документ INF.5 тридцать пятой сессии</w:t>
            </w:r>
          </w:p>
          <w:p w14:paraId="004FD289" w14:textId="6C27294B" w:rsidR="005E4035" w:rsidRPr="00265596" w:rsidRDefault="005E4035" w:rsidP="00265596">
            <w:pPr>
              <w:spacing w:after="100" w:afterAutospacing="1" w:line="240" w:lineRule="auto"/>
              <w:contextualSpacing/>
            </w:pPr>
            <w:r>
              <w:t>ECE/TRANS/WP.15/AC.2/72</w:t>
            </w:r>
          </w:p>
        </w:tc>
      </w:tr>
      <w:tr w:rsidR="00265596" w:rsidRPr="005E4035" w14:paraId="7D97F2BB" w14:textId="77777777" w:rsidTr="00716E30">
        <w:trPr>
          <w:jc w:val="center"/>
        </w:trPr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14:paraId="310BCCD3" w14:textId="77777777" w:rsidR="00265596" w:rsidRDefault="00265596" w:rsidP="0030574F">
            <w:pPr>
              <w:tabs>
                <w:tab w:val="left" w:pos="284"/>
              </w:tabs>
              <w:spacing w:after="100" w:afterAutospacing="1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44A98D33" w14:textId="77777777" w:rsidR="00265596" w:rsidRPr="00AB076E" w:rsidRDefault="00265596" w:rsidP="00265596">
            <w:pPr>
              <w:spacing w:after="100" w:afterAutospacing="1" w:line="240" w:lineRule="auto"/>
              <w:contextualSpacing/>
              <w:rPr>
                <w:bCs/>
                <w:spacing w:val="-4"/>
              </w:rPr>
            </w:pPr>
            <w:r>
              <w:t>Неофициальный документ INF.5 тридцать шестой сессии</w:t>
            </w:r>
          </w:p>
          <w:p w14:paraId="379AC814" w14:textId="77777777" w:rsidR="00265596" w:rsidRPr="005E4035" w:rsidRDefault="00265596" w:rsidP="00265596">
            <w:pPr>
              <w:spacing w:after="100" w:afterAutospacing="1" w:line="240" w:lineRule="auto"/>
              <w:contextualSpacing/>
              <w:rPr>
                <w:lang w:val="en-US"/>
              </w:rPr>
            </w:pPr>
            <w:r w:rsidRPr="00AB076E">
              <w:rPr>
                <w:lang w:val="en-US"/>
              </w:rPr>
              <w:t>ECE/TRANS/WP.15/AC.2/74</w:t>
            </w:r>
          </w:p>
          <w:p w14:paraId="2CBD84AF" w14:textId="47FA65FB" w:rsidR="00265596" w:rsidRDefault="00265596" w:rsidP="00265596">
            <w:pPr>
              <w:spacing w:before="120" w:after="100" w:afterAutospacing="1" w:line="240" w:lineRule="auto"/>
              <w:contextualSpacing/>
            </w:pPr>
            <w:r w:rsidRPr="00AB076E">
              <w:rPr>
                <w:lang w:val="en-US"/>
              </w:rPr>
              <w:t>ECE/TRANS/WP.15/AC.2/76</w:t>
            </w:r>
          </w:p>
        </w:tc>
      </w:tr>
    </w:tbl>
    <w:p w14:paraId="6AF316FB" w14:textId="77777777" w:rsidR="002C0CFB" w:rsidRPr="002C0CFB" w:rsidRDefault="002C0CFB" w:rsidP="002C0CFB">
      <w:pPr>
        <w:pStyle w:val="HChG"/>
      </w:pPr>
      <w:r w:rsidRPr="002C0CFB">
        <w:rPr>
          <w:lang w:val="en-US"/>
        </w:rPr>
        <w:tab/>
      </w:r>
      <w:r w:rsidRPr="002C0CFB">
        <w:rPr>
          <w:lang w:val="en-US"/>
        </w:rPr>
        <w:tab/>
      </w:r>
      <w:r w:rsidRPr="002C0CFB">
        <w:t>Введение</w:t>
      </w:r>
    </w:p>
    <w:p w14:paraId="0AC59AA4" w14:textId="77777777" w:rsidR="002C0CFB" w:rsidRPr="002C0CFB" w:rsidRDefault="002C0CFB" w:rsidP="002C0CFB">
      <w:pPr>
        <w:pStyle w:val="SingleTxtG"/>
        <w:rPr>
          <w:i/>
        </w:rPr>
      </w:pPr>
      <w:r w:rsidRPr="002C0CFB">
        <w:t>1.</w:t>
      </w:r>
      <w:r w:rsidRPr="002C0CFB">
        <w:tab/>
        <w:t>Комитет по вопросам безопасности ВОПОГ, возможно, помнит, что на его тридцать шестой сессии мандат неофициальной рабочей группы был продлен и ей было предложено использовать двухэтапный подход:</w:t>
      </w:r>
    </w:p>
    <w:p w14:paraId="59CA3801" w14:textId="77777777" w:rsidR="002C0CFB" w:rsidRPr="002C0CFB" w:rsidRDefault="002C0CFB" w:rsidP="002C0CFB">
      <w:pPr>
        <w:pStyle w:val="SingleTxtG"/>
        <w:rPr>
          <w:i/>
        </w:rPr>
      </w:pPr>
      <w:r w:rsidRPr="002C0CFB">
        <w:t>«</w:t>
      </w:r>
      <w:r w:rsidRPr="002C0CFB">
        <w:rPr>
          <w:i/>
          <w:iCs/>
        </w:rPr>
        <w:t>Комитет по вопросам безопасности принял к сведению итоги четвертого совещания неофициальной рабочей группы по вопросу о погрузке поверх на баржах и призвал эту группу продолжить работу в соответствии с ее мандатом.</w:t>
      </w:r>
      <w:r w:rsidRPr="002C0CFB">
        <w:t xml:space="preserve"> </w:t>
      </w:r>
      <w:r w:rsidRPr="002C0CFB">
        <w:rPr>
          <w:i/>
          <w:iCs/>
        </w:rPr>
        <w:t>Было рекомендовано использовать двухэтапный подход: а) проанализировать, является ли ВОПОГ надлежащим правовым документом для включения в него предписаний в отношении операций по погрузке поверх на баржах, и b) организовать, насколько это возможно, параллельную работу по многочисленным задачам, перечисленным в неофициальном документе INF.5.</w:t>
      </w:r>
      <w:r w:rsidRPr="002C0CFB">
        <w:t xml:space="preserve"> </w:t>
      </w:r>
      <w:r w:rsidRPr="002C0CFB">
        <w:rPr>
          <w:i/>
          <w:iCs/>
        </w:rPr>
        <w:t>Председатель предложил всем заинтересованным сторонам принять участие в этой работе.</w:t>
      </w:r>
      <w:r w:rsidRPr="002C0CFB">
        <w:t>».</w:t>
      </w:r>
    </w:p>
    <w:p w14:paraId="3DD36192" w14:textId="77777777" w:rsidR="002C0CFB" w:rsidRPr="002C0CFB" w:rsidRDefault="002C0CFB" w:rsidP="002C0CFB">
      <w:pPr>
        <w:pStyle w:val="SingleTxtG"/>
      </w:pPr>
      <w:r w:rsidRPr="002C0CFB">
        <w:t>2.</w:t>
      </w:r>
      <w:r w:rsidRPr="002C0CFB">
        <w:tab/>
        <w:t>Неофициальная рабочая группа провела дистанционную рабочую сессию 22 и 23 апреля 2021 года. В работе сессии приняли участие представители Европейской ассоциации оптовых поставщиков нефтепродуктов (ЕАОН), Европейского союза речного судоходства (ЕСРС), Европейской организации судоводителей (ЕОС), Федерации европейских ассоциаций владельцев цистерн-хранилищ (ФЕТСА), Европейской ассоциации нефтеперерабатывающей промышленности («Фьюэлз-Юроп»), Германии и Нидерландов.</w:t>
      </w:r>
    </w:p>
    <w:p w14:paraId="7152E465" w14:textId="77777777" w:rsidR="002C0CFB" w:rsidRPr="002C0CFB" w:rsidRDefault="002C0CFB" w:rsidP="002C0CFB">
      <w:pPr>
        <w:pStyle w:val="HChG"/>
      </w:pPr>
      <w:r w:rsidRPr="002C0CFB">
        <w:tab/>
      </w:r>
      <w:r w:rsidRPr="002C0CFB">
        <w:tab/>
        <w:t>Соображения</w:t>
      </w:r>
    </w:p>
    <w:p w14:paraId="1410E60A" w14:textId="77777777" w:rsidR="002C0CFB" w:rsidRPr="002C0CFB" w:rsidRDefault="002C0CFB" w:rsidP="002C0CFB">
      <w:pPr>
        <w:pStyle w:val="SingleTxtG"/>
      </w:pPr>
      <w:r w:rsidRPr="002C0CFB">
        <w:t>3.</w:t>
      </w:r>
      <w:r w:rsidRPr="002C0CFB">
        <w:tab/>
        <w:t>Для того чтобы проанализировать, является ли ВОПОГ надлежащим правовым документом для включения в него предписаний в отношении операций по погрузке поверх, неофициальная рабочая группа определила три различных типа погрузки поверх:</w:t>
      </w:r>
    </w:p>
    <w:p w14:paraId="6755BE1C" w14:textId="24E9F9A4" w:rsidR="002C0CFB" w:rsidRPr="002C0CFB" w:rsidRDefault="002C0CFB" w:rsidP="002C0CFB">
      <w:pPr>
        <w:pStyle w:val="SingleTxtG"/>
      </w:pPr>
      <w:r>
        <w:tab/>
      </w:r>
      <w:r w:rsidRPr="002C0CFB">
        <w:t>a)</w:t>
      </w:r>
      <w:r w:rsidRPr="002C0CFB">
        <w:tab/>
        <w:t>погрузка такого же груза поверх опасных грузов, т. е. погрузка опасного груза поверх опасного груза, имеющего тот же номер ООН и ту же позицию в таблице</w:t>
      </w:r>
      <w:r>
        <w:rPr>
          <w:lang w:val="en-US"/>
        </w:rPr>
        <w:t> </w:t>
      </w:r>
      <w:r w:rsidRPr="002C0CFB">
        <w:t>С;</w:t>
      </w:r>
    </w:p>
    <w:p w14:paraId="5F6B2604" w14:textId="068DF1EA" w:rsidR="002C0CFB" w:rsidRPr="002C0CFB" w:rsidRDefault="002C0CFB" w:rsidP="002C0CFB">
      <w:pPr>
        <w:pStyle w:val="SingleTxtG"/>
      </w:pPr>
      <w:r>
        <w:tab/>
      </w:r>
      <w:r w:rsidRPr="002C0CFB">
        <w:t>b)</w:t>
      </w:r>
      <w:r w:rsidRPr="002C0CFB">
        <w:tab/>
        <w:t>погрузка неопасных грузов поверх опасных грузов; например, погрузка биокомпонентов поверх дизельного топлива (№ ООН 1202) или наоборот;</w:t>
      </w:r>
    </w:p>
    <w:p w14:paraId="2C9E4C3C" w14:textId="0E864FD7" w:rsidR="002C0CFB" w:rsidRPr="002C0CFB" w:rsidRDefault="002C0CFB" w:rsidP="002C0CFB">
      <w:pPr>
        <w:pStyle w:val="SingleTxtG"/>
      </w:pPr>
      <w:r>
        <w:tab/>
      </w:r>
      <w:r w:rsidRPr="002C0CFB">
        <w:t>c)</w:t>
      </w:r>
      <w:r w:rsidRPr="002C0CFB">
        <w:tab/>
        <w:t>погрузка одного опасного груза поверх другого опасного груза; например, погрузка этанола (№ ООН 1170) поверх дизельного топлива (№ ООН 1202) или наоборот.</w:t>
      </w:r>
    </w:p>
    <w:p w14:paraId="4FDF5909" w14:textId="77777777" w:rsidR="002C0CFB" w:rsidRPr="002C0CFB" w:rsidRDefault="002C0CFB" w:rsidP="002C0CFB">
      <w:pPr>
        <w:pStyle w:val="HChG"/>
      </w:pPr>
      <w:r w:rsidRPr="002C0CFB">
        <w:tab/>
      </w:r>
      <w:r w:rsidRPr="002C0CFB">
        <w:tab/>
        <w:t>Погрузка поверх такого же груза</w:t>
      </w:r>
    </w:p>
    <w:p w14:paraId="466793CC" w14:textId="77777777" w:rsidR="002C0CFB" w:rsidRPr="002C0CFB" w:rsidRDefault="002C0CFB" w:rsidP="002C0CFB">
      <w:pPr>
        <w:pStyle w:val="SingleTxtG"/>
      </w:pPr>
      <w:r w:rsidRPr="002C0CFB">
        <w:t>4.</w:t>
      </w:r>
      <w:r w:rsidRPr="002C0CFB">
        <w:tab/>
        <w:t>Что касается погрузки поверх такого же груза (пункт 3 a)), неофициальная рабочая группа приняла во внимание, что погрузка поверх такого же груза никогда не может привести к началу процесса (химического или иного), ведущего к изменению классификации исходного или добавленного вещества. Поэтому погрузка поверх никогда не может привести к иной классификации перевозимых веществ. Неофициальная рабочая группа вновь заявила, что смешивание механическими средствами веществ в грузовых танках не предполагается и не допускается.</w:t>
      </w:r>
    </w:p>
    <w:p w14:paraId="0E9DD7AC" w14:textId="77777777" w:rsidR="002C0CFB" w:rsidRPr="002C0CFB" w:rsidRDefault="002C0CFB" w:rsidP="002C0CFB">
      <w:pPr>
        <w:pStyle w:val="SingleTxtG"/>
      </w:pPr>
      <w:r w:rsidRPr="002C0CFB">
        <w:t>5.</w:t>
      </w:r>
      <w:r w:rsidRPr="002C0CFB">
        <w:tab/>
        <w:t xml:space="preserve">Неофициальная рабочая группа отметила сходство между этими операциями по погрузке поверх и погрузкой веществ в порожние неочищенные танки, содержащие остатки ранее перевозившихся грузов, что допускается согласно пункту 7.2.4.13.1, при </w:t>
      </w:r>
      <w:r w:rsidRPr="002C0CFB">
        <w:lastRenderedPageBreak/>
        <w:t>условии, что остатки предыдущего груза не вступят в опасную реакцию со следующим грузом.</w:t>
      </w:r>
    </w:p>
    <w:p w14:paraId="58679DCD" w14:textId="77777777" w:rsidR="002C0CFB" w:rsidRPr="002C0CFB" w:rsidRDefault="002C0CFB" w:rsidP="002C0CFB">
      <w:pPr>
        <w:pStyle w:val="SingleTxtG"/>
      </w:pPr>
      <w:r w:rsidRPr="002C0CFB">
        <w:t>6.</w:t>
      </w:r>
      <w:r w:rsidRPr="002C0CFB">
        <w:tab/>
        <w:t>Поэтому неофициальная рабочая группа посчитала, что ВОПОГ является надлежащим правовым документом для включения в него предписаний в отношении этих операций и что эти операции не запрещены ВОПОГ.</w:t>
      </w:r>
    </w:p>
    <w:p w14:paraId="1A1DA3C8" w14:textId="77777777" w:rsidR="002C0CFB" w:rsidRPr="002C0CFB" w:rsidRDefault="002C0CFB" w:rsidP="002C0CFB">
      <w:pPr>
        <w:pStyle w:val="SingleTxtG"/>
      </w:pPr>
      <w:r w:rsidRPr="002C0CFB">
        <w:t>7.</w:t>
      </w:r>
      <w:r w:rsidRPr="002C0CFB">
        <w:tab/>
        <w:t>Было отмечено, что, возможно, небольшое число «общих позиций “н.у.к.”» (пункт 2.1.1.2, тип D) могут быть определены настолько широко, что к одной и той же позиции в таблице С можно отнести различные вещества, которые могут опасно реагировать друг с другом. Поэтому неофициальная рабочая группа предлагает, чтобы Комитет по вопросам безопасности ВОПОГ попросил неофициальную рабочую группу по веществам изучить этот вопрос и составить перечень позиций таблицы С, в рамках которых могут быть предусмотрены различные вещества, которые могут реагировать друг с другом. Эти позиции в таблице С можно идентифицировать как не допускающие погрузки поверх включенных в них веществ с помощью указания специального положения или замечания в колонке 20 таблицы С, в зависимости от того, что будет сочтено наиболее подходящим.</w:t>
      </w:r>
    </w:p>
    <w:p w14:paraId="7E20EF1E" w14:textId="77777777" w:rsidR="002C0CFB" w:rsidRPr="002C0CFB" w:rsidRDefault="002C0CFB" w:rsidP="002C0CFB">
      <w:pPr>
        <w:pStyle w:val="HChG"/>
      </w:pPr>
      <w:r w:rsidRPr="002C0CFB">
        <w:tab/>
      </w:r>
      <w:r w:rsidRPr="002C0CFB">
        <w:tab/>
        <w:t>Погрузка поверх другого вещества</w:t>
      </w:r>
    </w:p>
    <w:p w14:paraId="50824C55" w14:textId="190AB4DD" w:rsidR="002C0CFB" w:rsidRPr="002C0CFB" w:rsidRDefault="002C0CFB" w:rsidP="002C0CFB">
      <w:pPr>
        <w:pStyle w:val="SingleTxtG"/>
      </w:pPr>
      <w:r w:rsidRPr="002C0CFB">
        <w:t>8.</w:t>
      </w:r>
      <w:r w:rsidRPr="002C0CFB">
        <w:tab/>
        <w:t>Что касается погрузки поверх опасного вещества других веществ (пункты 3b) и</w:t>
      </w:r>
      <w:r>
        <w:rPr>
          <w:lang w:val="en-US"/>
        </w:rPr>
        <w:t> </w:t>
      </w:r>
      <w:r w:rsidRPr="002C0CFB">
        <w:t>3c)), неофициальная рабочая группа посчитала, что погрузка поверх другого груза приводит к процессу (т.</w:t>
      </w:r>
      <w:r>
        <w:rPr>
          <w:lang w:val="en-US"/>
        </w:rPr>
        <w:t> </w:t>
      </w:r>
      <w:r w:rsidRPr="002C0CFB">
        <w:t>е. смешиванию двух разных веществ), который может привести к изменению классификации исходного или добавленного вещества. Эти виды промышленных процессов на берегу в настоящее время предусмотрены природоохранным законодательством, использующим систему разрешений для установок с описанием того, какие промышленные процессы разрешены для каждой установки. В этих разрешениях учитываются местные условия. Поэтому неофициальная рабочая группа отметила, что хотела бы дополнительно изучить вопрос о том, могут ли эти разрешения стать правовым инструментом, с помощью которого можно было бы установить требования в отношении погрузки на судно поверх других веществ. Неофициальная рабочая группа отметила, что, по крайней мере в Нидерландах, для целей определенных погрузочных операций судно рассматривается как «часть установки».</w:t>
      </w:r>
    </w:p>
    <w:p w14:paraId="31B72B3A" w14:textId="77777777" w:rsidR="002C0CFB" w:rsidRPr="002C0CFB" w:rsidRDefault="002C0CFB" w:rsidP="002C0CFB">
      <w:pPr>
        <w:pStyle w:val="SingleTxtG"/>
      </w:pPr>
      <w:r w:rsidRPr="002C0CFB">
        <w:t>9.</w:t>
      </w:r>
      <w:r w:rsidRPr="002C0CFB">
        <w:tab/>
        <w:t>Возможно, что погрузка поверх других веществ на судно, соединенное с береговой установкой, может регулироваться разрешением, выданным этой береговой установке в соответствии с природоохранным законодательством. Такой подход приведет к созданию системы, в которой не будет пробелов в законодательстве, поскольку погрузку поверх других веществ можно будет производить только в тех местах, где смешивание этих веществ разрешено. Данный подход необходимо будет дополнить внесением поправок в ВОПОГ для обеспечения того, чтобы процесс смешивания веществ на судне в соответствии с разрешением, выданным береговой установке, был разрешен в ВОПОГ и чтобы он был безопасным, а также хорошо документированным, прозрачным и осуществимым.</w:t>
      </w:r>
    </w:p>
    <w:p w14:paraId="5B021B72" w14:textId="77777777" w:rsidR="002C0CFB" w:rsidRPr="002C0CFB" w:rsidRDefault="002C0CFB" w:rsidP="002C0CFB">
      <w:pPr>
        <w:pStyle w:val="SingleTxtG"/>
      </w:pPr>
      <w:r w:rsidRPr="002C0CFB">
        <w:t>10.</w:t>
      </w:r>
      <w:r w:rsidRPr="002C0CFB">
        <w:tab/>
        <w:t>В настоящее время неофициальная рабочая группа не располагает достаточной информацией, чтобы сделать вывод о том, что погрузка поверх других веществ может регулироваться с помощью данного подхода. Неофициальная рабочая группа хотела бы рассмотреть эту тему на своей следующей сессии, когда группе будет предоставлена дополнительная информация представителями промышленных сооружений и береговых установок.</w:t>
      </w:r>
    </w:p>
    <w:p w14:paraId="7AE3DA46" w14:textId="77777777" w:rsidR="002C0CFB" w:rsidRPr="002C0CFB" w:rsidRDefault="002C0CFB" w:rsidP="002C0CFB">
      <w:pPr>
        <w:pStyle w:val="HChG"/>
      </w:pPr>
      <w:r w:rsidRPr="002C0CFB">
        <w:tab/>
      </w:r>
      <w:r w:rsidRPr="002C0CFB">
        <w:tab/>
        <w:t>Предлагаемое решение</w:t>
      </w:r>
    </w:p>
    <w:p w14:paraId="1239A4EC" w14:textId="77777777" w:rsidR="002C0CFB" w:rsidRPr="002C0CFB" w:rsidRDefault="002C0CFB" w:rsidP="002C0CFB">
      <w:pPr>
        <w:pStyle w:val="SingleTxtG"/>
      </w:pPr>
      <w:r w:rsidRPr="002C0CFB">
        <w:t>11.</w:t>
      </w:r>
      <w:r w:rsidRPr="002C0CFB">
        <w:tab/>
        <w:t>Комитету по вопросам безопасности ВОПОГ предлагается рассмотреть доклад неофициальной рабочей группы и решить, может ли он поддержать выводы группы о погрузке поверх такого же груза, изложенные в пунктах 5 и 6.</w:t>
      </w:r>
    </w:p>
    <w:p w14:paraId="48789E04" w14:textId="726CF67A" w:rsidR="002C0CFB" w:rsidRPr="002C0CFB" w:rsidRDefault="002C0CFB" w:rsidP="002C0CFB">
      <w:pPr>
        <w:pStyle w:val="SingleTxtG"/>
      </w:pPr>
      <w:r w:rsidRPr="002C0CFB">
        <w:lastRenderedPageBreak/>
        <w:t>12.</w:t>
      </w:r>
      <w:r w:rsidRPr="002C0CFB">
        <w:tab/>
        <w:t xml:space="preserve">Комитету также предлагается рассмотреть анализ вопроса о погрузке поверх других веществ и решить, может ли группа продолжать работу в этом направлении. </w:t>
      </w:r>
      <w:r>
        <w:br/>
      </w:r>
      <w:r w:rsidRPr="002C0CFB">
        <w:t>В этом случае Комитету предлагается обратиться к неофициальной рабочей группе с просьбой рассмотреть следующие вопросы:</w:t>
      </w:r>
    </w:p>
    <w:p w14:paraId="5652E6B4" w14:textId="5938AB18" w:rsidR="002C0CFB" w:rsidRPr="002C0CFB" w:rsidRDefault="002C0CFB" w:rsidP="002C0CFB">
      <w:pPr>
        <w:pStyle w:val="SingleTxtG"/>
      </w:pPr>
      <w:r>
        <w:tab/>
      </w:r>
      <w:r w:rsidRPr="002C0CFB">
        <w:t>a)</w:t>
      </w:r>
      <w:r w:rsidRPr="002C0CFB">
        <w:tab/>
        <w:t>проанализировать, может ли система разрешений для береговых установок стать правовой основой операций по погрузке поверх других веществ на суда; и</w:t>
      </w:r>
    </w:p>
    <w:p w14:paraId="3CEEEBF1" w14:textId="6E088C76" w:rsidR="005E4035" w:rsidRPr="002C0CFB" w:rsidRDefault="002C0CFB" w:rsidP="002C0CFB">
      <w:pPr>
        <w:pStyle w:val="SingleTxtG"/>
      </w:pPr>
      <w:r>
        <w:tab/>
      </w:r>
      <w:r w:rsidRPr="002C0CFB">
        <w:t>b)</w:t>
      </w:r>
      <w:r w:rsidRPr="002C0CFB">
        <w:tab/>
        <w:t>распространить этот анализ на необходимые поправки к ВОПОГ, если такой подход окажется рациональным.</w:t>
      </w:r>
    </w:p>
    <w:p w14:paraId="7ABF071A" w14:textId="570E2C31" w:rsidR="005E4035" w:rsidRPr="002C0CFB" w:rsidRDefault="002C0CFB" w:rsidP="002C0C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E4035" w:rsidRPr="002C0CFB" w:rsidSect="005E403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80365" w14:textId="77777777" w:rsidR="00D76266" w:rsidRPr="00A312BC" w:rsidRDefault="00D76266" w:rsidP="00A312BC"/>
  </w:endnote>
  <w:endnote w:type="continuationSeparator" w:id="0">
    <w:p w14:paraId="1077E352" w14:textId="77777777" w:rsidR="00D76266" w:rsidRPr="00A312BC" w:rsidRDefault="00D7626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ABC8" w14:textId="5A244B6D" w:rsidR="005E4035" w:rsidRPr="005E4035" w:rsidRDefault="005E4035">
    <w:pPr>
      <w:pStyle w:val="a8"/>
    </w:pPr>
    <w:r w:rsidRPr="005E4035">
      <w:rPr>
        <w:b/>
        <w:sz w:val="18"/>
      </w:rPr>
      <w:fldChar w:fldCharType="begin"/>
    </w:r>
    <w:r w:rsidRPr="005E4035">
      <w:rPr>
        <w:b/>
        <w:sz w:val="18"/>
      </w:rPr>
      <w:instrText xml:space="preserve"> PAGE  \* MERGEFORMAT </w:instrText>
    </w:r>
    <w:r w:rsidRPr="005E4035">
      <w:rPr>
        <w:b/>
        <w:sz w:val="18"/>
      </w:rPr>
      <w:fldChar w:fldCharType="separate"/>
    </w:r>
    <w:r w:rsidRPr="005E4035">
      <w:rPr>
        <w:b/>
        <w:noProof/>
        <w:sz w:val="18"/>
      </w:rPr>
      <w:t>2</w:t>
    </w:r>
    <w:r w:rsidRPr="005E4035">
      <w:rPr>
        <w:b/>
        <w:sz w:val="18"/>
      </w:rPr>
      <w:fldChar w:fldCharType="end"/>
    </w:r>
    <w:r>
      <w:rPr>
        <w:b/>
        <w:sz w:val="18"/>
      </w:rPr>
      <w:tab/>
    </w:r>
    <w:r>
      <w:t>GE.21-07572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F0B3" w14:textId="38DA63CA" w:rsidR="005E4035" w:rsidRPr="005E4035" w:rsidRDefault="005E4035" w:rsidP="005E4035">
    <w:pPr>
      <w:pStyle w:val="a8"/>
      <w:tabs>
        <w:tab w:val="clear" w:pos="9639"/>
        <w:tab w:val="right" w:pos="9638"/>
      </w:tabs>
      <w:rPr>
        <w:b/>
        <w:sz w:val="18"/>
      </w:rPr>
    </w:pPr>
    <w:r>
      <w:t>GE.21-07572</w:t>
    </w:r>
    <w:r>
      <w:tab/>
    </w:r>
    <w:r w:rsidRPr="005E4035">
      <w:rPr>
        <w:b/>
        <w:sz w:val="18"/>
      </w:rPr>
      <w:fldChar w:fldCharType="begin"/>
    </w:r>
    <w:r w:rsidRPr="005E4035">
      <w:rPr>
        <w:b/>
        <w:sz w:val="18"/>
      </w:rPr>
      <w:instrText xml:space="preserve"> PAGE  \* MERGEFORMAT </w:instrText>
    </w:r>
    <w:r w:rsidRPr="005E4035">
      <w:rPr>
        <w:b/>
        <w:sz w:val="18"/>
      </w:rPr>
      <w:fldChar w:fldCharType="separate"/>
    </w:r>
    <w:r w:rsidRPr="005E4035">
      <w:rPr>
        <w:b/>
        <w:noProof/>
        <w:sz w:val="18"/>
      </w:rPr>
      <w:t>3</w:t>
    </w:r>
    <w:r w:rsidRPr="005E40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FCFD" w14:textId="5342826E" w:rsidR="00042B72" w:rsidRPr="002E3A05" w:rsidRDefault="005E4035" w:rsidP="005E403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4E2AC29" wp14:editId="6008EF0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21-07572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D000485" wp14:editId="03EC72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A05">
      <w:rPr>
        <w:lang w:val="en-US"/>
      </w:rPr>
      <w:t xml:space="preserve">  150621  210621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C5A25" w14:textId="77777777" w:rsidR="00D76266" w:rsidRPr="001075E9" w:rsidRDefault="00D7626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3C09348" w14:textId="77777777" w:rsidR="00D76266" w:rsidRDefault="00D7626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6DBC0A" w14:textId="77777777" w:rsidR="005E4035" w:rsidRPr="00AB076E" w:rsidRDefault="005E4035" w:rsidP="005E4035">
      <w:pPr>
        <w:pStyle w:val="ad"/>
      </w:pPr>
      <w:r>
        <w:tab/>
      </w:r>
      <w:r w:rsidRPr="005E4035">
        <w:rPr>
          <w:sz w:val="20"/>
          <w:szCs w:val="22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CCNR-ZKR/ADN/WP.15/AC.2/2021/29.</w:t>
      </w:r>
    </w:p>
  </w:footnote>
  <w:footnote w:id="2">
    <w:p w14:paraId="25D3BD9A" w14:textId="77777777" w:rsidR="005E4035" w:rsidRPr="00A20163" w:rsidRDefault="005E4035" w:rsidP="005E4035">
      <w:pPr>
        <w:pStyle w:val="ad"/>
        <w:widowControl w:val="0"/>
      </w:pPr>
      <w:r>
        <w:tab/>
      </w:r>
      <w:r w:rsidRPr="005E4035">
        <w:rPr>
          <w:sz w:val="20"/>
          <w:szCs w:val="22"/>
        </w:rPr>
        <w:t>**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E684C" w14:textId="451F5ED2" w:rsidR="005E4035" w:rsidRPr="005E4035" w:rsidRDefault="005E4035">
    <w:pPr>
      <w:pStyle w:val="a5"/>
    </w:pPr>
    <w:fldSimple w:instr=" TITLE  \* MERGEFORMAT ">
      <w:r w:rsidR="006C2FDF">
        <w:t>ECE/TRANS/WP.15/AC.2/2021/29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8E00" w14:textId="1DA663F0" w:rsidR="005E4035" w:rsidRPr="005E4035" w:rsidRDefault="005E4035" w:rsidP="005E4035">
    <w:pPr>
      <w:pStyle w:val="a5"/>
      <w:jc w:val="right"/>
    </w:pPr>
    <w:fldSimple w:instr=" TITLE  \* MERGEFORMAT ">
      <w:r w:rsidR="006C2FDF">
        <w:t>ECE/TRANS/WP.15/AC.2/2021/29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6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5596"/>
    <w:rsid w:val="0027151D"/>
    <w:rsid w:val="002A2EFC"/>
    <w:rsid w:val="002B0106"/>
    <w:rsid w:val="002B74B1"/>
    <w:rsid w:val="002C0CFB"/>
    <w:rsid w:val="002C0E18"/>
    <w:rsid w:val="002D5AAC"/>
    <w:rsid w:val="002E3A05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E4035"/>
    <w:rsid w:val="005F0B42"/>
    <w:rsid w:val="00617A43"/>
    <w:rsid w:val="006345DB"/>
    <w:rsid w:val="00640F49"/>
    <w:rsid w:val="00680D03"/>
    <w:rsid w:val="00681A10"/>
    <w:rsid w:val="00683EEC"/>
    <w:rsid w:val="006A1ED8"/>
    <w:rsid w:val="006C2031"/>
    <w:rsid w:val="006C2FDF"/>
    <w:rsid w:val="006D461A"/>
    <w:rsid w:val="006F35EE"/>
    <w:rsid w:val="007021FF"/>
    <w:rsid w:val="00712895"/>
    <w:rsid w:val="00716E30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102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6316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76266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7398EB"/>
  <w15:docId w15:val="{1333BCFA-CB50-4AF6-A306-68CE278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5E403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14862-60DC-4971-BDF8-CA3473A920B4}"/>
</file>

<file path=customXml/itemProps2.xml><?xml version="1.0" encoding="utf-8"?>
<ds:datastoreItem xmlns:ds="http://schemas.openxmlformats.org/officeDocument/2006/customXml" ds:itemID="{AE4CA15D-94A9-4CD4-888D-0190830992FC}"/>
</file>

<file path=customXml/itemProps3.xml><?xml version="1.0" encoding="utf-8"?>
<ds:datastoreItem xmlns:ds="http://schemas.openxmlformats.org/officeDocument/2006/customXml" ds:itemID="{87789A3E-DF91-48EB-A07B-85A4747578B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1094</Words>
  <Characters>7428</Characters>
  <Application>Microsoft Office Word</Application>
  <DocSecurity>0</DocSecurity>
  <Lines>675</Lines>
  <Paragraphs>284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ECE/TRANS/WP.15/AC.2/2021/29</vt:lpstr>
      <vt:lpstr>A/</vt:lpstr>
      <vt:lpstr>A/</vt:lpstr>
    </vt:vector>
  </TitlesOfParts>
  <Company>DCM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ECE/TRANS/WP.15/AC.2/2021/29</dc:title>
  <dc:subject/>
  <dc:creator>Anna PETELINA</dc:creator>
  <cp:keywords/>
  <cp:lastModifiedBy>Anna Petelina</cp:lastModifiedBy>
  <cp:revision>3</cp:revision>
  <cp:lastPrinted>2021-06-21T07:15:00Z</cp:lastPrinted>
  <dcterms:created xsi:type="dcterms:W3CDTF">2021-06-21T07:15:00Z</dcterms:created>
  <dcterms:modified xsi:type="dcterms:W3CDTF">2021-06-21T07:15:00Z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