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4759FB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EE91882" w14:textId="77777777" w:rsidR="00F35BAF" w:rsidRPr="00DB58B5" w:rsidRDefault="00F35BAF" w:rsidP="002C073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5E12E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084CC3" w14:textId="7BAD78AD" w:rsidR="00F35BAF" w:rsidRPr="00DB58B5" w:rsidRDefault="002C0731" w:rsidP="002C0731">
            <w:pPr>
              <w:jc w:val="right"/>
            </w:pPr>
            <w:r w:rsidRPr="002C0731">
              <w:rPr>
                <w:sz w:val="40"/>
              </w:rPr>
              <w:t>ECE</w:t>
            </w:r>
            <w:r>
              <w:t>/TRANS/WP.15/AC.2/2021/28</w:t>
            </w:r>
          </w:p>
        </w:tc>
      </w:tr>
      <w:tr w:rsidR="00F35BAF" w:rsidRPr="00DB58B5" w14:paraId="6CC7AAF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7C34C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7E7BC39" wp14:editId="002C90B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006F5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05D1CF" w14:textId="77777777" w:rsidR="00F35BAF" w:rsidRDefault="002C073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2CF69C3" w14:textId="77777777" w:rsidR="002C0731" w:rsidRDefault="002C0731" w:rsidP="002C0731">
            <w:pPr>
              <w:spacing w:line="240" w:lineRule="exact"/>
            </w:pPr>
            <w:r>
              <w:t>8 juin 2021</w:t>
            </w:r>
          </w:p>
          <w:p w14:paraId="0B7B3890" w14:textId="77777777" w:rsidR="002C0731" w:rsidRDefault="002C0731" w:rsidP="002C0731">
            <w:pPr>
              <w:spacing w:line="240" w:lineRule="exact"/>
            </w:pPr>
            <w:r>
              <w:t>Français</w:t>
            </w:r>
          </w:p>
          <w:p w14:paraId="6ABCEC71" w14:textId="2D830D67" w:rsidR="002C0731" w:rsidRPr="00DB58B5" w:rsidRDefault="002C0731" w:rsidP="002C0731">
            <w:pPr>
              <w:spacing w:line="240" w:lineRule="exact"/>
            </w:pPr>
            <w:r>
              <w:t>Original</w:t>
            </w:r>
            <w:r w:rsidR="005B5BE3">
              <w:t> :</w:t>
            </w:r>
            <w:r>
              <w:t xml:space="preserve"> anglais</w:t>
            </w:r>
          </w:p>
        </w:tc>
      </w:tr>
    </w:tbl>
    <w:p w14:paraId="42F62EC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96E587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FB45286" w14:textId="77777777" w:rsidR="00F163BB" w:rsidRPr="009E01B8" w:rsidRDefault="00F163BB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53CEB598" w14:textId="77777777" w:rsidR="00F163BB" w:rsidRPr="004812F5" w:rsidRDefault="00F163BB" w:rsidP="00AF0CB5">
      <w:pPr>
        <w:spacing w:before="120"/>
        <w:rPr>
          <w:b/>
        </w:rPr>
      </w:pPr>
      <w:r w:rsidRPr="004812F5">
        <w:rPr>
          <w:b/>
          <w:lang w:val="fr-FR"/>
        </w:rPr>
        <w:t xml:space="preserve">Réunion commune d’experts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56B13F64" w14:textId="77777777" w:rsidR="00D501AD" w:rsidRPr="00CB498F" w:rsidRDefault="00D501AD" w:rsidP="00D501AD">
      <w:pPr>
        <w:spacing w:before="120"/>
        <w:rPr>
          <w:b/>
        </w:rPr>
      </w:pPr>
      <w:r w:rsidRPr="00CB498F">
        <w:rPr>
          <w:b/>
          <w:bCs/>
        </w:rPr>
        <w:t>Trente-huitième session</w:t>
      </w:r>
    </w:p>
    <w:p w14:paraId="68D9C83A" w14:textId="77777777" w:rsidR="00D501AD" w:rsidRPr="00CB498F" w:rsidRDefault="00D501AD" w:rsidP="00D501AD">
      <w:r w:rsidRPr="00CB498F">
        <w:t>Genève, 23-27 août 2021</w:t>
      </w:r>
    </w:p>
    <w:p w14:paraId="05E33E4D" w14:textId="77777777" w:rsidR="00D501AD" w:rsidRPr="00CB498F" w:rsidRDefault="00D501AD" w:rsidP="00D501AD">
      <w:r w:rsidRPr="00CB498F">
        <w:t>Point 4 b) de l’ordre du jour provisoire</w:t>
      </w:r>
    </w:p>
    <w:p w14:paraId="79D9D2A8" w14:textId="6F50ED2A" w:rsidR="00D501AD" w:rsidRPr="00CB498F" w:rsidRDefault="00D501AD" w:rsidP="00D501AD">
      <w:pPr>
        <w:rPr>
          <w:b/>
        </w:rPr>
      </w:pPr>
      <w:r w:rsidRPr="00CB498F">
        <w:rPr>
          <w:b/>
          <w:bCs/>
        </w:rPr>
        <w:t>Propositions d’amendements au Règlement annexé à l’ADN</w:t>
      </w:r>
      <w:r w:rsidR="005B5BE3">
        <w:rPr>
          <w:b/>
          <w:bCs/>
        </w:rPr>
        <w:t> :</w:t>
      </w:r>
      <w:r w:rsidRPr="00CB498F">
        <w:rPr>
          <w:b/>
          <w:bCs/>
        </w:rPr>
        <w:t xml:space="preserve"> </w:t>
      </w:r>
      <w:r w:rsidR="00012F3A">
        <w:rPr>
          <w:b/>
          <w:bCs/>
        </w:rPr>
        <w:br/>
      </w:r>
      <w:r w:rsidRPr="00CB498F">
        <w:rPr>
          <w:b/>
          <w:bCs/>
        </w:rPr>
        <w:t>autres propositions</w:t>
      </w:r>
    </w:p>
    <w:p w14:paraId="34736A32" w14:textId="77777777" w:rsidR="00D501AD" w:rsidRPr="00CB498F" w:rsidRDefault="00D501AD" w:rsidP="005D54FF">
      <w:pPr>
        <w:pStyle w:val="HChG"/>
      </w:pPr>
      <w:r w:rsidRPr="00CB498F">
        <w:tab/>
      </w:r>
      <w:r w:rsidRPr="00CB498F">
        <w:tab/>
        <w:t xml:space="preserve">3.2.3.3 </w:t>
      </w:r>
      <w:r w:rsidRPr="00CB498F">
        <w:rPr>
          <w:bCs/>
        </w:rPr>
        <w:t>Schéma B</w:t>
      </w:r>
    </w:p>
    <w:p w14:paraId="4ABDE10C" w14:textId="1CE74334" w:rsidR="00D501AD" w:rsidRDefault="00D501AD" w:rsidP="005D54FF">
      <w:pPr>
        <w:pStyle w:val="H1G"/>
      </w:pPr>
      <w:r w:rsidRPr="00CB498F">
        <w:tab/>
      </w:r>
      <w:r w:rsidRPr="00CB498F">
        <w:tab/>
        <w:t>Communication du Gouvernement des Pays-Bas</w:t>
      </w:r>
      <w:r w:rsidRPr="005D54F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5D54FF">
        <w:rPr>
          <w:b w:val="0"/>
          <w:bCs/>
          <w:sz w:val="20"/>
          <w:vertAlign w:val="superscript"/>
        </w:rPr>
        <w:t>,</w:t>
      </w:r>
      <w:r w:rsidRPr="005D54FF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  <w:r w:rsidRPr="005D54FF">
        <w:t xml:space="preserve"> 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36445B" w14:paraId="2947DFEF" w14:textId="77777777" w:rsidTr="0036445B">
        <w:trPr>
          <w:jc w:val="center"/>
        </w:trPr>
        <w:tc>
          <w:tcPr>
            <w:tcW w:w="9628" w:type="dxa"/>
            <w:shd w:val="clear" w:color="auto" w:fill="auto"/>
          </w:tcPr>
          <w:p w14:paraId="185FABA0" w14:textId="170781C9" w:rsidR="0036445B" w:rsidRPr="00E75F30" w:rsidRDefault="0036445B" w:rsidP="00E75F30">
            <w:pPr>
              <w:pStyle w:val="SingleTxtG"/>
              <w:spacing w:before="120"/>
              <w:ind w:left="2835" w:right="567" w:hanging="2268"/>
              <w:rPr>
                <w:b/>
                <w:bCs/>
              </w:rPr>
            </w:pPr>
            <w:r w:rsidRPr="00CB498F">
              <w:rPr>
                <w:b/>
                <w:bCs/>
              </w:rPr>
              <w:t>Résumé analytique</w:t>
            </w:r>
            <w:r w:rsidR="005B5BE3">
              <w:rPr>
                <w:b/>
                <w:bCs/>
              </w:rPr>
              <w:t> :</w:t>
            </w:r>
            <w:r>
              <w:rPr>
                <w:b/>
                <w:bCs/>
              </w:rPr>
              <w:tab/>
            </w:r>
            <w:r w:rsidRPr="00E75F30">
              <w:t>Dans le but d’aligner le schéma B sur les schémas A et C tels que modifiés, il est proposé d’apporter des changements au schéma B afin d’améliorer sa lisibilité.</w:t>
            </w:r>
          </w:p>
        </w:tc>
      </w:tr>
      <w:tr w:rsidR="0036445B" w14:paraId="0D1E9B95" w14:textId="77777777" w:rsidTr="0036445B">
        <w:trPr>
          <w:jc w:val="center"/>
        </w:trPr>
        <w:tc>
          <w:tcPr>
            <w:tcW w:w="9628" w:type="dxa"/>
            <w:shd w:val="clear" w:color="auto" w:fill="auto"/>
          </w:tcPr>
          <w:p w14:paraId="4566A040" w14:textId="3576B03A" w:rsidR="0036445B" w:rsidRPr="00E75F30" w:rsidRDefault="0036445B" w:rsidP="00E75F30">
            <w:pPr>
              <w:pStyle w:val="SingleTxtG"/>
              <w:spacing w:before="120"/>
              <w:ind w:left="2835" w:right="567" w:hanging="2268"/>
              <w:rPr>
                <w:b/>
                <w:bCs/>
              </w:rPr>
            </w:pPr>
            <w:r w:rsidRPr="00CB498F">
              <w:rPr>
                <w:b/>
                <w:bCs/>
              </w:rPr>
              <w:t>Mesure à prendre</w:t>
            </w:r>
            <w:r w:rsidR="005B5BE3">
              <w:rPr>
                <w:b/>
                <w:bCs/>
              </w:rPr>
              <w:t> :</w:t>
            </w:r>
            <w:r>
              <w:rPr>
                <w:b/>
                <w:bCs/>
              </w:rPr>
              <w:tab/>
            </w:r>
            <w:r w:rsidRPr="00E75F30">
              <w:t>Le Comité de sécurité de l’ADN est invité à adopter les amendements proposés (voir par. 13).</w:t>
            </w:r>
          </w:p>
        </w:tc>
      </w:tr>
      <w:tr w:rsidR="00F54D38" w14:paraId="15DB071D" w14:textId="77777777" w:rsidTr="0036445B">
        <w:trPr>
          <w:jc w:val="center"/>
        </w:trPr>
        <w:tc>
          <w:tcPr>
            <w:tcW w:w="9628" w:type="dxa"/>
            <w:shd w:val="clear" w:color="auto" w:fill="auto"/>
          </w:tcPr>
          <w:p w14:paraId="4FC00DB7" w14:textId="100C1DE5" w:rsidR="00F54D38" w:rsidRPr="00E75F30" w:rsidRDefault="0036445B" w:rsidP="00E75F30">
            <w:pPr>
              <w:pStyle w:val="SingleTxtG"/>
              <w:spacing w:before="120"/>
              <w:ind w:left="2835" w:right="567" w:hanging="2268"/>
              <w:jc w:val="left"/>
              <w:rPr>
                <w:b/>
                <w:bCs/>
              </w:rPr>
            </w:pPr>
            <w:r w:rsidRPr="00CB498F">
              <w:rPr>
                <w:b/>
                <w:bCs/>
              </w:rPr>
              <w:t>Documents de référence</w:t>
            </w:r>
            <w:r w:rsidR="005B5BE3">
              <w:rPr>
                <w:b/>
                <w:bCs/>
              </w:rPr>
              <w:t> :</w:t>
            </w:r>
            <w:r>
              <w:rPr>
                <w:b/>
                <w:bCs/>
              </w:rPr>
              <w:tab/>
            </w:r>
            <w:r w:rsidRPr="00E75F30">
              <w:t>Document informel INF.10 de la trente-quatrième session ECE/TRANS/WP.15/AC.2/70 (par. 55 et 56)</w:t>
            </w:r>
            <w:r w:rsidR="00E75F30" w:rsidRPr="00E75F30">
              <w:br/>
              <w:t>Document informel INF.7 de la trente-cinquième session ECE/TRANS/WP.15/AC.2/72 (par. 68 à 70)</w:t>
            </w:r>
          </w:p>
        </w:tc>
      </w:tr>
      <w:tr w:rsidR="00F54D38" w14:paraId="120F92E4" w14:textId="77777777" w:rsidTr="0036445B">
        <w:trPr>
          <w:jc w:val="center"/>
        </w:trPr>
        <w:tc>
          <w:tcPr>
            <w:tcW w:w="9628" w:type="dxa"/>
            <w:shd w:val="clear" w:color="auto" w:fill="auto"/>
          </w:tcPr>
          <w:p w14:paraId="0EACB104" w14:textId="77777777" w:rsidR="00F54D38" w:rsidRDefault="00F54D38"/>
        </w:tc>
      </w:tr>
    </w:tbl>
    <w:p w14:paraId="6F09E1F4" w14:textId="692E3317" w:rsidR="00F54D38" w:rsidRDefault="00F54D38" w:rsidP="00F54D38"/>
    <w:p w14:paraId="417C196B" w14:textId="77777777" w:rsidR="004C2526" w:rsidRDefault="004C252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362FEA52" w14:textId="52988D93" w:rsidR="00D501AD" w:rsidRPr="00CB498F" w:rsidRDefault="00D501AD" w:rsidP="008376F8">
      <w:pPr>
        <w:pStyle w:val="HChG"/>
      </w:pPr>
      <w:r w:rsidRPr="00CB498F">
        <w:lastRenderedPageBreak/>
        <w:tab/>
      </w:r>
      <w:r w:rsidRPr="00CB498F">
        <w:tab/>
        <w:t>Introduction</w:t>
      </w:r>
    </w:p>
    <w:p w14:paraId="673D190A" w14:textId="687130D6" w:rsidR="00D501AD" w:rsidRPr="00CB498F" w:rsidRDefault="00D501AD" w:rsidP="004C2526">
      <w:pPr>
        <w:pStyle w:val="SingleTxtG"/>
        <w:rPr>
          <w:bCs/>
        </w:rPr>
      </w:pPr>
      <w:r w:rsidRPr="00CB498F">
        <w:t>1.</w:t>
      </w:r>
      <w:r w:rsidRPr="00CB498F">
        <w:tab/>
        <w:t>À la trente-quatrième session du Comité de sécurité de l’ADN, la délégation néerlandaise a proposé de modifier le schéma A du 3.2.3.3, afin d’en améliorer la lisibilité (le schéma se lirait de gauche à droite) et la facilité de consultation, et de réduire le risque qu’il soit mal appliqué. Le Comité de sécurité de l’ADN a pour sa part demandé au groupe de travail informel des matières d’apporter des améliorations aux schémas A, B et C du</w:t>
      </w:r>
      <w:r w:rsidR="009F401F">
        <w:t> </w:t>
      </w:r>
      <w:r w:rsidRPr="00CB498F">
        <w:t xml:space="preserve">3.2.3.3. </w:t>
      </w:r>
    </w:p>
    <w:p w14:paraId="2DF68746" w14:textId="77777777" w:rsidR="00D501AD" w:rsidRPr="00CB498F" w:rsidRDefault="00D501AD" w:rsidP="004C2526">
      <w:pPr>
        <w:pStyle w:val="SingleTxtG"/>
        <w:rPr>
          <w:bCs/>
        </w:rPr>
      </w:pPr>
      <w:r w:rsidRPr="00CB498F">
        <w:t>2.</w:t>
      </w:r>
      <w:r w:rsidRPr="00CB498F">
        <w:tab/>
        <w:t>À la trente-cinquième session du Comité, le groupe de travail informel des matières a présenté des propositions visant à modifier les schémas A, B et C afin d’en améliorer la lisibilité. Les propositions d’amélioration des schémas A et C ont été adoptées, mais l’examen de la proposition relative au schéma B a été reporté à une session ultérieure pour permettre aux délégations d’apporter des améliorations de fond, en plus des améliorations rédactionnelles proposées par le groupe de travail informel.</w:t>
      </w:r>
    </w:p>
    <w:p w14:paraId="65B05ED2" w14:textId="0AEF4367" w:rsidR="00D501AD" w:rsidRPr="00CB498F" w:rsidRDefault="00D501AD" w:rsidP="004C2526">
      <w:pPr>
        <w:pStyle w:val="SingleTxtG"/>
        <w:rPr>
          <w:bCs/>
        </w:rPr>
      </w:pPr>
      <w:r w:rsidRPr="00CB498F">
        <w:t>3.</w:t>
      </w:r>
      <w:r w:rsidRPr="00CB498F">
        <w:tab/>
        <w:t>Cette entreprise s’est révélée ardue et aucune amélioration substantielle du schéma</w:t>
      </w:r>
      <w:r w:rsidR="009F401F">
        <w:t> </w:t>
      </w:r>
      <w:r w:rsidRPr="00CB498F">
        <w:t>B n’a été proposée à ce jour. En conséquence, les schémas A et C ont été modifiés de manière à être lus de gauche à droite, alors que le schéma B est resté inchangé et doit toujours être lu de droite à gauche.</w:t>
      </w:r>
    </w:p>
    <w:p w14:paraId="3A3288B0" w14:textId="77777777" w:rsidR="00D501AD" w:rsidRPr="00CB498F" w:rsidRDefault="00D501AD" w:rsidP="004C2526">
      <w:pPr>
        <w:pStyle w:val="SingleTxtG"/>
        <w:rPr>
          <w:bCs/>
        </w:rPr>
      </w:pPr>
      <w:r w:rsidRPr="00CB498F">
        <w:t>4.</w:t>
      </w:r>
      <w:r w:rsidRPr="00CB498F">
        <w:tab/>
        <w:t>En l’absence d’informations sur l’état d’avancement des travaux concernant les améliorations de fond à apporter au schéma B, et pour éviter une situation dans laquelle ce schéma resterait inchangé dans la prochaine version de l’ADN, la délégation néerlandaise propose que les amendements présentés ci-après soient adoptés dans le souci d’améliorer la lisibilité du schéma B, indépendamment des propositions de fond qui pourront ou non être présentées au cours de la présente période biennale.</w:t>
      </w:r>
    </w:p>
    <w:p w14:paraId="3FB29F14" w14:textId="77777777" w:rsidR="00D501AD" w:rsidRPr="00CB498F" w:rsidRDefault="00D501AD" w:rsidP="004C2526">
      <w:pPr>
        <w:pStyle w:val="H1G"/>
      </w:pPr>
      <w:r w:rsidRPr="00CB498F">
        <w:tab/>
      </w:r>
      <w:r w:rsidRPr="00CB498F">
        <w:tab/>
        <w:t>Précisions sur les amendements proposés</w:t>
      </w:r>
    </w:p>
    <w:p w14:paraId="428DA59F" w14:textId="62493198" w:rsidR="00D501AD" w:rsidRPr="00CB498F" w:rsidRDefault="00D501AD" w:rsidP="004C2526">
      <w:pPr>
        <w:pStyle w:val="SingleTxtG"/>
        <w:rPr>
          <w:bCs/>
        </w:rPr>
      </w:pPr>
      <w:r w:rsidRPr="00CB498F">
        <w:t>5.</w:t>
      </w:r>
      <w:r w:rsidRPr="00CB498F">
        <w:tab/>
        <w:t>Pour aligner le schéma B sur les schémas A et C, la délégation néerlandaise propose d’ajouter un en</w:t>
      </w:r>
      <w:r w:rsidR="004C2526">
        <w:t>-</w:t>
      </w:r>
      <w:r w:rsidRPr="00CB498F">
        <w:t>tête au-dessus du tableau, afin de préciser ses conditions d’application. Étant</w:t>
      </w:r>
      <w:r w:rsidR="00406CB5">
        <w:t> </w:t>
      </w:r>
      <w:r w:rsidRPr="00CB498F">
        <w:t>donné que plusieurs colonnes pourraient être pertinentes pour certaines matières, une phrase est ajoutée de façon à préciser que c’est l’équipement des citernes à cargaison répondant aux critères les plus stricts qui devrait être utilisé.</w:t>
      </w:r>
    </w:p>
    <w:p w14:paraId="4F17990E" w14:textId="3A9D80FC" w:rsidR="00D501AD" w:rsidRPr="00CB498F" w:rsidRDefault="00D501AD" w:rsidP="004C2526">
      <w:pPr>
        <w:pStyle w:val="SingleTxtG"/>
        <w:rPr>
          <w:bCs/>
        </w:rPr>
      </w:pPr>
      <w:r w:rsidRPr="00CB498F">
        <w:t>6.</w:t>
      </w:r>
      <w:r w:rsidRPr="00CB498F">
        <w:tab/>
        <w:t>Pour améliorer la lisibilité et aligner le schéma B sur les schémas A et C, les Pays</w:t>
      </w:r>
      <w:r w:rsidR="004C2526">
        <w:noBreakHyphen/>
      </w:r>
      <w:r w:rsidRPr="00CB498F">
        <w:t>Bas proposent de déplacer à l’extrémité droite du tableau la colonne la plus à gauche.</w:t>
      </w:r>
    </w:p>
    <w:p w14:paraId="57579530" w14:textId="0EBE19A5" w:rsidR="00D501AD" w:rsidRPr="00CB498F" w:rsidRDefault="00D501AD" w:rsidP="004C2526">
      <w:pPr>
        <w:pStyle w:val="SingleTxtG"/>
        <w:rPr>
          <w:bCs/>
        </w:rPr>
      </w:pPr>
      <w:r w:rsidRPr="00CB498F">
        <w:t>7.</w:t>
      </w:r>
      <w:r w:rsidRPr="00CB498F">
        <w:tab/>
        <w:t>Il est proposé d’ajouter deux lignes supplémentaires dans la dernière colonne, qui  doit contenir l’ensemble des prescriptions. La première vise à distinguer la « pression d’ouverture de la soupape de surpression/soupape de dégagement à grande vitesse</w:t>
      </w:r>
      <w:r w:rsidR="005B5BE3">
        <w:t> :</w:t>
      </w:r>
      <w:r w:rsidRPr="00CB498F">
        <w:t xml:space="preserve"> 50</w:t>
      </w:r>
      <w:r w:rsidR="00406CB5">
        <w:t> </w:t>
      </w:r>
      <w:r w:rsidRPr="00CB498F">
        <w:t xml:space="preserve">kPa, </w:t>
      </w:r>
      <w:r w:rsidRPr="00CB498F">
        <w:rPr>
          <w:b/>
          <w:bCs/>
        </w:rPr>
        <w:t>avec</w:t>
      </w:r>
      <w:r w:rsidRPr="00CB498F">
        <w:t xml:space="preserve"> réfrigération » de la « pression d’ouverture de la soupape de surpression/soupape de dégagement à grande vitesse</w:t>
      </w:r>
      <w:r w:rsidR="005B5BE3">
        <w:t> :</w:t>
      </w:r>
      <w:r w:rsidRPr="00CB498F">
        <w:t xml:space="preserve"> 50</w:t>
      </w:r>
      <w:r w:rsidR="00406CB5">
        <w:t> </w:t>
      </w:r>
      <w:r w:rsidRPr="00CB498F">
        <w:t xml:space="preserve">kPa, </w:t>
      </w:r>
      <w:r w:rsidRPr="00CB498F">
        <w:rPr>
          <w:b/>
          <w:bCs/>
        </w:rPr>
        <w:t>sans</w:t>
      </w:r>
      <w:r w:rsidRPr="00CB498F">
        <w:t xml:space="preserve"> réfrigération ». La seconde différencie la « pression d’ouverture de la soupape de surpression/soupape de dégagement à grande vitesse</w:t>
      </w:r>
      <w:r w:rsidR="005B5BE3">
        <w:t> :</w:t>
      </w:r>
      <w:r w:rsidRPr="00CB498F">
        <w:t xml:space="preserve"> 10</w:t>
      </w:r>
      <w:r w:rsidR="00406CB5">
        <w:t> </w:t>
      </w:r>
      <w:r w:rsidRPr="00CB498F">
        <w:t xml:space="preserve">kPa, </w:t>
      </w:r>
      <w:r w:rsidRPr="00CB498F">
        <w:rPr>
          <w:b/>
          <w:bCs/>
        </w:rPr>
        <w:t>avec</w:t>
      </w:r>
      <w:r w:rsidRPr="00CB498F">
        <w:t xml:space="preserve"> pulvérisation » de la « pression d’ouverture de la soupape de surpression/soupape de dégagement à grande vitesse</w:t>
      </w:r>
      <w:r w:rsidR="005B5BE3">
        <w:t> :</w:t>
      </w:r>
      <w:r w:rsidRPr="00CB498F">
        <w:t xml:space="preserve"> 10</w:t>
      </w:r>
      <w:r w:rsidR="00406CB5">
        <w:t> </w:t>
      </w:r>
      <w:r w:rsidRPr="00CB498F">
        <w:t xml:space="preserve">kPa, </w:t>
      </w:r>
      <w:r w:rsidRPr="00CB498F">
        <w:rPr>
          <w:b/>
          <w:bCs/>
        </w:rPr>
        <w:t>sans</w:t>
      </w:r>
      <w:r w:rsidRPr="00CB498F">
        <w:t xml:space="preserve"> pulvérisation ».</w:t>
      </w:r>
    </w:p>
    <w:p w14:paraId="560329E1" w14:textId="4F02BB11" w:rsidR="00D501AD" w:rsidRPr="00CB498F" w:rsidRDefault="00D501AD" w:rsidP="004C2526">
      <w:pPr>
        <w:pStyle w:val="SingleTxtG"/>
        <w:rPr>
          <w:bCs/>
        </w:rPr>
      </w:pPr>
      <w:r w:rsidRPr="00CB498F">
        <w:t>8.</w:t>
      </w:r>
      <w:r w:rsidRPr="00CB498F">
        <w:tab/>
        <w:t xml:space="preserve">La valeur de </w:t>
      </w:r>
      <w:r w:rsidR="00917D3C" w:rsidRPr="00CB498F">
        <w:t>P</w:t>
      </w:r>
      <w:r w:rsidR="00917D3C">
        <w:t> </w:t>
      </w:r>
      <w:r w:rsidR="00917D3C" w:rsidRPr="00CB498F">
        <w:rPr>
          <w:vertAlign w:val="subscript"/>
        </w:rPr>
        <w:t>d</w:t>
      </w:r>
      <w:r w:rsidR="00917D3C">
        <w:rPr>
          <w:vertAlign w:val="subscript"/>
        </w:rPr>
        <w:t> </w:t>
      </w:r>
      <w:r w:rsidR="00917D3C" w:rsidRPr="00CB498F">
        <w:rPr>
          <w:vertAlign w:val="subscript"/>
        </w:rPr>
        <w:t>50</w:t>
      </w:r>
      <w:r w:rsidRPr="00CB498F">
        <w:t xml:space="preserve"> pour la classe 3 indiquée dans la troisième et la quatrième colonne du schéma B actuel prête à confusion. Il est donc proposé de séparer les valeurs de P</w:t>
      </w:r>
      <w:r w:rsidR="00917D3C">
        <w:t> </w:t>
      </w:r>
      <w:r w:rsidRPr="00CB498F">
        <w:rPr>
          <w:vertAlign w:val="subscript"/>
        </w:rPr>
        <w:t>d</w:t>
      </w:r>
      <w:r w:rsidR="00917D3C">
        <w:rPr>
          <w:vertAlign w:val="subscript"/>
        </w:rPr>
        <w:t> </w:t>
      </w:r>
      <w:r w:rsidRPr="00CB498F">
        <w:rPr>
          <w:vertAlign w:val="subscript"/>
        </w:rPr>
        <w:t>50</w:t>
      </w:r>
      <w:r w:rsidRPr="00CB498F">
        <w:t xml:space="preserve"> comprises entre 150 et 175</w:t>
      </w:r>
      <w:r w:rsidR="006E697A">
        <w:t> </w:t>
      </w:r>
      <w:r w:rsidRPr="00CB498F">
        <w:t xml:space="preserve">kPa  des valeurs comprises entre 110 et 150 kPa. Pour les valeurs de </w:t>
      </w:r>
      <w:r w:rsidR="00917D3C" w:rsidRPr="00CB498F">
        <w:t>P</w:t>
      </w:r>
      <w:r w:rsidR="00917D3C">
        <w:t> </w:t>
      </w:r>
      <w:r w:rsidR="00917D3C" w:rsidRPr="00CB498F">
        <w:rPr>
          <w:vertAlign w:val="subscript"/>
        </w:rPr>
        <w:t>d</w:t>
      </w:r>
      <w:r w:rsidR="00917D3C">
        <w:rPr>
          <w:vertAlign w:val="subscript"/>
        </w:rPr>
        <w:t> </w:t>
      </w:r>
      <w:r w:rsidR="00917D3C" w:rsidRPr="00CB498F">
        <w:rPr>
          <w:vertAlign w:val="subscript"/>
        </w:rPr>
        <w:t>50</w:t>
      </w:r>
      <w:r w:rsidRPr="00CB498F">
        <w:t xml:space="preserve"> comprises entre 110 et 150</w:t>
      </w:r>
      <w:r w:rsidR="006E697A">
        <w:t> </w:t>
      </w:r>
      <w:r w:rsidRPr="00CB498F">
        <w:t>kPa, les expéditeurs pourront choisir entre des bateaux  offrant une « pression d’ouverture de la soupape de surpression/soupape de dégagement à grande vitesse</w:t>
      </w:r>
      <w:r w:rsidR="005B5BE3">
        <w:t> :</w:t>
      </w:r>
      <w:r w:rsidRPr="00CB498F">
        <w:t xml:space="preserve"> 50</w:t>
      </w:r>
      <w:r w:rsidR="006E697A">
        <w:t> </w:t>
      </w:r>
      <w:r w:rsidRPr="00CB498F">
        <w:t>kPa (sans pulvérisation) » ou des bateaux offrant une « pression d’ouverture de la soupape de surpression/soupape de dégagement à grande vitesse</w:t>
      </w:r>
      <w:r w:rsidR="005B5BE3">
        <w:t> :</w:t>
      </w:r>
      <w:r w:rsidRPr="00CB498F">
        <w:t xml:space="preserve"> 10</w:t>
      </w:r>
      <w:r w:rsidR="006E697A">
        <w:t> </w:t>
      </w:r>
      <w:r w:rsidRPr="00CB498F">
        <w:t xml:space="preserve">kPa (avec pulvérisation) ». Il convient de noter que l’équipement des citernes à cargaison prescrit est le même pour toutes les valeurs de </w:t>
      </w:r>
      <w:r w:rsidR="00917D3C" w:rsidRPr="00CB498F">
        <w:t>P</w:t>
      </w:r>
      <w:r w:rsidR="00917D3C">
        <w:t> </w:t>
      </w:r>
      <w:r w:rsidR="00917D3C" w:rsidRPr="00CB498F">
        <w:rPr>
          <w:vertAlign w:val="subscript"/>
        </w:rPr>
        <w:t>d</w:t>
      </w:r>
      <w:r w:rsidR="00917D3C">
        <w:rPr>
          <w:vertAlign w:val="subscript"/>
        </w:rPr>
        <w:t> </w:t>
      </w:r>
      <w:r w:rsidR="00917D3C" w:rsidRPr="00CB498F">
        <w:rPr>
          <w:vertAlign w:val="subscript"/>
        </w:rPr>
        <w:t>50</w:t>
      </w:r>
      <w:r w:rsidRPr="00CB498F">
        <w:t>, comme dans le schéma B actuel.</w:t>
      </w:r>
    </w:p>
    <w:p w14:paraId="526A759A" w14:textId="2D902801" w:rsidR="00D501AD" w:rsidRPr="00CB498F" w:rsidRDefault="00D501AD" w:rsidP="004C2526">
      <w:pPr>
        <w:pStyle w:val="SingleTxtG"/>
        <w:rPr>
          <w:bCs/>
        </w:rPr>
      </w:pPr>
      <w:r w:rsidRPr="00CB498F">
        <w:lastRenderedPageBreak/>
        <w:t>9.</w:t>
      </w:r>
      <w:r w:rsidRPr="00CB498F">
        <w:tab/>
        <w:t>Actuellement, il est indiqué dans la case correspondant aux matières CMR</w:t>
      </w:r>
      <w:r w:rsidRPr="006E697A">
        <w:rPr>
          <w:rStyle w:val="Appelnotedebasdep"/>
          <w:szCs w:val="18"/>
        </w:rPr>
        <w:footnoteReference w:id="4"/>
      </w:r>
      <w:r w:rsidRPr="00CB498F">
        <w:t xml:space="preserve"> qu’il y a pulvérisation lorsque la pression de vapeur est supérieure à 10</w:t>
      </w:r>
      <w:r w:rsidR="00B30B36">
        <w:t> </w:t>
      </w:r>
      <w:r w:rsidRPr="00CB498F">
        <w:t>kPa. Puisqu’il est proposé d’ajouter une ligne afin d’établir une distinction entre les valeurs de 10</w:t>
      </w:r>
      <w:r w:rsidR="00B30B36">
        <w:t> </w:t>
      </w:r>
      <w:r w:rsidRPr="00CB498F">
        <w:t>kPa avec et sans pulvérisation, il est également proposé d’ajouter une deuxième case pour les matières CMR dont la pression de vapeur est inférieure ou égale à 10</w:t>
      </w:r>
      <w:r w:rsidR="00B30B36">
        <w:t> </w:t>
      </w:r>
      <w:r w:rsidRPr="00CB498F">
        <w:t>kPa.</w:t>
      </w:r>
    </w:p>
    <w:p w14:paraId="592E7F1E" w14:textId="0C93954D" w:rsidR="00D501AD" w:rsidRPr="00CB498F" w:rsidRDefault="00D501AD" w:rsidP="004C2526">
      <w:pPr>
        <w:pStyle w:val="SingleTxtG"/>
        <w:rPr>
          <w:bCs/>
        </w:rPr>
      </w:pPr>
      <w:r w:rsidRPr="00CB498F">
        <w:t>10.</w:t>
      </w:r>
      <w:r w:rsidRPr="00CB498F">
        <w:tab/>
        <w:t>À elles toutes, ces propositions permettent de disposer d’un schéma B plus lisible et plus facilement applicable. Il peut être lu de gauche à droite, tout comme les schémas A et</w:t>
      </w:r>
      <w:r w:rsidR="00B30B36">
        <w:t> </w:t>
      </w:r>
      <w:r w:rsidRPr="00CB498F">
        <w:t>C.</w:t>
      </w:r>
    </w:p>
    <w:p w14:paraId="67CF8A7F" w14:textId="77777777" w:rsidR="00D501AD" w:rsidRPr="00CB498F" w:rsidRDefault="00D501AD" w:rsidP="004C2526">
      <w:pPr>
        <w:pStyle w:val="H1G"/>
      </w:pPr>
      <w:r w:rsidRPr="00CB498F">
        <w:tab/>
      </w:r>
      <w:r w:rsidRPr="00CB498F">
        <w:tab/>
        <w:t>Proposition d’amendement</w:t>
      </w:r>
    </w:p>
    <w:p w14:paraId="200119DB" w14:textId="093EF4F3" w:rsidR="00D501AD" w:rsidRDefault="00D501AD" w:rsidP="004C2526">
      <w:pPr>
        <w:pStyle w:val="SingleTxtG"/>
      </w:pPr>
      <w:r w:rsidRPr="00CB498F">
        <w:t>11.</w:t>
      </w:r>
      <w:r w:rsidRPr="00CB498F">
        <w:tab/>
        <w:t>La délégation néerlandaise propose de modifier comme suit le schéma</w:t>
      </w:r>
      <w:r w:rsidR="00B30B36">
        <w:t> </w:t>
      </w:r>
      <w:r w:rsidRPr="00CB498F">
        <w:t>B dans le</w:t>
      </w:r>
      <w:r w:rsidR="00B30B36">
        <w:t> </w:t>
      </w:r>
      <w:r w:rsidRPr="00CB498F">
        <w:t>3.2.3.3 de l’ADN. Les  modifications proposées figurent en caractères gras et soulignés pour les ajouts, et biffés pour les suppressions</w:t>
      </w:r>
      <w:r w:rsidR="005B5BE3">
        <w:t> :</w:t>
      </w:r>
    </w:p>
    <w:p w14:paraId="46E14EA3" w14:textId="77777777" w:rsidR="00431F2D" w:rsidRDefault="00431F2D" w:rsidP="00D501AD">
      <w:pPr>
        <w:spacing w:before="120"/>
        <w:sectPr w:rsidR="00431F2D" w:rsidSect="002C073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24AD7261" w14:textId="36401920" w:rsidR="00CD11B6" w:rsidRPr="00CB498F" w:rsidRDefault="00CD11B6" w:rsidP="007F4621">
      <w:pPr>
        <w:pStyle w:val="H1G"/>
        <w:spacing w:after="200"/>
      </w:pPr>
      <w:r w:rsidRPr="00CB498F">
        <w:lastRenderedPageBreak/>
        <w:tab/>
      </w:r>
      <w:r w:rsidRPr="00CB498F">
        <w:tab/>
      </w:r>
      <w:bookmarkStart w:id="0" w:name="_Hlk74216627"/>
      <w:r w:rsidRPr="00CB63BD">
        <w:t>Schéma B</w:t>
      </w:r>
      <w:r w:rsidR="005B5BE3" w:rsidRPr="00CB63BD">
        <w:t> :</w:t>
      </w:r>
      <w:r w:rsidRPr="00CB63BD">
        <w:t xml:space="preserve">  Critères pour l’équipement des bateaux du type N avec des citernes à cargaison fermées</w:t>
      </w:r>
      <w:bookmarkEnd w:id="0"/>
    </w:p>
    <w:p w14:paraId="2D09C822" w14:textId="58CB3325" w:rsidR="00CD11B6" w:rsidRPr="00CB498F" w:rsidRDefault="00CD11B6" w:rsidP="00CD11B6">
      <w:pPr>
        <w:pStyle w:val="SingleTxtG"/>
        <w:rPr>
          <w:b/>
          <w:bCs/>
          <w:u w:val="single"/>
        </w:rPr>
      </w:pPr>
      <w:bookmarkStart w:id="1" w:name="_Hlk74216640"/>
      <w:r w:rsidRPr="00CB498F">
        <w:rPr>
          <w:b/>
          <w:bCs/>
          <w:u w:val="single"/>
        </w:rPr>
        <w:t>Déterminer dans les six premières colonnes les caractéristiques de la matière/citerne à cargaison qui sont pertinentes. Choisir la rangée qui convient dans la colonne correspondante. Les critères pour l’équipement des citernes à cargaison des bateaux de type N</w:t>
      </w:r>
      <w:r w:rsidR="00061D05">
        <w:rPr>
          <w:b/>
          <w:bCs/>
          <w:u w:val="single"/>
        </w:rPr>
        <w:t xml:space="preserve"> − </w:t>
      </w:r>
      <w:r w:rsidRPr="00CB498F">
        <w:rPr>
          <w:b/>
          <w:bCs/>
          <w:u w:val="single"/>
        </w:rPr>
        <w:t xml:space="preserve">bateaux avec des citernes à cargaison fermées </w:t>
      </w:r>
      <w:r w:rsidR="00061D05">
        <w:rPr>
          <w:b/>
          <w:bCs/>
          <w:u w:val="single"/>
        </w:rPr>
        <w:t xml:space="preserve">− </w:t>
      </w:r>
      <w:r w:rsidRPr="00CB498F">
        <w:rPr>
          <w:b/>
          <w:bCs/>
          <w:u w:val="single"/>
        </w:rPr>
        <w:t>sont alors décrits sur cette ligne dans la septième colonne. Si plusieurs colonnes sont pertinentes, sélectionner la ligne la plus pertinente dans la septième colonne</w:t>
      </w:r>
      <w:bookmarkEnd w:id="1"/>
      <w:r w:rsidRPr="00CB498F">
        <w:rPr>
          <w:b/>
          <w:bCs/>
          <w:u w:val="single"/>
        </w:rPr>
        <w:t>.</w:t>
      </w:r>
    </w:p>
    <w:tbl>
      <w:tblPr>
        <w:tblW w:w="13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755"/>
        <w:gridCol w:w="1488"/>
        <w:gridCol w:w="1487"/>
        <w:gridCol w:w="1085"/>
        <w:gridCol w:w="1756"/>
        <w:gridCol w:w="2694"/>
        <w:gridCol w:w="2029"/>
      </w:tblGrid>
      <w:tr w:rsidR="00CD11B6" w:rsidRPr="00CB498F" w14:paraId="2DE3218B" w14:textId="77777777" w:rsidTr="00F906A8">
        <w:trPr>
          <w:trHeight w:val="355"/>
          <w:tblHeader/>
        </w:trPr>
        <w:tc>
          <w:tcPr>
            <w:tcW w:w="1484" w:type="dxa"/>
            <w:vAlign w:val="center"/>
          </w:tcPr>
          <w:p w14:paraId="6B4F9278" w14:textId="77777777" w:rsidR="00CD11B6" w:rsidRPr="00CB498F" w:rsidRDefault="00CD11B6" w:rsidP="004E08B9">
            <w:pPr>
              <w:spacing w:before="60" w:after="60" w:line="240" w:lineRule="auto"/>
              <w:jc w:val="center"/>
              <w:rPr>
                <w:b/>
                <w:bCs/>
                <w:strike/>
              </w:rPr>
            </w:pPr>
          </w:p>
        </w:tc>
        <w:tc>
          <w:tcPr>
            <w:tcW w:w="10265" w:type="dxa"/>
            <w:gridSpan w:val="6"/>
            <w:vAlign w:val="center"/>
          </w:tcPr>
          <w:p w14:paraId="66B308CB" w14:textId="77777777" w:rsidR="00CD11B6" w:rsidRPr="00CB498F" w:rsidRDefault="00CD11B6" w:rsidP="004E08B9">
            <w:pPr>
              <w:spacing w:before="60" w:after="60" w:line="240" w:lineRule="auto"/>
              <w:jc w:val="center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>Caractéristiques de la matière/citerne à cargaison</w:t>
            </w:r>
          </w:p>
        </w:tc>
        <w:tc>
          <w:tcPr>
            <w:tcW w:w="2029" w:type="dxa"/>
          </w:tcPr>
          <w:p w14:paraId="7D652FAE" w14:textId="77777777" w:rsidR="00CD11B6" w:rsidRPr="00CB498F" w:rsidRDefault="00CD11B6" w:rsidP="004E08B9">
            <w:pPr>
              <w:spacing w:before="60" w:after="60" w:line="240" w:lineRule="auto"/>
              <w:jc w:val="center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>Prescriptions</w:t>
            </w:r>
          </w:p>
        </w:tc>
      </w:tr>
      <w:tr w:rsidR="00CD11B6" w:rsidRPr="00CB498F" w14:paraId="7A6A44C6" w14:textId="77777777" w:rsidTr="00F906A8">
        <w:trPr>
          <w:trHeight w:val="355"/>
          <w:tblHeader/>
        </w:trPr>
        <w:tc>
          <w:tcPr>
            <w:tcW w:w="1484" w:type="dxa"/>
            <w:vAlign w:val="center"/>
          </w:tcPr>
          <w:p w14:paraId="7D8AAABB" w14:textId="06DF6D30" w:rsidR="00CD11B6" w:rsidRPr="00CB498F" w:rsidRDefault="00CD11B6" w:rsidP="004E08B9">
            <w:pPr>
              <w:spacing w:before="60" w:after="60" w:line="240" w:lineRule="auto"/>
              <w:jc w:val="center"/>
              <w:rPr>
                <w:b/>
                <w:bCs/>
                <w:strike/>
              </w:rPr>
            </w:pPr>
            <w:r w:rsidRPr="00CB498F">
              <w:rPr>
                <w:b/>
                <w:bCs/>
                <w:strike/>
              </w:rPr>
              <w:t xml:space="preserve">Équipement de la citerne </w:t>
            </w:r>
            <w:r w:rsidR="00AE24FF">
              <w:rPr>
                <w:b/>
                <w:bCs/>
                <w:strike/>
              </w:rPr>
              <w:br/>
            </w:r>
            <w:r w:rsidRPr="00CB498F">
              <w:rPr>
                <w:b/>
                <w:bCs/>
                <w:strike/>
              </w:rPr>
              <w:t xml:space="preserve">à cargaison </w:t>
            </w:r>
          </w:p>
        </w:tc>
        <w:tc>
          <w:tcPr>
            <w:tcW w:w="5815" w:type="dxa"/>
            <w:gridSpan w:val="4"/>
            <w:vAlign w:val="center"/>
          </w:tcPr>
          <w:p w14:paraId="4BC4D4F3" w14:textId="446C8628" w:rsidR="00CD11B6" w:rsidRPr="00CB498F" w:rsidRDefault="00CD11B6" w:rsidP="004E08B9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CB498F">
              <w:rPr>
                <w:b/>
                <w:bCs/>
              </w:rPr>
              <w:t>Classe 3, point d’éclair &lt;23 °C</w:t>
            </w:r>
          </w:p>
        </w:tc>
        <w:tc>
          <w:tcPr>
            <w:tcW w:w="1756" w:type="dxa"/>
            <w:vAlign w:val="center"/>
          </w:tcPr>
          <w:p w14:paraId="592A426C" w14:textId="77777777" w:rsidR="00CD11B6" w:rsidRPr="00CB498F" w:rsidRDefault="00CD11B6" w:rsidP="004E08B9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CB498F">
              <w:rPr>
                <w:b/>
                <w:bCs/>
              </w:rPr>
              <w:t>Matières corrosives</w:t>
            </w:r>
          </w:p>
        </w:tc>
        <w:tc>
          <w:tcPr>
            <w:tcW w:w="2694" w:type="dxa"/>
            <w:vAlign w:val="center"/>
          </w:tcPr>
          <w:p w14:paraId="45430266" w14:textId="77777777" w:rsidR="00CD11B6" w:rsidRPr="00CB498F" w:rsidRDefault="00CD11B6" w:rsidP="004E08B9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CB498F">
              <w:rPr>
                <w:b/>
                <w:bCs/>
              </w:rPr>
              <w:t>Matières CMR</w:t>
            </w:r>
          </w:p>
        </w:tc>
        <w:tc>
          <w:tcPr>
            <w:tcW w:w="2029" w:type="dxa"/>
          </w:tcPr>
          <w:p w14:paraId="36BFE2BD" w14:textId="7F0EC217" w:rsidR="00CD11B6" w:rsidRPr="00CB498F" w:rsidRDefault="00CD11B6" w:rsidP="004E08B9">
            <w:pPr>
              <w:spacing w:before="60" w:after="60" w:line="240" w:lineRule="auto"/>
              <w:jc w:val="center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 xml:space="preserve">Équipement </w:t>
            </w:r>
            <w:r w:rsidR="00D04367">
              <w:rPr>
                <w:b/>
                <w:bCs/>
                <w:u w:val="single"/>
              </w:rPr>
              <w:br/>
            </w:r>
            <w:r w:rsidRPr="00CB498F">
              <w:rPr>
                <w:b/>
                <w:bCs/>
                <w:u w:val="single"/>
              </w:rPr>
              <w:t xml:space="preserve">de la citerne </w:t>
            </w:r>
            <w:r w:rsidR="00D04367">
              <w:rPr>
                <w:b/>
                <w:bCs/>
                <w:u w:val="single"/>
              </w:rPr>
              <w:br/>
            </w:r>
            <w:r w:rsidRPr="00CB498F">
              <w:rPr>
                <w:b/>
                <w:bCs/>
                <w:u w:val="single"/>
              </w:rPr>
              <w:t>à cargaison</w:t>
            </w:r>
          </w:p>
        </w:tc>
      </w:tr>
      <w:tr w:rsidR="00CD11B6" w:rsidRPr="00CB498F" w14:paraId="07AF0F3E" w14:textId="77777777" w:rsidTr="00D04367">
        <w:tc>
          <w:tcPr>
            <w:tcW w:w="1484" w:type="dxa"/>
          </w:tcPr>
          <w:p w14:paraId="59DD5125" w14:textId="77777777" w:rsidR="00CD11B6" w:rsidRPr="00CB498F" w:rsidRDefault="00CD11B6" w:rsidP="004E08B9">
            <w:pPr>
              <w:spacing w:before="60" w:after="60" w:line="240" w:lineRule="auto"/>
              <w:rPr>
                <w:strike/>
              </w:rPr>
            </w:pPr>
            <w:r w:rsidRPr="00CB498F">
              <w:rPr>
                <w:strike/>
              </w:rPr>
              <w:t>Citerne à pression (400 kPa)</w:t>
            </w:r>
          </w:p>
        </w:tc>
        <w:tc>
          <w:tcPr>
            <w:tcW w:w="1755" w:type="dxa"/>
          </w:tcPr>
          <w:p w14:paraId="1A7EE3F7" w14:textId="77777777" w:rsidR="00CD11B6" w:rsidRPr="00CB498F" w:rsidRDefault="00CD11B6" w:rsidP="004E08B9">
            <w:pPr>
              <w:spacing w:before="60" w:after="60" w:line="240" w:lineRule="auto"/>
            </w:pPr>
            <w:r w:rsidRPr="00CB498F">
              <w:t>175 kPa ≤ P</w:t>
            </w:r>
            <w:r w:rsidRPr="00CB498F">
              <w:rPr>
                <w:vertAlign w:val="subscript"/>
              </w:rPr>
              <w:t xml:space="preserve">d 50 </w:t>
            </w:r>
            <w:r w:rsidRPr="00CB498F">
              <w:rPr>
                <w:vertAlign w:val="subscript"/>
              </w:rPr>
              <w:br/>
            </w:r>
            <w:r w:rsidRPr="00CB498F">
              <w:t>&lt; 300 kPa, sans réfrigération</w:t>
            </w:r>
          </w:p>
        </w:tc>
        <w:tc>
          <w:tcPr>
            <w:tcW w:w="1488" w:type="dxa"/>
          </w:tcPr>
          <w:p w14:paraId="10FC474F" w14:textId="77777777" w:rsidR="00CD11B6" w:rsidRPr="00CB498F" w:rsidRDefault="00CD11B6" w:rsidP="00C07F22">
            <w:pPr>
              <w:spacing w:before="60" w:after="60" w:line="240" w:lineRule="auto"/>
              <w:ind w:right="-47"/>
            </w:pPr>
          </w:p>
        </w:tc>
        <w:tc>
          <w:tcPr>
            <w:tcW w:w="1487" w:type="dxa"/>
          </w:tcPr>
          <w:p w14:paraId="39486D9A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085" w:type="dxa"/>
          </w:tcPr>
          <w:p w14:paraId="2AA186DC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11BF7E91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2694" w:type="dxa"/>
          </w:tcPr>
          <w:p w14:paraId="7A672F94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2029" w:type="dxa"/>
          </w:tcPr>
          <w:p w14:paraId="639935BA" w14:textId="77777777" w:rsidR="00CD11B6" w:rsidRPr="00CB498F" w:rsidRDefault="00CD11B6" w:rsidP="00EF7591">
            <w:pPr>
              <w:suppressAutoHyphens w:val="0"/>
              <w:spacing w:before="60" w:after="60" w:line="240" w:lineRule="auto"/>
              <w:ind w:left="-51" w:right="-93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>Citerne à pression (400 kPa)</w:t>
            </w:r>
          </w:p>
        </w:tc>
      </w:tr>
      <w:tr w:rsidR="00CD11B6" w:rsidRPr="00CB498F" w14:paraId="24766801" w14:textId="77777777" w:rsidTr="00D04367">
        <w:tc>
          <w:tcPr>
            <w:tcW w:w="1484" w:type="dxa"/>
          </w:tcPr>
          <w:p w14:paraId="61E87BDD" w14:textId="285CB234" w:rsidR="00CD11B6" w:rsidRPr="00CB498F" w:rsidRDefault="00CD11B6" w:rsidP="004E08B9">
            <w:pPr>
              <w:spacing w:before="60" w:after="60" w:line="240" w:lineRule="auto"/>
              <w:rPr>
                <w:strike/>
              </w:rPr>
            </w:pPr>
            <w:r w:rsidRPr="00CB498F">
              <w:rPr>
                <w:strike/>
              </w:rPr>
              <w:t xml:space="preserve">Pression d’ouverture </w:t>
            </w:r>
            <w:r w:rsidR="00C07F22">
              <w:rPr>
                <w:strike/>
              </w:rPr>
              <w:br/>
            </w:r>
            <w:r w:rsidRPr="00CB498F">
              <w:rPr>
                <w:strike/>
              </w:rPr>
              <w:t>de la soupape de surpression/</w:t>
            </w:r>
            <w:r w:rsidR="003C532A">
              <w:rPr>
                <w:strike/>
              </w:rPr>
              <w:t xml:space="preserve"> </w:t>
            </w:r>
            <w:r w:rsidRPr="00CB498F">
              <w:rPr>
                <w:strike/>
              </w:rPr>
              <w:t>soupape de dégagement à grande vitesse</w:t>
            </w:r>
            <w:r w:rsidR="005B5BE3">
              <w:rPr>
                <w:strike/>
              </w:rPr>
              <w:t> :</w:t>
            </w:r>
            <w:r w:rsidRPr="00CB498F">
              <w:rPr>
                <w:strike/>
              </w:rPr>
              <w:t xml:space="preserve"> 50 kPa</w:t>
            </w:r>
          </w:p>
        </w:tc>
        <w:tc>
          <w:tcPr>
            <w:tcW w:w="1755" w:type="dxa"/>
          </w:tcPr>
          <w:p w14:paraId="2EE4ABEC" w14:textId="77777777" w:rsidR="00CD11B6" w:rsidRPr="00CB498F" w:rsidRDefault="00CD11B6" w:rsidP="004E08B9">
            <w:pPr>
              <w:spacing w:before="60" w:after="60" w:line="240" w:lineRule="auto"/>
            </w:pPr>
            <w:r w:rsidRPr="00CB498F">
              <w:t xml:space="preserve">175 kPa ≤ P </w:t>
            </w:r>
            <w:r w:rsidRPr="00CB498F">
              <w:rPr>
                <w:vertAlign w:val="subscript"/>
              </w:rPr>
              <w:t xml:space="preserve">d 50 </w:t>
            </w:r>
            <w:r w:rsidRPr="00CB498F">
              <w:rPr>
                <w:vertAlign w:val="subscript"/>
              </w:rPr>
              <w:br/>
            </w:r>
            <w:r w:rsidRPr="00CB498F">
              <w:t xml:space="preserve">&lt; 300 kPa, avec réfrigération </w:t>
            </w:r>
            <w:r w:rsidRPr="00CB498F">
              <w:rPr>
                <w:strike/>
              </w:rPr>
              <w:t>(chiffre 1 à la colonne (9))</w:t>
            </w:r>
          </w:p>
        </w:tc>
        <w:tc>
          <w:tcPr>
            <w:tcW w:w="1488" w:type="dxa"/>
          </w:tcPr>
          <w:p w14:paraId="15A44006" w14:textId="77777777" w:rsidR="00CD11B6" w:rsidRPr="00CB498F" w:rsidRDefault="00CD11B6" w:rsidP="00C07F22">
            <w:pPr>
              <w:spacing w:before="60" w:after="60" w:line="240" w:lineRule="auto"/>
              <w:ind w:right="-47"/>
              <w:rPr>
                <w:strike/>
              </w:rPr>
            </w:pPr>
            <w:r w:rsidRPr="00CB498F">
              <w:rPr>
                <w:strike/>
              </w:rPr>
              <w:t xml:space="preserve">110 kPa ≤ P </w:t>
            </w:r>
            <w:r w:rsidRPr="00CB498F">
              <w:rPr>
                <w:strike/>
                <w:vertAlign w:val="subscript"/>
              </w:rPr>
              <w:t xml:space="preserve">d 50 </w:t>
            </w:r>
            <w:r w:rsidRPr="00CB498F">
              <w:rPr>
                <w:strike/>
                <w:vertAlign w:val="subscript"/>
              </w:rPr>
              <w:br/>
            </w:r>
            <w:r w:rsidRPr="00CB498F">
              <w:rPr>
                <w:strike/>
              </w:rPr>
              <w:t>&lt; 175 kPa sans pulvérisation</w:t>
            </w:r>
          </w:p>
        </w:tc>
        <w:tc>
          <w:tcPr>
            <w:tcW w:w="1487" w:type="dxa"/>
          </w:tcPr>
          <w:p w14:paraId="5938DE00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085" w:type="dxa"/>
          </w:tcPr>
          <w:p w14:paraId="75A98C33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04747771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2694" w:type="dxa"/>
          </w:tcPr>
          <w:p w14:paraId="0316E7B9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2029" w:type="dxa"/>
          </w:tcPr>
          <w:p w14:paraId="20C44421" w14:textId="6C37B390" w:rsidR="00CD11B6" w:rsidRPr="00CB498F" w:rsidRDefault="00CD11B6" w:rsidP="00EF7591">
            <w:pPr>
              <w:suppressAutoHyphens w:val="0"/>
              <w:spacing w:before="60" w:after="60" w:line="240" w:lineRule="auto"/>
              <w:ind w:left="-51" w:right="-93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>Pression d’ouverture de la soupape de surpression/soupape de dégagement à grande vitesse</w:t>
            </w:r>
            <w:r w:rsidR="005B5BE3">
              <w:rPr>
                <w:b/>
                <w:bCs/>
                <w:u w:val="single"/>
              </w:rPr>
              <w:t> :</w:t>
            </w:r>
            <w:r w:rsidRPr="00CB498F">
              <w:rPr>
                <w:b/>
                <w:bCs/>
                <w:u w:val="single"/>
              </w:rPr>
              <w:t xml:space="preserve"> 50</w:t>
            </w:r>
            <w:r w:rsidR="00D04367">
              <w:rPr>
                <w:b/>
                <w:bCs/>
                <w:u w:val="single"/>
              </w:rPr>
              <w:t> </w:t>
            </w:r>
            <w:r w:rsidRPr="00CB498F">
              <w:rPr>
                <w:b/>
                <w:bCs/>
                <w:u w:val="single"/>
              </w:rPr>
              <w:t>kPa (avec réfrigération (chiffre 1 à la colonne 9))</w:t>
            </w:r>
          </w:p>
        </w:tc>
      </w:tr>
      <w:tr w:rsidR="00CD11B6" w:rsidRPr="00CB498F" w14:paraId="53EBF729" w14:textId="77777777" w:rsidTr="00D04367">
        <w:tc>
          <w:tcPr>
            <w:tcW w:w="1484" w:type="dxa"/>
          </w:tcPr>
          <w:p w14:paraId="6D80B9D0" w14:textId="77777777" w:rsidR="00CD11B6" w:rsidRPr="00CB498F" w:rsidRDefault="00CD11B6" w:rsidP="004E08B9">
            <w:pPr>
              <w:spacing w:before="60" w:after="60" w:line="240" w:lineRule="auto"/>
              <w:rPr>
                <w:strike/>
              </w:rPr>
            </w:pPr>
          </w:p>
        </w:tc>
        <w:tc>
          <w:tcPr>
            <w:tcW w:w="1755" w:type="dxa"/>
          </w:tcPr>
          <w:p w14:paraId="7E655D64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488" w:type="dxa"/>
          </w:tcPr>
          <w:p w14:paraId="11BCB6D9" w14:textId="77777777" w:rsidR="00CD11B6" w:rsidRPr="00CB498F" w:rsidRDefault="00CD11B6" w:rsidP="00C07F22">
            <w:pPr>
              <w:spacing w:before="60" w:after="60" w:line="240" w:lineRule="auto"/>
              <w:ind w:right="-47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 xml:space="preserve">150 kPa ≤ P </w:t>
            </w:r>
            <w:r w:rsidRPr="00CB498F">
              <w:rPr>
                <w:b/>
                <w:bCs/>
                <w:u w:val="single"/>
                <w:vertAlign w:val="subscript"/>
              </w:rPr>
              <w:t xml:space="preserve">d 50 </w:t>
            </w:r>
            <w:r w:rsidRPr="00CB498F">
              <w:rPr>
                <w:b/>
                <w:bCs/>
                <w:u w:val="single"/>
                <w:vertAlign w:val="subscript"/>
              </w:rPr>
              <w:br/>
            </w:r>
            <w:r w:rsidRPr="00CB498F">
              <w:rPr>
                <w:b/>
                <w:bCs/>
                <w:u w:val="single"/>
              </w:rPr>
              <w:t xml:space="preserve">&lt; 175 kPa </w:t>
            </w:r>
          </w:p>
        </w:tc>
        <w:tc>
          <w:tcPr>
            <w:tcW w:w="1487" w:type="dxa"/>
          </w:tcPr>
          <w:p w14:paraId="0FBF5D81" w14:textId="77777777" w:rsidR="00CD11B6" w:rsidRPr="00CB498F" w:rsidRDefault="00CD11B6" w:rsidP="003C532A">
            <w:pPr>
              <w:spacing w:before="60" w:after="60" w:line="240" w:lineRule="auto"/>
              <w:ind w:right="-44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 xml:space="preserve">110 kPa ≤ P </w:t>
            </w:r>
            <w:r w:rsidRPr="00CB498F">
              <w:rPr>
                <w:b/>
                <w:bCs/>
                <w:u w:val="single"/>
                <w:vertAlign w:val="subscript"/>
              </w:rPr>
              <w:t xml:space="preserve">d 50 </w:t>
            </w:r>
            <w:r w:rsidRPr="00CB498F">
              <w:rPr>
                <w:b/>
                <w:bCs/>
                <w:u w:val="single"/>
                <w:vertAlign w:val="subscript"/>
              </w:rPr>
              <w:br/>
            </w:r>
            <w:r w:rsidRPr="00CB498F">
              <w:rPr>
                <w:b/>
                <w:bCs/>
                <w:u w:val="single"/>
              </w:rPr>
              <w:t>&lt; 150 kPa sans pulvérisation</w:t>
            </w:r>
          </w:p>
        </w:tc>
        <w:tc>
          <w:tcPr>
            <w:tcW w:w="1085" w:type="dxa"/>
          </w:tcPr>
          <w:p w14:paraId="3B72D9F5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40205968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2694" w:type="dxa"/>
          </w:tcPr>
          <w:p w14:paraId="3412B69C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2029" w:type="dxa"/>
          </w:tcPr>
          <w:p w14:paraId="4CF4519E" w14:textId="153FAE26" w:rsidR="00CD11B6" w:rsidRPr="00CB498F" w:rsidRDefault="00CD11B6" w:rsidP="00EF7591">
            <w:pPr>
              <w:suppressAutoHyphens w:val="0"/>
              <w:spacing w:before="60" w:after="60" w:line="240" w:lineRule="auto"/>
              <w:ind w:left="-51" w:right="-93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>Pression d’ouverture de la soupape de surpression/soupape de dégagement à grande vitesse</w:t>
            </w:r>
            <w:r w:rsidR="005B5BE3">
              <w:rPr>
                <w:b/>
                <w:bCs/>
                <w:u w:val="single"/>
              </w:rPr>
              <w:t> :</w:t>
            </w:r>
            <w:r w:rsidRPr="00CB498F">
              <w:rPr>
                <w:b/>
                <w:bCs/>
                <w:u w:val="single"/>
              </w:rPr>
              <w:t xml:space="preserve"> 50 kPa</w:t>
            </w:r>
          </w:p>
        </w:tc>
      </w:tr>
      <w:tr w:rsidR="00CD11B6" w:rsidRPr="00CB498F" w14:paraId="09C1F3F2" w14:textId="77777777" w:rsidTr="00D04367">
        <w:tc>
          <w:tcPr>
            <w:tcW w:w="1484" w:type="dxa"/>
          </w:tcPr>
          <w:p w14:paraId="774E8A2F" w14:textId="77777777" w:rsidR="003C532A" w:rsidRDefault="00CD11B6" w:rsidP="004E08B9">
            <w:pPr>
              <w:spacing w:before="60" w:after="60" w:line="240" w:lineRule="auto"/>
              <w:rPr>
                <w:strike/>
              </w:rPr>
            </w:pPr>
            <w:r w:rsidRPr="00CB498F">
              <w:rPr>
                <w:strike/>
              </w:rPr>
              <w:t xml:space="preserve">Pression d’ouverture </w:t>
            </w:r>
          </w:p>
          <w:p w14:paraId="1E75B4CA" w14:textId="1B182171" w:rsidR="00CD11B6" w:rsidRPr="00CB498F" w:rsidRDefault="00CD11B6" w:rsidP="004E08B9">
            <w:pPr>
              <w:spacing w:before="60" w:after="60" w:line="240" w:lineRule="auto"/>
              <w:rPr>
                <w:strike/>
              </w:rPr>
            </w:pPr>
            <w:r w:rsidRPr="00CB498F">
              <w:rPr>
                <w:strike/>
              </w:rPr>
              <w:t>de la soupape de surpression/</w:t>
            </w:r>
            <w:r w:rsidR="003C532A">
              <w:rPr>
                <w:strike/>
              </w:rPr>
              <w:t xml:space="preserve"> </w:t>
            </w:r>
            <w:r w:rsidRPr="00CB498F">
              <w:rPr>
                <w:strike/>
              </w:rPr>
              <w:t>soupape de dégagement à grande vitesse</w:t>
            </w:r>
            <w:r w:rsidR="005B5BE3">
              <w:rPr>
                <w:strike/>
              </w:rPr>
              <w:t> :</w:t>
            </w:r>
            <w:r w:rsidRPr="00CB498F">
              <w:rPr>
                <w:strike/>
              </w:rPr>
              <w:t xml:space="preserve"> 10 kPa</w:t>
            </w:r>
          </w:p>
        </w:tc>
        <w:tc>
          <w:tcPr>
            <w:tcW w:w="1755" w:type="dxa"/>
          </w:tcPr>
          <w:p w14:paraId="24A57B82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488" w:type="dxa"/>
          </w:tcPr>
          <w:p w14:paraId="7B7FE0B2" w14:textId="77777777" w:rsidR="00CD11B6" w:rsidRPr="00CB498F" w:rsidRDefault="00CD11B6" w:rsidP="00C07F22">
            <w:pPr>
              <w:spacing w:before="60" w:after="60" w:line="240" w:lineRule="auto"/>
              <w:ind w:right="-47"/>
            </w:pPr>
          </w:p>
        </w:tc>
        <w:tc>
          <w:tcPr>
            <w:tcW w:w="1487" w:type="dxa"/>
          </w:tcPr>
          <w:p w14:paraId="73DC0EE3" w14:textId="77777777" w:rsidR="00CD11B6" w:rsidRPr="00CB498F" w:rsidRDefault="00CD11B6" w:rsidP="003C532A">
            <w:pPr>
              <w:spacing w:before="60" w:after="60" w:line="240" w:lineRule="auto"/>
              <w:ind w:right="-44"/>
            </w:pPr>
            <w:r w:rsidRPr="00CB498F">
              <w:t xml:space="preserve">110 kPa ≤ P </w:t>
            </w:r>
            <w:r w:rsidRPr="00CB498F">
              <w:rPr>
                <w:vertAlign w:val="subscript"/>
              </w:rPr>
              <w:t xml:space="preserve">d 50 </w:t>
            </w:r>
            <w:r w:rsidRPr="00CB498F">
              <w:rPr>
                <w:vertAlign w:val="subscript"/>
              </w:rPr>
              <w:br/>
            </w:r>
            <w:r w:rsidRPr="00CB498F">
              <w:t xml:space="preserve">&lt; 150 kPa avec pulvérisation </w:t>
            </w:r>
            <w:r w:rsidRPr="00CB498F">
              <w:rPr>
                <w:strike/>
              </w:rPr>
              <w:t>(chiffre 3 à la colonne (9))</w:t>
            </w:r>
          </w:p>
        </w:tc>
        <w:tc>
          <w:tcPr>
            <w:tcW w:w="1085" w:type="dxa"/>
          </w:tcPr>
          <w:p w14:paraId="5C340EFA" w14:textId="77777777" w:rsidR="00CD11B6" w:rsidRPr="00CB498F" w:rsidRDefault="00CD11B6" w:rsidP="003472D3">
            <w:pPr>
              <w:spacing w:before="60" w:after="60" w:line="240" w:lineRule="auto"/>
              <w:ind w:right="-51"/>
              <w:rPr>
                <w:strike/>
              </w:rPr>
            </w:pPr>
            <w:r w:rsidRPr="00CB498F">
              <w:rPr>
                <w:strike/>
              </w:rPr>
              <w:t xml:space="preserve">P </w:t>
            </w:r>
            <w:r w:rsidRPr="00CB498F">
              <w:rPr>
                <w:strike/>
                <w:vertAlign w:val="subscript"/>
              </w:rPr>
              <w:t xml:space="preserve">d 50 </w:t>
            </w:r>
            <w:r w:rsidRPr="00CB498F">
              <w:rPr>
                <w:strike/>
              </w:rPr>
              <w:t>&lt; 110 kPa</w:t>
            </w:r>
          </w:p>
        </w:tc>
        <w:tc>
          <w:tcPr>
            <w:tcW w:w="1756" w:type="dxa"/>
          </w:tcPr>
          <w:p w14:paraId="542F780B" w14:textId="77777777" w:rsidR="00CD11B6" w:rsidRPr="00CB498F" w:rsidRDefault="00CD11B6" w:rsidP="003472D3">
            <w:pPr>
              <w:spacing w:before="60" w:after="60" w:line="240" w:lineRule="auto"/>
              <w:ind w:left="-51" w:right="-71"/>
              <w:rPr>
                <w:strike/>
              </w:rPr>
            </w:pPr>
            <w:r w:rsidRPr="00CB498F">
              <w:rPr>
                <w:strike/>
              </w:rPr>
              <w:t xml:space="preserve">Groupe d’emballage I ou II avec P </w:t>
            </w:r>
            <w:r w:rsidRPr="00CB498F">
              <w:rPr>
                <w:strike/>
                <w:vertAlign w:val="subscript"/>
              </w:rPr>
              <w:t>d 50</w:t>
            </w:r>
            <w:r w:rsidRPr="00CB498F">
              <w:rPr>
                <w:strike/>
              </w:rPr>
              <w:t xml:space="preserve"> &gt; 12.5 kPa ou réagissant dangereusement avec l’eau ou avec des gaz en solution </w:t>
            </w:r>
          </w:p>
        </w:tc>
        <w:tc>
          <w:tcPr>
            <w:tcW w:w="2694" w:type="dxa"/>
          </w:tcPr>
          <w:p w14:paraId="3C1D1510" w14:textId="6C549FE4" w:rsidR="00CD11B6" w:rsidRPr="00CB498F" w:rsidRDefault="00CD11B6" w:rsidP="004E08B9">
            <w:pPr>
              <w:spacing w:before="60" w:after="60" w:line="240" w:lineRule="auto"/>
            </w:pPr>
            <w:r w:rsidRPr="00CB498F">
              <w:rPr>
                <w:strike/>
              </w:rPr>
              <w:t>Pression d’ouverture de la soupape de surpression/</w:t>
            </w:r>
            <w:r w:rsidR="003472D3">
              <w:rPr>
                <w:strike/>
              </w:rPr>
              <w:t xml:space="preserve"> </w:t>
            </w:r>
            <w:r w:rsidRPr="00CB498F">
              <w:rPr>
                <w:strike/>
              </w:rPr>
              <w:t>soupape de dégagement à grande vitesse</w:t>
            </w:r>
            <w:r w:rsidR="005B5BE3">
              <w:rPr>
                <w:strike/>
              </w:rPr>
              <w:t> :</w:t>
            </w:r>
            <w:r w:rsidRPr="00CB498F">
              <w:rPr>
                <w:strike/>
              </w:rPr>
              <w:t xml:space="preserve"> 10 kPa lorsque la, p </w:t>
            </w:r>
            <w:r w:rsidRPr="00CB498F">
              <w:rPr>
                <w:b/>
                <w:bCs/>
                <w:u w:val="single"/>
              </w:rPr>
              <w:t>P</w:t>
            </w:r>
            <w:r w:rsidRPr="00CB498F">
              <w:t>ression de vapeur &gt; 10 kPa (calcul de la pression de vapeur selon la formule pour la colonne 10, avec toutefois v</w:t>
            </w:r>
            <w:r w:rsidRPr="007F4621">
              <w:rPr>
                <w:vertAlign w:val="subscript"/>
              </w:rPr>
              <w:t>a</w:t>
            </w:r>
            <w:r w:rsidRPr="00CB498F">
              <w:t xml:space="preserve"> = 0,03)</w:t>
            </w:r>
          </w:p>
        </w:tc>
        <w:tc>
          <w:tcPr>
            <w:tcW w:w="2029" w:type="dxa"/>
          </w:tcPr>
          <w:p w14:paraId="42BDE333" w14:textId="4DC2EF2C" w:rsidR="00CD11B6" w:rsidRPr="00CB498F" w:rsidRDefault="00CD11B6" w:rsidP="00EF7591">
            <w:pPr>
              <w:suppressAutoHyphens w:val="0"/>
              <w:spacing w:before="60" w:after="60" w:line="240" w:lineRule="auto"/>
              <w:ind w:left="-51" w:right="-93"/>
              <w:rPr>
                <w:b/>
                <w:bCs/>
                <w:u w:val="single"/>
              </w:rPr>
            </w:pPr>
            <w:bookmarkStart w:id="2" w:name="_Hlk72492422"/>
            <w:r w:rsidRPr="00CB498F">
              <w:rPr>
                <w:b/>
                <w:bCs/>
                <w:u w:val="single"/>
              </w:rPr>
              <w:t>Pression d’ouverture de la soupape de surpression/soupape de dégagement à grande vitesse</w:t>
            </w:r>
            <w:r w:rsidR="005B5BE3">
              <w:rPr>
                <w:b/>
                <w:bCs/>
                <w:u w:val="single"/>
              </w:rPr>
              <w:t> :</w:t>
            </w:r>
            <w:r w:rsidRPr="00CB498F">
              <w:rPr>
                <w:b/>
                <w:bCs/>
                <w:u w:val="single"/>
              </w:rPr>
              <w:t xml:space="preserve"> 10 kPa (avec pulvérisation </w:t>
            </w:r>
            <w:bookmarkEnd w:id="2"/>
            <w:r w:rsidRPr="00CB498F">
              <w:rPr>
                <w:b/>
                <w:bCs/>
                <w:u w:val="single"/>
              </w:rPr>
              <w:t>(chiffre 3 à la colonne 9</w:t>
            </w:r>
            <w:r w:rsidR="007F4621">
              <w:rPr>
                <w:b/>
                <w:bCs/>
                <w:u w:val="single"/>
              </w:rPr>
              <w:t>)</w:t>
            </w:r>
            <w:r w:rsidRPr="00CB498F">
              <w:rPr>
                <w:b/>
                <w:bCs/>
                <w:u w:val="single"/>
              </w:rPr>
              <w:t>)</w:t>
            </w:r>
          </w:p>
        </w:tc>
      </w:tr>
      <w:tr w:rsidR="00CD11B6" w:rsidRPr="00CB498F" w14:paraId="51B7A93D" w14:textId="77777777" w:rsidTr="00D04367">
        <w:tc>
          <w:tcPr>
            <w:tcW w:w="1484" w:type="dxa"/>
          </w:tcPr>
          <w:p w14:paraId="70B84B46" w14:textId="77777777" w:rsidR="00CD11B6" w:rsidRPr="00CB498F" w:rsidRDefault="00CD11B6" w:rsidP="004E08B9">
            <w:pPr>
              <w:spacing w:before="60" w:after="60" w:line="240" w:lineRule="auto"/>
              <w:rPr>
                <w:strike/>
              </w:rPr>
            </w:pPr>
          </w:p>
        </w:tc>
        <w:tc>
          <w:tcPr>
            <w:tcW w:w="1755" w:type="dxa"/>
          </w:tcPr>
          <w:p w14:paraId="692CBDC1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488" w:type="dxa"/>
          </w:tcPr>
          <w:p w14:paraId="747882BB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487" w:type="dxa"/>
          </w:tcPr>
          <w:p w14:paraId="4E3C362B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085" w:type="dxa"/>
          </w:tcPr>
          <w:p w14:paraId="76F701BC" w14:textId="77777777" w:rsidR="00CD11B6" w:rsidRPr="00CB498F" w:rsidRDefault="00CD11B6" w:rsidP="006772CA">
            <w:pPr>
              <w:spacing w:before="60" w:after="60" w:line="240" w:lineRule="auto"/>
              <w:ind w:left="-72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 xml:space="preserve">P </w:t>
            </w:r>
            <w:r w:rsidRPr="00CB498F">
              <w:rPr>
                <w:b/>
                <w:bCs/>
                <w:u w:val="single"/>
                <w:vertAlign w:val="subscript"/>
              </w:rPr>
              <w:t xml:space="preserve">d 50 </w:t>
            </w:r>
            <w:r w:rsidRPr="00CB498F">
              <w:rPr>
                <w:b/>
                <w:bCs/>
                <w:u w:val="single"/>
              </w:rPr>
              <w:t>&lt; 110 kPa</w:t>
            </w:r>
          </w:p>
        </w:tc>
        <w:tc>
          <w:tcPr>
            <w:tcW w:w="1756" w:type="dxa"/>
          </w:tcPr>
          <w:p w14:paraId="7D0A7BA2" w14:textId="77777777" w:rsidR="00CD11B6" w:rsidRPr="00CB498F" w:rsidRDefault="00CD11B6" w:rsidP="006772CA">
            <w:pPr>
              <w:spacing w:before="60" w:after="60" w:line="240" w:lineRule="auto"/>
              <w:ind w:left="-65" w:right="-43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 xml:space="preserve">Groupe d’emballage I ou II avec P </w:t>
            </w:r>
            <w:r w:rsidRPr="006772CA">
              <w:rPr>
                <w:b/>
                <w:bCs/>
                <w:u w:val="single"/>
                <w:vertAlign w:val="subscript"/>
              </w:rPr>
              <w:t>d 50</w:t>
            </w:r>
            <w:r w:rsidRPr="00CB498F">
              <w:rPr>
                <w:b/>
                <w:bCs/>
                <w:u w:val="single"/>
              </w:rPr>
              <w:t xml:space="preserve"> &gt; 12,5 kPa ou réagissant dangereusement avec l’eau ou avec des gaz en solution</w:t>
            </w:r>
          </w:p>
        </w:tc>
        <w:tc>
          <w:tcPr>
            <w:tcW w:w="2694" w:type="dxa"/>
          </w:tcPr>
          <w:p w14:paraId="1635FD40" w14:textId="603B55F9" w:rsidR="00CD11B6" w:rsidRPr="00CB498F" w:rsidRDefault="00CD11B6" w:rsidP="004E08B9">
            <w:pPr>
              <w:spacing w:before="60" w:after="60" w:line="240" w:lineRule="auto"/>
            </w:pPr>
            <w:r w:rsidRPr="00CB498F">
              <w:rPr>
                <w:strike/>
              </w:rPr>
              <w:t>Pression d’ouverture de la soupape de surpression/</w:t>
            </w:r>
            <w:r w:rsidR="000A5555">
              <w:rPr>
                <w:strike/>
              </w:rPr>
              <w:t xml:space="preserve"> </w:t>
            </w:r>
            <w:r w:rsidRPr="00CB498F">
              <w:rPr>
                <w:strike/>
              </w:rPr>
              <w:t>soupape de dégagement à grande vitesse</w:t>
            </w:r>
            <w:r w:rsidR="005B5BE3">
              <w:rPr>
                <w:strike/>
              </w:rPr>
              <w:t> :</w:t>
            </w:r>
            <w:r w:rsidRPr="00CB498F">
              <w:rPr>
                <w:strike/>
              </w:rPr>
              <w:t xml:space="preserve"> 10 kPa lorsque la p </w:t>
            </w:r>
            <w:r w:rsidRPr="00CB498F">
              <w:rPr>
                <w:b/>
                <w:bCs/>
                <w:u w:val="single"/>
              </w:rPr>
              <w:t>Pression de vapeur ≤ 10 kPa (calcul de la pression de vapeur selon la formule pour la colonne 10, avec toutefois v</w:t>
            </w:r>
            <w:r w:rsidRPr="00CB498F">
              <w:rPr>
                <w:b/>
                <w:bCs/>
                <w:u w:val="single"/>
                <w:vertAlign w:val="subscript"/>
              </w:rPr>
              <w:t xml:space="preserve">a </w:t>
            </w:r>
            <w:r w:rsidRPr="00CB498F">
              <w:rPr>
                <w:b/>
                <w:bCs/>
                <w:u w:val="single"/>
              </w:rPr>
              <w:t>= 0,03)</w:t>
            </w:r>
          </w:p>
        </w:tc>
        <w:tc>
          <w:tcPr>
            <w:tcW w:w="2029" w:type="dxa"/>
          </w:tcPr>
          <w:p w14:paraId="30413C6B" w14:textId="217173F7" w:rsidR="00CD11B6" w:rsidRPr="00CB498F" w:rsidRDefault="00CD11B6" w:rsidP="004E08B9">
            <w:pPr>
              <w:suppressAutoHyphens w:val="0"/>
              <w:spacing w:before="60" w:after="60" w:line="240" w:lineRule="auto"/>
              <w:rPr>
                <w:b/>
                <w:bCs/>
                <w:u w:val="single"/>
              </w:rPr>
            </w:pPr>
            <w:r w:rsidRPr="00CB498F">
              <w:rPr>
                <w:b/>
                <w:bCs/>
                <w:u w:val="single"/>
              </w:rPr>
              <w:t>Pression d’ouverture de la soupape de surpression/soupape de dégagement à grande vitesse</w:t>
            </w:r>
            <w:r w:rsidR="005B5BE3">
              <w:rPr>
                <w:b/>
                <w:bCs/>
                <w:u w:val="single"/>
              </w:rPr>
              <w:t> :</w:t>
            </w:r>
            <w:r w:rsidRPr="00CB498F">
              <w:rPr>
                <w:b/>
                <w:bCs/>
                <w:u w:val="single"/>
              </w:rPr>
              <w:t xml:space="preserve"> 10</w:t>
            </w:r>
            <w:r w:rsidR="000A5555">
              <w:rPr>
                <w:b/>
                <w:bCs/>
                <w:u w:val="single"/>
              </w:rPr>
              <w:t> </w:t>
            </w:r>
            <w:r w:rsidRPr="00CB498F">
              <w:rPr>
                <w:b/>
                <w:bCs/>
                <w:u w:val="single"/>
              </w:rPr>
              <w:t>kPa</w:t>
            </w:r>
          </w:p>
        </w:tc>
      </w:tr>
    </w:tbl>
    <w:p w14:paraId="0DE4773C" w14:textId="5E673D24" w:rsidR="00CD11B6" w:rsidRPr="00CB498F" w:rsidRDefault="00CD11B6" w:rsidP="000253F3">
      <w:pPr>
        <w:pStyle w:val="SingleTxtG"/>
        <w:spacing w:before="120"/>
      </w:pPr>
      <w:r w:rsidRPr="00CB498F">
        <w:t>12.</w:t>
      </w:r>
      <w:r w:rsidRPr="00CB498F">
        <w:tab/>
        <w:t>Pour plus de clarté, le schéma B proposé est présenté ci-dessous sans le suivi des modifications</w:t>
      </w:r>
      <w:r w:rsidR="005B5BE3">
        <w:t> :</w:t>
      </w:r>
    </w:p>
    <w:p w14:paraId="10BEE5C2" w14:textId="7FA69957" w:rsidR="00CD11B6" w:rsidRPr="00CB498F" w:rsidRDefault="00CD11B6" w:rsidP="000253F3">
      <w:pPr>
        <w:pStyle w:val="H1G"/>
      </w:pPr>
      <w:r w:rsidRPr="00CB498F">
        <w:tab/>
      </w:r>
      <w:r w:rsidRPr="00CB498F">
        <w:tab/>
        <w:t>Schéma B</w:t>
      </w:r>
      <w:r w:rsidR="005B5BE3">
        <w:t> :</w:t>
      </w:r>
      <w:r w:rsidRPr="00CB498F">
        <w:t xml:space="preserve">  Critères pour l’équipement des bateaux du type N avec des citernes à cargaison fermées</w:t>
      </w:r>
    </w:p>
    <w:p w14:paraId="0680F65B" w14:textId="2282E7A9" w:rsidR="00CD11B6" w:rsidRPr="00CB498F" w:rsidRDefault="00CD11B6" w:rsidP="00CD11B6">
      <w:pPr>
        <w:pStyle w:val="SingleTxtG"/>
      </w:pPr>
      <w:r w:rsidRPr="00CB498F">
        <w:t>Déterminer dans les six premières colonnes les caractéristiques de la matière/citerne à cargaison qui sont pertinentes. Choisir la rangée qui convient dans la colonne correspondante. Les critères pour l’équipement des citernes à cargaison des bateaux de type N</w:t>
      </w:r>
      <w:r w:rsidR="00061D05">
        <w:t xml:space="preserve"> − </w:t>
      </w:r>
      <w:r w:rsidRPr="00CB498F">
        <w:t xml:space="preserve">bateaux avec des citernes à cargaison fermées </w:t>
      </w:r>
      <w:r w:rsidR="00061D05">
        <w:t xml:space="preserve">− </w:t>
      </w:r>
      <w:r w:rsidRPr="00CB498F">
        <w:t>sont alors décrits sur cette ligne dans la septième colonne. Si plusieurs colonnes sont pertinentes, sélectionner la ligne la plus pertinente dans la septième colonne.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054"/>
        <w:gridCol w:w="1751"/>
        <w:gridCol w:w="1577"/>
        <w:gridCol w:w="2361"/>
        <w:gridCol w:w="3059"/>
        <w:gridCol w:w="2623"/>
      </w:tblGrid>
      <w:tr w:rsidR="00CD11B6" w:rsidRPr="00CB498F" w14:paraId="185A2CBF" w14:textId="77777777" w:rsidTr="004E08B9">
        <w:trPr>
          <w:trHeight w:val="355"/>
          <w:tblHeader/>
        </w:trPr>
        <w:tc>
          <w:tcPr>
            <w:tcW w:w="11880" w:type="dxa"/>
            <w:gridSpan w:val="6"/>
            <w:vAlign w:val="center"/>
          </w:tcPr>
          <w:p w14:paraId="1C77C159" w14:textId="77777777" w:rsidR="00CD11B6" w:rsidRPr="00CB498F" w:rsidRDefault="00CD11B6" w:rsidP="004E08B9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CB498F">
              <w:rPr>
                <w:b/>
                <w:bCs/>
              </w:rPr>
              <w:t>Caractéristiques de la matière/citerne à cargaison</w:t>
            </w:r>
          </w:p>
        </w:tc>
        <w:tc>
          <w:tcPr>
            <w:tcW w:w="2700" w:type="dxa"/>
          </w:tcPr>
          <w:p w14:paraId="39414754" w14:textId="77777777" w:rsidR="00CD11B6" w:rsidRPr="00CB498F" w:rsidRDefault="00CD11B6" w:rsidP="004E08B9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CB498F">
              <w:rPr>
                <w:b/>
                <w:bCs/>
              </w:rPr>
              <w:t>Prescriptions</w:t>
            </w:r>
          </w:p>
        </w:tc>
      </w:tr>
      <w:tr w:rsidR="00CD11B6" w:rsidRPr="00CB498F" w14:paraId="7970C57E" w14:textId="77777777" w:rsidTr="004E08B9">
        <w:trPr>
          <w:trHeight w:val="355"/>
          <w:tblHeader/>
        </w:trPr>
        <w:tc>
          <w:tcPr>
            <w:tcW w:w="6300" w:type="dxa"/>
            <w:gridSpan w:val="4"/>
            <w:vAlign w:val="center"/>
          </w:tcPr>
          <w:p w14:paraId="56735CF3" w14:textId="3B012EF0" w:rsidR="00CD11B6" w:rsidRPr="00CB498F" w:rsidRDefault="00CD11B6" w:rsidP="004E08B9">
            <w:pPr>
              <w:spacing w:before="60" w:after="60" w:line="240" w:lineRule="auto"/>
              <w:jc w:val="center"/>
            </w:pPr>
            <w:r w:rsidRPr="00CB498F">
              <w:t>Classe 3, point d’éclair &lt;23°C</w:t>
            </w:r>
          </w:p>
        </w:tc>
        <w:tc>
          <w:tcPr>
            <w:tcW w:w="2430" w:type="dxa"/>
            <w:vAlign w:val="center"/>
          </w:tcPr>
          <w:p w14:paraId="22C1ADA5" w14:textId="77777777" w:rsidR="00CD11B6" w:rsidRPr="00CB498F" w:rsidRDefault="00CD11B6" w:rsidP="004E08B9">
            <w:pPr>
              <w:spacing w:before="60" w:after="60" w:line="240" w:lineRule="auto"/>
              <w:jc w:val="center"/>
            </w:pPr>
            <w:r w:rsidRPr="00CB498F">
              <w:t>Matières corrosives</w:t>
            </w:r>
          </w:p>
        </w:tc>
        <w:tc>
          <w:tcPr>
            <w:tcW w:w="3150" w:type="dxa"/>
            <w:vAlign w:val="center"/>
          </w:tcPr>
          <w:p w14:paraId="7B2F64D6" w14:textId="77777777" w:rsidR="00CD11B6" w:rsidRPr="00CB498F" w:rsidRDefault="00CD11B6" w:rsidP="004E08B9">
            <w:pPr>
              <w:spacing w:before="60" w:after="60" w:line="240" w:lineRule="auto"/>
              <w:jc w:val="center"/>
            </w:pPr>
            <w:r w:rsidRPr="00CB498F">
              <w:t>Matières CMR</w:t>
            </w:r>
          </w:p>
        </w:tc>
        <w:tc>
          <w:tcPr>
            <w:tcW w:w="2700" w:type="dxa"/>
          </w:tcPr>
          <w:p w14:paraId="643C5409" w14:textId="306D1119" w:rsidR="00CD11B6" w:rsidRPr="00CB498F" w:rsidRDefault="00CD11B6" w:rsidP="004E08B9">
            <w:pPr>
              <w:spacing w:before="60" w:after="60" w:line="240" w:lineRule="auto"/>
              <w:jc w:val="center"/>
            </w:pPr>
            <w:r w:rsidRPr="00CB498F">
              <w:t xml:space="preserve">Équipement de la citerne </w:t>
            </w:r>
            <w:r w:rsidR="00F33C6C">
              <w:br/>
            </w:r>
            <w:r w:rsidRPr="00CB498F">
              <w:t>à cargaison</w:t>
            </w:r>
          </w:p>
        </w:tc>
      </w:tr>
      <w:tr w:rsidR="00CD11B6" w:rsidRPr="00CB498F" w14:paraId="5966613C" w14:textId="77777777" w:rsidTr="004F3D07">
        <w:tc>
          <w:tcPr>
            <w:tcW w:w="1800" w:type="dxa"/>
          </w:tcPr>
          <w:p w14:paraId="45376904" w14:textId="5EE47C02" w:rsidR="00CD11B6" w:rsidRPr="00CB498F" w:rsidRDefault="00CD11B6" w:rsidP="00F33C6C">
            <w:pPr>
              <w:spacing w:before="60" w:after="60" w:line="240" w:lineRule="auto"/>
            </w:pPr>
            <w:r w:rsidRPr="00CB498F">
              <w:t xml:space="preserve">175 kPa ≤ P </w:t>
            </w:r>
            <w:r w:rsidRPr="00CB498F">
              <w:rPr>
                <w:vertAlign w:val="subscript"/>
              </w:rPr>
              <w:t>d 50</w:t>
            </w:r>
            <w:r w:rsidRPr="00CB498F">
              <w:t xml:space="preserve"> &lt;</w:t>
            </w:r>
            <w:r w:rsidR="00F33C6C">
              <w:t> </w:t>
            </w:r>
            <w:r w:rsidRPr="00CB498F">
              <w:t>300 kPa, sans réfrigération</w:t>
            </w:r>
          </w:p>
        </w:tc>
        <w:tc>
          <w:tcPr>
            <w:tcW w:w="1080" w:type="dxa"/>
          </w:tcPr>
          <w:p w14:paraId="79C495E4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800" w:type="dxa"/>
          </w:tcPr>
          <w:p w14:paraId="05B74B0F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620" w:type="dxa"/>
          </w:tcPr>
          <w:p w14:paraId="63C74268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2430" w:type="dxa"/>
          </w:tcPr>
          <w:p w14:paraId="6E4B8651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3150" w:type="dxa"/>
          </w:tcPr>
          <w:p w14:paraId="626CB8E6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2700" w:type="dxa"/>
          </w:tcPr>
          <w:p w14:paraId="7FFE49E9" w14:textId="77777777" w:rsidR="00CD11B6" w:rsidRPr="00CB498F" w:rsidRDefault="00CD11B6" w:rsidP="004E08B9">
            <w:pPr>
              <w:spacing w:before="60" w:after="60" w:line="240" w:lineRule="auto"/>
            </w:pPr>
            <w:r w:rsidRPr="00CB498F">
              <w:t>Citerne à pression (400 kPa)</w:t>
            </w:r>
          </w:p>
        </w:tc>
      </w:tr>
      <w:tr w:rsidR="00CD11B6" w:rsidRPr="00CB498F" w14:paraId="593208ED" w14:textId="77777777" w:rsidTr="004F3D07">
        <w:tc>
          <w:tcPr>
            <w:tcW w:w="1800" w:type="dxa"/>
          </w:tcPr>
          <w:p w14:paraId="5819EA93" w14:textId="186140FA" w:rsidR="00CD11B6" w:rsidRPr="00CB498F" w:rsidRDefault="00CD11B6" w:rsidP="00F33C6C">
            <w:pPr>
              <w:spacing w:before="60" w:after="60" w:line="240" w:lineRule="auto"/>
            </w:pPr>
            <w:r w:rsidRPr="00CB498F">
              <w:t xml:space="preserve">175 kPa ≤ P </w:t>
            </w:r>
            <w:r w:rsidRPr="00CB498F">
              <w:rPr>
                <w:vertAlign w:val="subscript"/>
              </w:rPr>
              <w:t>d 50</w:t>
            </w:r>
            <w:r w:rsidRPr="00CB498F">
              <w:t xml:space="preserve"> &lt;</w:t>
            </w:r>
            <w:r w:rsidR="00F33C6C">
              <w:t> </w:t>
            </w:r>
            <w:r w:rsidRPr="00CB498F">
              <w:t>300 kPa, avec réfrigération</w:t>
            </w:r>
          </w:p>
        </w:tc>
        <w:tc>
          <w:tcPr>
            <w:tcW w:w="1080" w:type="dxa"/>
          </w:tcPr>
          <w:p w14:paraId="7548DB4C" w14:textId="77777777" w:rsidR="00CD11B6" w:rsidRPr="00CB498F" w:rsidRDefault="00CD11B6" w:rsidP="004E08B9">
            <w:pPr>
              <w:spacing w:before="60" w:after="60" w:line="240" w:lineRule="auto"/>
              <w:rPr>
                <w:strike/>
              </w:rPr>
            </w:pPr>
          </w:p>
        </w:tc>
        <w:tc>
          <w:tcPr>
            <w:tcW w:w="1800" w:type="dxa"/>
          </w:tcPr>
          <w:p w14:paraId="0711E0E8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620" w:type="dxa"/>
          </w:tcPr>
          <w:p w14:paraId="53EDE624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2430" w:type="dxa"/>
          </w:tcPr>
          <w:p w14:paraId="68A2E651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3150" w:type="dxa"/>
          </w:tcPr>
          <w:p w14:paraId="4C6A9933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2700" w:type="dxa"/>
          </w:tcPr>
          <w:p w14:paraId="30842952" w14:textId="7051712E" w:rsidR="00CD11B6" w:rsidRPr="00CB498F" w:rsidRDefault="00CD11B6" w:rsidP="004E08B9">
            <w:pPr>
              <w:suppressAutoHyphens w:val="0"/>
              <w:spacing w:before="60" w:after="60" w:line="240" w:lineRule="auto"/>
            </w:pPr>
            <w:r w:rsidRPr="00CB498F">
              <w:t>Pression d’ouverture de la soupape de surpression/</w:t>
            </w:r>
            <w:r w:rsidR="00F33C6C">
              <w:t xml:space="preserve"> </w:t>
            </w:r>
            <w:r w:rsidRPr="00CB498F">
              <w:t>soupape de dégagement à grande vitesse</w:t>
            </w:r>
            <w:r w:rsidR="005B5BE3">
              <w:t> :</w:t>
            </w:r>
            <w:r w:rsidRPr="00CB498F">
              <w:t xml:space="preserve"> 50 kPa (avec réfrigération (chiffre 1 à la colonne 9))</w:t>
            </w:r>
          </w:p>
        </w:tc>
      </w:tr>
      <w:tr w:rsidR="00CD11B6" w:rsidRPr="00CB498F" w14:paraId="1567593A" w14:textId="77777777" w:rsidTr="004F3D07">
        <w:tc>
          <w:tcPr>
            <w:tcW w:w="1800" w:type="dxa"/>
          </w:tcPr>
          <w:p w14:paraId="6F8D59A4" w14:textId="77777777" w:rsidR="00CD11B6" w:rsidRPr="00CB498F" w:rsidRDefault="00CD11B6" w:rsidP="00F33C6C">
            <w:pPr>
              <w:keepNext/>
              <w:spacing w:before="60" w:after="60" w:line="240" w:lineRule="auto"/>
            </w:pPr>
          </w:p>
        </w:tc>
        <w:tc>
          <w:tcPr>
            <w:tcW w:w="1080" w:type="dxa"/>
          </w:tcPr>
          <w:p w14:paraId="60C96FA1" w14:textId="4D00B6CF" w:rsidR="00CD11B6" w:rsidRPr="00CB498F" w:rsidRDefault="00CD11B6" w:rsidP="00F33C6C">
            <w:pPr>
              <w:keepNext/>
              <w:spacing w:before="60" w:after="60" w:line="240" w:lineRule="auto"/>
            </w:pPr>
            <w:r w:rsidRPr="00CB498F">
              <w:t>150 kPa ≤</w:t>
            </w:r>
            <w:r w:rsidR="00F33C6C">
              <w:t> </w:t>
            </w:r>
            <w:r w:rsidRPr="00CB498F">
              <w:t xml:space="preserve">P </w:t>
            </w:r>
            <w:r w:rsidRPr="00CB498F">
              <w:rPr>
                <w:vertAlign w:val="subscript"/>
              </w:rPr>
              <w:t>d 50</w:t>
            </w:r>
            <w:r w:rsidRPr="00CB498F">
              <w:t xml:space="preserve"> &lt;</w:t>
            </w:r>
            <w:r w:rsidR="00F33C6C">
              <w:t> </w:t>
            </w:r>
            <w:r w:rsidRPr="00CB498F">
              <w:t>175 kPa</w:t>
            </w:r>
          </w:p>
        </w:tc>
        <w:tc>
          <w:tcPr>
            <w:tcW w:w="1800" w:type="dxa"/>
          </w:tcPr>
          <w:p w14:paraId="2ACC5E7D" w14:textId="77777777" w:rsidR="00CD11B6" w:rsidRPr="00CB498F" w:rsidRDefault="00CD11B6" w:rsidP="00F33C6C">
            <w:pPr>
              <w:keepNext/>
              <w:spacing w:before="60" w:after="60" w:line="240" w:lineRule="auto"/>
            </w:pPr>
            <w:r w:rsidRPr="00CB498F">
              <w:t xml:space="preserve">110 kPa ≤ P </w:t>
            </w:r>
            <w:r w:rsidRPr="00CB498F">
              <w:rPr>
                <w:vertAlign w:val="subscript"/>
              </w:rPr>
              <w:t>d 50</w:t>
            </w:r>
            <w:r w:rsidRPr="00CB498F">
              <w:t xml:space="preserve"> </w:t>
            </w:r>
          </w:p>
          <w:p w14:paraId="7D51A392" w14:textId="77777777" w:rsidR="00CD11B6" w:rsidRPr="00CB498F" w:rsidRDefault="00CD11B6" w:rsidP="00F33C6C">
            <w:pPr>
              <w:keepNext/>
              <w:spacing w:before="60" w:after="60" w:line="240" w:lineRule="auto"/>
            </w:pPr>
            <w:r w:rsidRPr="00CB498F">
              <w:t>&lt; 150 kPa sans pulvérisation</w:t>
            </w:r>
          </w:p>
        </w:tc>
        <w:tc>
          <w:tcPr>
            <w:tcW w:w="1620" w:type="dxa"/>
          </w:tcPr>
          <w:p w14:paraId="3FFD00CA" w14:textId="77777777" w:rsidR="00CD11B6" w:rsidRPr="00CB498F" w:rsidRDefault="00CD11B6" w:rsidP="00F33C6C">
            <w:pPr>
              <w:keepNext/>
              <w:spacing w:before="60" w:after="60" w:line="240" w:lineRule="auto"/>
            </w:pPr>
          </w:p>
        </w:tc>
        <w:tc>
          <w:tcPr>
            <w:tcW w:w="2430" w:type="dxa"/>
          </w:tcPr>
          <w:p w14:paraId="68141CD2" w14:textId="77777777" w:rsidR="00CD11B6" w:rsidRPr="00CB498F" w:rsidRDefault="00CD11B6" w:rsidP="00F33C6C">
            <w:pPr>
              <w:keepNext/>
              <w:spacing w:before="60" w:after="60" w:line="240" w:lineRule="auto"/>
            </w:pPr>
          </w:p>
        </w:tc>
        <w:tc>
          <w:tcPr>
            <w:tcW w:w="3150" w:type="dxa"/>
          </w:tcPr>
          <w:p w14:paraId="66A2A384" w14:textId="77777777" w:rsidR="00CD11B6" w:rsidRPr="00CB498F" w:rsidRDefault="00CD11B6" w:rsidP="00F33C6C">
            <w:pPr>
              <w:keepNext/>
              <w:spacing w:before="60" w:after="60" w:line="240" w:lineRule="auto"/>
            </w:pPr>
          </w:p>
        </w:tc>
        <w:tc>
          <w:tcPr>
            <w:tcW w:w="2700" w:type="dxa"/>
          </w:tcPr>
          <w:p w14:paraId="0867E921" w14:textId="17032FD0" w:rsidR="00CD11B6" w:rsidRPr="00CB498F" w:rsidRDefault="00CD11B6" w:rsidP="00F33C6C">
            <w:pPr>
              <w:keepNext/>
              <w:suppressAutoHyphens w:val="0"/>
              <w:spacing w:before="60" w:after="60" w:line="240" w:lineRule="auto"/>
            </w:pPr>
            <w:r w:rsidRPr="00CB498F">
              <w:t>Pression d’ouverture de la soupape de surpression/</w:t>
            </w:r>
            <w:r w:rsidR="004B0C6B">
              <w:t xml:space="preserve"> </w:t>
            </w:r>
            <w:r w:rsidRPr="00CB498F">
              <w:t>soupape de dégagement à grande vitesse</w:t>
            </w:r>
            <w:r w:rsidR="005B5BE3">
              <w:t> :</w:t>
            </w:r>
            <w:r w:rsidRPr="00CB498F">
              <w:t xml:space="preserve"> 50 kPa</w:t>
            </w:r>
          </w:p>
        </w:tc>
      </w:tr>
      <w:tr w:rsidR="00CD11B6" w:rsidRPr="00CB498F" w14:paraId="1C9202A4" w14:textId="77777777" w:rsidTr="004F3D07">
        <w:tc>
          <w:tcPr>
            <w:tcW w:w="1800" w:type="dxa"/>
          </w:tcPr>
          <w:p w14:paraId="38D6CF6D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080" w:type="dxa"/>
          </w:tcPr>
          <w:p w14:paraId="23E05BC5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800" w:type="dxa"/>
          </w:tcPr>
          <w:p w14:paraId="712D5FDE" w14:textId="77777777" w:rsidR="00CD11B6" w:rsidRPr="00CB498F" w:rsidRDefault="00CD11B6" w:rsidP="004E08B9">
            <w:pPr>
              <w:spacing w:before="60" w:after="60" w:line="240" w:lineRule="auto"/>
            </w:pPr>
            <w:r w:rsidRPr="00CB498F">
              <w:t xml:space="preserve">110 kPa ≤ P </w:t>
            </w:r>
            <w:r w:rsidRPr="00CB498F">
              <w:rPr>
                <w:vertAlign w:val="subscript"/>
              </w:rPr>
              <w:t>d 50</w:t>
            </w:r>
            <w:r w:rsidRPr="00CB498F">
              <w:t xml:space="preserve"> </w:t>
            </w:r>
          </w:p>
          <w:p w14:paraId="74C3B68A" w14:textId="77777777" w:rsidR="00CD11B6" w:rsidRPr="00CB498F" w:rsidRDefault="00CD11B6" w:rsidP="004E08B9">
            <w:pPr>
              <w:spacing w:before="60" w:after="60" w:line="240" w:lineRule="auto"/>
            </w:pPr>
            <w:r w:rsidRPr="00CB498F">
              <w:t>&lt; 150 kPa avec pulvérisation</w:t>
            </w:r>
          </w:p>
        </w:tc>
        <w:tc>
          <w:tcPr>
            <w:tcW w:w="1620" w:type="dxa"/>
          </w:tcPr>
          <w:p w14:paraId="133EC5BF" w14:textId="77777777" w:rsidR="00CD11B6" w:rsidRPr="00CB498F" w:rsidRDefault="00CD11B6" w:rsidP="004E08B9">
            <w:pPr>
              <w:spacing w:before="60" w:after="60" w:line="240" w:lineRule="auto"/>
              <w:rPr>
                <w:strike/>
              </w:rPr>
            </w:pPr>
          </w:p>
        </w:tc>
        <w:tc>
          <w:tcPr>
            <w:tcW w:w="2430" w:type="dxa"/>
          </w:tcPr>
          <w:p w14:paraId="6A34DC5E" w14:textId="77777777" w:rsidR="00CD11B6" w:rsidRPr="00CB498F" w:rsidRDefault="00CD11B6" w:rsidP="004E08B9">
            <w:pPr>
              <w:spacing w:before="60" w:after="60" w:line="240" w:lineRule="auto"/>
              <w:rPr>
                <w:strike/>
              </w:rPr>
            </w:pPr>
          </w:p>
        </w:tc>
        <w:tc>
          <w:tcPr>
            <w:tcW w:w="3150" w:type="dxa"/>
          </w:tcPr>
          <w:p w14:paraId="08F6F3E5" w14:textId="77777777" w:rsidR="00CD11B6" w:rsidRPr="00CB498F" w:rsidRDefault="00CD11B6" w:rsidP="004E08B9">
            <w:pPr>
              <w:spacing w:before="60" w:after="60" w:line="240" w:lineRule="auto"/>
            </w:pPr>
            <w:r w:rsidRPr="00CB498F">
              <w:t>Pression de vapeur &gt; 10 kPa (calcul de la pression de vapeur selon la formule pour la colonne 10, avec toutefois v</w:t>
            </w:r>
            <w:r w:rsidRPr="00CB498F">
              <w:rPr>
                <w:vertAlign w:val="subscript"/>
              </w:rPr>
              <w:t>a</w:t>
            </w:r>
            <w:r w:rsidRPr="00CB498F">
              <w:t xml:space="preserve"> = 0,03)</w:t>
            </w:r>
          </w:p>
        </w:tc>
        <w:tc>
          <w:tcPr>
            <w:tcW w:w="2700" w:type="dxa"/>
          </w:tcPr>
          <w:p w14:paraId="04F74155" w14:textId="73CE5BB8" w:rsidR="00CD11B6" w:rsidRPr="00CB498F" w:rsidRDefault="00CD11B6" w:rsidP="004E08B9">
            <w:pPr>
              <w:suppressAutoHyphens w:val="0"/>
              <w:spacing w:before="60" w:after="60" w:line="240" w:lineRule="auto"/>
            </w:pPr>
            <w:r w:rsidRPr="00CB498F">
              <w:t>Pression d’ouverture de la soupape de surpression/</w:t>
            </w:r>
            <w:r w:rsidR="004B0C6B">
              <w:t xml:space="preserve"> </w:t>
            </w:r>
            <w:r w:rsidRPr="00CB498F">
              <w:t>soupape de dégagement à grande vitesse</w:t>
            </w:r>
            <w:r w:rsidR="005B5BE3">
              <w:t> :</w:t>
            </w:r>
            <w:r w:rsidRPr="00CB498F">
              <w:t xml:space="preserve"> 10 kPa (avec pulvérisation (chiffre 3 à la colonne 9))</w:t>
            </w:r>
          </w:p>
        </w:tc>
      </w:tr>
      <w:tr w:rsidR="00CD11B6" w:rsidRPr="00CB498F" w14:paraId="2EE89591" w14:textId="77777777" w:rsidTr="004F3D07">
        <w:tc>
          <w:tcPr>
            <w:tcW w:w="1800" w:type="dxa"/>
          </w:tcPr>
          <w:p w14:paraId="287C203A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080" w:type="dxa"/>
          </w:tcPr>
          <w:p w14:paraId="3CED11F5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800" w:type="dxa"/>
          </w:tcPr>
          <w:p w14:paraId="6DD6C961" w14:textId="77777777" w:rsidR="00CD11B6" w:rsidRPr="00CB498F" w:rsidRDefault="00CD11B6" w:rsidP="004E08B9">
            <w:pPr>
              <w:spacing w:before="60" w:after="60" w:line="240" w:lineRule="auto"/>
            </w:pPr>
          </w:p>
        </w:tc>
        <w:tc>
          <w:tcPr>
            <w:tcW w:w="1620" w:type="dxa"/>
          </w:tcPr>
          <w:p w14:paraId="63F88539" w14:textId="77777777" w:rsidR="00CD11B6" w:rsidRPr="00CB498F" w:rsidRDefault="00CD11B6" w:rsidP="004E08B9">
            <w:pPr>
              <w:spacing w:before="60" w:after="60" w:line="240" w:lineRule="auto"/>
            </w:pPr>
            <w:r w:rsidRPr="00CB498F">
              <w:t xml:space="preserve">P </w:t>
            </w:r>
            <w:r w:rsidRPr="00CB498F">
              <w:rPr>
                <w:vertAlign w:val="subscript"/>
              </w:rPr>
              <w:t xml:space="preserve">d 50 </w:t>
            </w:r>
            <w:r w:rsidRPr="00CB498F">
              <w:t>&lt; 110 kPa</w:t>
            </w:r>
          </w:p>
        </w:tc>
        <w:tc>
          <w:tcPr>
            <w:tcW w:w="2430" w:type="dxa"/>
          </w:tcPr>
          <w:p w14:paraId="501BC6A1" w14:textId="77777777" w:rsidR="00CD11B6" w:rsidRPr="00CB498F" w:rsidRDefault="00CD11B6" w:rsidP="004B0C6B">
            <w:pPr>
              <w:spacing w:before="60" w:after="60" w:line="240" w:lineRule="auto"/>
              <w:ind w:left="-58"/>
            </w:pPr>
            <w:r w:rsidRPr="00CB498F">
              <w:t xml:space="preserve">Groupe d’emballage I ou II avec P </w:t>
            </w:r>
            <w:r w:rsidRPr="00CB498F">
              <w:rPr>
                <w:vertAlign w:val="subscript"/>
              </w:rPr>
              <w:t>d 50</w:t>
            </w:r>
            <w:r w:rsidRPr="00CB498F">
              <w:t xml:space="preserve"> &gt; 12,5 kPa ou réagissant dangereusement avec l’eau ou avec des gaz en solution</w:t>
            </w:r>
          </w:p>
        </w:tc>
        <w:tc>
          <w:tcPr>
            <w:tcW w:w="3150" w:type="dxa"/>
          </w:tcPr>
          <w:p w14:paraId="549FF00B" w14:textId="77777777" w:rsidR="00CD11B6" w:rsidRPr="00CB498F" w:rsidRDefault="00CD11B6" w:rsidP="004E08B9">
            <w:pPr>
              <w:spacing w:before="60" w:after="60" w:line="240" w:lineRule="auto"/>
            </w:pPr>
            <w:r w:rsidRPr="00CB498F">
              <w:t>Pression de vapeur ≤ 10 kPa (calcul de la pression de vapeur selon la formule pour la colonne 10, avec toutefois v</w:t>
            </w:r>
            <w:r w:rsidRPr="00CB498F">
              <w:rPr>
                <w:vertAlign w:val="subscript"/>
              </w:rPr>
              <w:t>a</w:t>
            </w:r>
            <w:r w:rsidRPr="00CB498F">
              <w:t xml:space="preserve"> = 0,03)</w:t>
            </w:r>
          </w:p>
        </w:tc>
        <w:tc>
          <w:tcPr>
            <w:tcW w:w="2700" w:type="dxa"/>
          </w:tcPr>
          <w:p w14:paraId="16C8C2DF" w14:textId="46DA82FC" w:rsidR="00CD11B6" w:rsidRPr="00CB498F" w:rsidRDefault="00CD11B6" w:rsidP="004E08B9">
            <w:pPr>
              <w:suppressAutoHyphens w:val="0"/>
              <w:spacing w:before="60" w:after="60" w:line="240" w:lineRule="auto"/>
            </w:pPr>
            <w:r w:rsidRPr="00CB498F">
              <w:t>Pression d’ouverture de la soupape de surpression/</w:t>
            </w:r>
            <w:r w:rsidR="004B0C6B">
              <w:t xml:space="preserve"> </w:t>
            </w:r>
            <w:r w:rsidRPr="00CB498F">
              <w:t>soupape de dégagement à grande vitesse</w:t>
            </w:r>
            <w:r w:rsidR="005B5BE3">
              <w:t> :</w:t>
            </w:r>
            <w:r w:rsidRPr="00CB498F">
              <w:t xml:space="preserve"> 10 kPa</w:t>
            </w:r>
          </w:p>
        </w:tc>
      </w:tr>
    </w:tbl>
    <w:p w14:paraId="21559031" w14:textId="77777777" w:rsidR="008860D0" w:rsidRDefault="008860D0" w:rsidP="00431F2D">
      <w:pPr>
        <w:sectPr w:rsidR="008860D0" w:rsidSect="00431F2D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3F6CAA75" w14:textId="77777777" w:rsidR="008860D0" w:rsidRPr="00CB498F" w:rsidRDefault="008860D0" w:rsidP="004B0C6B">
      <w:pPr>
        <w:pStyle w:val="H1G"/>
      </w:pPr>
      <w:r w:rsidRPr="00CB498F">
        <w:lastRenderedPageBreak/>
        <w:tab/>
      </w:r>
      <w:r w:rsidRPr="00CB498F">
        <w:tab/>
        <w:t>Mesure à prendre</w:t>
      </w:r>
    </w:p>
    <w:p w14:paraId="46D42565" w14:textId="6F59F986" w:rsidR="008860D0" w:rsidRPr="00CB498F" w:rsidRDefault="008860D0" w:rsidP="008860D0">
      <w:pPr>
        <w:pStyle w:val="SingleTxtG"/>
      </w:pPr>
      <w:r w:rsidRPr="00CB498F">
        <w:t>13.</w:t>
      </w:r>
      <w:r w:rsidRPr="00CB498F">
        <w:tab/>
        <w:t>La délégation néerlandaise prie le Comité de sécurité de l’ADN d’examiner les amendements proposés aux paragraphes</w:t>
      </w:r>
      <w:r w:rsidR="004B0C6B">
        <w:t> </w:t>
      </w:r>
      <w:r w:rsidRPr="00CB498F">
        <w:t>11 ou 12 ci-dessus et de prendre les mesures qu’il jugera appropriées.</w:t>
      </w:r>
    </w:p>
    <w:p w14:paraId="0E115C4E" w14:textId="6450FD93" w:rsidR="008860D0" w:rsidRPr="008860D0" w:rsidRDefault="008860D0" w:rsidP="008860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60D0" w:rsidRPr="008860D0" w:rsidSect="008860D0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14F6B" w14:textId="77777777" w:rsidR="003A5037" w:rsidRDefault="003A5037" w:rsidP="00F95C08">
      <w:pPr>
        <w:spacing w:line="240" w:lineRule="auto"/>
      </w:pPr>
    </w:p>
  </w:endnote>
  <w:endnote w:type="continuationSeparator" w:id="0">
    <w:p w14:paraId="3F743083" w14:textId="77777777" w:rsidR="003A5037" w:rsidRPr="00AC3823" w:rsidRDefault="003A5037" w:rsidP="00AC3823">
      <w:pPr>
        <w:pStyle w:val="Pieddepage"/>
      </w:pPr>
    </w:p>
  </w:endnote>
  <w:endnote w:type="continuationNotice" w:id="1">
    <w:p w14:paraId="328224E0" w14:textId="77777777" w:rsidR="003A5037" w:rsidRDefault="003A50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C754" w14:textId="7A3C6855" w:rsidR="002C0731" w:rsidRPr="002C0731" w:rsidRDefault="002C0731" w:rsidP="002C0731">
    <w:pPr>
      <w:pStyle w:val="Pieddepage"/>
      <w:tabs>
        <w:tab w:val="right" w:pos="9638"/>
      </w:tabs>
    </w:pPr>
    <w:r w:rsidRPr="002C0731">
      <w:rPr>
        <w:b/>
        <w:sz w:val="18"/>
      </w:rPr>
      <w:fldChar w:fldCharType="begin"/>
    </w:r>
    <w:r w:rsidRPr="002C0731">
      <w:rPr>
        <w:b/>
        <w:sz w:val="18"/>
      </w:rPr>
      <w:instrText xml:space="preserve"> PAGE  \* MERGEFORMAT </w:instrText>
    </w:r>
    <w:r w:rsidRPr="002C0731">
      <w:rPr>
        <w:b/>
        <w:sz w:val="18"/>
      </w:rPr>
      <w:fldChar w:fldCharType="separate"/>
    </w:r>
    <w:r w:rsidRPr="002C0731">
      <w:rPr>
        <w:b/>
        <w:noProof/>
        <w:sz w:val="18"/>
      </w:rPr>
      <w:t>2</w:t>
    </w:r>
    <w:r w:rsidRPr="002C0731">
      <w:rPr>
        <w:b/>
        <w:sz w:val="18"/>
      </w:rPr>
      <w:fldChar w:fldCharType="end"/>
    </w:r>
    <w:r>
      <w:rPr>
        <w:b/>
        <w:sz w:val="18"/>
      </w:rPr>
      <w:tab/>
    </w:r>
    <w:r>
      <w:t>GE.21-07395</w:t>
    </w:r>
  </w:p>
  <w:p w14:paraId="3D7F9BD5" w14:textId="77777777" w:rsidR="00C92CFE" w:rsidRDefault="00C92C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4243F" w14:textId="787B4292" w:rsidR="002C0731" w:rsidRPr="002C0731" w:rsidRDefault="002C0731" w:rsidP="002C0731">
    <w:pPr>
      <w:pStyle w:val="Pieddepage"/>
      <w:tabs>
        <w:tab w:val="right" w:pos="9638"/>
      </w:tabs>
      <w:rPr>
        <w:b/>
        <w:sz w:val="18"/>
      </w:rPr>
    </w:pPr>
    <w:r>
      <w:t>GE.21-07395</w:t>
    </w:r>
    <w:r>
      <w:tab/>
    </w:r>
    <w:r w:rsidRPr="002C0731">
      <w:rPr>
        <w:b/>
        <w:sz w:val="18"/>
      </w:rPr>
      <w:fldChar w:fldCharType="begin"/>
    </w:r>
    <w:r w:rsidRPr="002C0731">
      <w:rPr>
        <w:b/>
        <w:sz w:val="18"/>
      </w:rPr>
      <w:instrText xml:space="preserve"> PAGE  \* MERGEFORMAT </w:instrText>
    </w:r>
    <w:r w:rsidRPr="002C0731">
      <w:rPr>
        <w:b/>
        <w:sz w:val="18"/>
      </w:rPr>
      <w:fldChar w:fldCharType="separate"/>
    </w:r>
    <w:r w:rsidRPr="002C0731">
      <w:rPr>
        <w:b/>
        <w:noProof/>
        <w:sz w:val="18"/>
      </w:rPr>
      <w:t>3</w:t>
    </w:r>
    <w:r w:rsidRPr="002C0731">
      <w:rPr>
        <w:b/>
        <w:sz w:val="18"/>
      </w:rPr>
      <w:fldChar w:fldCharType="end"/>
    </w:r>
  </w:p>
  <w:p w14:paraId="049F49B5" w14:textId="77777777" w:rsidR="00C92CFE" w:rsidRDefault="00C92C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90E9" w14:textId="4D6EEF3F" w:rsidR="007F20FA" w:rsidRPr="002C0731" w:rsidRDefault="002C0731" w:rsidP="002C073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6A64F20" wp14:editId="6F95BB7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21-07395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88409E" wp14:editId="35FBA24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6F8">
      <w:rPr>
        <w:sz w:val="20"/>
      </w:rPr>
      <w:t xml:space="preserve">    140621    </w:t>
    </w:r>
    <w:r w:rsidR="005941B3">
      <w:rPr>
        <w:sz w:val="20"/>
      </w:rPr>
      <w:t>150621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7DCC" w14:textId="1B5514AA" w:rsidR="00431F2D" w:rsidRPr="00431F2D" w:rsidRDefault="00431F2D" w:rsidP="00431F2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068684" wp14:editId="712636F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1A8E2D8" w14:textId="77777777" w:rsidR="00431F2D" w:rsidRPr="002C0731" w:rsidRDefault="00431F2D" w:rsidP="00431F2D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2C073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C073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2C073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2C073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GE.21-07395</w:t>
                          </w:r>
                        </w:p>
                        <w:p w14:paraId="37133B61" w14:textId="77777777" w:rsidR="00431F2D" w:rsidRDefault="00431F2D" w:rsidP="00431F2D"/>
                        <w:p w14:paraId="145E39EF" w14:textId="77777777" w:rsidR="00431F2D" w:rsidRDefault="00431F2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68684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8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mgiwIAACsFAAAOAAAAZHJzL2Uyb0RvYy54bWysVN9v0zAQfkfif7D8ztJu2gTV0qlsDCFN&#10;26QOTeLt6jhNJMdnbLdN+ev57DTbGDwgxItzuTt/9+s7n1/0nRFb7UPLtpTTo4kU2iquWrsu5deH&#10;63fvpQiRbEWGrS7lXgd5MX/75nznZvqYGzaV9gIgNsx2rpRNjG5WFEE1uqNwxE5bGGv2HUX8+nVR&#10;edoBvTPF8WRyVuzYV86z0iFAezUY5Tzj17VW8a6ug47ClBK5xXz6fK7SWczPabb25JpWHdKgf8ii&#10;o9Yi6BPUFUUSG9/+BtW1ynPgOh4p7gqu61bpXAOqmU5eVbNsyOlcC5oT3FObwv+DVbfbey/aCrOb&#10;SmGpw4y+YVKi0iLqPmoBPZq0c2EG36WDd+w/co8Loz5AmWrva9+lL6oSsKPd+6cWA0ooKI+npx8m&#10;sCiYzqao+STPoHi+7XyInzV3Igml9Bhh7ixtb0JEJnAdXVKwwKatrltj8k+ijb40XmwJAyeltI3T&#10;4bpxDQ3qMWImWfLOoL8AGSt2SPDkNKVK4GVtKELsHDoV7FoKMmsQXkWf0S2nFDKZUnJXFJohVkYd&#10;WOZ5Y6vs0miqPtlKxL1Duy3aLVO4TldSGA3YJGXPSK35G080xViUkcY0jCNJsV/1gEniiqs9Rud5&#10;2IDg1HWLRG8oxHvyoDwKxRrHOxy1YWTDB0mKhv2PP+mTfynTifSxQujM9w15FGO+WHAUkHEU/Cis&#10;RsFuukvGkEA7ZJNFXPDRjGLtuXvEdi9SFJjIKmRSSkQbxMs4LDJeB6UXi+yErXIUb+zSqQSdSJEG&#10;8tA/kncHSiVe3/K4XDR7xazBN920vNhErttMu+cuHvqMjczEObweaeVf/mev5zdu/hMAAP//AwBQ&#10;SwMEFAAGAAgAAAAhAJJeKrzbAAAACAEAAA8AAABkcnMvZG93bnJldi54bWxMj81KxEAQhO+C7zC0&#10;4C07WSMhxnQWFdSTgqveO5kxic4fmclufHvbk16abqqo/qrZrdaIg57j5B3CdpOD0K73anIDwtvr&#10;fVaBiImcIuOdRvjWEXbt6UlDtfJH96IP+zQIDnGxJoQxpVBLGftRW4obH7Rj7cPPlhKf8yDVTEcO&#10;t0Ze5HkpLU2OP4wU9N2o+6/9YhG6h+mZbh/D06ct3lUwdhnidkE8P1tvrkEkvaY/M/ziMzq0zNT5&#10;xakoDEJWVtwlIfBkOSsueekQrsqiAtk28n+B9gcAAP//AwBQSwECLQAUAAYACAAAACEAtoM4kv4A&#10;AADhAQAAEwAAAAAAAAAAAAAAAAAAAAAAW0NvbnRlbnRfVHlwZXNdLnhtbFBLAQItABQABgAIAAAA&#10;IQA4/SH/1gAAAJQBAAALAAAAAAAAAAAAAAAAAC8BAABfcmVscy8ucmVsc1BLAQItABQABgAIAAAA&#10;IQC/mCmgiwIAACsFAAAOAAAAAAAAAAAAAAAAAC4CAABkcnMvZTJvRG9jLnhtbFBLAQItABQABgAI&#10;AAAAIQCSXiq82wAAAAgBAAAPAAAAAAAAAAAAAAAAAOUEAABkcnMvZG93bnJldi54bWxQSwUGAAAA&#10;AAQABADzAAAA7Q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1A8E2D8" w14:textId="77777777" w:rsidR="00431F2D" w:rsidRPr="002C0731" w:rsidRDefault="00431F2D" w:rsidP="00431F2D">
                    <w:pPr>
                      <w:pStyle w:val="Pieddepage"/>
                      <w:tabs>
                        <w:tab w:val="right" w:pos="9638"/>
                      </w:tabs>
                    </w:pPr>
                    <w:r w:rsidRPr="002C0731">
                      <w:rPr>
                        <w:b/>
                        <w:sz w:val="18"/>
                      </w:rPr>
                      <w:fldChar w:fldCharType="begin"/>
                    </w:r>
                    <w:r w:rsidRPr="002C073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2C073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2C073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GE.21-07395</w:t>
                    </w:r>
                  </w:p>
                  <w:p w14:paraId="37133B61" w14:textId="77777777" w:rsidR="00431F2D" w:rsidRDefault="00431F2D" w:rsidP="00431F2D"/>
                  <w:p w14:paraId="145E39EF" w14:textId="77777777" w:rsidR="00431F2D" w:rsidRDefault="00431F2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4122" w14:textId="0DD31AA1" w:rsidR="00431F2D" w:rsidRDefault="00431F2D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15552" wp14:editId="4400344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F8D4467" w14:textId="77777777" w:rsidR="00431F2D" w:rsidRPr="002C0731" w:rsidRDefault="00431F2D" w:rsidP="00431F2D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GE.21-07395</w:t>
                          </w:r>
                          <w:r>
                            <w:tab/>
                          </w:r>
                          <w:r w:rsidRPr="002C073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C073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2C073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2C073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C57A278" w14:textId="77777777" w:rsidR="00431F2D" w:rsidRDefault="00431F2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15552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1GkQIAADAFAAAOAAAAZHJzL2Uyb0RvYy54bWysVMFu2zAMvQ/YPwi6r05StFiDOkXWrsOA&#10;oi3QDgV2Y2Q5NiCLmqQkzr5+T3Lcbt0Ow7CLTEvUI/n4qPOLvjNiq31o2ZZyejSRQlvFVWvXpfzy&#10;eP3uvRQhkq3IsNWl3OsgLxZv35zv3FzPuGFTaS8AYsN850rZxOjmRRFUozsKR+y0xWHNvqOIX78u&#10;Kk87oHemmE0mp8WOfeU8Kx0Cdq+GQ7nI+HWtVbyr66CjMKVEbjGvPq+rtBaLc5qvPbmmVYc06B+y&#10;6Ki1CPoMdUWRxMa3v0F1rfIcuI5HiruC67pVOteAaqaTV9U8NOR0rgXkBPdMU/h/sOp2e+9FW5Xy&#10;TApLHVr0FY0SlRZR91GLs0TRzoU5PB8cfGP/gXu0etwP2EyV97Xv0hc1CZyD7P0zwUASCpuz6cnZ&#10;BCcKR6dTVHycO1C83HY+xE+aO5GMUno0MPNK25sQkQlcR5cULLBpq+vWmPyTRKMvjRdbQrtJKW3j&#10;dLhuXEPD9hgxSyx5Z9BfgIwVOyR4fJJSJaiyNhRhdg48BbuWgswaclfRZ3TLKYUspZTcFYVmiJVR&#10;B4153tgquzSaqo+2EnHvwLYF2zKF63QlhdGATVb2jNSav/EEKcaijNSmoR3Jiv2qz52dja1acbVH&#10;Bz0PYxCcum6R7w2FeE8euke9mOV4h6U2jKT4YEnRsP/+p/3kX8q0ogrMEQj6tiGPmsxnC6ECMo6G&#10;H43VaNhNd8no1RSvhFPZxAUfzWjWnrsnjPgyRcERWYVMSolog3kZh2nGE6H0cpmdMFqO4o19cCpB&#10;J22kvjz2T+TdQVlJ3bc8ThjNXwls8E03LS83kes2qy/xOrB4oBtjmfVzeELS3P/8n71eHrrFD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AzdF1GkQIAADA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F8D4467" w14:textId="77777777" w:rsidR="00431F2D" w:rsidRPr="002C0731" w:rsidRDefault="00431F2D" w:rsidP="00431F2D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GE.21-07395</w:t>
                    </w:r>
                    <w:r>
                      <w:tab/>
                    </w:r>
                    <w:r w:rsidRPr="002C0731">
                      <w:rPr>
                        <w:b/>
                        <w:sz w:val="18"/>
                      </w:rPr>
                      <w:fldChar w:fldCharType="begin"/>
                    </w:r>
                    <w:r w:rsidRPr="002C073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2C073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2C0731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C57A278" w14:textId="77777777" w:rsidR="00431F2D" w:rsidRDefault="00431F2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D42A8" w14:textId="77254CDB" w:rsidR="008860D0" w:rsidRPr="008860D0" w:rsidRDefault="008860D0" w:rsidP="008860D0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b/>
        <w:sz w:val="18"/>
      </w:rPr>
      <w:tab/>
    </w:r>
    <w:r w:rsidRPr="008860D0">
      <w:t>GE.21-07395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21D4" w14:textId="725CFC4E" w:rsidR="008860D0" w:rsidRPr="008860D0" w:rsidRDefault="008860D0" w:rsidP="008860D0">
    <w:pPr>
      <w:pStyle w:val="Pieddepage"/>
      <w:tabs>
        <w:tab w:val="right" w:pos="9638"/>
      </w:tabs>
      <w:rPr>
        <w:b/>
        <w:sz w:val="18"/>
      </w:rPr>
    </w:pPr>
    <w:r>
      <w:t>GE.</w:t>
    </w:r>
    <w:r w:rsidRPr="008860D0">
      <w:t>21</w:t>
    </w:r>
    <w:r>
      <w:t>-</w:t>
    </w:r>
    <w:r w:rsidRPr="008860D0">
      <w:t>07395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137F" w14:textId="77777777" w:rsidR="003A5037" w:rsidRPr="00AC3823" w:rsidRDefault="003A503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ACF68B" w14:textId="77777777" w:rsidR="003A5037" w:rsidRPr="00AC3823" w:rsidRDefault="003A503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948E62" w14:textId="77777777" w:rsidR="003A5037" w:rsidRPr="00AC3823" w:rsidRDefault="003A5037">
      <w:pPr>
        <w:spacing w:line="240" w:lineRule="auto"/>
        <w:rPr>
          <w:sz w:val="2"/>
          <w:szCs w:val="2"/>
        </w:rPr>
      </w:pPr>
    </w:p>
  </w:footnote>
  <w:footnote w:id="2">
    <w:p w14:paraId="6549B9BA" w14:textId="79804D54" w:rsidR="00D501AD" w:rsidRPr="0029344C" w:rsidRDefault="00D501AD" w:rsidP="00D501AD">
      <w:pPr>
        <w:pStyle w:val="Notedebasdepage"/>
      </w:pPr>
      <w:r>
        <w:tab/>
      </w:r>
      <w:r w:rsidRPr="008376F8">
        <w:rPr>
          <w:sz w:val="20"/>
        </w:rPr>
        <w:t>*</w:t>
      </w:r>
      <w:r>
        <w:tab/>
        <w:t>Diffusée en allemand par la Commission centrale pour la navigation du Rhin sous la cote CCNR</w:t>
      </w:r>
      <w:r w:rsidR="004C2526">
        <w:noBreakHyphen/>
      </w:r>
      <w:r>
        <w:t>ZKR/ADN/WP.15/AC.2/2021/28.</w:t>
      </w:r>
    </w:p>
  </w:footnote>
  <w:footnote w:id="3">
    <w:p w14:paraId="5867063C" w14:textId="7B4A68F4" w:rsidR="00D501AD" w:rsidRPr="0029344C" w:rsidRDefault="00D501AD" w:rsidP="00D501AD">
      <w:pPr>
        <w:pStyle w:val="Notedebasdepage"/>
      </w:pPr>
      <w:r>
        <w:tab/>
      </w:r>
      <w:r w:rsidRPr="008376F8">
        <w:rPr>
          <w:sz w:val="20"/>
        </w:rPr>
        <w:t>**</w:t>
      </w:r>
      <w:r>
        <w:tab/>
        <w:t>Conformément au programme de travail du Comité des transports intérieurs pour 2021 tel qu’il figure dans le projet de budget-programme pour 2021 (A/75/6 (Sect.</w:t>
      </w:r>
      <w:r w:rsidR="00012F3A">
        <w:t> </w:t>
      </w:r>
      <w:r>
        <w:t>20), par.</w:t>
      </w:r>
      <w:r w:rsidR="00012F3A">
        <w:t> </w:t>
      </w:r>
      <w:r>
        <w:t>20.51).</w:t>
      </w:r>
    </w:p>
  </w:footnote>
  <w:footnote w:id="4">
    <w:p w14:paraId="03671AB2" w14:textId="0B332FC0" w:rsidR="00D501AD" w:rsidRPr="0029344C" w:rsidRDefault="00D501AD" w:rsidP="00D501AD">
      <w:pPr>
        <w:pStyle w:val="Notedebasdepage"/>
      </w:pPr>
      <w:r>
        <w:tab/>
      </w:r>
      <w:r w:rsidRPr="00CB498F">
        <w:rPr>
          <w:rStyle w:val="Appelnotedebasdep"/>
        </w:rPr>
        <w:footnoteRef/>
      </w:r>
      <w:r w:rsidR="00B30B36">
        <w:tab/>
      </w:r>
      <w:r>
        <w:t xml:space="preserve">Par </w:t>
      </w:r>
      <w:r w:rsidRPr="00CB498F">
        <w:rPr>
          <w:i/>
          <w:iCs/>
        </w:rPr>
        <w:t>matières CMR</w:t>
      </w:r>
      <w:r>
        <w:t>, on entend les matières ayant des effets à long terme sur la santé (</w:t>
      </w:r>
      <w:r w:rsidRPr="00CB498F">
        <w:rPr>
          <w:i/>
          <w:iCs/>
        </w:rPr>
        <w:t>cancérigènes, mutagènes ou toxiques pour la reproduction</w:t>
      </w:r>
      <w:r>
        <w:t>, catégories 1A et 1B selon les critères des chapitres</w:t>
      </w:r>
      <w:r w:rsidR="00FD125B">
        <w:t> </w:t>
      </w:r>
      <w:r>
        <w:t>3.5, 3.6 et 3.7 du SGH).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EF41" w14:textId="0BEE9AEF" w:rsidR="002C0731" w:rsidRPr="002C0731" w:rsidRDefault="00933120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2C0731">
      <w:t>ECE/TRANS/WP.15/AC.2/2021/28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4934" w14:textId="4D400B5F" w:rsidR="002C0731" w:rsidRPr="002C0731" w:rsidRDefault="00933120" w:rsidP="002C0731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C0731">
      <w:t>ECE/TRANS/WP.15/AC.2/2021/28</w:t>
    </w:r>
    <w:r>
      <w:fldChar w:fldCharType="end"/>
    </w:r>
  </w:p>
  <w:p w14:paraId="4FC30783" w14:textId="77777777" w:rsidR="00C92CFE" w:rsidRDefault="00C92C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A7C0" w14:textId="57DB3373" w:rsidR="00431F2D" w:rsidRPr="00431F2D" w:rsidRDefault="00431F2D" w:rsidP="00431F2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51A6F6" wp14:editId="79BFB99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DE1CC5" w14:textId="77777777" w:rsidR="00431F2D" w:rsidRPr="002C0731" w:rsidRDefault="00431F2D" w:rsidP="00431F2D">
                          <w:pPr>
                            <w:pStyle w:val="En-tte"/>
                          </w:pPr>
                          <w:fldSimple w:instr=" TITLE  \* MERGEFORMAT ">
                            <w:r>
                              <w:t>ECE/TRANS/WP.15/AC.2/2021/28</w:t>
                            </w:r>
                          </w:fldSimple>
                        </w:p>
                        <w:p w14:paraId="7F603FD6" w14:textId="77777777" w:rsidR="00431F2D" w:rsidRDefault="00431F2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1A6F6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ArVQIAALMEAAAOAAAAZHJzL2Uyb0RvYy54bWysVMFO3DAQvVfqP1i+l+yCQG1EFm1BVJVW&#10;gAQIqbdZxyFRHY9re3dDv77PzgYo7anqxRnb43kzb97k9GzojdhqHzq2lZwfzKTQVnHd2cdK3t9d&#10;fvgoRYhkazJsdSWfdJBni/fvTneu1Ifcsqm1FwhiQ7lzlWxjdGVRBNXqnsIBO21x2bDvKWLrH4va&#10;0w7Re1MczmYnxY597TwrHQJOL8ZLucjxm0areN00QUdhKoncYl59XtdpLRanVD56cm2n9mnQP2TR&#10;U2cB+hzqgiKJje/+CNV3ynPgJh4o7gtumk7pXAOqmc/eVHPbktO5FpAT3DNN4f+FVVfbGy+6Gr0D&#10;PZZ69OgbOiVqLaIeohY4B0k7F0r43jp4x+EzD3iQCw5uxep7gEvxymd8EOCdSBka36cvyhV4CKCn&#10;Z+6BIRQOD+fHn2a4Ubg6mYOMo4xbvLx2PsQvmnuRjEp69DZnQNtViAmfysklgQU2XX3ZGZM3SU/6&#10;3HixJSiBlNI2jgWQcS2NxxNiVl/yzkF/C2Ss2CHBo+NZxracEEZwY/ccjGUnNuKwHkZyJw7XXD+B&#10;Qs+jEoNTlx3KWVGIN+QhPVCAcYrXWBrDwOK9JUXL/uffzpN/JdMqxQ5SrmT4sSGvpTBfLbSCkHEy&#10;/GSsJ8Nu+nMGJ3MMqlPZxAMfzWQ2nvsHTNkyoeCKrEImlQTaaJ7HcaAwpUovl9kJ6nYUV/bWqUkp&#10;qTl3wwN5t+9g0tcVTyKn8k0jR9/UPcvLTeSmy11OvI4s7unGZOQ+7ac4jd7rffZ6+dcsfgEAAP//&#10;AwBQSwMEFAAGAAgAAAAhACTj3urfAAAACgEAAA8AAABkcnMvZG93bnJldi54bWxMj0tPg0AUhfcm&#10;/ofJNXFnB/tAQIbGmtrEjUlR0+0UrgyRuUOYacF/7+1Kl1/OyXnk68l24oyDbx0puJ9FIJAqV7fU&#10;KPh4f7lLQPigqdadI1Twgx7WxfVVrrPajbTHcxkawSHkM63AhNBnUvrKoNV+5nok1r7cYHVgHBpZ&#10;D3rkcNvJeRTF0uqWuMHoHp8NVt/lySr4XBxSjM1mt11ux3I3f9u/HuRGqdub6ekRRMAp/JnhMp+n&#10;Q8Gbju5EtRcd8ypePrBXAV+66Ks0YT4qSONFArLI5f8LxS8AAAD//wMAUEsBAi0AFAAGAAgAAAAh&#10;ALaDOJL+AAAA4QEAABMAAAAAAAAAAAAAAAAAAAAAAFtDb250ZW50X1R5cGVzXS54bWxQSwECLQAU&#10;AAYACAAAACEAOP0h/9YAAACUAQAACwAAAAAAAAAAAAAAAAAvAQAAX3JlbHMvLnJlbHNQSwECLQAU&#10;AAYACAAAACEAT+3QK1UCAACzBAAADgAAAAAAAAAAAAAAAAAuAgAAZHJzL2Uyb0RvYy54bWxQSwEC&#10;LQAUAAYACAAAACEAJOPe6t8AAAAKAQAADwAAAAAAAAAAAAAAAACvBAAAZHJzL2Rvd25yZXYueG1s&#10;UEsFBgAAAAAEAAQA8wAAALs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75DE1CC5" w14:textId="77777777" w:rsidR="00431F2D" w:rsidRPr="002C0731" w:rsidRDefault="00431F2D" w:rsidP="00431F2D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ECE/TRANS/WP.15/AC.2/2021/28</w:t>
                    </w:r>
                    <w:r>
                      <w:fldChar w:fldCharType="end"/>
                    </w:r>
                  </w:p>
                  <w:p w14:paraId="7F603FD6" w14:textId="77777777" w:rsidR="00431F2D" w:rsidRDefault="00431F2D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3E00" w14:textId="50569DAD" w:rsidR="00431F2D" w:rsidRPr="00431F2D" w:rsidRDefault="00431F2D" w:rsidP="00431F2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BD8E8" wp14:editId="684814E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201A382" w14:textId="77777777" w:rsidR="00431F2D" w:rsidRPr="002C0731" w:rsidRDefault="00431F2D" w:rsidP="00431F2D">
                          <w:pPr>
                            <w:pStyle w:val="En-tte"/>
                            <w:jc w:val="right"/>
                          </w:pPr>
                          <w:fldSimple w:instr=" TITLE  \* MERGEFORMAT ">
                            <w:r>
                              <w:t>ECE/TRANS/WP.15/AC.2/2021/28</w:t>
                            </w:r>
                          </w:fldSimple>
                        </w:p>
                        <w:p w14:paraId="53EA7C41" w14:textId="77777777" w:rsidR="00431F2D" w:rsidRDefault="00431F2D" w:rsidP="00431F2D"/>
                        <w:p w14:paraId="14746E9E" w14:textId="77777777" w:rsidR="00431F2D" w:rsidRDefault="00431F2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BD8E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VvkAIAADAFAAAOAAAAZHJzL2Uyb0RvYy54bWysVMFu2zAMvQ/YPwi6r05atOiCOkXWrsOA&#10;oi2QDgV2Y2Q5NiCLmqQkzr5+T3Lcbt0Ow7CLTEvUI/keqYvLvjNiq31o2ZZyejSRQlvFVWvXpfzy&#10;ePPuXIoQyVZk2OpS7nWQl/O3by52bqaPuWFTaS8AYsNs50rZxOhmRRFUozsKR+y0xWHNvqOIX78u&#10;Kk87oHemOJ5Mzood+8p5VjoE7F4Ph3Ke8etaq3hf10FHYUqJ3GJefV5XaS3mFzRbe3JNqw5p0D9k&#10;0VFrEfQZ6poiiY1vf4PqWuU5cB2PFHcF13WrdK4B1Uwnr6pZNuR0rgXkBPdMU/h/sOpu++BFW5US&#10;QlnqINFXCCUqLaLuoxbniaKdCzN4Lh18Y/+Be0g97gdspsr72nfpi5oEzkH2/plgIAmFzePp6fsJ&#10;ThSOzqao+CQrULzcdj7ET5o7kYxSegiYeaXtbYjIBK6jSwoW2LTVTWtM/klNo6+MF1uC3KSUtnE6&#10;XDeuoWF7jJhbLHln0F+AjBU7JHhymlIldGVtKMLsHHgKdi0FmTXaXUWf0S2nFHIrpeSuKTRDrIw6&#10;9Jjnja2yS6Op+mgrEfcObFuwLVO4TldSGA3YZGXPSK35G0+QYizKSDINciQr9qs+K3sySrXiag8F&#10;PQ9jEJy6aZHvLYX4QB59j3oxy/EeS20YSfHBkqJh//1P+8m/lGlFFZgjEPRtQx41mc8WjQrIOBp+&#10;NFajYTfdFUOrKV4Jp7KJCz6a0aw9d08Y8UWKgiOyCpmUEtEG8yoO04wnQunFIjthtBzFW7t0KkGn&#10;3ki6PPZP5N2hs1J33/E4YTR71WCDb7ppebGJXLe5+xKvA4sHujGWuX8OT0ia+5//s9fLQzf/AQAA&#10;//8DAFBLAwQUAAYACAAAACEAYVkyYtwAAAAKAQAADwAAAGRycy9kb3ducmV2LnhtbEyPzU7DMBCE&#10;70i8g7VI3KhTSkMa4lSABJxAosDdiZckYK+t2GnD27M9wfHTjOan2s7Oij2OcfCkYLnIQCC13gzU&#10;KXh/e7goQMSkyWjrCRX8YIRtfXpS6dL4A73ifpc6wSEUS62gTymUUsa2R6fjwgck1j796HRiHDtp&#10;Rn3gcGflZZbl0umBuKHXAe97bL93k1PQPA4v+u4pPH+51YcJ1k1dXE5KnZ/NtzcgEs7pzwzH+Twd&#10;at7U+IlMFJZ5nV9ds1cBXzrq603B3CjY5KsCZF3J/xfqXwAAAP//AwBQSwECLQAUAAYACAAAACEA&#10;toM4kv4AAADhAQAAEwAAAAAAAAAAAAAAAAAAAAAAW0NvbnRlbnRfVHlwZXNdLnhtbFBLAQItABQA&#10;BgAIAAAAIQA4/SH/1gAAAJQBAAALAAAAAAAAAAAAAAAAAC8BAABfcmVscy8ucmVsc1BLAQItABQA&#10;BgAIAAAAIQCr19VvkAIAADAFAAAOAAAAAAAAAAAAAAAAAC4CAABkcnMvZTJvRG9jLnhtbFBLAQIt&#10;ABQABgAIAAAAIQBhWTJi3AAAAAoBAAAPAAAAAAAAAAAAAAAAAOo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201A382" w14:textId="77777777" w:rsidR="00431F2D" w:rsidRPr="002C0731" w:rsidRDefault="00431F2D" w:rsidP="00431F2D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ECE/TRANS/WP.15/AC.2/2021/28</w:t>
                    </w:r>
                    <w:r>
                      <w:fldChar w:fldCharType="end"/>
                    </w:r>
                  </w:p>
                  <w:p w14:paraId="53EA7C41" w14:textId="77777777" w:rsidR="00431F2D" w:rsidRDefault="00431F2D" w:rsidP="00431F2D"/>
                  <w:p w14:paraId="14746E9E" w14:textId="77777777" w:rsidR="00431F2D" w:rsidRDefault="00431F2D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A402" w14:textId="4E981097" w:rsidR="008860D0" w:rsidRPr="008860D0" w:rsidRDefault="00933120" w:rsidP="008860D0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8860D0">
      <w:t>ECE/TRANS/WP.15/AC.2/2021/28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1166" w14:textId="0FBB88DF" w:rsidR="008860D0" w:rsidRPr="008860D0" w:rsidRDefault="00933120" w:rsidP="008860D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60D0">
      <w:t>ECE/TRANS/WP.15/AC.2/2021/28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37"/>
    <w:rsid w:val="00012F3A"/>
    <w:rsid w:val="00017F94"/>
    <w:rsid w:val="00023842"/>
    <w:rsid w:val="000253F3"/>
    <w:rsid w:val="000334F9"/>
    <w:rsid w:val="00045FEB"/>
    <w:rsid w:val="00061D05"/>
    <w:rsid w:val="0007796D"/>
    <w:rsid w:val="000A5555"/>
    <w:rsid w:val="000B7790"/>
    <w:rsid w:val="000E03C1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C0731"/>
    <w:rsid w:val="002D7C93"/>
    <w:rsid w:val="00305801"/>
    <w:rsid w:val="003472D3"/>
    <w:rsid w:val="0036445B"/>
    <w:rsid w:val="003916DE"/>
    <w:rsid w:val="003A5037"/>
    <w:rsid w:val="003C532A"/>
    <w:rsid w:val="00406CB5"/>
    <w:rsid w:val="00421996"/>
    <w:rsid w:val="00431F2D"/>
    <w:rsid w:val="00441C3B"/>
    <w:rsid w:val="00446FE5"/>
    <w:rsid w:val="00452396"/>
    <w:rsid w:val="00477EB2"/>
    <w:rsid w:val="004837D8"/>
    <w:rsid w:val="004B0C6B"/>
    <w:rsid w:val="004C2526"/>
    <w:rsid w:val="004E08B9"/>
    <w:rsid w:val="004E2EED"/>
    <w:rsid w:val="004E468C"/>
    <w:rsid w:val="005505B7"/>
    <w:rsid w:val="00573BE5"/>
    <w:rsid w:val="00586ED3"/>
    <w:rsid w:val="005941B3"/>
    <w:rsid w:val="00596AA9"/>
    <w:rsid w:val="005B5BE3"/>
    <w:rsid w:val="005D54FF"/>
    <w:rsid w:val="006772CA"/>
    <w:rsid w:val="006E697A"/>
    <w:rsid w:val="0071601D"/>
    <w:rsid w:val="007805D6"/>
    <w:rsid w:val="007A62E6"/>
    <w:rsid w:val="007F20FA"/>
    <w:rsid w:val="007F4621"/>
    <w:rsid w:val="0080684C"/>
    <w:rsid w:val="008376F8"/>
    <w:rsid w:val="00871C75"/>
    <w:rsid w:val="008776DC"/>
    <w:rsid w:val="008860D0"/>
    <w:rsid w:val="008D5EF9"/>
    <w:rsid w:val="00917D3C"/>
    <w:rsid w:val="00933120"/>
    <w:rsid w:val="009446C0"/>
    <w:rsid w:val="009705C8"/>
    <w:rsid w:val="00971831"/>
    <w:rsid w:val="009C1CF4"/>
    <w:rsid w:val="009F401F"/>
    <w:rsid w:val="009F6B74"/>
    <w:rsid w:val="00A3029F"/>
    <w:rsid w:val="00A30353"/>
    <w:rsid w:val="00AC3823"/>
    <w:rsid w:val="00AE24FF"/>
    <w:rsid w:val="00AE323C"/>
    <w:rsid w:val="00AF0CB5"/>
    <w:rsid w:val="00B00181"/>
    <w:rsid w:val="00B00B0D"/>
    <w:rsid w:val="00B30B36"/>
    <w:rsid w:val="00B45F2E"/>
    <w:rsid w:val="00B765F7"/>
    <w:rsid w:val="00B77993"/>
    <w:rsid w:val="00BA0CA9"/>
    <w:rsid w:val="00BC3F33"/>
    <w:rsid w:val="00C02897"/>
    <w:rsid w:val="00C07F22"/>
    <w:rsid w:val="00C92CFE"/>
    <w:rsid w:val="00C97039"/>
    <w:rsid w:val="00CB63BD"/>
    <w:rsid w:val="00CD11B6"/>
    <w:rsid w:val="00D04367"/>
    <w:rsid w:val="00D3439C"/>
    <w:rsid w:val="00D501AD"/>
    <w:rsid w:val="00D7622E"/>
    <w:rsid w:val="00DB1831"/>
    <w:rsid w:val="00DD3BFD"/>
    <w:rsid w:val="00DF6678"/>
    <w:rsid w:val="00E0299A"/>
    <w:rsid w:val="00E75F30"/>
    <w:rsid w:val="00E85C74"/>
    <w:rsid w:val="00EA6547"/>
    <w:rsid w:val="00ED7237"/>
    <w:rsid w:val="00EF2E22"/>
    <w:rsid w:val="00EF7591"/>
    <w:rsid w:val="00F163BB"/>
    <w:rsid w:val="00F33C6C"/>
    <w:rsid w:val="00F35BAF"/>
    <w:rsid w:val="00F54D38"/>
    <w:rsid w:val="00F660DF"/>
    <w:rsid w:val="00F906A8"/>
    <w:rsid w:val="00F94664"/>
    <w:rsid w:val="00F9573C"/>
    <w:rsid w:val="00F95C08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DA5D48"/>
  <w15:docId w15:val="{837B70D7-E7A9-4901-AE08-3E1BB69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6E69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D501A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A2539-48ED-45C8-BE65-633B75C14094}"/>
</file>

<file path=customXml/itemProps2.xml><?xml version="1.0" encoding="utf-8"?>
<ds:datastoreItem xmlns:ds="http://schemas.openxmlformats.org/officeDocument/2006/customXml" ds:itemID="{D524F3C2-291A-4B51-B776-7073FE0D6EA3}"/>
</file>

<file path=customXml/itemProps3.xml><?xml version="1.0" encoding="utf-8"?>
<ds:datastoreItem xmlns:ds="http://schemas.openxmlformats.org/officeDocument/2006/customXml" ds:itemID="{42EA2D4F-24B9-4454-8988-012D339CCF5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7</Pages>
  <Words>1664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ECE/TRANS/WP.15/AC.2/2021/28</vt:lpstr>
    </vt:vector>
  </TitlesOfParts>
  <Company>DCM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ECE/TRANS/WP.15/AC.2/2021/28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2021-06-15T06:41:00Z</dcterms:created>
  <dcterms:modified xsi:type="dcterms:W3CDTF">2021-06-15T06:41:00Z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