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CAB1F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59A1C2" w14:textId="77777777" w:rsidR="002D5AAC" w:rsidRDefault="002D5AAC" w:rsidP="00E553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9F7A1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1BFD21" w14:textId="4B0563EA" w:rsidR="002D5AAC" w:rsidRDefault="00E55372" w:rsidP="00E55372">
            <w:pPr>
              <w:jc w:val="right"/>
            </w:pPr>
            <w:r w:rsidRPr="00E55372">
              <w:rPr>
                <w:sz w:val="40"/>
              </w:rPr>
              <w:t>ECE</w:t>
            </w:r>
            <w:r>
              <w:t>/TRANS/WP.15/AC.2/2021/23</w:t>
            </w:r>
          </w:p>
        </w:tc>
      </w:tr>
      <w:tr w:rsidR="002D5AAC" w:rsidRPr="00CE7476" w14:paraId="11A5BC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1ABF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ED0A00" wp14:editId="55A57DB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35537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85D226" w14:textId="77777777" w:rsidR="002D5AAC" w:rsidRDefault="00E553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F682DB" w14:textId="33DD19A4" w:rsidR="00E55372" w:rsidRDefault="00E55372" w:rsidP="00E553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2021</w:t>
            </w:r>
          </w:p>
          <w:p w14:paraId="63316B1B" w14:textId="77777777" w:rsidR="00E55372" w:rsidRDefault="00E55372" w:rsidP="00E553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D0930A" w14:textId="29517518" w:rsidR="00E55372" w:rsidRPr="008D53B6" w:rsidRDefault="00E55372" w:rsidP="00E553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2C1B4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DFF19C" w14:textId="77777777" w:rsidR="00E55372" w:rsidRPr="00587885" w:rsidRDefault="00E55372" w:rsidP="00E55372">
      <w:pPr>
        <w:spacing w:before="120"/>
        <w:rPr>
          <w:sz w:val="28"/>
          <w:szCs w:val="28"/>
        </w:rPr>
      </w:pPr>
      <w:r w:rsidRPr="00587885">
        <w:rPr>
          <w:sz w:val="28"/>
          <w:szCs w:val="28"/>
        </w:rPr>
        <w:t>Комитет по внутреннему транспорту</w:t>
      </w:r>
    </w:p>
    <w:p w14:paraId="4744D3CD" w14:textId="77777777" w:rsidR="00E55372" w:rsidRPr="00587885" w:rsidRDefault="00E55372" w:rsidP="00E55372">
      <w:pPr>
        <w:spacing w:before="120"/>
        <w:rPr>
          <w:b/>
          <w:sz w:val="24"/>
          <w:szCs w:val="24"/>
        </w:rPr>
      </w:pPr>
      <w:r w:rsidRPr="00587885">
        <w:rPr>
          <w:b/>
          <w:bCs/>
          <w:sz w:val="24"/>
          <w:szCs w:val="24"/>
        </w:rPr>
        <w:t>Рабочая группа по перевозкам опасных грузов</w:t>
      </w:r>
    </w:p>
    <w:p w14:paraId="20F9BFCD" w14:textId="4BB87768" w:rsidR="00E55372" w:rsidRPr="00587885" w:rsidRDefault="00E55372" w:rsidP="00E55372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Pr="00E55372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(Комитет по безопасности ВОПОГ)</w:t>
      </w:r>
    </w:p>
    <w:p w14:paraId="283FDA6A" w14:textId="77777777" w:rsidR="00E55372" w:rsidRPr="00587885" w:rsidRDefault="00E55372" w:rsidP="00E55372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34AADE2A" w14:textId="77777777" w:rsidR="00E55372" w:rsidRPr="00587885" w:rsidRDefault="00E55372" w:rsidP="00E55372">
      <w:r>
        <w:t>Женева, 23–27 августа 2021 года</w:t>
      </w:r>
    </w:p>
    <w:p w14:paraId="1A19B9F1" w14:textId="77777777" w:rsidR="00E55372" w:rsidRPr="00587885" w:rsidRDefault="00E55372" w:rsidP="00E55372">
      <w:r>
        <w:t>Пункт 4 b) предварительной повестки дня</w:t>
      </w:r>
    </w:p>
    <w:p w14:paraId="67FF0D5E" w14:textId="7EC9AC91" w:rsidR="00E55372" w:rsidRPr="00587885" w:rsidRDefault="00E55372" w:rsidP="00E55372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 другие предложения</w:t>
      </w:r>
    </w:p>
    <w:p w14:paraId="3EB0BF8B" w14:textId="40DC65CA" w:rsidR="00E55372" w:rsidRPr="007D5E6E" w:rsidRDefault="00E55372" w:rsidP="00E55372">
      <w:pPr>
        <w:pStyle w:val="HChG"/>
      </w:pPr>
      <w:r>
        <w:tab/>
      </w:r>
      <w:r>
        <w:tab/>
      </w:r>
      <w:r>
        <w:rPr>
          <w:bCs/>
        </w:rPr>
        <w:t xml:space="preserve">Части 4 и 6 ВОПОГ </w:t>
      </w:r>
      <w:r w:rsidRPr="00E55372">
        <w:rPr>
          <w:bCs/>
        </w:rPr>
        <w:t>—</w:t>
      </w:r>
      <w:r>
        <w:rPr>
          <w:bCs/>
        </w:rPr>
        <w:t xml:space="preserve"> отступления в связи с</w:t>
      </w:r>
      <w:r>
        <w:rPr>
          <w:bCs/>
          <w:lang w:val="en-US"/>
        </w:rPr>
        <w:t> </w:t>
      </w:r>
      <w:r>
        <w:rPr>
          <w:bCs/>
        </w:rPr>
        <w:t>многосторонними соглашениями в соответствии с</w:t>
      </w:r>
      <w:r>
        <w:rPr>
          <w:bCs/>
          <w:lang w:val="en-US"/>
        </w:rPr>
        <w:t> </w:t>
      </w:r>
      <w:r>
        <w:rPr>
          <w:bCs/>
        </w:rPr>
        <w:t>ДОПОГ/МПОГ</w:t>
      </w:r>
    </w:p>
    <w:p w14:paraId="1DB0FCA8" w14:textId="664CC805" w:rsidR="00E55372" w:rsidRPr="00587885" w:rsidRDefault="00E55372" w:rsidP="00E55372">
      <w:pPr>
        <w:pStyle w:val="H1G"/>
      </w:pPr>
      <w:r>
        <w:tab/>
      </w:r>
      <w:r>
        <w:tab/>
      </w:r>
      <w:r>
        <w:rPr>
          <w:bCs/>
        </w:rPr>
        <w:t>Представлено правительством Германии</w:t>
      </w:r>
      <w:r w:rsidRPr="00E5537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E55372">
        <w:rPr>
          <w:b w:val="0"/>
          <w:bCs/>
          <w:sz w:val="20"/>
        </w:rPr>
        <w:t xml:space="preserve"> </w:t>
      </w:r>
      <w:r w:rsidRPr="00E5537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29D9859C" w14:textId="77777777" w:rsidR="00E55372" w:rsidRPr="00587885" w:rsidRDefault="00E55372" w:rsidP="00E55372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8E77D94" w14:textId="77777777" w:rsidR="00E55372" w:rsidRPr="00587885" w:rsidRDefault="00E55372" w:rsidP="00E55372">
      <w:pPr>
        <w:pStyle w:val="SingleTxtG"/>
      </w:pPr>
      <w:r>
        <w:t>1.</w:t>
      </w:r>
      <w:r>
        <w:tab/>
        <w:t>При перевозке опасных грузов по внутренним водным путям использование тары и цистерн в соответствии с главой 4.1 ВОПОГ должно отвечать предписаниям международных правил, т. е. ДОПОГ, МПОГ или МКМПОГ.</w:t>
      </w:r>
    </w:p>
    <w:p w14:paraId="03C94A52" w14:textId="77777777" w:rsidR="00E55372" w:rsidRPr="00587885" w:rsidRDefault="00E55372" w:rsidP="00E55372">
      <w:pPr>
        <w:pStyle w:val="SingleTxtG"/>
      </w:pPr>
      <w:r>
        <w:t>2.</w:t>
      </w:r>
      <w:r>
        <w:tab/>
        <w:t xml:space="preserve">Пункт 6.1.1 ВОПОГ предусматривает, что в отношении изготовления и испытаний тара (включая </w:t>
      </w:r>
      <w:r w:rsidRPr="002B7B43">
        <w:t>контейнеры</w:t>
      </w:r>
      <w:r w:rsidRPr="002B7B43">
        <w:rPr>
          <w:rFonts w:eastAsia="Calibri"/>
        </w:rPr>
        <w:t xml:space="preserve"> средней грузоподъемности</w:t>
      </w:r>
      <w:r w:rsidRPr="002B7B43">
        <w:t xml:space="preserve"> для массовых </w:t>
      </w:r>
      <w:r>
        <w:t>грузов (КСМ) и крупногабаритную тару) и цистерны должны отвечать требованиям, указанным в ДОПОГ, МПОГ или МКМПОГ.</w:t>
      </w:r>
    </w:p>
    <w:p w14:paraId="5C34DE11" w14:textId="77777777" w:rsidR="00E55372" w:rsidRPr="00587885" w:rsidRDefault="00E55372" w:rsidP="00E55372">
      <w:pPr>
        <w:pStyle w:val="SingleTxtG"/>
      </w:pPr>
      <w:r>
        <w:t>3.</w:t>
      </w:r>
      <w:r>
        <w:tab/>
        <w:t>Договаривающиеся стороны ДОПОГ/Договаривающиеся государства МПОГ периодически заключают многосторонние соглашения, которые содержат отступления от этих требований в отношении конструкции, изготовления, использования и испытаний.</w:t>
      </w:r>
    </w:p>
    <w:p w14:paraId="73380771" w14:textId="77777777" w:rsidR="00E55372" w:rsidRPr="00587885" w:rsidRDefault="00E55372" w:rsidP="00E55372">
      <w:pPr>
        <w:pStyle w:val="SingleTxtG"/>
        <w:keepNext/>
        <w:keepLines/>
      </w:pPr>
      <w:r>
        <w:lastRenderedPageBreak/>
        <w:t>4.</w:t>
      </w:r>
      <w:r>
        <w:tab/>
        <w:t>В соответствии с пунктом 1.5.1.3 ДОПОГ/МПОГ, перевозки, осуществляемые на основе временных отступлений, являются перевозками по смыслу ДОПОГ/МПОГ.</w:t>
      </w:r>
    </w:p>
    <w:p w14:paraId="47826F04" w14:textId="77777777" w:rsidR="00E55372" w:rsidRPr="00587885" w:rsidRDefault="00E55372" w:rsidP="00E55372">
      <w:pPr>
        <w:pStyle w:val="SingleTxtG"/>
      </w:pPr>
      <w:r>
        <w:t>5.</w:t>
      </w:r>
      <w:r>
        <w:tab/>
        <w:t>Невозможно однозначно определить, соответствуют ли перевозки, осуществляемые на основе многосторонних соглашений, автоматически предписаниям частей 4 и 6 ВОПОГ. В этих частях содержатся подробные ссылки на требования к таре и цистернам, приведенные в частях 4 и 6 ДОПОГ/МПОГ (как они изложены в кодексе), поэтому потребуется непрямолинейный, многоступенчатый подход к получению информации.</w:t>
      </w:r>
    </w:p>
    <w:p w14:paraId="71E9B4C2" w14:textId="77777777" w:rsidR="00E55372" w:rsidRPr="00587885" w:rsidRDefault="00E55372" w:rsidP="00E55372">
      <w:pPr>
        <w:pStyle w:val="SingleTxtG"/>
      </w:pPr>
      <w:r>
        <w:t>6.</w:t>
      </w:r>
      <w:r>
        <w:tab/>
        <w:t>Учитывая текущую правовую ситуацию, может возникнуть необходимость заключения всех многосторонних соглашений в рамках ДОПОГ/МПОГ также в соответствии с разделом 1.5.1 ВОПОГ</w:t>
      </w:r>
      <w:r w:rsidRPr="00587885">
        <w:t xml:space="preserve"> </w:t>
      </w:r>
      <w:r>
        <w:t>с той же формулировкой.</w:t>
      </w:r>
    </w:p>
    <w:p w14:paraId="2DC85B2E" w14:textId="77777777" w:rsidR="00E55372" w:rsidRPr="00587885" w:rsidRDefault="00E55372" w:rsidP="00E55372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A5ED258" w14:textId="77777777" w:rsidR="00E55372" w:rsidRPr="00587885" w:rsidRDefault="00E55372" w:rsidP="00E55372">
      <w:pPr>
        <w:pStyle w:val="SingleTxtG"/>
      </w:pPr>
      <w:r>
        <w:t>7.</w:t>
      </w:r>
      <w:r>
        <w:tab/>
        <w:t>В подраздел 1.5.1 ВОПОГ добавить новый пункт 1.5.1.4 следующего содержания:</w:t>
      </w:r>
    </w:p>
    <w:p w14:paraId="22B8639F" w14:textId="77777777" w:rsidR="00E55372" w:rsidRPr="00587885" w:rsidRDefault="00E55372" w:rsidP="00E55372">
      <w:pPr>
        <w:pStyle w:val="SingleTxtG"/>
      </w:pPr>
      <w:r>
        <w:t>«1.5.1.4</w:t>
      </w:r>
      <w:r>
        <w:tab/>
        <w:t>Временные отступления в соответствии с разделом 1.5.1 ДОПОГ/МПОГ, касающиеся части 4 или части 6 ДОПОГ/МПОГ, рассматриваются как двусторонние и многосторонние соглашения,</w:t>
      </w:r>
      <w:r w:rsidRPr="008A2260">
        <w:t xml:space="preserve"> </w:t>
      </w:r>
      <w:r>
        <w:t>касающиеся части 4 или 6 ВОПОГ, между Договаривающимися сторонами, подписавшими соответствующее временное отступление и одновременно являющимися Договаривающимися сторонами ВОПОГ.».</w:t>
      </w:r>
    </w:p>
    <w:p w14:paraId="16D282BC" w14:textId="77777777" w:rsidR="00E55372" w:rsidRPr="00587885" w:rsidRDefault="00E55372" w:rsidP="00E55372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24EE3413" w14:textId="77777777" w:rsidR="00E55372" w:rsidRPr="00587885" w:rsidRDefault="00E55372" w:rsidP="00E55372">
      <w:pPr>
        <w:pStyle w:val="SingleTxtG"/>
      </w:pPr>
      <w:r>
        <w:t>8.</w:t>
      </w:r>
      <w:r>
        <w:tab/>
        <w:t>Это новое положение создаст правовую определенность. Оно избавит Договаривающиеся стороны ВОПОГ от необходимости прилагать дополнительные усилия по разработке и заключению многосторонних соглашений, которые не содержат отступлений от ДОПОГ и МПОГ.</w:t>
      </w:r>
    </w:p>
    <w:p w14:paraId="61508535" w14:textId="77777777" w:rsidR="00E55372" w:rsidRPr="00587885" w:rsidRDefault="00E55372" w:rsidP="00E55372">
      <w:pPr>
        <w:pStyle w:val="SingleTxtG"/>
      </w:pPr>
      <w:r>
        <w:t>9.</w:t>
      </w:r>
      <w:r>
        <w:tab/>
        <w:t>Поскольку большинство перевозок являются мультимодальными операциями, отказ от таких соглашений только для внутреннего судоходства, как правило, не является вариантом решения проблемы. Он нарушил бы цепочки поставок и привел бы к необходимости замены тары и/или цистерн при смене вида транспорта.</w:t>
      </w:r>
    </w:p>
    <w:p w14:paraId="691326F5" w14:textId="77777777" w:rsidR="00E55372" w:rsidRPr="00587885" w:rsidRDefault="00E55372" w:rsidP="00E55372">
      <w:pPr>
        <w:pStyle w:val="HChG"/>
      </w:pPr>
      <w:r>
        <w:tab/>
      </w:r>
      <w:r>
        <w:tab/>
      </w:r>
      <w:r>
        <w:rPr>
          <w:bCs/>
        </w:rPr>
        <w:t>Безопасность</w:t>
      </w:r>
    </w:p>
    <w:p w14:paraId="1ECA63A4" w14:textId="77777777" w:rsidR="00E55372" w:rsidRPr="00587885" w:rsidRDefault="00E55372" w:rsidP="00E55372">
      <w:pPr>
        <w:pStyle w:val="SingleTxtG"/>
      </w:pPr>
      <w:r>
        <w:t>10.</w:t>
      </w:r>
      <w:r>
        <w:tab/>
        <w:t>Задача обеспечения общей безопасности перевозки, осуществляемой на основе отступлений в отношении тары и цистерн, согласованных в соответствии с ДОПОГ/МПОГ, уже в достаточной мере учитывается при заключении таких многосторонних соглашений. Поправки, вносимые в части 4 и 6 ДОПОГ/МПОГ с двухгодичной периодичностью, автоматически включаются в положения, касающиеся перевозки по внутренним водным путям, посредством динамических ссылок в ВОПОГ без дополнительного рассмотрения Комитетом по вопросам безопасности.</w:t>
      </w:r>
    </w:p>
    <w:p w14:paraId="555D4DDD" w14:textId="77777777" w:rsidR="00E55372" w:rsidRPr="00587885" w:rsidRDefault="00E55372" w:rsidP="00E55372">
      <w:pPr>
        <w:pStyle w:val="HChG"/>
      </w:pPr>
      <w:r>
        <w:tab/>
      </w:r>
      <w:r>
        <w:tab/>
      </w:r>
      <w:r>
        <w:rPr>
          <w:bCs/>
        </w:rPr>
        <w:t>Осуществимость</w:t>
      </w:r>
    </w:p>
    <w:p w14:paraId="7780F578" w14:textId="77777777" w:rsidR="00E55372" w:rsidRPr="00587885" w:rsidRDefault="00E55372" w:rsidP="00E55372">
      <w:pPr>
        <w:pStyle w:val="SingleTxtG"/>
      </w:pPr>
      <w:r>
        <w:t>11.</w:t>
      </w:r>
      <w:r>
        <w:tab/>
        <w:t>Для осуществления перевозок по внутренним водным путям не требуется никаких организационных изменений или изменений в конструкции судов.</w:t>
      </w:r>
    </w:p>
    <w:p w14:paraId="1D3B1BF6" w14:textId="74F558E2" w:rsidR="00E12C5F" w:rsidRPr="00E55372" w:rsidRDefault="00E55372" w:rsidP="00E55372">
      <w:pPr>
        <w:spacing w:before="240"/>
        <w:jc w:val="center"/>
        <w:rPr>
          <w:u w:val="single"/>
        </w:rPr>
      </w:pPr>
      <w:r w:rsidRPr="00587885">
        <w:rPr>
          <w:u w:val="single"/>
        </w:rPr>
        <w:tab/>
      </w:r>
      <w:r w:rsidRPr="00587885">
        <w:rPr>
          <w:u w:val="single"/>
        </w:rPr>
        <w:tab/>
      </w:r>
      <w:r w:rsidRPr="00587885">
        <w:rPr>
          <w:u w:val="single"/>
        </w:rPr>
        <w:tab/>
      </w:r>
    </w:p>
    <w:sectPr w:rsidR="00E12C5F" w:rsidRPr="00E55372" w:rsidSect="00E55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07B6" w14:textId="77777777" w:rsidR="00940410" w:rsidRPr="00A312BC" w:rsidRDefault="00940410" w:rsidP="00A312BC"/>
  </w:endnote>
  <w:endnote w:type="continuationSeparator" w:id="0">
    <w:p w14:paraId="20C2921F" w14:textId="77777777" w:rsidR="00940410" w:rsidRPr="00A312BC" w:rsidRDefault="009404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59141" w14:textId="03AD0114" w:rsidR="00E55372" w:rsidRPr="00E55372" w:rsidRDefault="00E55372">
    <w:pPr>
      <w:pStyle w:val="a8"/>
    </w:pPr>
    <w:r w:rsidRPr="00E55372">
      <w:rPr>
        <w:b/>
        <w:sz w:val="18"/>
      </w:rPr>
      <w:fldChar w:fldCharType="begin"/>
    </w:r>
    <w:r w:rsidRPr="00E55372">
      <w:rPr>
        <w:b/>
        <w:sz w:val="18"/>
      </w:rPr>
      <w:instrText xml:space="preserve"> PAGE  \* MERGEFORMAT </w:instrText>
    </w:r>
    <w:r w:rsidRPr="00E55372">
      <w:rPr>
        <w:b/>
        <w:sz w:val="18"/>
      </w:rPr>
      <w:fldChar w:fldCharType="separate"/>
    </w:r>
    <w:r w:rsidRPr="00E55372">
      <w:rPr>
        <w:b/>
        <w:noProof/>
        <w:sz w:val="18"/>
      </w:rPr>
      <w:t>2</w:t>
    </w:r>
    <w:r w:rsidRPr="00E55372">
      <w:rPr>
        <w:b/>
        <w:sz w:val="18"/>
      </w:rPr>
      <w:fldChar w:fldCharType="end"/>
    </w:r>
    <w:r>
      <w:rPr>
        <w:b/>
        <w:sz w:val="18"/>
      </w:rPr>
      <w:tab/>
    </w:r>
    <w:r>
      <w:t>GE.21-07232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BF29" w14:textId="6FDD3E0D" w:rsidR="00E55372" w:rsidRPr="00E55372" w:rsidRDefault="00E55372" w:rsidP="00E55372">
    <w:pPr>
      <w:pStyle w:val="a8"/>
      <w:tabs>
        <w:tab w:val="clear" w:pos="9639"/>
        <w:tab w:val="right" w:pos="9638"/>
      </w:tabs>
      <w:rPr>
        <w:b/>
        <w:sz w:val="18"/>
      </w:rPr>
    </w:pPr>
    <w:r>
      <w:t>GE.21-07232</w:t>
    </w:r>
    <w:r>
      <w:tab/>
    </w:r>
    <w:r w:rsidRPr="00E55372">
      <w:rPr>
        <w:b/>
        <w:sz w:val="18"/>
      </w:rPr>
      <w:fldChar w:fldCharType="begin"/>
    </w:r>
    <w:r w:rsidRPr="00E55372">
      <w:rPr>
        <w:b/>
        <w:sz w:val="18"/>
      </w:rPr>
      <w:instrText xml:space="preserve"> PAGE  \* MERGEFORMAT </w:instrText>
    </w:r>
    <w:r w:rsidRPr="00E55372">
      <w:rPr>
        <w:b/>
        <w:sz w:val="18"/>
      </w:rPr>
      <w:fldChar w:fldCharType="separate"/>
    </w:r>
    <w:r w:rsidRPr="00E55372">
      <w:rPr>
        <w:b/>
        <w:noProof/>
        <w:sz w:val="18"/>
      </w:rPr>
      <w:t>3</w:t>
    </w:r>
    <w:r w:rsidRPr="00E553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6C8A" w14:textId="63B0B5EC" w:rsidR="00042B72" w:rsidRPr="00E55372" w:rsidRDefault="00E55372" w:rsidP="00E5537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8EDB10" wp14:editId="07DC8E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07232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37A5E9" wp14:editId="2A9E21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220621  230621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958B" w14:textId="77777777" w:rsidR="00940410" w:rsidRPr="001075E9" w:rsidRDefault="009404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D173DE" w14:textId="77777777" w:rsidR="00940410" w:rsidRDefault="009404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EA7CA8" w14:textId="685430B2" w:rsidR="00E55372" w:rsidRPr="00587885" w:rsidRDefault="00E55372" w:rsidP="00E55372">
      <w:pPr>
        <w:pStyle w:val="ad"/>
      </w:pPr>
      <w:r>
        <w:tab/>
      </w:r>
      <w:r w:rsidRPr="00E55372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>
        <w:t>условным обозначением CCNR-ZKR/ADN/WP.15/AC.2/2021/23.</w:t>
      </w:r>
    </w:p>
  </w:footnote>
  <w:footnote w:id="2">
    <w:p w14:paraId="64BD1CFC" w14:textId="77777777" w:rsidR="00E55372" w:rsidRPr="00A20163" w:rsidRDefault="00E55372" w:rsidP="00E55372">
      <w:pPr>
        <w:pStyle w:val="ad"/>
        <w:widowControl w:val="0"/>
      </w:pPr>
      <w:r>
        <w:tab/>
      </w:r>
      <w:r w:rsidRPr="00E55372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2ED7" w14:textId="17722654" w:rsidR="00E55372" w:rsidRPr="00E55372" w:rsidRDefault="00E55372">
    <w:pPr>
      <w:pStyle w:val="a5"/>
    </w:pPr>
    <w:fldSimple w:instr=" TITLE  \* MERGEFORMAT ">
      <w:r w:rsidR="008B0CC8">
        <w:t>ECE/TRANS/WP.15/AC.2/2021/23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AADE" w14:textId="3E96D97B" w:rsidR="00E55372" w:rsidRPr="00E55372" w:rsidRDefault="00E55372" w:rsidP="00E55372">
    <w:pPr>
      <w:pStyle w:val="a5"/>
      <w:jc w:val="right"/>
    </w:pPr>
    <w:fldSimple w:instr=" TITLE  \* MERGEFORMAT ">
      <w:r w:rsidR="008B0CC8">
        <w:t>ECE/TRANS/WP.15/AC.2/2021/23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86C3" w14:textId="77777777" w:rsidR="00E55372" w:rsidRDefault="00E55372" w:rsidP="00E5537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0CC8"/>
    <w:rsid w:val="008B6909"/>
    <w:rsid w:val="008D53B6"/>
    <w:rsid w:val="008F7609"/>
    <w:rsid w:val="00906890"/>
    <w:rsid w:val="00911BE4"/>
    <w:rsid w:val="00940410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7476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537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5FA973"/>
  <w15:docId w15:val="{B6939F89-0C33-4A38-85B3-C9DFD5F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5537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E55372"/>
    <w:rPr>
      <w:lang w:val="ru-RU" w:eastAsia="en-US"/>
    </w:rPr>
  </w:style>
  <w:style w:type="character" w:customStyle="1" w:styleId="HChGChar">
    <w:name w:val="_ H _Ch_G Char"/>
    <w:link w:val="HChG"/>
    <w:rsid w:val="00E5537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27</TotalTime>
  <Pages>2</Pages>
  <Words>488</Words>
  <Characters>3424</Characters>
  <Application>Microsoft Office Word</Application>
  <DocSecurity>0</DocSecurity>
  <Lines>80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ECE/TRANS/WP.15/AC.2/2021/23</dc:title>
  <dc:subject/>
  <dc:creator>Shuvalova NATALIA</dc:creator>
  <cp:keywords/>
  <cp:lastModifiedBy>Natalia Shuvalova</cp:lastModifiedBy>
  <cp:revision>3</cp:revision>
  <cp:lastPrinted>2021-06-23T12:35:00Z</cp:lastPrinted>
  <dcterms:created xsi:type="dcterms:W3CDTF">2021-06-23T12:35:00Z</dcterms:created>
  <dcterms:modified xsi:type="dcterms:W3CDTF">2021-06-23T12:37:00Z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