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64B3F4FF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193DFE6" w14:textId="7777777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101482F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93AED71" w14:textId="77777777" w:rsidR="00717266" w:rsidRPr="00D47EEA" w:rsidRDefault="00A95797" w:rsidP="00A95797">
            <w:pPr>
              <w:suppressAutoHyphens w:val="0"/>
              <w:spacing w:after="20"/>
              <w:jc w:val="right"/>
            </w:pPr>
            <w:r w:rsidRPr="00A95797">
              <w:rPr>
                <w:sz w:val="40"/>
              </w:rPr>
              <w:t>ECE</w:t>
            </w:r>
            <w:r>
              <w:t>/TRANS/WP.15/AC.2/2021/19</w:t>
            </w:r>
          </w:p>
        </w:tc>
      </w:tr>
      <w:tr w:rsidR="00717266" w14:paraId="502DD0CF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6CAB8AB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435E07E" wp14:editId="41F21877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1B76C1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0C76979" w14:textId="77777777" w:rsidR="00A95797" w:rsidRPr="004374AD" w:rsidRDefault="00A95797" w:rsidP="00A95797">
            <w:pPr>
              <w:spacing w:before="240" w:line="240" w:lineRule="exact"/>
              <w:rPr>
                <w:lang w:val="en-US"/>
              </w:rPr>
            </w:pPr>
            <w:r>
              <w:t>Distr.: General</w:t>
            </w:r>
          </w:p>
          <w:p w14:paraId="3D262884" w14:textId="77777777" w:rsidR="00A95797" w:rsidRPr="004374AD" w:rsidRDefault="00A95797" w:rsidP="00A95797">
            <w:pPr>
              <w:spacing w:line="240" w:lineRule="exact"/>
              <w:rPr>
                <w:lang w:val="en-US"/>
              </w:rPr>
            </w:pPr>
            <w:r>
              <w:t>21 May 2021</w:t>
            </w:r>
          </w:p>
          <w:p w14:paraId="7BED1675" w14:textId="77777777" w:rsidR="00A95797" w:rsidRPr="004374AD" w:rsidRDefault="00A95797" w:rsidP="00A95797">
            <w:pPr>
              <w:spacing w:line="240" w:lineRule="exact"/>
              <w:rPr>
                <w:lang w:val="en-US"/>
              </w:rPr>
            </w:pPr>
          </w:p>
          <w:p w14:paraId="518383C9" w14:textId="77777777" w:rsidR="00A95797" w:rsidRDefault="00A95797" w:rsidP="00A95797">
            <w:pPr>
              <w:spacing w:line="240" w:lineRule="exact"/>
            </w:pPr>
            <w:r>
              <w:t xml:space="preserve">English </w:t>
            </w:r>
          </w:p>
          <w:p w14:paraId="5ED944B6" w14:textId="3D638478" w:rsidR="00A95797" w:rsidRDefault="00A95797" w:rsidP="00A95797">
            <w:pPr>
              <w:suppressAutoHyphens w:val="0"/>
            </w:pPr>
            <w:r>
              <w:t>Original: French</w:t>
            </w:r>
          </w:p>
        </w:tc>
      </w:tr>
    </w:tbl>
    <w:p w14:paraId="2B931DB6" w14:textId="77777777" w:rsidR="00A95797" w:rsidRPr="00A95797" w:rsidRDefault="00A95797" w:rsidP="00A95797">
      <w:pPr>
        <w:spacing w:before="120"/>
        <w:rPr>
          <w:b/>
          <w:sz w:val="28"/>
          <w:szCs w:val="28"/>
          <w:lang w:val="en-US"/>
        </w:rPr>
      </w:pPr>
      <w:r w:rsidRPr="00A95797">
        <w:rPr>
          <w:b/>
          <w:bCs/>
          <w:sz w:val="28"/>
          <w:szCs w:val="28"/>
        </w:rPr>
        <w:t>Economic Commission for Europe</w:t>
      </w:r>
    </w:p>
    <w:p w14:paraId="45E79CAB" w14:textId="77777777" w:rsidR="00A95797" w:rsidRPr="00A95797" w:rsidRDefault="00A95797" w:rsidP="00A95797">
      <w:pPr>
        <w:spacing w:before="120"/>
        <w:rPr>
          <w:sz w:val="40"/>
          <w:szCs w:val="40"/>
          <w:lang w:val="en-US"/>
        </w:rPr>
      </w:pPr>
      <w:r w:rsidRPr="00A95797">
        <w:rPr>
          <w:sz w:val="28"/>
          <w:szCs w:val="28"/>
        </w:rPr>
        <w:t>Inland Transport Committee</w:t>
      </w:r>
    </w:p>
    <w:p w14:paraId="617225E2" w14:textId="39879423" w:rsidR="00A95797" w:rsidRPr="004374AD" w:rsidRDefault="00A95797" w:rsidP="00A95797">
      <w:pPr>
        <w:spacing w:before="120"/>
        <w:rPr>
          <w:b/>
          <w:lang w:val="en-US"/>
        </w:rPr>
      </w:pPr>
      <w:r>
        <w:rPr>
          <w:b/>
          <w:bCs/>
        </w:rPr>
        <w:t xml:space="preserve">Joint Meeting of Experts on the Regulations annexed to the </w:t>
      </w:r>
      <w:r w:rsidR="009E3343">
        <w:rPr>
          <w:b/>
          <w:bCs/>
        </w:rPr>
        <w:br/>
      </w:r>
      <w:r>
        <w:rPr>
          <w:b/>
          <w:bCs/>
        </w:rPr>
        <w:t>European Agreement concerning the International Carriage</w:t>
      </w:r>
      <w:r w:rsidR="009E3343">
        <w:rPr>
          <w:b/>
          <w:bCs/>
        </w:rPr>
        <w:br/>
      </w:r>
      <w:r>
        <w:rPr>
          <w:b/>
          <w:bCs/>
        </w:rPr>
        <w:t xml:space="preserve">of Dangerous Goods by Inland Waterways (ADN) </w:t>
      </w:r>
      <w:r w:rsidR="009E3343">
        <w:rPr>
          <w:b/>
          <w:bCs/>
        </w:rPr>
        <w:br/>
      </w:r>
      <w:r>
        <w:rPr>
          <w:b/>
          <w:bCs/>
        </w:rPr>
        <w:t>(ADN Safety Committee)</w:t>
      </w:r>
      <w:bookmarkStart w:id="0" w:name="_Hlk57122394"/>
      <w:bookmarkEnd w:id="0"/>
    </w:p>
    <w:p w14:paraId="7324402A" w14:textId="77777777" w:rsidR="00A95797" w:rsidRPr="004374AD" w:rsidRDefault="00A95797" w:rsidP="00A95797">
      <w:pPr>
        <w:spacing w:before="120"/>
        <w:rPr>
          <w:b/>
          <w:lang w:val="en-US"/>
        </w:rPr>
      </w:pPr>
      <w:r>
        <w:rPr>
          <w:b/>
          <w:bCs/>
        </w:rPr>
        <w:t>Thirty-eighth session</w:t>
      </w:r>
    </w:p>
    <w:p w14:paraId="50BE8F22" w14:textId="77777777" w:rsidR="00A95797" w:rsidRPr="004374AD" w:rsidRDefault="00A95797" w:rsidP="00A95797">
      <w:pPr>
        <w:rPr>
          <w:lang w:val="en-US"/>
        </w:rPr>
      </w:pPr>
      <w:r>
        <w:t>Geneva, 23–27 August 2021</w:t>
      </w:r>
    </w:p>
    <w:p w14:paraId="3985D934" w14:textId="77777777" w:rsidR="00A95797" w:rsidRPr="004374AD" w:rsidRDefault="00A95797" w:rsidP="00A95797">
      <w:pPr>
        <w:rPr>
          <w:lang w:val="en-US"/>
        </w:rPr>
      </w:pPr>
      <w:r>
        <w:t>Item 4 (b) of the provisional agenda</w:t>
      </w:r>
    </w:p>
    <w:p w14:paraId="5EEA6F2A" w14:textId="00ABB3F0" w:rsidR="00A95797" w:rsidRPr="004374AD" w:rsidRDefault="00A95797" w:rsidP="00A95797">
      <w:pPr>
        <w:rPr>
          <w:b/>
          <w:bCs/>
          <w:lang w:val="en-US"/>
        </w:rPr>
      </w:pPr>
      <w:r>
        <w:rPr>
          <w:b/>
          <w:bCs/>
        </w:rPr>
        <w:t>Proposals for amendments to the Regulations annexed to ADN:</w:t>
      </w:r>
      <w:r w:rsidR="007A7E4D">
        <w:rPr>
          <w:b/>
          <w:bCs/>
        </w:rPr>
        <w:t xml:space="preserve"> </w:t>
      </w:r>
      <w:r>
        <w:rPr>
          <w:b/>
          <w:bCs/>
        </w:rPr>
        <w:t>Other proposals</w:t>
      </w:r>
    </w:p>
    <w:p w14:paraId="62B77ED7" w14:textId="77777777" w:rsidR="00A95797" w:rsidRPr="004374AD" w:rsidRDefault="00A95797" w:rsidP="00A95797">
      <w:pPr>
        <w:pStyle w:val="HChG"/>
        <w:rPr>
          <w:lang w:val="en-US"/>
        </w:rPr>
      </w:pPr>
      <w:r>
        <w:tab/>
      </w:r>
      <w:r>
        <w:tab/>
      </w:r>
      <w:r>
        <w:rPr>
          <w:bCs/>
        </w:rPr>
        <w:t>Various amendments and corrections to ADN 2021 subject to notification</w:t>
      </w:r>
    </w:p>
    <w:p w14:paraId="3489DD1E" w14:textId="0CDCA745" w:rsidR="00A95797" w:rsidRPr="004374AD" w:rsidRDefault="00A95797" w:rsidP="00A95797">
      <w:pPr>
        <w:pStyle w:val="H1G"/>
        <w:rPr>
          <w:lang w:val="en-US"/>
        </w:rPr>
      </w:pPr>
      <w:r>
        <w:tab/>
      </w:r>
      <w:r>
        <w:tab/>
      </w:r>
      <w:r>
        <w:rPr>
          <w:bCs/>
        </w:rPr>
        <w:t>Transmitted by the Government of Germany</w:t>
      </w:r>
      <w:r w:rsidRPr="001A50E0">
        <w:rPr>
          <w:rStyle w:val="FootnoteReference"/>
          <w:rFonts w:eastAsiaTheme="minorEastAsia"/>
          <w:b w:val="0"/>
          <w:bCs/>
          <w:sz w:val="20"/>
          <w:szCs w:val="22"/>
          <w:vertAlign w:val="baseline"/>
        </w:rPr>
        <w:footnoteReference w:customMarkFollows="1" w:id="1"/>
        <w:t>*</w:t>
      </w:r>
      <w:r w:rsidRPr="006C3347">
        <w:rPr>
          <w:rStyle w:val="FootnoteReference"/>
          <w:rFonts w:eastAsiaTheme="minorEastAsia"/>
          <w:b w:val="0"/>
          <w:bCs/>
          <w:position w:val="8"/>
          <w:sz w:val="20"/>
          <w:szCs w:val="22"/>
          <w:vertAlign w:val="baseline"/>
        </w:rPr>
        <w:t>,</w:t>
      </w:r>
      <w:r>
        <w:rPr>
          <w:rFonts w:eastAsiaTheme="minorEastAsia"/>
          <w:b w:val="0"/>
          <w:bCs/>
          <w:snapToGrid w:val="0"/>
          <w:sz w:val="20"/>
          <w:szCs w:val="16"/>
        </w:rPr>
        <w:t xml:space="preserve"> </w:t>
      </w:r>
      <w:r w:rsidRPr="001A50E0">
        <w:rPr>
          <w:rStyle w:val="FootnoteReference"/>
          <w:rFonts w:eastAsiaTheme="minorEastAsia"/>
          <w:b w:val="0"/>
          <w:bCs/>
          <w:sz w:val="20"/>
          <w:szCs w:val="22"/>
          <w:vertAlign w:val="baseline"/>
        </w:rPr>
        <w:footnoteReference w:customMarkFollows="1" w:id="2"/>
        <w:t>**</w:t>
      </w:r>
    </w:p>
    <w:p w14:paraId="27F487AA" w14:textId="77777777" w:rsidR="00A95797" w:rsidRPr="004374AD" w:rsidRDefault="00A95797" w:rsidP="00A95797">
      <w:pPr>
        <w:pStyle w:val="SingleTxtG"/>
        <w:rPr>
          <w:lang w:val="en-US"/>
        </w:rPr>
      </w:pPr>
      <w:r>
        <w:t>1.</w:t>
      </w:r>
      <w:r>
        <w:tab/>
        <w:t>Germany proposes that the Safety Committee make the following amendments and corrections to the Regulations annexed to ADN (ADN 2021).</w:t>
      </w:r>
    </w:p>
    <w:p w14:paraId="6B054E56" w14:textId="77777777" w:rsidR="00A95797" w:rsidRPr="004374AD" w:rsidRDefault="00A95797" w:rsidP="00A95797">
      <w:pPr>
        <w:pStyle w:val="HChG"/>
        <w:rPr>
          <w:lang w:val="en-US"/>
        </w:rPr>
      </w:pPr>
      <w:r>
        <w:tab/>
      </w:r>
      <w:r>
        <w:tab/>
      </w:r>
      <w:r>
        <w:rPr>
          <w:bCs/>
        </w:rPr>
        <w:t>Table A</w:t>
      </w:r>
    </w:p>
    <w:p w14:paraId="459B2151" w14:textId="3A4C6D17" w:rsidR="00A95797" w:rsidRPr="004374AD" w:rsidRDefault="00A95797" w:rsidP="00A95797">
      <w:pPr>
        <w:pStyle w:val="SingleTxtG"/>
        <w:spacing w:after="240"/>
        <w:rPr>
          <w:lang w:val="en-US"/>
        </w:rPr>
      </w:pPr>
      <w:r>
        <w:t>2.</w:t>
      </w:r>
      <w:r>
        <w:tab/>
        <w:t>Amendments in all language versions:</w:t>
      </w:r>
    </w:p>
    <w:tbl>
      <w:tblPr>
        <w:tblStyle w:val="Grilledutableau1"/>
        <w:tblW w:w="9639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680"/>
        <w:gridCol w:w="2410"/>
        <w:gridCol w:w="708"/>
        <w:gridCol w:w="2268"/>
        <w:gridCol w:w="2809"/>
        <w:gridCol w:w="26"/>
      </w:tblGrid>
      <w:tr w:rsidR="00A95797" w:rsidRPr="00A95797" w14:paraId="74560AC3" w14:textId="77777777" w:rsidTr="00926CD2">
        <w:trPr>
          <w:gridAfter w:val="1"/>
          <w:wAfter w:w="26" w:type="dxa"/>
          <w:cantSplit/>
          <w:tblHeader/>
        </w:trPr>
        <w:tc>
          <w:tcPr>
            <w:tcW w:w="7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5A05CD" w14:textId="77777777" w:rsidR="00A95797" w:rsidRPr="00A95797" w:rsidRDefault="00A95797" w:rsidP="00A95797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iCs/>
                <w:sz w:val="16"/>
              </w:rPr>
            </w:pPr>
            <w:r w:rsidRPr="00A95797">
              <w:rPr>
                <w:i/>
                <w:iCs/>
                <w:sz w:val="16"/>
                <w:lang w:val="en-GB"/>
              </w:rPr>
              <w:t>UN No.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9D8075" w14:textId="77777777" w:rsidR="00A95797" w:rsidRPr="00A95797" w:rsidRDefault="00A95797" w:rsidP="007D38A0">
            <w:pPr>
              <w:suppressAutoHyphens w:val="0"/>
              <w:spacing w:before="80" w:after="80" w:line="200" w:lineRule="exact"/>
              <w:ind w:right="113"/>
              <w:jc w:val="right"/>
              <w:rPr>
                <w:bCs/>
                <w:i/>
                <w:iCs/>
                <w:sz w:val="16"/>
              </w:rPr>
            </w:pPr>
            <w:r w:rsidRPr="00A95797">
              <w:rPr>
                <w:i/>
                <w:iCs/>
                <w:sz w:val="16"/>
                <w:lang w:val="en-GB"/>
              </w:rPr>
              <w:t>Order number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55F36D" w14:textId="77777777" w:rsidR="00A95797" w:rsidRPr="00A95797" w:rsidRDefault="00A95797" w:rsidP="00A95797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iCs/>
                <w:sz w:val="16"/>
              </w:rPr>
            </w:pPr>
            <w:r w:rsidRPr="00A95797">
              <w:rPr>
                <w:i/>
                <w:iCs/>
                <w:sz w:val="16"/>
                <w:lang w:val="en-GB"/>
              </w:rPr>
              <w:t>Name and description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687E3B" w14:textId="77777777" w:rsidR="00A95797" w:rsidRPr="00A95797" w:rsidRDefault="00A95797" w:rsidP="00A95797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iCs/>
                <w:sz w:val="16"/>
                <w:szCs w:val="18"/>
              </w:rPr>
            </w:pPr>
            <w:r w:rsidRPr="00A95797">
              <w:rPr>
                <w:i/>
                <w:iCs/>
                <w:sz w:val="16"/>
                <w:szCs w:val="18"/>
                <w:lang w:val="en-GB"/>
              </w:rPr>
              <w:t>Packing group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FBF6AFC" w14:textId="77777777" w:rsidR="00A95797" w:rsidRPr="00A95797" w:rsidRDefault="00A95797" w:rsidP="00A95797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iCs/>
                <w:sz w:val="16"/>
              </w:rPr>
            </w:pPr>
            <w:r w:rsidRPr="00A95797">
              <w:rPr>
                <w:i/>
                <w:iCs/>
                <w:sz w:val="16"/>
                <w:lang w:val="en-GB"/>
              </w:rPr>
              <w:t>Amendment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781F50" w14:textId="77777777" w:rsidR="00A95797" w:rsidRPr="00A95797" w:rsidRDefault="00A95797" w:rsidP="00A95797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iCs/>
                <w:sz w:val="16"/>
              </w:rPr>
            </w:pPr>
            <w:r w:rsidRPr="00A95797">
              <w:rPr>
                <w:i/>
                <w:iCs/>
                <w:sz w:val="16"/>
                <w:lang w:val="en-GB"/>
              </w:rPr>
              <w:t>Justification</w:t>
            </w:r>
          </w:p>
        </w:tc>
      </w:tr>
      <w:tr w:rsidR="00926CD2" w:rsidRPr="00A95797" w14:paraId="16907F3F" w14:textId="77777777" w:rsidTr="00926CD2">
        <w:trPr>
          <w:gridAfter w:val="1"/>
          <w:wAfter w:w="26" w:type="dxa"/>
          <w:cantSplit/>
          <w:trHeight w:hRule="exact" w:val="113"/>
          <w:tblHeader/>
        </w:trPr>
        <w:tc>
          <w:tcPr>
            <w:tcW w:w="73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A268E74" w14:textId="77777777" w:rsidR="00926CD2" w:rsidRPr="00A95797" w:rsidRDefault="00926CD2" w:rsidP="00A95797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6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433BCB2" w14:textId="77777777" w:rsidR="00926CD2" w:rsidRPr="00A95797" w:rsidRDefault="00926CD2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FDB0095" w14:textId="77777777" w:rsidR="00926CD2" w:rsidRPr="00A95797" w:rsidRDefault="00926CD2" w:rsidP="00A95797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70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FB24127" w14:textId="77777777" w:rsidR="00926CD2" w:rsidRPr="00A95797" w:rsidRDefault="00926CD2" w:rsidP="00A95797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47A33BC" w14:textId="77777777" w:rsidR="00926CD2" w:rsidRPr="00A95797" w:rsidRDefault="00926CD2" w:rsidP="00A95797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280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F1F807A" w14:textId="77777777" w:rsidR="00926CD2" w:rsidRPr="00A95797" w:rsidRDefault="00926CD2" w:rsidP="00A95797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A95797" w:rsidRPr="00A95797" w14:paraId="1D668DC8" w14:textId="77777777" w:rsidTr="00926CD2">
        <w:trPr>
          <w:gridAfter w:val="1"/>
          <w:wAfter w:w="26" w:type="dxa"/>
          <w:cantSplit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23E7DEB7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2381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</w:tcPr>
          <w:p w14:paraId="1157E056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7345EC26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DIMETHYL DISULFIDE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5C8174C0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II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6D68C8D5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  <w:r w:rsidRPr="00A95797">
              <w:rPr>
                <w:lang w:val="en-GB"/>
              </w:rPr>
              <w:t>Add special provision 802 in column (6) of Table A.</w:t>
            </w:r>
          </w:p>
        </w:tc>
        <w:tc>
          <w:tcPr>
            <w:tcW w:w="2809" w:type="dxa"/>
            <w:tcBorders>
              <w:top w:val="nil"/>
              <w:bottom w:val="nil"/>
            </w:tcBorders>
            <w:shd w:val="clear" w:color="auto" w:fill="auto"/>
          </w:tcPr>
          <w:p w14:paraId="67ED8079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  <w:r w:rsidRPr="00A95797">
              <w:rPr>
                <w:lang w:val="en-GB"/>
              </w:rPr>
              <w:t>In ADR/RID, column (18) of Table A shows the corresponding special provision CV28/CW28</w:t>
            </w:r>
          </w:p>
        </w:tc>
      </w:tr>
      <w:tr w:rsidR="00A95797" w:rsidRPr="00A95797" w14:paraId="48C294EF" w14:textId="77777777" w:rsidTr="00EE4ECB">
        <w:trPr>
          <w:gridAfter w:val="1"/>
          <w:wAfter w:w="26" w:type="dxa"/>
          <w:cantSplit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0259F3BF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3440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</w:tcPr>
          <w:p w14:paraId="4FE8A1CE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2A943741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  <w:r w:rsidRPr="00A95797">
              <w:rPr>
                <w:lang w:val="en-GB"/>
              </w:rPr>
              <w:t>SELENIUM COMPOUND, LIQUID, N.O.S.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131873CF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I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1F92B5" w14:textId="0ED9A342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  <w:r w:rsidRPr="00A95797">
              <w:rPr>
                <w:lang w:val="en-GB"/>
              </w:rPr>
              <w:t xml:space="preserve">Add special </w:t>
            </w:r>
            <w:proofErr w:type="spellStart"/>
            <w:r w:rsidRPr="00A95797">
              <w:rPr>
                <w:lang w:val="en-GB"/>
              </w:rPr>
              <w:t>provisi</w:t>
            </w:r>
            <w:proofErr w:type="spellEnd"/>
            <w:r w:rsidR="007D38A0">
              <w:rPr>
                <w:lang w:val="en-GB"/>
              </w:rPr>
              <w:t xml:space="preserve"> </w:t>
            </w:r>
            <w:r w:rsidRPr="00A95797">
              <w:rPr>
                <w:lang w:val="en-GB"/>
              </w:rPr>
              <w:t>on 563 in column (6) of Table A.</w:t>
            </w:r>
          </w:p>
        </w:tc>
        <w:tc>
          <w:tcPr>
            <w:tcW w:w="280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4C00AC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  <w:r w:rsidRPr="00A95797">
              <w:rPr>
                <w:lang w:val="en-GB"/>
              </w:rPr>
              <w:t>As in Table A of ADR/RID</w:t>
            </w:r>
          </w:p>
        </w:tc>
      </w:tr>
      <w:tr w:rsidR="00A95797" w:rsidRPr="00A95797" w14:paraId="4B331C45" w14:textId="77777777" w:rsidTr="00A95797">
        <w:trPr>
          <w:gridAfter w:val="1"/>
          <w:wAfter w:w="26" w:type="dxa"/>
          <w:cantSplit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6BD8757B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3440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</w:tcPr>
          <w:p w14:paraId="6A1FD5A9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2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62549679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  <w:r w:rsidRPr="00A95797">
              <w:rPr>
                <w:lang w:val="en-GB"/>
              </w:rPr>
              <w:t>SELENIUM COMPOUND, LIQUID, N.O.S.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621D973E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II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244005F5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809" w:type="dxa"/>
            <w:vMerge/>
            <w:tcBorders>
              <w:top w:val="nil"/>
              <w:bottom w:val="nil"/>
            </w:tcBorders>
            <w:shd w:val="clear" w:color="auto" w:fill="auto"/>
          </w:tcPr>
          <w:p w14:paraId="47315914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</w:tr>
      <w:tr w:rsidR="00A95797" w:rsidRPr="00A95797" w14:paraId="5CCEB552" w14:textId="77777777" w:rsidTr="00A95797">
        <w:trPr>
          <w:gridAfter w:val="1"/>
          <w:wAfter w:w="26" w:type="dxa"/>
          <w:cantSplit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02D07244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3440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</w:tcPr>
          <w:p w14:paraId="11BC3D19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3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7D80A9DE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  <w:r w:rsidRPr="00A95797">
              <w:rPr>
                <w:lang w:val="en-GB"/>
              </w:rPr>
              <w:t>SELENIUM COMPOUND, LIQUID, N.O.S.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4C01ACEC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III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7753BC90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809" w:type="dxa"/>
            <w:vMerge/>
            <w:tcBorders>
              <w:top w:val="nil"/>
              <w:bottom w:val="nil"/>
            </w:tcBorders>
            <w:shd w:val="clear" w:color="auto" w:fill="auto"/>
          </w:tcPr>
          <w:p w14:paraId="6275D08E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</w:tr>
      <w:tr w:rsidR="00A95797" w:rsidRPr="00A95797" w14:paraId="6496AC79" w14:textId="77777777" w:rsidTr="00A95797">
        <w:trPr>
          <w:gridAfter w:val="1"/>
          <w:wAfter w:w="26" w:type="dxa"/>
          <w:cantSplit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010EED8C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lastRenderedPageBreak/>
              <w:t>3483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</w:tcPr>
          <w:p w14:paraId="34BBD6C5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252B2547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  <w:r w:rsidRPr="00A95797">
              <w:rPr>
                <w:lang w:val="en-GB"/>
              </w:rPr>
              <w:t>MOTOR FUEL ANTI-KNOCK MIXTURE, FLAMMABLE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0341CE61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0E971634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  <w:r w:rsidRPr="00A95797">
              <w:rPr>
                <w:lang w:val="en-GB"/>
              </w:rPr>
              <w:t>Add special provision 802 in column (6) of Table A.</w:t>
            </w:r>
          </w:p>
        </w:tc>
        <w:tc>
          <w:tcPr>
            <w:tcW w:w="2809" w:type="dxa"/>
            <w:tcBorders>
              <w:top w:val="nil"/>
              <w:bottom w:val="nil"/>
            </w:tcBorders>
            <w:shd w:val="clear" w:color="auto" w:fill="auto"/>
          </w:tcPr>
          <w:p w14:paraId="553B7224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  <w:r w:rsidRPr="00A95797">
              <w:rPr>
                <w:lang w:val="en-GB"/>
              </w:rPr>
              <w:t>In ADR/RID, column (18) of Table A shows the corresponding special provision CV28/CW28</w:t>
            </w:r>
          </w:p>
        </w:tc>
      </w:tr>
      <w:tr w:rsidR="00A95797" w:rsidRPr="00A95797" w14:paraId="68C8C213" w14:textId="77777777" w:rsidTr="000B04F6">
        <w:trPr>
          <w:cantSplit/>
        </w:trPr>
        <w:tc>
          <w:tcPr>
            <w:tcW w:w="738" w:type="dxa"/>
            <w:shd w:val="clear" w:color="auto" w:fill="auto"/>
          </w:tcPr>
          <w:p w14:paraId="03639AF1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3494</w:t>
            </w:r>
          </w:p>
        </w:tc>
        <w:tc>
          <w:tcPr>
            <w:tcW w:w="680" w:type="dxa"/>
            <w:shd w:val="clear" w:color="auto" w:fill="auto"/>
          </w:tcPr>
          <w:p w14:paraId="1F3BC221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4A8E1AE" w14:textId="268C0A98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  <w:r w:rsidRPr="00A95797">
              <w:rPr>
                <w:lang w:val="en-GB"/>
              </w:rPr>
              <w:t>PETROLEUM SOUR CRUDE OIL, FLAMMABLE, TOXIC</w:t>
            </w:r>
          </w:p>
        </w:tc>
        <w:tc>
          <w:tcPr>
            <w:tcW w:w="708" w:type="dxa"/>
            <w:shd w:val="clear" w:color="auto" w:fill="auto"/>
          </w:tcPr>
          <w:p w14:paraId="0DE6C04F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I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86C3FFC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  <w:r w:rsidRPr="00A95797">
              <w:rPr>
                <w:lang w:val="en-GB"/>
              </w:rPr>
              <w:t>Delete special provision 649 in column (6) of Table A.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1BDF839C" w14:textId="15FC9772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  <w:r w:rsidRPr="00A95797">
              <w:rPr>
                <w:lang w:val="en-GB"/>
              </w:rPr>
              <w:t xml:space="preserve">This special provision was included in the consolidated versions of ADN 2011 when </w:t>
            </w:r>
            <w:r w:rsidR="007D38A0">
              <w:rPr>
                <w:lang w:val="en-GB"/>
              </w:rPr>
              <w:br/>
            </w:r>
            <w:r w:rsidRPr="00A95797">
              <w:rPr>
                <w:lang w:val="en-GB"/>
              </w:rPr>
              <w:t xml:space="preserve">UN No. 3494 was added on </w:t>
            </w:r>
            <w:r w:rsidR="001C725C">
              <w:rPr>
                <w:lang w:val="en-GB"/>
              </w:rPr>
              <w:br/>
            </w:r>
            <w:r w:rsidRPr="00A95797">
              <w:rPr>
                <w:lang w:val="en-GB"/>
              </w:rPr>
              <w:t>1 January 2011, but it does not appear in document ECE/ADN/9 or subsequent documents containing the amendments to ADN 2009. Special Provision 649 was deleted from Chapter 3.3 as of 1 January 2011.</w:t>
            </w:r>
          </w:p>
        </w:tc>
      </w:tr>
      <w:tr w:rsidR="00A95797" w:rsidRPr="00A95797" w14:paraId="2235A798" w14:textId="77777777" w:rsidTr="00A95797">
        <w:trPr>
          <w:cantSplit/>
        </w:trPr>
        <w:tc>
          <w:tcPr>
            <w:tcW w:w="738" w:type="dxa"/>
            <w:shd w:val="clear" w:color="auto" w:fill="auto"/>
          </w:tcPr>
          <w:p w14:paraId="78CA3AE6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3494</w:t>
            </w:r>
          </w:p>
        </w:tc>
        <w:tc>
          <w:tcPr>
            <w:tcW w:w="680" w:type="dxa"/>
            <w:shd w:val="clear" w:color="auto" w:fill="auto"/>
          </w:tcPr>
          <w:p w14:paraId="01428E42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D08A181" w14:textId="657F386A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  <w:r w:rsidRPr="00A95797">
              <w:rPr>
                <w:lang w:val="en-GB"/>
              </w:rPr>
              <w:t>PETROLEUM SOUR CRUDE OIL, FLAMMABLE, TOXIC</w:t>
            </w:r>
          </w:p>
        </w:tc>
        <w:tc>
          <w:tcPr>
            <w:tcW w:w="708" w:type="dxa"/>
            <w:shd w:val="clear" w:color="auto" w:fill="auto"/>
          </w:tcPr>
          <w:p w14:paraId="2F28BDFC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II</w:t>
            </w:r>
          </w:p>
        </w:tc>
        <w:tc>
          <w:tcPr>
            <w:tcW w:w="2268" w:type="dxa"/>
            <w:vMerge/>
            <w:shd w:val="clear" w:color="auto" w:fill="auto"/>
          </w:tcPr>
          <w:p w14:paraId="490D4A82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1DF02E87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</w:tr>
      <w:tr w:rsidR="00A95797" w:rsidRPr="00A95797" w14:paraId="5862F7D8" w14:textId="77777777" w:rsidTr="00A95797">
        <w:trPr>
          <w:cantSplit/>
        </w:trPr>
        <w:tc>
          <w:tcPr>
            <w:tcW w:w="738" w:type="dxa"/>
            <w:shd w:val="clear" w:color="auto" w:fill="auto"/>
          </w:tcPr>
          <w:p w14:paraId="7F6B2EAF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3494</w:t>
            </w:r>
          </w:p>
        </w:tc>
        <w:tc>
          <w:tcPr>
            <w:tcW w:w="680" w:type="dxa"/>
            <w:shd w:val="clear" w:color="auto" w:fill="auto"/>
          </w:tcPr>
          <w:p w14:paraId="4DEADFD1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469932A9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  <w:r w:rsidRPr="00A95797">
              <w:rPr>
                <w:lang w:val="en-GB"/>
              </w:rPr>
              <w:t>PETROLEUM SOUR CRUDE OIL, FLAMMABLE, TOXIC</w:t>
            </w:r>
          </w:p>
        </w:tc>
        <w:tc>
          <w:tcPr>
            <w:tcW w:w="708" w:type="dxa"/>
            <w:shd w:val="clear" w:color="auto" w:fill="auto"/>
          </w:tcPr>
          <w:p w14:paraId="7E396026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III</w:t>
            </w:r>
          </w:p>
        </w:tc>
        <w:tc>
          <w:tcPr>
            <w:tcW w:w="2268" w:type="dxa"/>
            <w:vMerge/>
            <w:shd w:val="clear" w:color="auto" w:fill="auto"/>
          </w:tcPr>
          <w:p w14:paraId="7A2A7B13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4AC0900C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</w:tr>
      <w:tr w:rsidR="00A95797" w:rsidRPr="00A95797" w14:paraId="50C00331" w14:textId="77777777" w:rsidTr="00EE4ECB">
        <w:trPr>
          <w:cantSplit/>
        </w:trPr>
        <w:tc>
          <w:tcPr>
            <w:tcW w:w="738" w:type="dxa"/>
            <w:shd w:val="clear" w:color="auto" w:fill="auto"/>
          </w:tcPr>
          <w:p w14:paraId="67CB115A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3537</w:t>
            </w:r>
          </w:p>
        </w:tc>
        <w:tc>
          <w:tcPr>
            <w:tcW w:w="680" w:type="dxa"/>
            <w:shd w:val="clear" w:color="auto" w:fill="auto"/>
          </w:tcPr>
          <w:p w14:paraId="74659B82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90BC70E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ARTICLES CONTAINING FLAMMABLE GAS, N.O.S.</w:t>
            </w:r>
          </w:p>
        </w:tc>
        <w:tc>
          <w:tcPr>
            <w:tcW w:w="708" w:type="dxa"/>
            <w:shd w:val="clear" w:color="auto" w:fill="auto"/>
          </w:tcPr>
          <w:p w14:paraId="53E0559A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040D5FA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  <w:r w:rsidRPr="00A95797">
              <w:rPr>
                <w:lang w:val="en-GB"/>
              </w:rPr>
              <w:t>Add special provision 802 in column (6) of Table A.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14:paraId="325DBA47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  <w:r w:rsidRPr="00A95797">
              <w:rPr>
                <w:lang w:val="en-GB"/>
              </w:rPr>
              <w:t>In ADR/RID, column (18) of Table A shows the corresponding special provision CV28/CW28</w:t>
            </w:r>
          </w:p>
        </w:tc>
      </w:tr>
      <w:tr w:rsidR="00A95797" w:rsidRPr="00A95797" w14:paraId="5BFE09B3" w14:textId="77777777" w:rsidTr="00A95797">
        <w:trPr>
          <w:cantSplit/>
        </w:trPr>
        <w:tc>
          <w:tcPr>
            <w:tcW w:w="738" w:type="dxa"/>
            <w:shd w:val="clear" w:color="auto" w:fill="auto"/>
          </w:tcPr>
          <w:p w14:paraId="714760FD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3539</w:t>
            </w:r>
          </w:p>
        </w:tc>
        <w:tc>
          <w:tcPr>
            <w:tcW w:w="680" w:type="dxa"/>
            <w:shd w:val="clear" w:color="auto" w:fill="auto"/>
          </w:tcPr>
          <w:p w14:paraId="5A60C338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D2E182E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  <w:r w:rsidRPr="00A95797">
              <w:rPr>
                <w:lang w:val="en-GB"/>
              </w:rPr>
              <w:t>ARTICLES CONTAINING TOXIC GAS, N.O.S.</w:t>
            </w:r>
          </w:p>
        </w:tc>
        <w:tc>
          <w:tcPr>
            <w:tcW w:w="708" w:type="dxa"/>
            <w:shd w:val="clear" w:color="auto" w:fill="auto"/>
          </w:tcPr>
          <w:p w14:paraId="7C627892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8B86D67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0649E5B5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</w:p>
        </w:tc>
      </w:tr>
      <w:tr w:rsidR="00A95797" w:rsidRPr="00A95797" w14:paraId="410FEA81" w14:textId="77777777" w:rsidTr="00A95797">
        <w:trPr>
          <w:cantSplit/>
        </w:trPr>
        <w:tc>
          <w:tcPr>
            <w:tcW w:w="738" w:type="dxa"/>
            <w:shd w:val="clear" w:color="auto" w:fill="auto"/>
          </w:tcPr>
          <w:p w14:paraId="3BC6F3AA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3540</w:t>
            </w:r>
          </w:p>
        </w:tc>
        <w:tc>
          <w:tcPr>
            <w:tcW w:w="680" w:type="dxa"/>
            <w:shd w:val="clear" w:color="auto" w:fill="auto"/>
          </w:tcPr>
          <w:p w14:paraId="5A7EA037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6D5478E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ARTICLES CONTAINING FLAMMABLE GAS, N.O.S.</w:t>
            </w:r>
          </w:p>
        </w:tc>
        <w:tc>
          <w:tcPr>
            <w:tcW w:w="708" w:type="dxa"/>
            <w:shd w:val="clear" w:color="auto" w:fill="auto"/>
          </w:tcPr>
          <w:p w14:paraId="7F26E9CD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E447CD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5AA32D5B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</w:tr>
      <w:tr w:rsidR="00A95797" w:rsidRPr="00A95797" w14:paraId="7E1854FE" w14:textId="77777777" w:rsidTr="00A95797">
        <w:trPr>
          <w:cantSplit/>
        </w:trPr>
        <w:tc>
          <w:tcPr>
            <w:tcW w:w="738" w:type="dxa"/>
            <w:shd w:val="clear" w:color="auto" w:fill="auto"/>
          </w:tcPr>
          <w:p w14:paraId="1AA426AA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3541</w:t>
            </w:r>
          </w:p>
        </w:tc>
        <w:tc>
          <w:tcPr>
            <w:tcW w:w="680" w:type="dxa"/>
            <w:shd w:val="clear" w:color="auto" w:fill="auto"/>
          </w:tcPr>
          <w:p w14:paraId="266C0C65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A2440DB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ARTICLES CONTAINING FLAMMABLE SOLID, N.O.S.</w:t>
            </w:r>
          </w:p>
        </w:tc>
        <w:tc>
          <w:tcPr>
            <w:tcW w:w="708" w:type="dxa"/>
            <w:shd w:val="clear" w:color="auto" w:fill="auto"/>
          </w:tcPr>
          <w:p w14:paraId="7BD8D3F1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47C235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03F23643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</w:tr>
      <w:tr w:rsidR="00A95797" w:rsidRPr="00A95797" w14:paraId="3198FF75" w14:textId="77777777" w:rsidTr="00A95797">
        <w:trPr>
          <w:cantSplit/>
        </w:trPr>
        <w:tc>
          <w:tcPr>
            <w:tcW w:w="738" w:type="dxa"/>
            <w:shd w:val="clear" w:color="auto" w:fill="auto"/>
          </w:tcPr>
          <w:p w14:paraId="06819E5F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3542</w:t>
            </w:r>
          </w:p>
        </w:tc>
        <w:tc>
          <w:tcPr>
            <w:tcW w:w="680" w:type="dxa"/>
            <w:shd w:val="clear" w:color="auto" w:fill="auto"/>
          </w:tcPr>
          <w:p w14:paraId="35A54CFF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187AC1A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ARTICLES CONTAINING A SUBSTANCE LIABLE TO SPONTANEOUS COMBUSTION, N.O.S.</w:t>
            </w:r>
          </w:p>
        </w:tc>
        <w:tc>
          <w:tcPr>
            <w:tcW w:w="708" w:type="dxa"/>
            <w:shd w:val="clear" w:color="auto" w:fill="auto"/>
          </w:tcPr>
          <w:p w14:paraId="6CE236A3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56F936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4CA358F8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</w:tr>
      <w:tr w:rsidR="00A95797" w:rsidRPr="00A95797" w14:paraId="279C5866" w14:textId="77777777" w:rsidTr="00A95797">
        <w:trPr>
          <w:cantSplit/>
        </w:trPr>
        <w:tc>
          <w:tcPr>
            <w:tcW w:w="738" w:type="dxa"/>
            <w:shd w:val="clear" w:color="auto" w:fill="auto"/>
          </w:tcPr>
          <w:p w14:paraId="558CEB6B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3543</w:t>
            </w:r>
          </w:p>
        </w:tc>
        <w:tc>
          <w:tcPr>
            <w:tcW w:w="680" w:type="dxa"/>
            <w:shd w:val="clear" w:color="auto" w:fill="auto"/>
          </w:tcPr>
          <w:p w14:paraId="1A303F64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7FC98CC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  <w:r w:rsidRPr="00A95797">
              <w:rPr>
                <w:lang w:val="en-GB"/>
              </w:rPr>
              <w:t>ARTICLES CONTAINING A SUBSTANCE WHICH IN CONTACT WITH WATER EMITS FLAMMABLE GASES, N.O.S.</w:t>
            </w:r>
          </w:p>
        </w:tc>
        <w:tc>
          <w:tcPr>
            <w:tcW w:w="708" w:type="dxa"/>
            <w:shd w:val="clear" w:color="auto" w:fill="auto"/>
          </w:tcPr>
          <w:p w14:paraId="407EB029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38FDDE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407019D8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</w:p>
        </w:tc>
      </w:tr>
      <w:tr w:rsidR="00A95797" w:rsidRPr="00A95797" w14:paraId="092DDE82" w14:textId="77777777" w:rsidTr="00A95797">
        <w:trPr>
          <w:cantSplit/>
        </w:trPr>
        <w:tc>
          <w:tcPr>
            <w:tcW w:w="738" w:type="dxa"/>
            <w:shd w:val="clear" w:color="auto" w:fill="auto"/>
          </w:tcPr>
          <w:p w14:paraId="33F80E3B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3544</w:t>
            </w:r>
          </w:p>
        </w:tc>
        <w:tc>
          <w:tcPr>
            <w:tcW w:w="680" w:type="dxa"/>
            <w:shd w:val="clear" w:color="auto" w:fill="auto"/>
          </w:tcPr>
          <w:p w14:paraId="4E46CAB8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CDBD428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ARTICLES CONTAINING OXIDIZING SUBSTANCE, N.O.S.</w:t>
            </w:r>
          </w:p>
        </w:tc>
        <w:tc>
          <w:tcPr>
            <w:tcW w:w="708" w:type="dxa"/>
            <w:shd w:val="clear" w:color="auto" w:fill="auto"/>
          </w:tcPr>
          <w:p w14:paraId="6866B7CE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A6394B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4EF0DBD2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</w:tr>
      <w:tr w:rsidR="00A95797" w:rsidRPr="00A95797" w14:paraId="6049D82C" w14:textId="77777777" w:rsidTr="00A95797">
        <w:trPr>
          <w:cantSplit/>
        </w:trPr>
        <w:tc>
          <w:tcPr>
            <w:tcW w:w="738" w:type="dxa"/>
            <w:shd w:val="clear" w:color="auto" w:fill="auto"/>
          </w:tcPr>
          <w:p w14:paraId="3FBDE530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3545</w:t>
            </w:r>
          </w:p>
        </w:tc>
        <w:tc>
          <w:tcPr>
            <w:tcW w:w="680" w:type="dxa"/>
            <w:shd w:val="clear" w:color="auto" w:fill="auto"/>
          </w:tcPr>
          <w:p w14:paraId="730E329C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2B87227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ARTICLES CONTAINING ORGANIC PEROXIDE, N.O.S.</w:t>
            </w:r>
          </w:p>
        </w:tc>
        <w:tc>
          <w:tcPr>
            <w:tcW w:w="708" w:type="dxa"/>
            <w:shd w:val="clear" w:color="auto" w:fill="auto"/>
          </w:tcPr>
          <w:p w14:paraId="78FFEFCC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D9F56B5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34CE1008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</w:tr>
      <w:tr w:rsidR="00A95797" w:rsidRPr="00A95797" w14:paraId="1EE205C4" w14:textId="77777777" w:rsidTr="00A95797">
        <w:trPr>
          <w:cantSplit/>
        </w:trPr>
        <w:tc>
          <w:tcPr>
            <w:tcW w:w="738" w:type="dxa"/>
            <w:tcBorders>
              <w:bottom w:val="nil"/>
            </w:tcBorders>
            <w:shd w:val="clear" w:color="auto" w:fill="auto"/>
          </w:tcPr>
          <w:p w14:paraId="0BF704F3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3546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</w:tcPr>
          <w:p w14:paraId="1E85A683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0851A6F7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ARTICLES CONTAINING TOXIC SUBSTANCE, N.O.S.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14:paraId="3F7F0E1F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084DA48A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835" w:type="dxa"/>
            <w:gridSpan w:val="2"/>
            <w:vMerge/>
            <w:tcBorders>
              <w:bottom w:val="nil"/>
            </w:tcBorders>
            <w:shd w:val="clear" w:color="auto" w:fill="auto"/>
          </w:tcPr>
          <w:p w14:paraId="25ADFD7A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</w:tr>
      <w:tr w:rsidR="00A95797" w:rsidRPr="00A95797" w14:paraId="2D041C4F" w14:textId="77777777" w:rsidTr="00A95797">
        <w:trPr>
          <w:cantSplit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6003FEE0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3547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</w:tcPr>
          <w:p w14:paraId="1455CCF1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3AA3ECCD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ARTICLES CONTAINING CORROSIVE SUBSTANCE, N.O.S.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3DC0579A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16ED94B3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336E6421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</w:tr>
      <w:tr w:rsidR="00A95797" w:rsidRPr="00A95797" w14:paraId="68F1B285" w14:textId="77777777" w:rsidTr="00A95797">
        <w:trPr>
          <w:cantSplit/>
        </w:trPr>
        <w:tc>
          <w:tcPr>
            <w:tcW w:w="738" w:type="dxa"/>
            <w:tcBorders>
              <w:top w:val="nil"/>
            </w:tcBorders>
            <w:shd w:val="clear" w:color="auto" w:fill="auto"/>
          </w:tcPr>
          <w:p w14:paraId="11BEBFC5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</w:pPr>
            <w:r w:rsidRPr="00A95797">
              <w:rPr>
                <w:lang w:val="en-GB"/>
              </w:rPr>
              <w:t>3548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14:paraId="5DCF9D77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</w:pPr>
            <w:r w:rsidRPr="00A95797">
              <w:rPr>
                <w:lang w:val="en-GB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00D8C137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  <w:r w:rsidRPr="00A95797">
              <w:rPr>
                <w:lang w:val="en-GB"/>
              </w:rPr>
              <w:t>ARTICLES CONTAINING MISCELLANEOUS DANGEROUS GOODS, N.O.S.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14:paraId="16790C70" w14:textId="77777777" w:rsidR="00A95797" w:rsidRPr="00A95797" w:rsidRDefault="00A95797" w:rsidP="007D38A0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14:paraId="3CDED3AB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  <w:shd w:val="clear" w:color="auto" w:fill="auto"/>
          </w:tcPr>
          <w:p w14:paraId="4B6B2831" w14:textId="77777777" w:rsidR="00A95797" w:rsidRPr="00A95797" w:rsidRDefault="00A95797" w:rsidP="00A95797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</w:p>
        </w:tc>
      </w:tr>
    </w:tbl>
    <w:p w14:paraId="1B5A868A" w14:textId="77777777" w:rsidR="00A95797" w:rsidRPr="004374AD" w:rsidRDefault="00A95797" w:rsidP="00A95797">
      <w:pPr>
        <w:pStyle w:val="HChG"/>
        <w:rPr>
          <w:lang w:val="en-US"/>
        </w:rPr>
      </w:pPr>
      <w:r>
        <w:lastRenderedPageBreak/>
        <w:tab/>
      </w:r>
      <w:r>
        <w:tab/>
      </w:r>
      <w:r>
        <w:rPr>
          <w:bCs/>
        </w:rPr>
        <w:t>Table C, Identification No. 9004</w:t>
      </w:r>
      <w:bookmarkStart w:id="1" w:name="_Hlk69718275"/>
      <w:bookmarkEnd w:id="1"/>
    </w:p>
    <w:p w14:paraId="7AE81706" w14:textId="77777777" w:rsidR="00A95797" w:rsidRPr="004374AD" w:rsidRDefault="00A95797" w:rsidP="00A95797">
      <w:pPr>
        <w:pStyle w:val="SingleTxtG"/>
        <w:keepNext/>
        <w:keepLines/>
        <w:rPr>
          <w:lang w:val="en-US"/>
        </w:rPr>
      </w:pPr>
      <w:r>
        <w:t>3.</w:t>
      </w:r>
      <w:r>
        <w:tab/>
        <w:t>Correction in the English, French and Russian versions:</w:t>
      </w:r>
    </w:p>
    <w:p w14:paraId="34C8388B" w14:textId="77777777" w:rsidR="00A95797" w:rsidRPr="004374AD" w:rsidRDefault="00A95797" w:rsidP="00A95797">
      <w:pPr>
        <w:pStyle w:val="SingleTxtG"/>
        <w:keepNext/>
        <w:keepLines/>
        <w:ind w:left="1701"/>
        <w:rPr>
          <w:lang w:val="en-US"/>
        </w:rPr>
      </w:pPr>
      <w:r>
        <w:t>Table C, Identification No. 9004, column (5)</w:t>
      </w:r>
    </w:p>
    <w:p w14:paraId="002DED9D" w14:textId="7D6810C3" w:rsidR="00A95797" w:rsidRPr="004374AD" w:rsidRDefault="00A95797" w:rsidP="00A95797">
      <w:pPr>
        <w:pStyle w:val="SingleTxtG"/>
        <w:ind w:left="1701"/>
        <w:rPr>
          <w:lang w:val="en-US"/>
        </w:rPr>
      </w:pPr>
      <w:r>
        <w:t xml:space="preserve">Insert </w:t>
      </w:r>
      <w:r w:rsidR="007A7E4D">
        <w:t>“</w:t>
      </w:r>
      <w:r>
        <w:t>9+</w:t>
      </w:r>
      <w:r w:rsidR="007A7E4D">
        <w:t>”</w:t>
      </w:r>
      <w:r w:rsidRPr="00424B04">
        <w:t xml:space="preserve"> </w:t>
      </w:r>
      <w:r>
        <w:t xml:space="preserve">before </w:t>
      </w:r>
      <w:r w:rsidR="007A7E4D">
        <w:t>“</w:t>
      </w:r>
      <w:r>
        <w:t>S</w:t>
      </w:r>
      <w:r w:rsidR="007A7E4D">
        <w:t>”</w:t>
      </w:r>
      <w:r>
        <w:t>.</w:t>
      </w:r>
    </w:p>
    <w:p w14:paraId="7D014D97" w14:textId="77777777" w:rsidR="00A95797" w:rsidRPr="004374AD" w:rsidRDefault="00A95797" w:rsidP="00A95797">
      <w:pPr>
        <w:pStyle w:val="SingleTxtG"/>
        <w:ind w:firstLine="567"/>
        <w:rPr>
          <w:b/>
          <w:bCs/>
          <w:i/>
          <w:lang w:val="en-US"/>
        </w:rPr>
      </w:pPr>
      <w:r>
        <w:rPr>
          <w:b/>
          <w:bCs/>
        </w:rPr>
        <w:t>Justification:</w:t>
      </w:r>
    </w:p>
    <w:p w14:paraId="360A847B" w14:textId="77777777" w:rsidR="00A95797" w:rsidRPr="004374AD" w:rsidRDefault="00A95797" w:rsidP="00A95797">
      <w:pPr>
        <w:pStyle w:val="Bullet2G"/>
        <w:numPr>
          <w:ilvl w:val="0"/>
          <w:numId w:val="9"/>
        </w:numPr>
        <w:tabs>
          <w:tab w:val="clear" w:pos="2268"/>
        </w:tabs>
        <w:kinsoku w:val="0"/>
        <w:overflowPunct w:val="0"/>
        <w:autoSpaceDE w:val="0"/>
        <w:autoSpaceDN w:val="0"/>
        <w:adjustRightInd w:val="0"/>
        <w:snapToGrid w:val="0"/>
        <w:ind w:left="1985" w:hanging="284"/>
        <w:rPr>
          <w:lang w:val="en-US"/>
        </w:rPr>
      </w:pPr>
      <w:r>
        <w:t>This difference/error has existed since ADN 2009.</w:t>
      </w:r>
    </w:p>
    <w:p w14:paraId="4C8936D4" w14:textId="430DC21F" w:rsidR="00A95797" w:rsidRPr="004374AD" w:rsidRDefault="00A95797" w:rsidP="00A95797">
      <w:pPr>
        <w:pStyle w:val="Bullet2G"/>
        <w:numPr>
          <w:ilvl w:val="0"/>
          <w:numId w:val="9"/>
        </w:numPr>
        <w:tabs>
          <w:tab w:val="clear" w:pos="2268"/>
        </w:tabs>
        <w:kinsoku w:val="0"/>
        <w:overflowPunct w:val="0"/>
        <w:autoSpaceDE w:val="0"/>
        <w:autoSpaceDN w:val="0"/>
        <w:adjustRightInd w:val="0"/>
        <w:snapToGrid w:val="0"/>
        <w:ind w:left="1985" w:hanging="284"/>
        <w:rPr>
          <w:lang w:val="en-US"/>
        </w:rPr>
      </w:pPr>
      <w:r>
        <w:t xml:space="preserve">In column 5, all other entries are preceded by a dangerous goods class number before </w:t>
      </w:r>
      <w:r w:rsidR="007A7E4D">
        <w:t>“</w:t>
      </w:r>
      <w:r>
        <w:t>S</w:t>
      </w:r>
      <w:r w:rsidR="007A7E4D">
        <w:t>”</w:t>
      </w:r>
      <w:r>
        <w:t xml:space="preserve"> for Sinker or </w:t>
      </w:r>
      <w:r w:rsidR="007A7E4D">
        <w:t>“</w:t>
      </w:r>
      <w:r>
        <w:t>F</w:t>
      </w:r>
      <w:r w:rsidR="007A7E4D">
        <w:t>”</w:t>
      </w:r>
      <w:r>
        <w:t xml:space="preserve"> for Floater.</w:t>
      </w:r>
    </w:p>
    <w:p w14:paraId="47093C2E" w14:textId="77777777" w:rsidR="00A95797" w:rsidRPr="004374AD" w:rsidRDefault="00A95797" w:rsidP="00A95797">
      <w:pPr>
        <w:pStyle w:val="HChG"/>
        <w:rPr>
          <w:lang w:val="en-US"/>
        </w:rPr>
      </w:pPr>
      <w:r>
        <w:tab/>
      </w:r>
      <w:r>
        <w:tab/>
        <w:t xml:space="preserve">7.1.5.4.2 </w:t>
      </w:r>
      <w:r>
        <w:rPr>
          <w:bCs/>
        </w:rPr>
        <w:t>and 7.2.5.4.2</w:t>
      </w:r>
    </w:p>
    <w:p w14:paraId="48569065" w14:textId="1E1B63E7" w:rsidR="00A95797" w:rsidRPr="004374AD" w:rsidRDefault="00A95797" w:rsidP="00A95797">
      <w:pPr>
        <w:pStyle w:val="SingleTxtG"/>
        <w:rPr>
          <w:lang w:val="en-US"/>
        </w:rPr>
      </w:pPr>
      <w:r>
        <w:t>4.</w:t>
      </w:r>
      <w:r>
        <w:tab/>
        <w:t xml:space="preserve">Amendment to 7.2.5.4.2: replace </w:t>
      </w:r>
      <w:r w:rsidR="007A7E4D">
        <w:t>“</w:t>
      </w:r>
      <w:r>
        <w:t>7.2.3.15</w:t>
      </w:r>
      <w:r w:rsidR="007A7E4D">
        <w:t>”</w:t>
      </w:r>
      <w:r>
        <w:t xml:space="preserve"> with </w:t>
      </w:r>
      <w:r w:rsidR="007A7E4D">
        <w:t>“</w:t>
      </w:r>
      <w:r>
        <w:t>8.2.1.2</w:t>
      </w:r>
      <w:r w:rsidR="007A7E4D">
        <w:t>”</w:t>
      </w:r>
      <w:r>
        <w:t>.</w:t>
      </w:r>
    </w:p>
    <w:p w14:paraId="3BEE4ACF" w14:textId="77777777" w:rsidR="00A95797" w:rsidRPr="00B60892" w:rsidRDefault="00A95797" w:rsidP="00A95797">
      <w:pPr>
        <w:pStyle w:val="SingleTxtG"/>
        <w:ind w:firstLine="567"/>
        <w:rPr>
          <w:i/>
        </w:rPr>
      </w:pPr>
      <w:r>
        <w:rPr>
          <w:b/>
          <w:bCs/>
        </w:rPr>
        <w:t>Justification</w:t>
      </w:r>
      <w:r>
        <w:t>:</w:t>
      </w:r>
    </w:p>
    <w:p w14:paraId="3FB8B20E" w14:textId="77777777" w:rsidR="00A95797" w:rsidRPr="004374AD" w:rsidRDefault="00A95797" w:rsidP="00A95797">
      <w:pPr>
        <w:pStyle w:val="Bullet1G"/>
        <w:numPr>
          <w:ilvl w:val="0"/>
          <w:numId w:val="8"/>
        </w:numPr>
        <w:tabs>
          <w:tab w:val="clear" w:pos="1701"/>
        </w:tabs>
        <w:kinsoku w:val="0"/>
        <w:overflowPunct w:val="0"/>
        <w:autoSpaceDE w:val="0"/>
        <w:autoSpaceDN w:val="0"/>
        <w:adjustRightInd w:val="0"/>
        <w:snapToGrid w:val="0"/>
        <w:ind w:left="1985" w:hanging="284"/>
        <w:rPr>
          <w:lang w:val="en-US"/>
        </w:rPr>
      </w:pPr>
      <w:r>
        <w:t>Since ADN 2009, 7.2.5.4.2 has referred to 7.2.3.15 in the English and French versions, while it refers to 8.2.1.2 in the German version.</w:t>
      </w:r>
    </w:p>
    <w:p w14:paraId="2B93882C" w14:textId="77777777" w:rsidR="00A95797" w:rsidRPr="004374AD" w:rsidRDefault="00A95797" w:rsidP="00A95797">
      <w:pPr>
        <w:pStyle w:val="Bullet1G"/>
        <w:numPr>
          <w:ilvl w:val="0"/>
          <w:numId w:val="8"/>
        </w:numPr>
        <w:tabs>
          <w:tab w:val="clear" w:pos="1701"/>
        </w:tabs>
        <w:kinsoku w:val="0"/>
        <w:overflowPunct w:val="0"/>
        <w:autoSpaceDE w:val="0"/>
        <w:autoSpaceDN w:val="0"/>
        <w:adjustRightInd w:val="0"/>
        <w:snapToGrid w:val="0"/>
        <w:ind w:left="1985" w:hanging="284"/>
        <w:rPr>
          <w:lang w:val="en-US"/>
        </w:rPr>
      </w:pPr>
      <w:r>
        <w:t>Since ADN 2011, 7.1.5.4.2 has referred to 8.2.1.2 in all languages.</w:t>
      </w:r>
    </w:p>
    <w:p w14:paraId="55DBC597" w14:textId="14391359" w:rsidR="00A95797" w:rsidRPr="004374AD" w:rsidRDefault="00A95797" w:rsidP="00A95797">
      <w:pPr>
        <w:pStyle w:val="Bullet1G"/>
        <w:numPr>
          <w:ilvl w:val="0"/>
          <w:numId w:val="8"/>
        </w:numPr>
        <w:tabs>
          <w:tab w:val="clear" w:pos="1701"/>
        </w:tabs>
        <w:kinsoku w:val="0"/>
        <w:overflowPunct w:val="0"/>
        <w:autoSpaceDE w:val="0"/>
        <w:autoSpaceDN w:val="0"/>
        <w:adjustRightInd w:val="0"/>
        <w:snapToGrid w:val="0"/>
        <w:ind w:left="1985" w:hanging="284"/>
        <w:rPr>
          <w:lang w:val="en-US"/>
        </w:rPr>
      </w:pPr>
      <w:r>
        <w:t xml:space="preserve">Since the amendment to 7.2.3.15 was made in ADN 2013, the reference to </w:t>
      </w:r>
      <w:r w:rsidR="007A7E4D">
        <w:t>“</w:t>
      </w:r>
      <w:r>
        <w:t>responsible driver</w:t>
      </w:r>
      <w:r w:rsidR="007A7E4D">
        <w:t>”</w:t>
      </w:r>
      <w:r>
        <w:t xml:space="preserve"> has not been clear. In the opinion of the German delegation, the presence on board of an expert who is not a driver is sufficient.</w:t>
      </w:r>
    </w:p>
    <w:p w14:paraId="6B38283D" w14:textId="77777777" w:rsidR="00A95797" w:rsidRPr="004374AD" w:rsidRDefault="00A95797" w:rsidP="00A95797">
      <w:pPr>
        <w:spacing w:before="240"/>
        <w:jc w:val="center"/>
        <w:rPr>
          <w:u w:val="single"/>
          <w:lang w:val="en-US"/>
        </w:rPr>
      </w:pPr>
      <w:r w:rsidRPr="004374AD">
        <w:rPr>
          <w:u w:val="single"/>
          <w:lang w:val="en-US"/>
        </w:rPr>
        <w:tab/>
      </w:r>
      <w:r w:rsidRPr="004374AD">
        <w:rPr>
          <w:u w:val="single"/>
          <w:lang w:val="en-US"/>
        </w:rPr>
        <w:tab/>
      </w:r>
      <w:r w:rsidRPr="004374AD">
        <w:rPr>
          <w:u w:val="single"/>
          <w:lang w:val="en-US"/>
        </w:rPr>
        <w:tab/>
      </w:r>
    </w:p>
    <w:sectPr w:rsidR="00A95797" w:rsidRPr="004374AD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896A2" w14:textId="77777777" w:rsidR="008A2A9E" w:rsidRPr="00FB1744" w:rsidRDefault="008A2A9E" w:rsidP="00FB1744">
      <w:pPr>
        <w:pStyle w:val="Footer"/>
      </w:pPr>
    </w:p>
  </w:endnote>
  <w:endnote w:type="continuationSeparator" w:id="0">
    <w:p w14:paraId="5FDFDF14" w14:textId="77777777" w:rsidR="008A2A9E" w:rsidRPr="00FB1744" w:rsidRDefault="008A2A9E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BE49C" w14:textId="77777777" w:rsidR="00A95797" w:rsidRDefault="00A95797" w:rsidP="00A95797">
    <w:pPr>
      <w:pStyle w:val="Footer"/>
      <w:tabs>
        <w:tab w:val="right" w:pos="9638"/>
      </w:tabs>
    </w:pPr>
    <w:r w:rsidRPr="00A95797">
      <w:rPr>
        <w:b/>
        <w:bCs/>
        <w:sz w:val="18"/>
      </w:rPr>
      <w:fldChar w:fldCharType="begin"/>
    </w:r>
    <w:r w:rsidRPr="00A95797">
      <w:rPr>
        <w:b/>
        <w:bCs/>
        <w:sz w:val="18"/>
      </w:rPr>
      <w:instrText xml:space="preserve"> PAGE  \* MERGEFORMAT </w:instrText>
    </w:r>
    <w:r w:rsidRPr="00A95797">
      <w:rPr>
        <w:b/>
        <w:bCs/>
        <w:sz w:val="18"/>
      </w:rPr>
      <w:fldChar w:fldCharType="separate"/>
    </w:r>
    <w:r w:rsidRPr="00A95797">
      <w:rPr>
        <w:b/>
        <w:bCs/>
        <w:noProof/>
        <w:sz w:val="18"/>
      </w:rPr>
      <w:t>2</w:t>
    </w:r>
    <w:r w:rsidRPr="00A95797">
      <w:rPr>
        <w:b/>
        <w:bCs/>
        <w:sz w:val="18"/>
      </w:rPr>
      <w:fldChar w:fldCharType="end"/>
    </w:r>
    <w:r>
      <w:tab/>
      <w:t>GE.21-06700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E6F65" w14:textId="77777777" w:rsidR="00A95797" w:rsidRDefault="00A95797" w:rsidP="00A95797">
    <w:pPr>
      <w:pStyle w:val="Footer"/>
      <w:tabs>
        <w:tab w:val="right" w:pos="9638"/>
      </w:tabs>
    </w:pPr>
    <w:r>
      <w:t>GE.21-06700</w:t>
    </w:r>
    <w:r>
      <w:tab/>
    </w:r>
    <w:r w:rsidRPr="00A95797">
      <w:rPr>
        <w:b/>
        <w:bCs/>
        <w:sz w:val="18"/>
      </w:rPr>
      <w:fldChar w:fldCharType="begin"/>
    </w:r>
    <w:r w:rsidRPr="00A95797">
      <w:rPr>
        <w:b/>
        <w:bCs/>
        <w:sz w:val="18"/>
      </w:rPr>
      <w:instrText xml:space="preserve"> PAGE  \* MERGEFORMAT </w:instrText>
    </w:r>
    <w:r w:rsidRPr="00A95797">
      <w:rPr>
        <w:b/>
        <w:bCs/>
        <w:sz w:val="18"/>
      </w:rPr>
      <w:fldChar w:fldCharType="separate"/>
    </w:r>
    <w:r w:rsidRPr="00A95797">
      <w:rPr>
        <w:b/>
        <w:bCs/>
        <w:noProof/>
        <w:sz w:val="18"/>
      </w:rPr>
      <w:t>3</w:t>
    </w:r>
    <w:r w:rsidRPr="00A95797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184B6" w14:textId="77777777" w:rsidR="00C448F7" w:rsidRDefault="00A95797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F40E3C5" wp14:editId="276EF46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5D1E73" w14:textId="5961B2FE" w:rsidR="00A95797" w:rsidRPr="00A95797" w:rsidRDefault="00A95797" w:rsidP="00A95797">
    <w:pPr>
      <w:pStyle w:val="Footer"/>
      <w:tabs>
        <w:tab w:val="right" w:pos="7370"/>
      </w:tabs>
      <w:rPr>
        <w:sz w:val="20"/>
      </w:rPr>
    </w:pPr>
    <w:r>
      <w:rPr>
        <w:sz w:val="20"/>
      </w:rPr>
      <w:t>GE.21-06700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6A1F1CC" wp14:editId="6DC600AA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310521    310521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D6DFC" w14:textId="77777777" w:rsidR="008A2A9E" w:rsidRPr="00FB1744" w:rsidRDefault="008A2A9E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2E4A50C" w14:textId="77777777" w:rsidR="008A2A9E" w:rsidRPr="00FB1744" w:rsidRDefault="008A2A9E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646CAC10" w14:textId="77777777" w:rsidR="00A95797" w:rsidRPr="004374AD" w:rsidRDefault="00A95797" w:rsidP="00A95797">
      <w:pPr>
        <w:pStyle w:val="FootnoteText"/>
        <w:rPr>
          <w:lang w:val="en-US"/>
        </w:rPr>
      </w:pPr>
      <w:r w:rsidRPr="006C3347">
        <w:rPr>
          <w:rStyle w:val="FootnoteReference"/>
          <w:sz w:val="20"/>
          <w:szCs w:val="22"/>
          <w:vertAlign w:val="baseline"/>
        </w:rPr>
        <w:tab/>
        <w:t>*</w:t>
      </w:r>
      <w:r w:rsidRPr="006C3347">
        <w:rPr>
          <w:rStyle w:val="FootnoteReference"/>
          <w:sz w:val="20"/>
          <w:szCs w:val="22"/>
          <w:vertAlign w:val="baseline"/>
        </w:rPr>
        <w:tab/>
      </w:r>
      <w:r>
        <w:t>Distributed in German by the Central Commission for the Navigation of the Rhine under the symbol CCNR-ZKR/ADN/WP.15/AC.2/2021/19.</w:t>
      </w:r>
    </w:p>
  </w:footnote>
  <w:footnote w:id="2">
    <w:p w14:paraId="3811BE0D" w14:textId="77777777" w:rsidR="00A95797" w:rsidRPr="004D45CD" w:rsidRDefault="00A95797" w:rsidP="00A95797">
      <w:pPr>
        <w:pStyle w:val="FootnoteText"/>
      </w:pPr>
      <w:r>
        <w:tab/>
        <w:t>**</w:t>
      </w:r>
      <w:r>
        <w:tab/>
        <w:t>In accordance with the programme of work of the Inland Transport Committee for 2021 as outlined in the proposed programme budget for 2021 (A/75/6 (Sect. 20), para.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06926" w14:textId="77777777" w:rsidR="00A95797" w:rsidRDefault="00A95797" w:rsidP="00A95797">
    <w:pPr>
      <w:pStyle w:val="Header"/>
    </w:pPr>
    <w:r>
      <w:t>ECE/TRANS/WP.15/AC.2/2021/19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EF2D1" w14:textId="77777777" w:rsidR="00A95797" w:rsidRDefault="00A95797" w:rsidP="00A95797">
    <w:pPr>
      <w:pStyle w:val="Header"/>
      <w:jc w:val="right"/>
    </w:pPr>
    <w:r>
      <w:t>ECE/TRANS/WP.15/AC.2/2021/19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  <w:lvlOverride w:ilvl="0">
      <w:lvl w:ilvl="0" w:tplc="3B64B33E">
        <w:start w:val="1"/>
        <w:numFmt w:val="bullet"/>
        <w:pStyle w:val="Bullet1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 w:tplc="78607ACC">
        <w:start w:val="1"/>
        <w:numFmt w:val="bullet"/>
        <w:pStyle w:val="Bullet2G"/>
        <w:lvlText w:val="•"/>
        <w:lvlJc w:val="left"/>
        <w:pPr>
          <w:tabs>
            <w:tab w:val="num" w:pos="2268"/>
          </w:tabs>
          <w:ind w:left="2268" w:hanging="17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jcxNzAwMzKwNDFU0lEKTi0uzszPAykwrAUArDjlOiwAAAA="/>
  </w:docVars>
  <w:rsids>
    <w:rsidRoot w:val="008A2A9E"/>
    <w:rsid w:val="00046E92"/>
    <w:rsid w:val="000B0354"/>
    <w:rsid w:val="000B04F6"/>
    <w:rsid w:val="000D1B89"/>
    <w:rsid w:val="000F433A"/>
    <w:rsid w:val="000F6E29"/>
    <w:rsid w:val="001170DC"/>
    <w:rsid w:val="001A50E0"/>
    <w:rsid w:val="001C725C"/>
    <w:rsid w:val="00243198"/>
    <w:rsid w:val="00247E2C"/>
    <w:rsid w:val="002D6C53"/>
    <w:rsid w:val="002F5595"/>
    <w:rsid w:val="00334F6A"/>
    <w:rsid w:val="00342AC8"/>
    <w:rsid w:val="003B4550"/>
    <w:rsid w:val="0043448D"/>
    <w:rsid w:val="00461253"/>
    <w:rsid w:val="005042C2"/>
    <w:rsid w:val="00506C12"/>
    <w:rsid w:val="0056599A"/>
    <w:rsid w:val="00585AE1"/>
    <w:rsid w:val="00587690"/>
    <w:rsid w:val="00671529"/>
    <w:rsid w:val="00692992"/>
    <w:rsid w:val="006A5598"/>
    <w:rsid w:val="006C3347"/>
    <w:rsid w:val="00717266"/>
    <w:rsid w:val="007268F9"/>
    <w:rsid w:val="007A7E4D"/>
    <w:rsid w:val="007C52B0"/>
    <w:rsid w:val="007D38A0"/>
    <w:rsid w:val="008A2A9E"/>
    <w:rsid w:val="00905E7E"/>
    <w:rsid w:val="00926CD2"/>
    <w:rsid w:val="009411B4"/>
    <w:rsid w:val="009D0139"/>
    <w:rsid w:val="009E3343"/>
    <w:rsid w:val="009F5CDC"/>
    <w:rsid w:val="00A429CD"/>
    <w:rsid w:val="00A775CF"/>
    <w:rsid w:val="00A95797"/>
    <w:rsid w:val="00AB3C7E"/>
    <w:rsid w:val="00B06045"/>
    <w:rsid w:val="00C35A27"/>
    <w:rsid w:val="00C448F7"/>
    <w:rsid w:val="00E02C2B"/>
    <w:rsid w:val="00E665C4"/>
    <w:rsid w:val="00E929D6"/>
    <w:rsid w:val="00ED6C48"/>
    <w:rsid w:val="00EE4ECB"/>
    <w:rsid w:val="00EF76C5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B2057C"/>
  <w15:docId w15:val="{8DD18ADF-0B63-41C6-BADB-9DB4925F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D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EF76C5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qFormat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EF76C5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A95797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table" w:customStyle="1" w:styleId="Grilledutableau1">
    <w:name w:val="Grille du tableau1"/>
    <w:basedOn w:val="TableNormal"/>
    <w:next w:val="TableGrid"/>
    <w:uiPriority w:val="59"/>
    <w:rsid w:val="00A95797"/>
    <w:pPr>
      <w:spacing w:after="0" w:line="240" w:lineRule="auto"/>
    </w:pPr>
    <w:rPr>
      <w:rFonts w:ascii="Calibri" w:eastAsia="Calibri" w:hAnsi="Calibri" w:cs="Times New Roman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45D5-B923-4B30-B681-C387A64B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3</Pages>
  <Words>569</Words>
  <Characters>3093</Characters>
  <Application>Microsoft Office Word</Application>
  <DocSecurity>0</DocSecurity>
  <Lines>233</Lines>
  <Paragraphs>112</Paragraphs>
  <ScaleCrop>false</ScaleCrop>
  <Company>DCM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ECE/TRANS/WP.15/AC.2/2021/19</dc:title>
  <dc:subject>2106700</dc:subject>
  <dc:creator>cg</dc:creator>
  <cp:keywords/>
  <dc:description/>
  <cp:lastModifiedBy>Maria Rosario Corazon Gatmaytan</cp:lastModifiedBy>
  <cp:revision>2</cp:revision>
  <dcterms:created xsi:type="dcterms:W3CDTF">2021-05-31T09:18:00Z</dcterms:created>
  <dcterms:modified xsi:type="dcterms:W3CDTF">2021-05-31T09:18:00Z</dcterms:modified>
</cp:coreProperties>
</file>