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F600A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EA9FB14" w14:textId="77777777" w:rsidR="002D5AAC" w:rsidRDefault="002D5AAC" w:rsidP="001700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A12002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F9D1331" w14:textId="5772D5C7" w:rsidR="002D5AAC" w:rsidRDefault="00170077" w:rsidP="00170077">
            <w:pPr>
              <w:jc w:val="right"/>
            </w:pPr>
            <w:r w:rsidRPr="00170077">
              <w:rPr>
                <w:sz w:val="40"/>
              </w:rPr>
              <w:t>ECE</w:t>
            </w:r>
            <w:r>
              <w:t>/TRANS/WP.15/AC.2/2021/18</w:t>
            </w:r>
          </w:p>
        </w:tc>
      </w:tr>
      <w:tr w:rsidR="002D5AAC" w:rsidRPr="00170077" w14:paraId="519E126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8446A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BC37ED6" wp14:editId="05E5A72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969CA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6D994DB" w14:textId="77777777" w:rsidR="002D5AAC" w:rsidRDefault="0017007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7C69A01" w14:textId="77777777" w:rsidR="00170077" w:rsidRDefault="00170077" w:rsidP="001700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May 2021</w:t>
            </w:r>
          </w:p>
          <w:p w14:paraId="5DEB0ED2" w14:textId="77777777" w:rsidR="00170077" w:rsidRDefault="00170077" w:rsidP="001700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10395FF" w14:textId="4BE755DC" w:rsidR="00170077" w:rsidRPr="008D53B6" w:rsidRDefault="00170077" w:rsidP="001700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833FCA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EDAEA59" w14:textId="77777777" w:rsidR="00170077" w:rsidRPr="00357DE4" w:rsidRDefault="00170077" w:rsidP="00170077">
      <w:pPr>
        <w:spacing w:before="120"/>
        <w:rPr>
          <w:sz w:val="28"/>
          <w:szCs w:val="28"/>
        </w:rPr>
      </w:pPr>
      <w:r w:rsidRPr="00357DE4">
        <w:rPr>
          <w:sz w:val="28"/>
          <w:szCs w:val="28"/>
        </w:rPr>
        <w:t>Комитет по внутреннему транспорту</w:t>
      </w:r>
    </w:p>
    <w:p w14:paraId="0F5D4F8C" w14:textId="77777777" w:rsidR="00170077" w:rsidRPr="00357DE4" w:rsidRDefault="00170077" w:rsidP="00170077">
      <w:pPr>
        <w:spacing w:before="120"/>
        <w:rPr>
          <w:b/>
          <w:sz w:val="24"/>
          <w:szCs w:val="24"/>
        </w:rPr>
      </w:pPr>
      <w:r w:rsidRPr="00357DE4">
        <w:rPr>
          <w:b/>
          <w:bCs/>
          <w:sz w:val="24"/>
          <w:szCs w:val="24"/>
        </w:rPr>
        <w:t>Рабочая группа по перевозкам опасных грузов</w:t>
      </w:r>
    </w:p>
    <w:p w14:paraId="09C160F7" w14:textId="641B767B" w:rsidR="00170077" w:rsidRPr="002736C5" w:rsidRDefault="00170077" w:rsidP="00170077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5AB1928F" w14:textId="77777777" w:rsidR="00170077" w:rsidRPr="002736C5" w:rsidRDefault="00170077" w:rsidP="00170077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695065F1" w14:textId="77777777" w:rsidR="00170077" w:rsidRPr="002736C5" w:rsidRDefault="00170077" w:rsidP="00170077">
      <w:pPr>
        <w:spacing w:before="120"/>
        <w:rPr>
          <w:b/>
        </w:rPr>
      </w:pPr>
      <w:r>
        <w:rPr>
          <w:b/>
          <w:bCs/>
        </w:rPr>
        <w:t>Тридцать восьмая сессия</w:t>
      </w:r>
    </w:p>
    <w:p w14:paraId="4C63C144" w14:textId="77777777" w:rsidR="00170077" w:rsidRPr="002736C5" w:rsidRDefault="00170077" w:rsidP="00170077">
      <w:r>
        <w:t>Женева, 23–27 августа 2021 года</w:t>
      </w:r>
    </w:p>
    <w:p w14:paraId="29FA2B11" w14:textId="77777777" w:rsidR="00170077" w:rsidRPr="002736C5" w:rsidRDefault="00170077" w:rsidP="00170077">
      <w:r>
        <w:t>Пункт 5 предварительной повестки дня</w:t>
      </w:r>
    </w:p>
    <w:p w14:paraId="71F0DFEF" w14:textId="7D52EB16" w:rsidR="00E12C5F" w:rsidRDefault="00170077" w:rsidP="00170077">
      <w:r>
        <w:rPr>
          <w:b/>
          <w:bCs/>
        </w:rPr>
        <w:t>Доклады неофициальных рабочих групп</w:t>
      </w:r>
    </w:p>
    <w:p w14:paraId="0C5132F9" w14:textId="77777777" w:rsidR="00170077" w:rsidRPr="002736C5" w:rsidRDefault="00170077" w:rsidP="00824C32">
      <w:pPr>
        <w:pStyle w:val="HChG"/>
      </w:pPr>
      <w:r>
        <w:tab/>
      </w:r>
      <w:r>
        <w:tab/>
        <w:t>Отчет о работе двадцать первого совещания группы Рекомендованных классификационных обществ ВОПОГ</w:t>
      </w:r>
    </w:p>
    <w:p w14:paraId="221D30DB" w14:textId="17ECA0F9" w:rsidR="00170077" w:rsidRPr="002736C5" w:rsidRDefault="00170077" w:rsidP="00824C32">
      <w:pPr>
        <w:pStyle w:val="H1G"/>
      </w:pPr>
      <w:r>
        <w:tab/>
      </w:r>
      <w:r>
        <w:tab/>
        <w:t>Представлено группой Рекомендованных классификационных обществ ВОПОГ</w:t>
      </w:r>
      <w:r w:rsidRPr="00824C3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824C32" w:rsidRPr="00824C32">
        <w:rPr>
          <w:b w:val="0"/>
          <w:bCs/>
          <w:sz w:val="20"/>
        </w:rPr>
        <w:t xml:space="preserve"> </w:t>
      </w:r>
      <w:r w:rsidRPr="00824C32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54E81674" w14:textId="705E6D69" w:rsidR="00170077" w:rsidRPr="002736C5" w:rsidRDefault="00170077" w:rsidP="00170077">
      <w:pPr>
        <w:pStyle w:val="SingleTxtG"/>
      </w:pPr>
      <w:r>
        <w:t xml:space="preserve">Дата: 18 марта 2021 года, 09:30 </w:t>
      </w:r>
      <w:r w:rsidR="00824C32">
        <w:rPr>
          <w:lang w:val="en-US"/>
        </w:rPr>
        <w:t>—</w:t>
      </w:r>
      <w:r>
        <w:t xml:space="preserve"> 16:30</w:t>
      </w:r>
    </w:p>
    <w:p w14:paraId="66B23243" w14:textId="77777777" w:rsidR="00170077" w:rsidRPr="002736C5" w:rsidRDefault="00170077" w:rsidP="00170077">
      <w:pPr>
        <w:pStyle w:val="SingleTxtG"/>
      </w:pPr>
      <w:r>
        <w:t xml:space="preserve">Место проведения: онлайн-совещание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Teams</w:t>
      </w:r>
      <w:proofErr w:type="spellEnd"/>
    </w:p>
    <w:p w14:paraId="5D3F112D" w14:textId="77777777" w:rsidR="00170077" w:rsidRPr="00514643" w:rsidRDefault="00170077" w:rsidP="00170077">
      <w:pPr>
        <w:pStyle w:val="SingleTxtG"/>
      </w:pPr>
      <w:r>
        <w:t>Присутствуют:</w:t>
      </w:r>
    </w:p>
    <w:p w14:paraId="5782C735" w14:textId="77777777" w:rsidR="00170077" w:rsidRPr="002736C5" w:rsidRDefault="00170077" w:rsidP="00824C32">
      <w:pPr>
        <w:pStyle w:val="Bullet1G"/>
      </w:pPr>
      <w:r>
        <w:t xml:space="preserve">«Бюро </w:t>
      </w:r>
      <w:proofErr w:type="spellStart"/>
      <w:r>
        <w:t>Веритас</w:t>
      </w:r>
      <w:proofErr w:type="spellEnd"/>
      <w:r>
        <w:t xml:space="preserve">» (BV): г-н Гай </w:t>
      </w:r>
      <w:proofErr w:type="spellStart"/>
      <w:r>
        <w:t>Джейкобс</w:t>
      </w:r>
      <w:proofErr w:type="spellEnd"/>
      <w:r>
        <w:t xml:space="preserve">, г-н </w:t>
      </w:r>
      <w:proofErr w:type="spellStart"/>
      <w:r>
        <w:t>Раффаэле</w:t>
      </w:r>
      <w:proofErr w:type="spellEnd"/>
      <w:r>
        <w:t xml:space="preserve"> </w:t>
      </w:r>
      <w:proofErr w:type="spellStart"/>
      <w:r>
        <w:t>Кочито</w:t>
      </w:r>
      <w:proofErr w:type="spellEnd"/>
    </w:p>
    <w:p w14:paraId="4F21309E" w14:textId="77777777" w:rsidR="00170077" w:rsidRPr="002736C5" w:rsidRDefault="00170077" w:rsidP="00824C32">
      <w:pPr>
        <w:pStyle w:val="Bullet1G"/>
      </w:pPr>
      <w:r>
        <w:t xml:space="preserve">Хорватский регистр судоходства (CRS): г-н Иван </w:t>
      </w:r>
      <w:proofErr w:type="spellStart"/>
      <w:r>
        <w:t>Билич</w:t>
      </w:r>
      <w:proofErr w:type="spellEnd"/>
      <w:r>
        <w:t xml:space="preserve"> </w:t>
      </w:r>
      <w:proofErr w:type="spellStart"/>
      <w:r>
        <w:t>Прчич</w:t>
      </w:r>
      <w:proofErr w:type="spellEnd"/>
      <w:r>
        <w:t xml:space="preserve"> (Председатель)</w:t>
      </w:r>
    </w:p>
    <w:p w14:paraId="4752FA9C" w14:textId="77777777" w:rsidR="00170077" w:rsidRPr="002736C5" w:rsidRDefault="00170077" w:rsidP="00824C32">
      <w:pPr>
        <w:pStyle w:val="Bullet1G"/>
      </w:pPr>
      <w:r>
        <w:t xml:space="preserve">«Дет </w:t>
      </w:r>
      <w:proofErr w:type="spellStart"/>
      <w:r>
        <w:t>норске</w:t>
      </w:r>
      <w:proofErr w:type="spellEnd"/>
      <w:r>
        <w:t xml:space="preserve"> </w:t>
      </w:r>
      <w:proofErr w:type="spellStart"/>
      <w:r>
        <w:t>веритас</w:t>
      </w:r>
      <w:proofErr w:type="spellEnd"/>
      <w:r>
        <w:t xml:space="preserve">» (DNV): г-н Торстен </w:t>
      </w:r>
      <w:proofErr w:type="spellStart"/>
      <w:r>
        <w:t>Досдал</w:t>
      </w:r>
      <w:proofErr w:type="spellEnd"/>
      <w:r>
        <w:t xml:space="preserve"> </w:t>
      </w:r>
    </w:p>
    <w:p w14:paraId="55650B03" w14:textId="77777777" w:rsidR="00170077" w:rsidRPr="002736C5" w:rsidRDefault="00170077" w:rsidP="00824C32">
      <w:pPr>
        <w:pStyle w:val="Bullet1G"/>
      </w:pPr>
      <w:r>
        <w:t xml:space="preserve">Регистр Ллойда (LR): г-н Бас </w:t>
      </w:r>
      <w:proofErr w:type="spellStart"/>
      <w:r>
        <w:t>Йорманн</w:t>
      </w:r>
      <w:proofErr w:type="spellEnd"/>
      <w:r>
        <w:t>, г-н Карел Винке</w:t>
      </w:r>
    </w:p>
    <w:p w14:paraId="206451DA" w14:textId="77777777" w:rsidR="00170077" w:rsidRPr="002736C5" w:rsidRDefault="00170077" w:rsidP="00824C32">
      <w:pPr>
        <w:pStyle w:val="Bullet1G"/>
      </w:pPr>
      <w:r>
        <w:t xml:space="preserve">Итальянский морской регистр (RINA): г-н </w:t>
      </w:r>
      <w:proofErr w:type="spellStart"/>
      <w:r>
        <w:t>Патрицио</w:t>
      </w:r>
      <w:proofErr w:type="spellEnd"/>
      <w:r>
        <w:t xml:space="preserve">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Франческо</w:t>
      </w:r>
      <w:proofErr w:type="spellEnd"/>
    </w:p>
    <w:p w14:paraId="43A4D0EB" w14:textId="77777777" w:rsidR="00170077" w:rsidRPr="002736C5" w:rsidRDefault="00170077" w:rsidP="00824C32">
      <w:pPr>
        <w:pStyle w:val="Bullet1G"/>
      </w:pPr>
      <w:r>
        <w:t xml:space="preserve">Российский морской регистр судоходства (РС): г-н Сергей </w:t>
      </w:r>
      <w:proofErr w:type="spellStart"/>
      <w:r>
        <w:t>Легуша</w:t>
      </w:r>
      <w:proofErr w:type="spellEnd"/>
      <w:r>
        <w:t xml:space="preserve"> </w:t>
      </w:r>
    </w:p>
    <w:p w14:paraId="24EF8E1B" w14:textId="77777777" w:rsidR="00170077" w:rsidRPr="002736C5" w:rsidRDefault="00170077" w:rsidP="00824C32">
      <w:pPr>
        <w:pStyle w:val="Bullet1G"/>
      </w:pPr>
      <w:r>
        <w:t>Российский речной регистр (РРР): г-н Михаил Козин</w:t>
      </w:r>
    </w:p>
    <w:p w14:paraId="152B6745" w14:textId="77777777" w:rsidR="00170077" w:rsidRPr="002736C5" w:rsidRDefault="00170077" w:rsidP="00824C32">
      <w:pPr>
        <w:pStyle w:val="Bullet1G"/>
      </w:pPr>
      <w:r>
        <w:t xml:space="preserve">Регистр судоходства Украины (РСУ): г-н Микола </w:t>
      </w:r>
      <w:proofErr w:type="spellStart"/>
      <w:r>
        <w:t>Сльозко</w:t>
      </w:r>
      <w:proofErr w:type="spellEnd"/>
    </w:p>
    <w:p w14:paraId="3D258427" w14:textId="77777777" w:rsidR="00170077" w:rsidRPr="002736C5" w:rsidRDefault="00170077" w:rsidP="00170077">
      <w:pPr>
        <w:pStyle w:val="SingleTxtG"/>
      </w:pPr>
      <w:r>
        <w:t xml:space="preserve">Комитет по вопросам безопасности ВОПОГ: </w:t>
      </w:r>
    </w:p>
    <w:p w14:paraId="634BADF3" w14:textId="445E4C2B" w:rsidR="00170077" w:rsidRPr="002736C5" w:rsidRDefault="00911083" w:rsidP="00824C32">
      <w:pPr>
        <w:pStyle w:val="Bullet1G"/>
      </w:pPr>
      <w:r>
        <w:t>г</w:t>
      </w:r>
      <w:r w:rsidR="00170077">
        <w:t xml:space="preserve">-н Нильс </w:t>
      </w:r>
      <w:proofErr w:type="spellStart"/>
      <w:r w:rsidR="00170077">
        <w:t>Ремерс</w:t>
      </w:r>
      <w:proofErr w:type="spellEnd"/>
      <w:r w:rsidR="00170077">
        <w:t xml:space="preserve"> (Нидерланды, наблюдатель)</w:t>
      </w:r>
    </w:p>
    <w:p w14:paraId="695D1EB0" w14:textId="508A92F7" w:rsidR="00170077" w:rsidRPr="002736C5" w:rsidRDefault="00911083" w:rsidP="00824C32">
      <w:pPr>
        <w:pStyle w:val="Bullet1G"/>
      </w:pPr>
      <w:r>
        <w:lastRenderedPageBreak/>
        <w:t>г</w:t>
      </w:r>
      <w:r w:rsidR="00170077">
        <w:t xml:space="preserve">-н </w:t>
      </w:r>
      <w:proofErr w:type="spellStart"/>
      <w:r w:rsidR="00170077">
        <w:t>Хенк</w:t>
      </w:r>
      <w:proofErr w:type="spellEnd"/>
      <w:r w:rsidR="00170077">
        <w:t xml:space="preserve"> </w:t>
      </w:r>
      <w:proofErr w:type="spellStart"/>
      <w:r w:rsidR="00170077">
        <w:t>Лангенберг</w:t>
      </w:r>
      <w:proofErr w:type="spellEnd"/>
      <w:r w:rsidR="00170077">
        <w:t xml:space="preserve"> (Председатель Комитета по вопросам безопасности ВОПОГ)</w:t>
      </w:r>
    </w:p>
    <w:p w14:paraId="346F36DB" w14:textId="77777777" w:rsidR="00170077" w:rsidRPr="00514643" w:rsidRDefault="00170077" w:rsidP="00170077">
      <w:pPr>
        <w:pStyle w:val="SingleTxtG"/>
      </w:pPr>
      <w:r>
        <w:t>Не присутствуют (получено уведомление):</w:t>
      </w:r>
    </w:p>
    <w:p w14:paraId="29983F22" w14:textId="77777777" w:rsidR="00170077" w:rsidRPr="00514643" w:rsidRDefault="00170077" w:rsidP="00824C32">
      <w:pPr>
        <w:pStyle w:val="Bullet1G"/>
      </w:pPr>
      <w:proofErr w:type="spellStart"/>
      <w:r>
        <w:t>Павлос</w:t>
      </w:r>
      <w:proofErr w:type="spellEnd"/>
      <w:r>
        <w:t xml:space="preserve"> </w:t>
      </w:r>
      <w:proofErr w:type="spellStart"/>
      <w:r>
        <w:t>Сафралис</w:t>
      </w:r>
      <w:proofErr w:type="spellEnd"/>
      <w:r>
        <w:t xml:space="preserve"> (RINA)</w:t>
      </w:r>
    </w:p>
    <w:p w14:paraId="50BAD172" w14:textId="77777777" w:rsidR="00170077" w:rsidRPr="006A2CF4" w:rsidRDefault="00170077" w:rsidP="00824C32">
      <w:pPr>
        <w:pStyle w:val="HChG"/>
      </w:pPr>
      <w:r>
        <w:tab/>
        <w:t>I.</w:t>
      </w:r>
      <w:r>
        <w:tab/>
        <w:t>Открытие</w:t>
      </w:r>
    </w:p>
    <w:p w14:paraId="2A01D0F1" w14:textId="69433F15" w:rsidR="00170077" w:rsidRPr="002736C5" w:rsidRDefault="00170077" w:rsidP="00170077">
      <w:pPr>
        <w:pStyle w:val="SingleTxtG"/>
      </w:pPr>
      <w:r>
        <w:t>1.</w:t>
      </w:r>
      <w:r>
        <w:tab/>
        <w:t xml:space="preserve">Председатель приветствует участников онлайн-совещания и представляет двух новых участников </w:t>
      </w:r>
      <w:r w:rsidR="00824C32" w:rsidRPr="00824C32">
        <w:t>—</w:t>
      </w:r>
      <w:r>
        <w:t xml:space="preserve"> г-на </w:t>
      </w:r>
      <w:proofErr w:type="spellStart"/>
      <w:r>
        <w:t>Кочито</w:t>
      </w:r>
      <w:proofErr w:type="spellEnd"/>
      <w:r>
        <w:t xml:space="preserve"> из BV и г-на </w:t>
      </w:r>
      <w:proofErr w:type="spellStart"/>
      <w:r>
        <w:t>Ремерса</w:t>
      </w:r>
      <w:proofErr w:type="spellEnd"/>
      <w:r>
        <w:t xml:space="preserve"> из делегации Нидерландов.</w:t>
      </w:r>
    </w:p>
    <w:p w14:paraId="22B96ED1" w14:textId="1F6DA0DC" w:rsidR="00170077" w:rsidRPr="002736C5" w:rsidRDefault="00170077" w:rsidP="00824C32">
      <w:pPr>
        <w:pStyle w:val="HChG"/>
      </w:pPr>
      <w:r>
        <w:tab/>
        <w:t>II.</w:t>
      </w:r>
      <w:r>
        <w:tab/>
        <w:t xml:space="preserve">Отчет о работе двадцать первого совещания, направления работы </w:t>
      </w:r>
      <w:r w:rsidR="00824C32" w:rsidRPr="00824C32">
        <w:t>—</w:t>
      </w:r>
      <w:r>
        <w:t xml:space="preserve"> документ 20 IG 10</w:t>
      </w:r>
    </w:p>
    <w:p w14:paraId="3EDD036B" w14:textId="77777777" w:rsidR="00170077" w:rsidRPr="002736C5" w:rsidRDefault="00170077" w:rsidP="00170077">
      <w:pPr>
        <w:pStyle w:val="SingleTxtG"/>
      </w:pPr>
      <w:bookmarkStart w:id="0" w:name="_Hlk66878600"/>
      <w:r>
        <w:t>2.</w:t>
      </w:r>
      <w:r>
        <w:tab/>
        <w:t>Участники обсудили перечень направлений работы.</w:t>
      </w:r>
    </w:p>
    <w:bookmarkEnd w:id="0"/>
    <w:p w14:paraId="3FD90241" w14:textId="6ABC5D4F" w:rsidR="00170077" w:rsidRPr="002736C5" w:rsidRDefault="00170077" w:rsidP="00824C32">
      <w:pPr>
        <w:pStyle w:val="H23G"/>
      </w:pPr>
      <w:r>
        <w:tab/>
        <w:t>a)</w:t>
      </w:r>
      <w:r>
        <w:tab/>
        <w:t xml:space="preserve">Пропилена оксид (все участники/LR) </w:t>
      </w:r>
      <w:r w:rsidR="00824C32" w:rsidRPr="00824C32">
        <w:t>—</w:t>
      </w:r>
      <w:r>
        <w:t xml:space="preserve"> документ 17 IG 02a</w:t>
      </w:r>
    </w:p>
    <w:p w14:paraId="03383E0D" w14:textId="77777777" w:rsidR="00170077" w:rsidRPr="002736C5" w:rsidRDefault="00170077" w:rsidP="00170077">
      <w:pPr>
        <w:pStyle w:val="SingleTxtG"/>
      </w:pPr>
      <w:r>
        <w:t>3.</w:t>
      </w:r>
      <w:r>
        <w:tab/>
        <w:t>LR продолжит работу над этим вопросом и подготовит пример руководства для обсуждения на следующем совещании. (Ответственный участник: LR)</w:t>
      </w:r>
    </w:p>
    <w:p w14:paraId="1FB1224F" w14:textId="62BB4748" w:rsidR="00170077" w:rsidRPr="002736C5" w:rsidRDefault="00170077" w:rsidP="00170077">
      <w:pPr>
        <w:pStyle w:val="H23G"/>
      </w:pPr>
      <w:r>
        <w:tab/>
        <w:t>b)</w:t>
      </w:r>
      <w:r>
        <w:tab/>
      </w:r>
      <w:r>
        <w:rPr>
          <w:bCs/>
        </w:rPr>
        <w:t xml:space="preserve">Рабочая группа по разделу 9.3.4 </w:t>
      </w:r>
      <w:r w:rsidR="00824C32" w:rsidRPr="00824C32">
        <w:rPr>
          <w:bCs/>
        </w:rPr>
        <w:t>—</w:t>
      </w:r>
      <w:r>
        <w:rPr>
          <w:bCs/>
        </w:rPr>
        <w:t xml:space="preserve"> (пункт 22 доклада ECE/TRANS/WP.15/AC.2/74;</w:t>
      </w:r>
      <w:r>
        <w:t xml:space="preserve"> </w:t>
      </w:r>
      <w:r>
        <w:rPr>
          <w:bCs/>
        </w:rPr>
        <w:t>INF.10 и INF.25 тридцать шестой сессии Комитета по вопросам безопасности ВОПОГ) (LR)</w:t>
      </w:r>
    </w:p>
    <w:p w14:paraId="697E0345" w14:textId="7A8FF123" w:rsidR="00170077" w:rsidRPr="002736C5" w:rsidRDefault="00170077" w:rsidP="00170077">
      <w:pPr>
        <w:pStyle w:val="SingleTxtG"/>
      </w:pPr>
      <w:r>
        <w:t>4.</w:t>
      </w:r>
      <w:r>
        <w:tab/>
        <w:t xml:space="preserve">LR представляет обновленную информацию. Нидерландская организация прикладных научных исследований (TNO </w:t>
      </w:r>
      <w:hyperlink r:id="rId8" w:history="1">
        <w:r w:rsidR="00824C32" w:rsidRPr="00625DEA">
          <w:rPr>
            <w:rStyle w:val="af1"/>
          </w:rPr>
          <w:t>https://www.tno.nl/en/</w:t>
        </w:r>
      </w:hyperlink>
      <w:r>
        <w:t>) начнет реализацию проекта по обновлению раздела 9.3.4, включая возможное использование более крупных грузовых танков. Финансирование проекта обеспечивается промышленностью. Стартовое совещание состоялось 1 апреля 2021 года с участием всех заинтересованных сторон. Планируется завершить работу над проектом в ноябре 2021 года, чтобы представить предложение на рассмотрение Комитета по вопросам безопасности ВОПОГ в январе 2022 года. (Ответственный участник: LR)</w:t>
      </w:r>
    </w:p>
    <w:p w14:paraId="2250655B" w14:textId="3C80FD6A" w:rsidR="00170077" w:rsidRPr="002736C5" w:rsidRDefault="00170077" w:rsidP="00170077">
      <w:pPr>
        <w:pStyle w:val="H23G"/>
      </w:pPr>
      <w:r>
        <w:tab/>
        <w:t>c)</w:t>
      </w:r>
      <w:r>
        <w:tab/>
      </w:r>
      <w:r>
        <w:rPr>
          <w:rFonts w:eastAsia="Calibri"/>
          <w:bCs/>
          <w:sz w:val="21"/>
          <w:szCs w:val="21"/>
        </w:rPr>
        <w:t>Б</w:t>
      </w:r>
      <w:r w:rsidRPr="00404A7B">
        <w:rPr>
          <w:rFonts w:eastAsia="Calibri"/>
          <w:bCs/>
          <w:sz w:val="21"/>
          <w:szCs w:val="21"/>
        </w:rPr>
        <w:t>ыстродействующи</w:t>
      </w:r>
      <w:r w:rsidRPr="00404A7B">
        <w:rPr>
          <w:bCs/>
        </w:rPr>
        <w:t xml:space="preserve">е клапаны, </w:t>
      </w:r>
      <w:r w:rsidRPr="00823FCC">
        <w:rPr>
          <w:bCs/>
        </w:rPr>
        <w:t xml:space="preserve">рассчитанные на более высокие температуры </w:t>
      </w:r>
      <w:r w:rsidRPr="00404A7B">
        <w:rPr>
          <w:bCs/>
        </w:rPr>
        <w:t>(BV)</w:t>
      </w:r>
      <w:r w:rsidR="00824C32" w:rsidRPr="00824C32">
        <w:rPr>
          <w:bCs/>
        </w:rPr>
        <w:t xml:space="preserve"> —</w:t>
      </w:r>
      <w:r w:rsidRPr="00404A7B">
        <w:rPr>
          <w:bCs/>
        </w:rPr>
        <w:t xml:space="preserve"> д</w:t>
      </w:r>
      <w:r>
        <w:rPr>
          <w:bCs/>
        </w:rPr>
        <w:t>окумент 19 IG 02h</w:t>
      </w:r>
    </w:p>
    <w:p w14:paraId="014D0E22" w14:textId="77777777" w:rsidR="00170077" w:rsidRPr="002736C5" w:rsidRDefault="00170077" w:rsidP="00170077">
      <w:pPr>
        <w:pStyle w:val="SingleTxtG"/>
        <w:rPr>
          <w:u w:val="single"/>
        </w:rPr>
      </w:pPr>
      <w:r>
        <w:t>5.</w:t>
      </w:r>
      <w:r>
        <w:tab/>
        <w:t xml:space="preserve">BV объясняет, что в данной ситуации следует искать эквивалентность. Согласно информации, полученной от компании </w:t>
      </w:r>
      <w:proofErr w:type="spellStart"/>
      <w:r>
        <w:t>Protego</w:t>
      </w:r>
      <w:proofErr w:type="spellEnd"/>
      <w:r>
        <w:t>, испытания при более высокой температуре невозможны. LR предлагает найти решение в операционной процедуре при перевозке продуктов с такими температурами. RINA обратится за консультацией ко второму производителю и представит документ BV и LR в качестве предложения к следующему совещанию. (Ответственные участники: BV + RINA)</w:t>
      </w:r>
    </w:p>
    <w:p w14:paraId="0423D911" w14:textId="35D2EC67" w:rsidR="00170077" w:rsidRPr="002736C5" w:rsidRDefault="00170077" w:rsidP="00824C32">
      <w:pPr>
        <w:pStyle w:val="H23G"/>
      </w:pPr>
      <w:r>
        <w:tab/>
        <w:t>d)</w:t>
      </w:r>
      <w:r>
        <w:tab/>
        <w:t xml:space="preserve">Устройство для взятия проб на борту танкеров типа N (LR) </w:t>
      </w:r>
      <w:r w:rsidR="00824C32" w:rsidRPr="00824C32">
        <w:t>—</w:t>
      </w:r>
      <w:r>
        <w:t xml:space="preserve"> документ 17 IG 04j </w:t>
      </w:r>
    </w:p>
    <w:p w14:paraId="6E4B02D1" w14:textId="77777777" w:rsidR="00170077" w:rsidRPr="002736C5" w:rsidRDefault="00170077" w:rsidP="00170077">
      <w:pPr>
        <w:pStyle w:val="SingleTxtG"/>
        <w:rPr>
          <w:u w:val="single"/>
        </w:rPr>
      </w:pPr>
      <w:r>
        <w:t>6.</w:t>
      </w:r>
      <w:r>
        <w:tab/>
        <w:t>LR предлагает отменить этот пункт, так как Европейский союз речного судоходства (ЕСРС) в настоящее время также работает над предложением по данной теме. LR участвует в этих обсуждениях. (Это направление работы закрыто)</w:t>
      </w:r>
    </w:p>
    <w:p w14:paraId="4EB8069E" w14:textId="369FFFED" w:rsidR="00170077" w:rsidRPr="002736C5" w:rsidRDefault="00170077" w:rsidP="00170077">
      <w:pPr>
        <w:pStyle w:val="H23G"/>
      </w:pPr>
      <w:r>
        <w:tab/>
        <w:t>e)</w:t>
      </w:r>
      <w:r>
        <w:tab/>
      </w:r>
      <w:r>
        <w:rPr>
          <w:bCs/>
        </w:rPr>
        <w:t xml:space="preserve">Перечень и проверка неэлектрического оборудования (RINA) </w:t>
      </w:r>
      <w:r w:rsidR="00824C32" w:rsidRPr="00824C32">
        <w:rPr>
          <w:bCs/>
        </w:rPr>
        <w:t>—</w:t>
      </w:r>
      <w:r>
        <w:rPr>
          <w:bCs/>
        </w:rPr>
        <w:t xml:space="preserve"> документ 17 IG 04l</w:t>
      </w:r>
    </w:p>
    <w:p w14:paraId="04E2AB33" w14:textId="77777777" w:rsidR="00170077" w:rsidRPr="002736C5" w:rsidRDefault="00170077" w:rsidP="00170077">
      <w:pPr>
        <w:pStyle w:val="SingleTxtG"/>
        <w:rPr>
          <w:u w:val="single"/>
        </w:rPr>
      </w:pPr>
      <w:r>
        <w:t>7.</w:t>
      </w:r>
      <w:r>
        <w:tab/>
        <w:t xml:space="preserve">RINA представляет документ. Г-н </w:t>
      </w:r>
      <w:proofErr w:type="spellStart"/>
      <w:r>
        <w:t>Ремерс</w:t>
      </w:r>
      <w:proofErr w:type="spellEnd"/>
      <w:r>
        <w:t xml:space="preserve"> предлагает несколько дополнительных пунктов, которые могут быть включены в этот перечень. Однако назначение этого перечня для использования классификационными обществами неясно. (Ответственный участник: RINA)</w:t>
      </w:r>
    </w:p>
    <w:p w14:paraId="06CE882A" w14:textId="41EB82A6" w:rsidR="00170077" w:rsidRPr="002736C5" w:rsidRDefault="00170077" w:rsidP="00170077">
      <w:pPr>
        <w:pStyle w:val="H23G"/>
      </w:pPr>
      <w:r>
        <w:lastRenderedPageBreak/>
        <w:tab/>
        <w:t>f)</w:t>
      </w:r>
      <w:r>
        <w:tab/>
      </w:r>
      <w:proofErr w:type="spellStart"/>
      <w:r>
        <w:rPr>
          <w:bCs/>
        </w:rPr>
        <w:t>Дефлаграция</w:t>
      </w:r>
      <w:proofErr w:type="spellEnd"/>
      <w:r>
        <w:rPr>
          <w:bCs/>
        </w:rPr>
        <w:t xml:space="preserve">, детонация и устойчивое горение (BV/все участники) </w:t>
      </w:r>
      <w:r w:rsidR="00824C32" w:rsidRPr="00824C32">
        <w:rPr>
          <w:bCs/>
        </w:rPr>
        <w:t>—</w:t>
      </w:r>
      <w:r>
        <w:rPr>
          <w:bCs/>
        </w:rPr>
        <w:t xml:space="preserve"> документ 17 IG 04u, документ 20 IG 02i, INF.22 тридцать пятой сессии Комитета по</w:t>
      </w:r>
      <w:r w:rsidR="00824C32">
        <w:rPr>
          <w:bCs/>
          <w:lang w:val="en-US"/>
        </w:rPr>
        <w:t> </w:t>
      </w:r>
      <w:r>
        <w:rPr>
          <w:bCs/>
        </w:rPr>
        <w:t>вопросам безопасности ВОПОГ</w:t>
      </w:r>
    </w:p>
    <w:p w14:paraId="3C4A756C" w14:textId="2F1DFB5E" w:rsidR="00170077" w:rsidRPr="002736C5" w:rsidRDefault="00170077" w:rsidP="00170077">
      <w:pPr>
        <w:pStyle w:val="SingleTxtG"/>
        <w:rPr>
          <w:u w:val="single"/>
        </w:rPr>
      </w:pPr>
      <w:r>
        <w:t>8.</w:t>
      </w:r>
      <w:r>
        <w:tab/>
        <w:t>BV представляет этот вопрос и объясняет, что</w:t>
      </w:r>
      <w:r w:rsidRPr="003A07E8">
        <w:t xml:space="preserve"> </w:t>
      </w:r>
      <w:r>
        <w:t xml:space="preserve">между </w:t>
      </w:r>
      <w:proofErr w:type="spellStart"/>
      <w:r>
        <w:t>дефлаграцией</w:t>
      </w:r>
      <w:proofErr w:type="spellEnd"/>
      <w:r>
        <w:t xml:space="preserve"> и детонацией существует различие, принимая во внимание, что детонация является более бурной реакцией, чем </w:t>
      </w:r>
      <w:proofErr w:type="spellStart"/>
      <w:r>
        <w:t>дефлаграция</w:t>
      </w:r>
      <w:proofErr w:type="spellEnd"/>
      <w:r>
        <w:t xml:space="preserve">. Это порождает неопределенность. DNV предлагает обновить документ в соответствии с изданием ВОПОГ 2021 года. </w:t>
      </w:r>
      <w:r w:rsidR="00FA05BF">
        <w:br/>
      </w:r>
      <w:r>
        <w:t xml:space="preserve">Г-н </w:t>
      </w:r>
      <w:proofErr w:type="spellStart"/>
      <w:r>
        <w:t>Ремерс</w:t>
      </w:r>
      <w:proofErr w:type="spellEnd"/>
      <w:r>
        <w:t xml:space="preserve"> также предлагает внести в документ некоторые улучшения. Об этом позаботится</w:t>
      </w:r>
      <w:r w:rsidRPr="006133CB">
        <w:t xml:space="preserve"> </w:t>
      </w:r>
      <w:r>
        <w:t xml:space="preserve">BV, и пересмотренный документ по вопросу о </w:t>
      </w:r>
      <w:proofErr w:type="spellStart"/>
      <w:r>
        <w:t>дефлаграции</w:t>
      </w:r>
      <w:proofErr w:type="spellEnd"/>
      <w:r>
        <w:t xml:space="preserve"> и детонации будет представлен Комитету по вопросам безопасности ВОПОГ после согласования по электронной почте в рамках этой группы. (Ответственный участник: BV)</w:t>
      </w:r>
    </w:p>
    <w:p w14:paraId="0F8772A0" w14:textId="55BC8AB5" w:rsidR="00170077" w:rsidRPr="002736C5" w:rsidRDefault="00170077" w:rsidP="00170077">
      <w:pPr>
        <w:pStyle w:val="H23G"/>
      </w:pPr>
      <w:r>
        <w:tab/>
        <w:t>g)</w:t>
      </w:r>
      <w:r>
        <w:tab/>
      </w:r>
      <w:r>
        <w:rPr>
          <w:bCs/>
        </w:rPr>
        <w:t xml:space="preserve">Толкования и вопросы по ВОПОГ 2019 года </w:t>
      </w:r>
      <w:r w:rsidR="00FA05BF" w:rsidRPr="00FA05BF">
        <w:rPr>
          <w:bCs/>
        </w:rPr>
        <w:t>—</w:t>
      </w:r>
      <w:r>
        <w:rPr>
          <w:bCs/>
        </w:rPr>
        <w:t xml:space="preserve"> документ 18 IG 04c, пункт 4 – LR разработает предложение для следующего совещания (LR)</w:t>
      </w:r>
      <w:r>
        <w:t xml:space="preserve"> </w:t>
      </w:r>
    </w:p>
    <w:p w14:paraId="5A45150D" w14:textId="77777777" w:rsidR="00170077" w:rsidRPr="002736C5" w:rsidRDefault="00170077" w:rsidP="00170077">
      <w:pPr>
        <w:pStyle w:val="SingleTxtG"/>
      </w:pPr>
      <w:r>
        <w:t>9.</w:t>
      </w:r>
      <w:r>
        <w:tab/>
        <w:t>Поскольку издание ВОПОГ 2019 года было усовершенствовано в части требований к взрывобезопасности и соответствующие изменения были внесены в новое издание ВОПОГ 2021 года, более нет необходимости обсуждать толкования, вытекающие из ВОПОГ 2019 года. (Это направление работы закрыто)</w:t>
      </w:r>
    </w:p>
    <w:p w14:paraId="27458504" w14:textId="6163DE0F" w:rsidR="00170077" w:rsidRPr="002736C5" w:rsidRDefault="00170077" w:rsidP="00170077">
      <w:pPr>
        <w:pStyle w:val="H23G"/>
      </w:pPr>
      <w:r>
        <w:tab/>
        <w:t>h)</w:t>
      </w:r>
      <w:r>
        <w:tab/>
      </w:r>
      <w:r>
        <w:rPr>
          <w:bCs/>
        </w:rPr>
        <w:t xml:space="preserve">Соответствие стандарту EN ISO/IEC 17020:2012 </w:t>
      </w:r>
      <w:r w:rsidR="00FA05BF" w:rsidRPr="00FA05BF">
        <w:rPr>
          <w:bCs/>
        </w:rPr>
        <w:t>—</w:t>
      </w:r>
      <w:r>
        <w:rPr>
          <w:bCs/>
        </w:rPr>
        <w:t xml:space="preserve"> документ 19 IG 03 b (распространен на девятнадцатом совещании), пункты 24 и 25 доклада тридцать шестой сессии Комитета по вопросам безопасности ВОПОГ (все участники)</w:t>
      </w:r>
    </w:p>
    <w:p w14:paraId="310CB682" w14:textId="77777777" w:rsidR="00170077" w:rsidRPr="002736C5" w:rsidRDefault="00170077" w:rsidP="00170077">
      <w:pPr>
        <w:pStyle w:val="SingleTxtG"/>
        <w:rPr>
          <w:iCs/>
        </w:rPr>
      </w:pPr>
      <w:r>
        <w:t>10.</w:t>
      </w:r>
      <w:r>
        <w:tab/>
        <w:t xml:space="preserve">Поскольку на данный момент не ясно, какого развития ситуации можно ожидать, решено, что г-н </w:t>
      </w:r>
      <w:proofErr w:type="spellStart"/>
      <w:r>
        <w:t>Лангенберг</w:t>
      </w:r>
      <w:proofErr w:type="spellEnd"/>
      <w:r>
        <w:t xml:space="preserve"> проинформирует об этом группу после совещания Группы экспертов ЕС по перевозке опасных грузов. Отмечается, что реакции на совещании Комитета по вопросам безопасности ВОПОГ будет достаточно.</w:t>
      </w:r>
    </w:p>
    <w:p w14:paraId="4FC25AB7" w14:textId="59DEFD9D" w:rsidR="00170077" w:rsidRPr="002736C5" w:rsidRDefault="00170077" w:rsidP="00170077">
      <w:pPr>
        <w:pStyle w:val="H23G"/>
      </w:pPr>
      <w:r>
        <w:tab/>
        <w:t>i)</w:t>
      </w:r>
      <w:r>
        <w:tab/>
      </w:r>
      <w:r>
        <w:rPr>
          <w:bCs/>
        </w:rPr>
        <w:t>Погружные насосы в грузовых танках танкеров-газовозов, утверждение для</w:t>
      </w:r>
      <w:r w:rsidR="00FA05BF">
        <w:rPr>
          <w:bCs/>
          <w:lang w:val="en-US"/>
        </w:rPr>
        <w:t> </w:t>
      </w:r>
      <w:r>
        <w:rPr>
          <w:bCs/>
        </w:rPr>
        <w:t xml:space="preserve">зоны 0 (все участники) </w:t>
      </w:r>
      <w:r w:rsidR="00FA05BF" w:rsidRPr="00FA05BF">
        <w:rPr>
          <w:bCs/>
        </w:rPr>
        <w:t>—</w:t>
      </w:r>
      <w:r>
        <w:rPr>
          <w:bCs/>
        </w:rPr>
        <w:t xml:space="preserve"> документа не имеется</w:t>
      </w:r>
    </w:p>
    <w:p w14:paraId="6E1EEEE0" w14:textId="50E7AF08" w:rsidR="00170077" w:rsidRPr="002736C5" w:rsidRDefault="00170077" w:rsidP="00170077">
      <w:pPr>
        <w:pStyle w:val="SingleTxtG"/>
      </w:pPr>
      <w:r>
        <w:t>11.</w:t>
      </w:r>
      <w:r>
        <w:tab/>
        <w:t xml:space="preserve">Поскольку новой информации представлено не было, группа решила подождать дальнейшего обсуждения документа ECE/TRANS/WP.15/AC.2/2020/29, представленного Германией, в Комитете по вопросам безопасности ВОПОГ. Вопрос остается в повестке дня. (Ответственные участники: все) </w:t>
      </w:r>
      <w:r w:rsidR="00FA05BF">
        <w:rPr>
          <w:lang w:val="en-US"/>
        </w:rPr>
        <w:t>—</w:t>
      </w:r>
      <w:r>
        <w:t xml:space="preserve"> Примечание из документа 20 IG 10.</w:t>
      </w:r>
    </w:p>
    <w:p w14:paraId="33BF03C2" w14:textId="77777777" w:rsidR="00170077" w:rsidRPr="002736C5" w:rsidRDefault="00170077" w:rsidP="00170077">
      <w:pPr>
        <w:pStyle w:val="SingleTxtG"/>
        <w:rPr>
          <w:iCs/>
        </w:rPr>
      </w:pPr>
      <w:r>
        <w:t>12.</w:t>
      </w:r>
      <w:r>
        <w:tab/>
        <w:t>Имеются насосы и действующие свидетельства на насосы для танкеров-химовозов. Поскольку неясно, соответствуют ли имеющиеся</w:t>
      </w:r>
      <w:r w:rsidRPr="0098184B">
        <w:t xml:space="preserve"> </w:t>
      </w:r>
      <w:r>
        <w:t xml:space="preserve">насосы для танкеров-газовозов требованиям для зоны 0, этот вопрос необходимо изучить. Кроме того, может быть рассмотрено предложение о внесении изменения в ВОПОГ, чтобы допустить использование насосов в соответствии с Международным кодексом постройки и оборудования судов, перевозящих сжиженные </w:t>
      </w:r>
      <w:proofErr w:type="spellStart"/>
      <w:r>
        <w:t>газы</w:t>
      </w:r>
      <w:proofErr w:type="spellEnd"/>
      <w:r>
        <w:t xml:space="preserve"> наливом (Кодекс МКГ). (Ответственные участники: RINA и LR)</w:t>
      </w:r>
    </w:p>
    <w:p w14:paraId="41FFF109" w14:textId="77777777" w:rsidR="00170077" w:rsidRPr="002736C5" w:rsidRDefault="00170077" w:rsidP="00170077">
      <w:pPr>
        <w:pStyle w:val="HChG"/>
      </w:pPr>
      <w:r>
        <w:tab/>
        <w:t>III.</w:t>
      </w:r>
      <w:r>
        <w:tab/>
      </w:r>
      <w:r>
        <w:rPr>
          <w:bCs/>
        </w:rPr>
        <w:t>Вопросы, обсуждавшиеся на последней сессии Комитета по вопросам безопасности ВОПОГ (документ ECE/TRANS/WP.15/AC.2/76)</w:t>
      </w:r>
    </w:p>
    <w:p w14:paraId="12CEABA8" w14:textId="0D32BC6F" w:rsidR="00170077" w:rsidRPr="002736C5" w:rsidRDefault="00170077" w:rsidP="00170077">
      <w:pPr>
        <w:pStyle w:val="H23G"/>
      </w:pPr>
      <w:r>
        <w:tab/>
        <w:t>a)</w:t>
      </w:r>
      <w:r>
        <w:tab/>
      </w:r>
      <w:r>
        <w:rPr>
          <w:bCs/>
        </w:rPr>
        <w:t>Зонирование в соответствии с разделом 1.2.1 ВОПОГ;</w:t>
      </w:r>
      <w:r>
        <w:t xml:space="preserve"> </w:t>
      </w:r>
      <w:r>
        <w:rPr>
          <w:bCs/>
        </w:rPr>
        <w:t>доклад Комитета по</w:t>
      </w:r>
      <w:r w:rsidR="00FA05BF">
        <w:rPr>
          <w:bCs/>
          <w:lang w:val="en-US"/>
        </w:rPr>
        <w:t> </w:t>
      </w:r>
      <w:r>
        <w:rPr>
          <w:bCs/>
        </w:rPr>
        <w:t xml:space="preserve">вопросам безопасности ВОПОГ </w:t>
      </w:r>
      <w:r w:rsidR="00FA05BF" w:rsidRPr="00FA05BF">
        <w:rPr>
          <w:bCs/>
        </w:rPr>
        <w:t>—</w:t>
      </w:r>
      <w:r>
        <w:rPr>
          <w:bCs/>
        </w:rPr>
        <w:t xml:space="preserve"> документ ECE/TRANS/WP.15/AC.2/2020/29 (Германия) и документ ECE/TRANS/WP.15/AC.2/76</w:t>
      </w:r>
    </w:p>
    <w:p w14:paraId="1D9C0727" w14:textId="4309C15E" w:rsidR="00170077" w:rsidRPr="002736C5" w:rsidRDefault="00170077" w:rsidP="00170077">
      <w:pPr>
        <w:pStyle w:val="SingleTxtG"/>
        <w:rPr>
          <w:iCs/>
        </w:rPr>
      </w:pPr>
      <w:r>
        <w:t>13.</w:t>
      </w:r>
      <w:r>
        <w:tab/>
        <w:t xml:space="preserve">Дальнейшее обсуждение: вопрос, заданный г-ном Вайнером в ходе совещания Комитета по вопросам безопасности ВОПОГ в связи с обсуждением документа ECE/TRANS/WP.15/AC.2/2020/29, касающегося зонирования, отражает заявление </w:t>
      </w:r>
      <w:r w:rsidR="00FA05BF">
        <w:br/>
      </w:r>
      <w:r>
        <w:t>г-на Винке о том, что для неэлектрического и механического оборудования и соответствующих установок предусмотрено переходное положение на период до 2034</w:t>
      </w:r>
      <w:r w:rsidR="00FA05BF">
        <w:rPr>
          <w:lang w:val="en-US"/>
        </w:rPr>
        <w:t> </w:t>
      </w:r>
      <w:r>
        <w:t>года.</w:t>
      </w:r>
    </w:p>
    <w:p w14:paraId="05CB22B6" w14:textId="77777777" w:rsidR="00170077" w:rsidRPr="002736C5" w:rsidRDefault="00170077" w:rsidP="00170077">
      <w:pPr>
        <w:pStyle w:val="SingleTxtG"/>
        <w:rPr>
          <w:iCs/>
        </w:rPr>
      </w:pPr>
      <w:r>
        <w:lastRenderedPageBreak/>
        <w:t>14.</w:t>
      </w:r>
      <w:r>
        <w:tab/>
        <w:t>По мнению г-на Вайнера, это утверждение неверно. Переходное положение, предусмотренное в пункте 1.6.7.2.2.2 для пунктов 9.3.x.53.1 ВОПОГ, охватывает только «Тип и расположение электрических установок и оборудования».</w:t>
      </w:r>
    </w:p>
    <w:p w14:paraId="5CFF54CA" w14:textId="77777777" w:rsidR="00170077" w:rsidRPr="002736C5" w:rsidRDefault="00170077" w:rsidP="00170077">
      <w:pPr>
        <w:pStyle w:val="SingleTxtG"/>
        <w:rPr>
          <w:iCs/>
        </w:rPr>
      </w:pPr>
      <w:r>
        <w:t>15.</w:t>
      </w:r>
      <w:r>
        <w:tab/>
        <w:t>Переходного положения для неэлектрического оборудования и установок не существует. Проблема, поднятая в документе ECE/TRANS/WP.15/AC.2/2020/29, остается нерешенной. Вопрос об отсутствующем переходном положении и возможная необходимость немедленной замены установок на борту должны быть вновь рассмотрены в августе.</w:t>
      </w:r>
    </w:p>
    <w:p w14:paraId="4A64BDD2" w14:textId="2DC4310E" w:rsidR="00170077" w:rsidRPr="002736C5" w:rsidRDefault="00170077" w:rsidP="00170077">
      <w:pPr>
        <w:pStyle w:val="SingleTxtG"/>
        <w:rPr>
          <w:u w:val="single"/>
        </w:rPr>
      </w:pPr>
      <w:r>
        <w:t>16.</w:t>
      </w:r>
      <w:r>
        <w:tab/>
        <w:t>Г-н Винке объясняет, что ранее приведенное толкование использовал</w:t>
      </w:r>
      <w:r w:rsidR="00FA05BF">
        <w:t>о</w:t>
      </w:r>
      <w:r>
        <w:t>сь в течение многих лет. В прошлом неэлектрическое оборудование никогда не рассматривалось. Остальные члены группы соглашаются с его позицией, при этом отмечается, что они не согласны с мнением г-на Вайнера. Дальнейшие действия не считаются необходимыми. (Это направление работы закрыто)</w:t>
      </w:r>
    </w:p>
    <w:p w14:paraId="15D30579" w14:textId="7B3815FE" w:rsidR="00170077" w:rsidRPr="002736C5" w:rsidRDefault="00170077" w:rsidP="00170077">
      <w:pPr>
        <w:pStyle w:val="H23G"/>
      </w:pPr>
      <w:r>
        <w:tab/>
        <w:t>b)</w:t>
      </w:r>
      <w:r>
        <w:tab/>
      </w:r>
      <w:r>
        <w:rPr>
          <w:bCs/>
        </w:rPr>
        <w:t xml:space="preserve">Толкование пункта 9.3.3.12.2 </w:t>
      </w:r>
      <w:r w:rsidR="00FA05BF">
        <w:rPr>
          <w:bCs/>
        </w:rPr>
        <w:t>—</w:t>
      </w:r>
      <w:r>
        <w:rPr>
          <w:bCs/>
        </w:rPr>
        <w:t xml:space="preserve"> документ 20 IG 02m и пункт 3 a.</w:t>
      </w:r>
      <w:r>
        <w:t xml:space="preserve"> </w:t>
      </w:r>
      <w:r>
        <w:rPr>
          <w:bCs/>
        </w:rPr>
        <w:t>отчета о работе восемнадцатого совещания группы Рекомендованных классификационных обществ ВОПОГ</w:t>
      </w:r>
    </w:p>
    <w:p w14:paraId="5B85A0D0" w14:textId="77777777" w:rsidR="00170077" w:rsidRPr="002736C5" w:rsidRDefault="00170077" w:rsidP="00170077">
      <w:pPr>
        <w:pStyle w:val="SingleTxtG"/>
      </w:pPr>
      <w:r>
        <w:t>17.</w:t>
      </w:r>
      <w:r>
        <w:tab/>
        <w:t>В связи с документом ECE/TRANS/WP.15/AC.2/2021/10 Рекомендованным классификационным обществам ВОПОГ было предложено разработать, при необходимости, предложение по поправкам для рассмотрения Комитетом по вопросам безопасности на одной из его следующих сессий.</w:t>
      </w:r>
    </w:p>
    <w:p w14:paraId="30772BB2" w14:textId="77777777" w:rsidR="00170077" w:rsidRPr="002736C5" w:rsidRDefault="00170077" w:rsidP="00170077">
      <w:pPr>
        <w:pStyle w:val="SingleTxtG"/>
        <w:rPr>
          <w:iCs/>
        </w:rPr>
      </w:pPr>
      <w:r>
        <w:t>18.</w:t>
      </w:r>
      <w:r>
        <w:tab/>
        <w:t xml:space="preserve">Классификационные общества уже обсудили эти толкования на своем восемнадцатом совещании. В результате этого обсуждения у группы появились оговорки в отношении следования толкованию, предложенному Комитетом по вопросам безопасности ВОПОГ для второго абзаца, который гласит, что «... </w:t>
      </w:r>
      <w:r>
        <w:rPr>
          <w:i/>
          <w:iCs/>
        </w:rPr>
        <w:t>крышки люков могут быть использованы в качестве подходящей “системы вентиляции”</w:t>
      </w:r>
      <w:r>
        <w:t>», поскольку:</w:t>
      </w:r>
    </w:p>
    <w:p w14:paraId="66D42739" w14:textId="77777777" w:rsidR="00170077" w:rsidRPr="002736C5" w:rsidRDefault="00170077" w:rsidP="00FA05BF">
      <w:pPr>
        <w:pStyle w:val="Bullet1G"/>
      </w:pPr>
      <w:r>
        <w:t>правила классификации требуют наличия вентиляционной трубы в пустых помещениях; и</w:t>
      </w:r>
    </w:p>
    <w:p w14:paraId="73F1B48F" w14:textId="77777777" w:rsidR="00170077" w:rsidRPr="002736C5" w:rsidRDefault="00170077" w:rsidP="00FA05BF">
      <w:pPr>
        <w:pStyle w:val="Bullet1G"/>
      </w:pPr>
      <w:r>
        <w:t>наличие открытой крышки люка создает неопределенное положение (ситуацию) с точки зрения расчета остойчивости.</w:t>
      </w:r>
    </w:p>
    <w:p w14:paraId="1AA8BFA6" w14:textId="77777777" w:rsidR="00170077" w:rsidRPr="002736C5" w:rsidRDefault="00170077" w:rsidP="00170077">
      <w:pPr>
        <w:pStyle w:val="SingleTxtG"/>
        <w:rPr>
          <w:u w:val="single"/>
        </w:rPr>
      </w:pPr>
      <w:r>
        <w:t>19.</w:t>
      </w:r>
      <w:r>
        <w:tab/>
        <w:t>Предыдущее толкование классификационных обществ остается в силе. Таким образом, дальнейшие действия не считаются необходимыми. (Это направление работы закрыто)</w:t>
      </w:r>
    </w:p>
    <w:p w14:paraId="56CCF3C8" w14:textId="7D085DE1" w:rsidR="00170077" w:rsidRPr="002736C5" w:rsidRDefault="00170077" w:rsidP="00170077">
      <w:pPr>
        <w:pStyle w:val="H23G"/>
      </w:pPr>
      <w:r>
        <w:tab/>
        <w:t>c)</w:t>
      </w:r>
      <w:r>
        <w:tab/>
      </w:r>
      <w:r>
        <w:rPr>
          <w:bCs/>
        </w:rPr>
        <w:t xml:space="preserve">Отступление для строительства судна — бункеровщика СПГ с танками объемом более 1000 м³ </w:t>
      </w:r>
      <w:r w:rsidR="00FA05BF">
        <w:rPr>
          <w:bCs/>
        </w:rPr>
        <w:t>—</w:t>
      </w:r>
      <w:r>
        <w:rPr>
          <w:bCs/>
        </w:rPr>
        <w:t xml:space="preserve"> документ ECE/TRANS/WP.15/AC.2/76 и документы INF.17 и Add.1 тридцать седьмой сессии Комитета по вопросам безопасности ВОПОГ (Бельгия)</w:t>
      </w:r>
    </w:p>
    <w:p w14:paraId="0FB12D81" w14:textId="77777777" w:rsidR="00170077" w:rsidRPr="002736C5" w:rsidRDefault="00170077" w:rsidP="00170077">
      <w:pPr>
        <w:pStyle w:val="SingleTxtG"/>
      </w:pPr>
      <w:r>
        <w:t>20.</w:t>
      </w:r>
      <w:r>
        <w:tab/>
        <w:t>Что касается просьбы об учреждении неофициальной рабочей группы, то Комитет по вопросам безопасности счел это преждевременным. Комитет по вопросам безопасности предложил обратиться к Рекомендованным классификационным обществам ВОПОГ с просьбой изучить технические аспекты таких более крупных судов, учитывая также требования ЕС-ТТСВП</w:t>
      </w:r>
      <w:r w:rsidRPr="002C4D56">
        <w:rPr>
          <w:sz w:val="18"/>
          <w:vertAlign w:val="superscript"/>
        </w:rPr>
        <w:footnoteReference w:id="3"/>
      </w:r>
      <w:r>
        <w:t xml:space="preserve"> и КЕСНИ</w:t>
      </w:r>
      <w:r w:rsidRPr="002C4D56">
        <w:rPr>
          <w:sz w:val="18"/>
          <w:vertAlign w:val="superscript"/>
        </w:rPr>
        <w:footnoteReference w:id="4"/>
      </w:r>
      <w:r>
        <w:t>.</w:t>
      </w:r>
    </w:p>
    <w:p w14:paraId="1B2B6C48" w14:textId="77777777" w:rsidR="00170077" w:rsidRPr="002736C5" w:rsidRDefault="00170077" w:rsidP="00170077">
      <w:pPr>
        <w:pStyle w:val="SingleTxtG"/>
        <w:rPr>
          <w:u w:val="single"/>
        </w:rPr>
      </w:pPr>
      <w:r>
        <w:t>21.</w:t>
      </w:r>
      <w:r>
        <w:tab/>
        <w:t>Поскольку это будет частью проекта по обновлению раздела 9.3.4 ВОПОГ и собственник этого конкретного судна также участвует в данном проекте, дальнейшее обсуждение в настоящий момент не представляется необходимым. (Это направление работы закрыто)</w:t>
      </w:r>
    </w:p>
    <w:p w14:paraId="6BE5C565" w14:textId="54F8AAF7" w:rsidR="00170077" w:rsidRPr="002736C5" w:rsidRDefault="00170077" w:rsidP="00170077">
      <w:pPr>
        <w:pStyle w:val="H23G"/>
      </w:pPr>
      <w:r>
        <w:lastRenderedPageBreak/>
        <w:tab/>
        <w:t>d)</w:t>
      </w:r>
      <w:r>
        <w:tab/>
      </w:r>
      <w:r>
        <w:rPr>
          <w:bCs/>
        </w:rPr>
        <w:t xml:space="preserve">Компетентный орган (ответственный участник: CRS) </w:t>
      </w:r>
      <w:r w:rsidR="002C4D56">
        <w:rPr>
          <w:bCs/>
        </w:rPr>
        <w:t>—</w:t>
      </w:r>
      <w:r>
        <w:rPr>
          <w:bCs/>
        </w:rPr>
        <w:t xml:space="preserve"> документ 19 IG 2f rev.1 и приложение к неофициальному документу INF.6 тридцать седьмой сессии Комитета по вопросам безопасности ВОПОГ</w:t>
      </w:r>
    </w:p>
    <w:p w14:paraId="68D29938" w14:textId="77777777" w:rsidR="00170077" w:rsidRPr="002736C5" w:rsidRDefault="00170077" w:rsidP="00170077">
      <w:pPr>
        <w:pStyle w:val="SingleTxtG"/>
      </w:pPr>
      <w:r>
        <w:t>22.</w:t>
      </w:r>
      <w:r>
        <w:tab/>
        <w:t>Проводится дальнейшее обсуждение по вопросу, заданному г-ном Вайнером во время совещания Комитета по вопросам безопасности ВОПОГ относительно последнего предложения в пунктах 5–8 (8–11):</w:t>
      </w:r>
    </w:p>
    <w:p w14:paraId="724CD7FA" w14:textId="678DB8D3" w:rsidR="00170077" w:rsidRPr="002736C5" w:rsidRDefault="00170077" w:rsidP="00170077">
      <w:pPr>
        <w:pStyle w:val="SingleTxtG"/>
      </w:pPr>
      <w:r>
        <w:t>«В других случаях тип данных устройств должен быть утвержден компетентным органом для предусмотренного использования.». Речь идет о случаях, когда соответствующие части были заменены или модифицированы в последний раз до 2001</w:t>
      </w:r>
      <w:r w:rsidR="002C4D56">
        <w:t> </w:t>
      </w:r>
      <w:r>
        <w:t>года. Группу интересовало, име</w:t>
      </w:r>
      <w:r w:rsidR="002C4D56">
        <w:t>ю</w:t>
      </w:r>
      <w:r>
        <w:t>тся ли еще не замененные и не модифицированные части оборудования или установки, эксплуатируемые в течение более 20 лет.</w:t>
      </w:r>
    </w:p>
    <w:p w14:paraId="09067B79" w14:textId="77777777" w:rsidR="00170077" w:rsidRPr="002736C5" w:rsidRDefault="00170077" w:rsidP="00170077">
      <w:pPr>
        <w:pStyle w:val="SingleTxtG"/>
      </w:pPr>
      <w:r>
        <w:t>23.</w:t>
      </w:r>
      <w:r>
        <w:tab/>
        <w:t>CRS представляет вводную информацию. Дальнейшие действия не считаются необходимыми. (Это направление работы закрыто)</w:t>
      </w:r>
    </w:p>
    <w:p w14:paraId="58BB88ED" w14:textId="7234EEAF" w:rsidR="00170077" w:rsidRPr="002736C5" w:rsidRDefault="00170077" w:rsidP="00170077">
      <w:pPr>
        <w:pStyle w:val="H23G"/>
      </w:pPr>
      <w:r>
        <w:tab/>
        <w:t>e)</w:t>
      </w:r>
      <w:r>
        <w:tab/>
      </w:r>
      <w:r>
        <w:rPr>
          <w:bCs/>
        </w:rPr>
        <w:t>Электрические двигательные установки и хранение энергии: предложение по</w:t>
      </w:r>
      <w:r w:rsidR="002C4D56">
        <w:rPr>
          <w:bCs/>
        </w:rPr>
        <w:t> </w:t>
      </w:r>
      <w:r>
        <w:rPr>
          <w:bCs/>
        </w:rPr>
        <w:t xml:space="preserve">оценке потребности в дополнительных положениях ВОПОГ для безопасной перевозки опасных грузов судами, использующими электрические двигательные установки </w:t>
      </w:r>
      <w:r w:rsidR="002C4D56">
        <w:rPr>
          <w:bCs/>
        </w:rPr>
        <w:t>—</w:t>
      </w:r>
      <w:r>
        <w:rPr>
          <w:bCs/>
        </w:rPr>
        <w:t xml:space="preserve"> документ ECE/TRANS/WP.15/AC.2/2021/6 (ЦКСР)</w:t>
      </w:r>
    </w:p>
    <w:p w14:paraId="2D80E03D" w14:textId="77777777" w:rsidR="00170077" w:rsidRPr="002736C5" w:rsidRDefault="00170077" w:rsidP="00170077">
      <w:pPr>
        <w:pStyle w:val="SingleTxtG"/>
      </w:pPr>
      <w:r>
        <w:t>24.</w:t>
      </w:r>
      <w:r>
        <w:tab/>
        <w:t>Комитет по вопросам безопасности предложил Рекомендованным классификационным обществам ВОПОГ рассмотреть на их мартовском совещании выводы, сформулированные в пунктах 24–29 данного документа, и представить доклад по этому вопросу на предстоящей сессии. Было отмечено, что КЕСНИ в настоящее время проводит определенную работу, которую следует учитывать во избежание дублирования.</w:t>
      </w:r>
    </w:p>
    <w:p w14:paraId="44274C77" w14:textId="77777777" w:rsidR="00170077" w:rsidRPr="002C4D56" w:rsidRDefault="00170077" w:rsidP="00170077">
      <w:pPr>
        <w:pStyle w:val="SingleTxtG"/>
      </w:pPr>
      <w:r w:rsidRPr="002C4D56">
        <w:rPr>
          <w:i/>
          <w:iCs/>
        </w:rPr>
        <w:t>Примечание</w:t>
      </w:r>
      <w:r w:rsidRPr="002C4D56">
        <w:t xml:space="preserve">: В зависимости от полученных результатов Комитет по вопросам безопасности рассмотрит возможность создания рабочей группы на основе проекта круга ведения. </w:t>
      </w:r>
    </w:p>
    <w:p w14:paraId="32AD55EF" w14:textId="77777777" w:rsidR="00170077" w:rsidRPr="002736C5" w:rsidRDefault="00170077" w:rsidP="00170077">
      <w:pPr>
        <w:pStyle w:val="SingleTxtG"/>
        <w:rPr>
          <w:u w:val="single"/>
        </w:rPr>
      </w:pPr>
      <w:r>
        <w:t>25.</w:t>
      </w:r>
      <w:r>
        <w:tab/>
        <w:t>Поскольку эта тема уже рассматривалась в КЕСНИ, что привело к появлению технических требований, изложенных в ЕС-ТТСВП, сочтено, что пока не нужно включать дополнительные требования в ВОПОГ, чтобы избежать возможного дублирования требований. В ходе дальнейших обсуждений в рабочей группе КЕСНИ-ТТ возможность включения требований в ВОПОГ будет принята во внимание, если это будет сочтено необходимым. (Это направление работы закрыто)</w:t>
      </w:r>
    </w:p>
    <w:p w14:paraId="3EC69076" w14:textId="77777777" w:rsidR="00170077" w:rsidRPr="002736C5" w:rsidRDefault="00170077" w:rsidP="002C4D56">
      <w:pPr>
        <w:pStyle w:val="HChG"/>
      </w:pPr>
      <w:r>
        <w:tab/>
        <w:t>IV.</w:t>
      </w:r>
      <w:r>
        <w:tab/>
        <w:t>Технические вопросы</w:t>
      </w:r>
    </w:p>
    <w:p w14:paraId="62A0C227" w14:textId="77777777" w:rsidR="00170077" w:rsidRPr="002736C5" w:rsidRDefault="00170077" w:rsidP="00170077">
      <w:pPr>
        <w:pStyle w:val="SingleTxtG"/>
      </w:pPr>
      <w:r>
        <w:t>26.</w:t>
      </w:r>
      <w:r>
        <w:tab/>
        <w:t>Новые вопросы не поднимались.</w:t>
      </w:r>
    </w:p>
    <w:p w14:paraId="4C45305A" w14:textId="77777777" w:rsidR="00170077" w:rsidRPr="002736C5" w:rsidRDefault="00170077" w:rsidP="002C4D56">
      <w:pPr>
        <w:pStyle w:val="HChG"/>
      </w:pPr>
      <w:r>
        <w:tab/>
        <w:t>V.</w:t>
      </w:r>
      <w:r>
        <w:tab/>
        <w:t>Прочие вопросы</w:t>
      </w:r>
    </w:p>
    <w:p w14:paraId="155CD2E7" w14:textId="10D5475E" w:rsidR="00170077" w:rsidRPr="00357DE4" w:rsidRDefault="00170077" w:rsidP="002C4D56">
      <w:pPr>
        <w:pStyle w:val="H23G"/>
      </w:pPr>
      <w:r>
        <w:tab/>
        <w:t>a)</w:t>
      </w:r>
      <w:r>
        <w:tab/>
        <w:t xml:space="preserve">№ ООН 3082 </w:t>
      </w:r>
      <w:r w:rsidR="002C4D56">
        <w:t>—</w:t>
      </w:r>
      <w:r>
        <w:t xml:space="preserve"> ... (ТРЮМНЫЕ ВОДЫ, СОДЕРЖАЩИЕ НЕФТЯНОЙ ШЛАМ)</w:t>
      </w:r>
    </w:p>
    <w:p w14:paraId="2513921B" w14:textId="629B2ACC" w:rsidR="00170077" w:rsidRPr="002736C5" w:rsidRDefault="00170077" w:rsidP="00170077">
      <w:pPr>
        <w:pStyle w:val="SingleTxtG"/>
      </w:pPr>
      <w:r>
        <w:t>27.</w:t>
      </w:r>
      <w:r>
        <w:tab/>
        <w:t>На последнем совещании группа Рекомендованных классификационных обществ ВОПОГ решила обратиться к специальным органам соответствующих государств</w:t>
      </w:r>
      <w:r w:rsidR="002C4D56">
        <w:t xml:space="preserve"> — </w:t>
      </w:r>
      <w:r>
        <w:t>участников ВОПОГ с просьбой представить свое толкование перевозки данного продукта.</w:t>
      </w:r>
    </w:p>
    <w:p w14:paraId="7AD8D365" w14:textId="77777777" w:rsidR="00170077" w:rsidRPr="002736C5" w:rsidRDefault="00170077" w:rsidP="00170077">
      <w:pPr>
        <w:pStyle w:val="SingleTxtG"/>
        <w:rPr>
          <w:iCs/>
        </w:rPr>
      </w:pPr>
      <w:r>
        <w:t>28.</w:t>
      </w:r>
      <w:r>
        <w:tab/>
        <w:t>LR сообщает, что этот вопрос обсуждался с Инспекцией судоходства Нидерландов и что если до 1 января 2009 года трюмные суда могли перевозить трюмные воды по условиям позиции под № ООН 3082, то теперь им разрешено перевозить грузы, отнесенные ко всем трем новым позициям под № ООН 3082, касающимся шлама, до 31 декабря 2038 года.</w:t>
      </w:r>
    </w:p>
    <w:p w14:paraId="6B32D5BB" w14:textId="75C5BFC7" w:rsidR="00170077" w:rsidRPr="002736C5" w:rsidRDefault="00170077" w:rsidP="00170077">
      <w:pPr>
        <w:pStyle w:val="SingleTxtG"/>
        <w:rPr>
          <w:iCs/>
        </w:rPr>
      </w:pPr>
      <w:r>
        <w:t>29.</w:t>
      </w:r>
      <w:r>
        <w:tab/>
        <w:t xml:space="preserve">DNV обсудила этот вопрос с властями Германии и получила информацию о том, что если для конкретного судна будет доказана регулярная перевозка № ООН 3082 </w:t>
      </w:r>
      <w:r>
        <w:lastRenderedPageBreak/>
        <w:t xml:space="preserve">ВЕЩЕСТВО, ОПАСНОЕ ДЛЯ ОКРУЖАЮЩЕЙ СРЕДЫ, ЖИДКОЕ, Н.У.К., </w:t>
      </w:r>
      <w:r w:rsidR="002C4D56">
        <w:br/>
      </w:r>
      <w:r>
        <w:t xml:space="preserve">или № ООН 3257 ЖИДКОСТЬ ПРИ ВЫСОКОЙ ТЕМПЕРАТУРЕ, Н.У.К., или вещества под номером 9001 в период до 31 декабря 2008 года, то № ООН 3082 (нефтяной шлам) может быть внесен в перечень веществ, допущенных к перевозке судном. Письменное заявление об этом подходе в настоящее время отсутствует. </w:t>
      </w:r>
    </w:p>
    <w:p w14:paraId="183E5382" w14:textId="77777777" w:rsidR="00170077" w:rsidRPr="002736C5" w:rsidRDefault="00170077" w:rsidP="00170077">
      <w:pPr>
        <w:pStyle w:val="SingleTxtG"/>
        <w:rPr>
          <w:iCs/>
        </w:rPr>
      </w:pPr>
      <w:r>
        <w:t>30.</w:t>
      </w:r>
      <w:r>
        <w:tab/>
        <w:t>Отмечается, что этот иной подход вызывает у группы обеспокоенность.</w:t>
      </w:r>
    </w:p>
    <w:p w14:paraId="2A165D59" w14:textId="77777777" w:rsidR="00170077" w:rsidRPr="002736C5" w:rsidRDefault="00170077" w:rsidP="00170077">
      <w:pPr>
        <w:pStyle w:val="H23G"/>
      </w:pPr>
      <w:r>
        <w:tab/>
        <w:t>b)</w:t>
      </w:r>
      <w:r>
        <w:tab/>
      </w:r>
      <w:r>
        <w:rPr>
          <w:bCs/>
        </w:rPr>
        <w:t>LR поднимает вопрос о многостороннем соглашении 18</w:t>
      </w:r>
      <w:r>
        <w:t xml:space="preserve"> </w:t>
      </w:r>
    </w:p>
    <w:p w14:paraId="3707DEDF" w14:textId="77777777" w:rsidR="00170077" w:rsidRPr="002736C5" w:rsidRDefault="00170077" w:rsidP="00170077">
      <w:pPr>
        <w:pStyle w:val="SingleTxtG"/>
      </w:pPr>
      <w:r>
        <w:t>31.</w:t>
      </w:r>
      <w:r>
        <w:tab/>
        <w:t>Решено, что власти Нидерландов изучат этот вопрос и дадут ответ в течение следующих недель.</w:t>
      </w:r>
    </w:p>
    <w:p w14:paraId="43FDEC0D" w14:textId="77777777" w:rsidR="00170077" w:rsidRPr="002736C5" w:rsidRDefault="00170077" w:rsidP="00170077">
      <w:pPr>
        <w:pStyle w:val="HChG"/>
      </w:pPr>
      <w:r>
        <w:tab/>
        <w:t>VI.</w:t>
      </w:r>
      <w:r>
        <w:tab/>
      </w:r>
      <w:r>
        <w:rPr>
          <w:bCs/>
        </w:rPr>
        <w:t>Сроки и место проведения следующего совещания</w:t>
      </w:r>
    </w:p>
    <w:p w14:paraId="7F557CCB" w14:textId="77777777" w:rsidR="00170077" w:rsidRPr="002736C5" w:rsidRDefault="00170077" w:rsidP="00170077">
      <w:pPr>
        <w:pStyle w:val="SingleTxtG"/>
      </w:pPr>
      <w:r>
        <w:t>32.</w:t>
      </w:r>
      <w:r>
        <w:tab/>
        <w:t>Следующее совещание планируется провести 20 октября 2021 года в Загребе.</w:t>
      </w:r>
    </w:p>
    <w:p w14:paraId="0DA1824B" w14:textId="77777777" w:rsidR="00170077" w:rsidRPr="002736C5" w:rsidRDefault="00170077" w:rsidP="00170077">
      <w:pPr>
        <w:pStyle w:val="HChG"/>
      </w:pPr>
      <w:r>
        <w:tab/>
        <w:t>VII.</w:t>
      </w:r>
      <w:r>
        <w:tab/>
      </w:r>
      <w:r>
        <w:rPr>
          <w:bCs/>
        </w:rPr>
        <w:t>Закрытие совещания</w:t>
      </w:r>
    </w:p>
    <w:p w14:paraId="551C44DD" w14:textId="0810252E" w:rsidR="00170077" w:rsidRDefault="00170077" w:rsidP="00170077">
      <w:pPr>
        <w:pStyle w:val="SingleTxtG"/>
      </w:pPr>
      <w:r>
        <w:t>33.</w:t>
      </w:r>
      <w:r>
        <w:tab/>
        <w:t>Двадцать первое совещание объявляется закрытым.</w:t>
      </w:r>
    </w:p>
    <w:p w14:paraId="66C9CECC" w14:textId="16D97415" w:rsidR="00170077" w:rsidRPr="00170077" w:rsidRDefault="00170077" w:rsidP="0017007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0077" w:rsidRPr="00170077" w:rsidSect="0017007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A73F4" w14:textId="77777777" w:rsidR="00993AE5" w:rsidRPr="00A312BC" w:rsidRDefault="00993AE5" w:rsidP="00A312BC"/>
  </w:endnote>
  <w:endnote w:type="continuationSeparator" w:id="0">
    <w:p w14:paraId="1D91D552" w14:textId="77777777" w:rsidR="00993AE5" w:rsidRPr="00A312BC" w:rsidRDefault="00993AE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6A5B" w14:textId="044E3C90" w:rsidR="00170077" w:rsidRPr="00170077" w:rsidRDefault="00170077">
    <w:pPr>
      <w:pStyle w:val="a8"/>
    </w:pPr>
    <w:r w:rsidRPr="00170077">
      <w:rPr>
        <w:b/>
        <w:sz w:val="18"/>
      </w:rPr>
      <w:fldChar w:fldCharType="begin"/>
    </w:r>
    <w:r w:rsidRPr="00170077">
      <w:rPr>
        <w:b/>
        <w:sz w:val="18"/>
      </w:rPr>
      <w:instrText xml:space="preserve"> PAGE  \* MERGEFORMAT </w:instrText>
    </w:r>
    <w:r w:rsidRPr="00170077">
      <w:rPr>
        <w:b/>
        <w:sz w:val="18"/>
      </w:rPr>
      <w:fldChar w:fldCharType="separate"/>
    </w:r>
    <w:r w:rsidRPr="00170077">
      <w:rPr>
        <w:b/>
        <w:noProof/>
        <w:sz w:val="18"/>
      </w:rPr>
      <w:t>2</w:t>
    </w:r>
    <w:r w:rsidRPr="00170077">
      <w:rPr>
        <w:b/>
        <w:sz w:val="18"/>
      </w:rPr>
      <w:fldChar w:fldCharType="end"/>
    </w:r>
    <w:r>
      <w:rPr>
        <w:b/>
        <w:sz w:val="18"/>
      </w:rPr>
      <w:tab/>
    </w:r>
    <w:r>
      <w:t>GE.21-06699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FDD66" w14:textId="3FC05246" w:rsidR="00170077" w:rsidRPr="00170077" w:rsidRDefault="00170077" w:rsidP="00170077">
    <w:pPr>
      <w:pStyle w:val="a8"/>
      <w:tabs>
        <w:tab w:val="clear" w:pos="9639"/>
        <w:tab w:val="right" w:pos="9638"/>
      </w:tabs>
      <w:rPr>
        <w:b/>
        <w:sz w:val="18"/>
      </w:rPr>
    </w:pPr>
    <w:r>
      <w:t>GE.21-06699</w:t>
    </w:r>
    <w:r>
      <w:tab/>
    </w:r>
    <w:r w:rsidRPr="00170077">
      <w:rPr>
        <w:b/>
        <w:sz w:val="18"/>
      </w:rPr>
      <w:fldChar w:fldCharType="begin"/>
    </w:r>
    <w:r w:rsidRPr="00170077">
      <w:rPr>
        <w:b/>
        <w:sz w:val="18"/>
      </w:rPr>
      <w:instrText xml:space="preserve"> PAGE  \* MERGEFORMAT </w:instrText>
    </w:r>
    <w:r w:rsidRPr="00170077">
      <w:rPr>
        <w:b/>
        <w:sz w:val="18"/>
      </w:rPr>
      <w:fldChar w:fldCharType="separate"/>
    </w:r>
    <w:r w:rsidRPr="00170077">
      <w:rPr>
        <w:b/>
        <w:noProof/>
        <w:sz w:val="18"/>
      </w:rPr>
      <w:t>3</w:t>
    </w:r>
    <w:r w:rsidRPr="001700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57C58" w14:textId="2DA26F5B" w:rsidR="00042B72" w:rsidRPr="00170077" w:rsidRDefault="00170077" w:rsidP="0017007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D47275F" wp14:editId="277A6DD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21-06699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72B4B11" wp14:editId="1F69A99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D56">
      <w:t xml:space="preserve">  310521  070621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AE4C7" w14:textId="77777777" w:rsidR="00993AE5" w:rsidRPr="001075E9" w:rsidRDefault="00993AE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C58F53" w14:textId="77777777" w:rsidR="00993AE5" w:rsidRDefault="00993AE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E6F1672" w14:textId="77777777" w:rsidR="00170077" w:rsidRPr="00357DE4" w:rsidRDefault="00170077" w:rsidP="00170077">
      <w:pPr>
        <w:pStyle w:val="ad"/>
      </w:pPr>
      <w:r>
        <w:tab/>
      </w:r>
      <w:r w:rsidRPr="00824C32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CCNR-ZKR/ADN/WP.15/AC.2/2021/18.</w:t>
      </w:r>
    </w:p>
  </w:footnote>
  <w:footnote w:id="2">
    <w:p w14:paraId="36BD1138" w14:textId="77777777" w:rsidR="00170077" w:rsidRPr="00357DE4" w:rsidRDefault="00170077" w:rsidP="00170077">
      <w:pPr>
        <w:pStyle w:val="ad"/>
        <w:widowControl w:val="0"/>
      </w:pPr>
      <w:r>
        <w:tab/>
      </w:r>
      <w:r w:rsidRPr="00824C32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  <w:footnote w:id="3">
    <w:p w14:paraId="0E4A6A49" w14:textId="673AFB78" w:rsidR="00170077" w:rsidRPr="00357DE4" w:rsidRDefault="00170077" w:rsidP="00170077">
      <w:pPr>
        <w:pStyle w:val="ad"/>
      </w:pPr>
      <w:r w:rsidRPr="002F2114">
        <w:tab/>
      </w:r>
      <w:r w:rsidRPr="002C4D56">
        <w:rPr>
          <w:rStyle w:val="aa"/>
          <w:szCs w:val="16"/>
        </w:rPr>
        <w:footnoteRef/>
      </w:r>
      <w:r>
        <w:tab/>
        <w:t xml:space="preserve">Европейский стандарт, устанавливающий технические требования для судов внутреннего плавания (ЕС-ТТСВП, </w:t>
      </w:r>
      <w:hyperlink r:id="rId1" w:history="1">
        <w:r w:rsidR="002C4D56" w:rsidRPr="00625DEA">
          <w:rPr>
            <w:rStyle w:val="af1"/>
          </w:rPr>
          <w:t>http://www.cesni.eu/en/types/technical-requirements/</w:t>
        </w:r>
      </w:hyperlink>
      <w:r>
        <w:t>).</w:t>
      </w:r>
    </w:p>
  </w:footnote>
  <w:footnote w:id="4">
    <w:p w14:paraId="57DC3D4C" w14:textId="4788C396" w:rsidR="00170077" w:rsidRPr="00357DE4" w:rsidRDefault="00170077" w:rsidP="00170077">
      <w:pPr>
        <w:pStyle w:val="ad"/>
      </w:pPr>
      <w:r w:rsidRPr="002F2114">
        <w:tab/>
      </w:r>
      <w:r w:rsidRPr="002C4D56">
        <w:rPr>
          <w:rStyle w:val="aa"/>
        </w:rPr>
        <w:footnoteRef/>
      </w:r>
      <w:r>
        <w:tab/>
        <w:t>Европейский комитет по разработке общих стандартов в области внутреннего судоходства — КЕСНИ (</w:t>
      </w:r>
      <w:hyperlink r:id="rId2" w:history="1">
        <w:r w:rsidR="002C4D56" w:rsidRPr="00625DEA">
          <w:rPr>
            <w:rStyle w:val="af1"/>
          </w:rPr>
          <w:t>http://www.cesni.eu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1A0CD" w14:textId="52A9B16F" w:rsidR="00170077" w:rsidRPr="00170077" w:rsidRDefault="00170077">
    <w:pPr>
      <w:pStyle w:val="a5"/>
    </w:pPr>
    <w:fldSimple w:instr=" TITLE  \* MERGEFORMAT ">
      <w:r w:rsidR="00765F76">
        <w:t>ECE/TRANS/WP.15/AC.2/2021/18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5597E" w14:textId="137BDD89" w:rsidR="00170077" w:rsidRPr="00170077" w:rsidRDefault="00170077" w:rsidP="00170077">
    <w:pPr>
      <w:pStyle w:val="a5"/>
      <w:jc w:val="right"/>
    </w:pPr>
    <w:fldSimple w:instr=" TITLE  \* MERGEFORMAT ">
      <w:r w:rsidR="00765F76">
        <w:t>ECE/TRANS/WP.15/AC.2/2021/18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XLargeG"/>
      <w:lvlText w:val="•"/>
      <w:lvlJc w:val="left"/>
      <w:pPr>
        <w:tabs>
          <w:tab w:val="num" w:pos="5132"/>
        </w:tabs>
        <w:ind w:left="5132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  <w:lvlOverride w:ilvl="0">
      <w:lvl w:ilvl="0" w:tplc="78607ACC">
        <w:start w:val="1"/>
        <w:numFmt w:val="bullet"/>
        <w:pStyle w:val="XLargeG"/>
        <w:lvlText w:val="•"/>
        <w:lvlJc w:val="left"/>
        <w:pPr>
          <w:tabs>
            <w:tab w:val="num" w:pos="5132"/>
          </w:tabs>
          <w:ind w:left="5132" w:hanging="170"/>
        </w:pPr>
        <w:rPr>
          <w:rFonts w:ascii="Times New Roman" w:hAnsi="Times New Roman" w:cs="Times New Roman" w:hint="default"/>
        </w:rPr>
      </w:lvl>
    </w:lvlOverride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E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0077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4D56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5F76"/>
    <w:rsid w:val="00792497"/>
    <w:rsid w:val="00806737"/>
    <w:rsid w:val="00824C32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083"/>
    <w:rsid w:val="00911BE4"/>
    <w:rsid w:val="00951972"/>
    <w:rsid w:val="009608F3"/>
    <w:rsid w:val="00993AE5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5CB7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05B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DF8B5B"/>
  <w15:docId w15:val="{1AE2EC3E-AC5C-412D-BC86-3AA9F240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170077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uiPriority w:val="99"/>
    <w:qFormat/>
    <w:locked/>
    <w:rsid w:val="00170077"/>
    <w:rPr>
      <w:lang w:val="ru-RU" w:eastAsia="en-US"/>
    </w:rPr>
  </w:style>
  <w:style w:type="character" w:customStyle="1" w:styleId="H23GChar">
    <w:name w:val="_ H_2/3_G Char"/>
    <w:link w:val="H23G"/>
    <w:rsid w:val="00170077"/>
    <w:rPr>
      <w:b/>
      <w:lang w:val="ru-RU" w:eastAsia="ru-RU"/>
    </w:rPr>
  </w:style>
  <w:style w:type="character" w:customStyle="1" w:styleId="HChGChar">
    <w:name w:val="_ H _Ch_G Char"/>
    <w:link w:val="HChG"/>
    <w:rsid w:val="00170077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824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o.nl/en/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sni.eu" TargetMode="External"/><Relationship Id="rId1" Type="http://schemas.openxmlformats.org/officeDocument/2006/relationships/hyperlink" Target="http://www.cesni.eu/en/types/technical-requiremen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55018-72B9-4F62-8135-1B92EF059BC8}"/>
</file>

<file path=customXml/itemProps2.xml><?xml version="1.0" encoding="utf-8"?>
<ds:datastoreItem xmlns:ds="http://schemas.openxmlformats.org/officeDocument/2006/customXml" ds:itemID="{BC548434-F875-4D8F-9A25-04EE22008CFB}"/>
</file>

<file path=customXml/itemProps3.xml><?xml version="1.0" encoding="utf-8"?>
<ds:datastoreItem xmlns:ds="http://schemas.openxmlformats.org/officeDocument/2006/customXml" ds:itemID="{CA306E25-CF55-4ED2-A277-62B876C5625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1818</Words>
  <Characters>12218</Characters>
  <Application>Microsoft Office Word</Application>
  <DocSecurity>0</DocSecurity>
  <Lines>244</Lines>
  <Paragraphs>107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ECE/TRANS/WP.15/AC.2/2021/18</vt:lpstr>
      <vt:lpstr>A/</vt:lpstr>
      <vt:lpstr>A/</vt:lpstr>
    </vt:vector>
  </TitlesOfParts>
  <Company>DCM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ECE/TRANS/WP.15/AC.2/2021/18</dc:title>
  <dc:subject/>
  <dc:creator>Marina KOROTKOVA</dc:creator>
  <cp:keywords/>
  <cp:lastModifiedBy>Marina KOROTKOVA</cp:lastModifiedBy>
  <cp:revision>3</cp:revision>
  <cp:lastPrinted>2021-06-07T11:36:00Z</cp:lastPrinted>
  <dcterms:created xsi:type="dcterms:W3CDTF">2021-06-07T11:36:00Z</dcterms:created>
  <dcterms:modified xsi:type="dcterms:W3CDTF">2021-06-07T11:37:00Z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