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D22020F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43DCB07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1A28E9B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4459997" w14:textId="563BEBBF" w:rsidR="009E6CB7" w:rsidRPr="00D47EEA" w:rsidRDefault="00FD6BE1" w:rsidP="00FD6BE1">
            <w:pPr>
              <w:jc w:val="right"/>
            </w:pPr>
            <w:r w:rsidRPr="00FD6BE1">
              <w:rPr>
                <w:sz w:val="40"/>
              </w:rPr>
              <w:t>ECE</w:t>
            </w:r>
            <w:r>
              <w:t>/TRANS/WP.15/AC.1/2021/31</w:t>
            </w:r>
          </w:p>
        </w:tc>
      </w:tr>
      <w:tr w:rsidR="009E6CB7" w14:paraId="165A9FD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CB5C8E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FA09484" wp14:editId="2E6E750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E80188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79E04CA" w14:textId="77777777" w:rsidR="009E6CB7" w:rsidRDefault="00FD6BE1" w:rsidP="00FD6BE1">
            <w:pPr>
              <w:spacing w:before="240" w:line="240" w:lineRule="exact"/>
            </w:pPr>
            <w:r>
              <w:t>Distr.: General</w:t>
            </w:r>
          </w:p>
          <w:p w14:paraId="3B262A84" w14:textId="43AC9D62" w:rsidR="00FD6BE1" w:rsidRDefault="00B665BB" w:rsidP="00FD6BE1">
            <w:pPr>
              <w:spacing w:line="240" w:lineRule="exact"/>
            </w:pPr>
            <w:r>
              <w:t>30</w:t>
            </w:r>
            <w:r w:rsidR="00FD6BE1">
              <w:t xml:space="preserve"> June 2021</w:t>
            </w:r>
          </w:p>
          <w:p w14:paraId="425D6EFD" w14:textId="77777777" w:rsidR="00FD6BE1" w:rsidRDefault="00FD6BE1" w:rsidP="00FD6BE1">
            <w:pPr>
              <w:spacing w:line="240" w:lineRule="exact"/>
            </w:pPr>
          </w:p>
          <w:p w14:paraId="638F952C" w14:textId="1577A5AC" w:rsidR="00FD6BE1" w:rsidRDefault="00FD6BE1" w:rsidP="00FD6BE1">
            <w:pPr>
              <w:spacing w:line="240" w:lineRule="exact"/>
            </w:pPr>
            <w:r>
              <w:t>Original: English</w:t>
            </w:r>
          </w:p>
        </w:tc>
      </w:tr>
    </w:tbl>
    <w:p w14:paraId="1290A60A" w14:textId="77777777" w:rsidR="001E39D2" w:rsidRPr="002F5709" w:rsidRDefault="001E39D2" w:rsidP="001E39D2">
      <w:pPr>
        <w:spacing w:before="120"/>
        <w:rPr>
          <w:b/>
          <w:sz w:val="28"/>
          <w:szCs w:val="28"/>
        </w:rPr>
      </w:pPr>
      <w:r w:rsidRPr="002F5709">
        <w:rPr>
          <w:b/>
          <w:sz w:val="28"/>
          <w:szCs w:val="28"/>
        </w:rPr>
        <w:t>Economic Commission for Europe</w:t>
      </w:r>
    </w:p>
    <w:p w14:paraId="523E78F1" w14:textId="77777777" w:rsidR="001E39D2" w:rsidRPr="002F5709" w:rsidRDefault="001E39D2" w:rsidP="001E39D2">
      <w:pPr>
        <w:spacing w:before="120"/>
        <w:rPr>
          <w:sz w:val="28"/>
          <w:szCs w:val="28"/>
        </w:rPr>
      </w:pPr>
      <w:r w:rsidRPr="002F5709">
        <w:rPr>
          <w:sz w:val="28"/>
          <w:szCs w:val="28"/>
        </w:rPr>
        <w:t>Inland Transport Committee</w:t>
      </w:r>
    </w:p>
    <w:p w14:paraId="41B28EF1" w14:textId="77777777" w:rsidR="001E39D2" w:rsidRPr="002F5709" w:rsidRDefault="001E39D2" w:rsidP="001E39D2">
      <w:pPr>
        <w:spacing w:before="120" w:after="120"/>
        <w:rPr>
          <w:b/>
          <w:sz w:val="24"/>
          <w:szCs w:val="24"/>
        </w:rPr>
      </w:pPr>
      <w:r w:rsidRPr="002F5709">
        <w:rPr>
          <w:b/>
          <w:sz w:val="24"/>
          <w:szCs w:val="24"/>
        </w:rPr>
        <w:t>Working Party on the Transport of Dangerous Goods</w:t>
      </w:r>
    </w:p>
    <w:p w14:paraId="7A2281C6" w14:textId="77777777" w:rsidR="001E39D2" w:rsidRPr="002F5709" w:rsidRDefault="001E39D2" w:rsidP="001E39D2">
      <w:pPr>
        <w:rPr>
          <w:b/>
          <w:bCs/>
        </w:rPr>
      </w:pPr>
      <w:r w:rsidRPr="002F5709">
        <w:rPr>
          <w:b/>
          <w:bCs/>
        </w:rPr>
        <w:t>Joint Meeting of the RID Committee of Experts and the</w:t>
      </w:r>
      <w:r w:rsidRPr="002F5709">
        <w:rPr>
          <w:b/>
          <w:bCs/>
        </w:rPr>
        <w:br/>
        <w:t>Working Party on the Transport of Dangerous Goods</w:t>
      </w:r>
    </w:p>
    <w:p w14:paraId="18D97B0C" w14:textId="77777777" w:rsidR="001E39D2" w:rsidRPr="002F5709" w:rsidRDefault="001E39D2" w:rsidP="001E39D2">
      <w:r w:rsidRPr="002F5709">
        <w:t>Geneva, 21 September – 1 October 2021</w:t>
      </w:r>
    </w:p>
    <w:p w14:paraId="6A524769" w14:textId="77777777" w:rsidR="001E39D2" w:rsidRPr="002F5709" w:rsidRDefault="001E39D2" w:rsidP="001E39D2">
      <w:r w:rsidRPr="002F5709">
        <w:t>Item 5 (b) of the provisional agenda</w:t>
      </w:r>
    </w:p>
    <w:p w14:paraId="718A6EFE" w14:textId="77777777" w:rsidR="001E39D2" w:rsidRPr="002F5709" w:rsidRDefault="001E39D2" w:rsidP="001E39D2">
      <w:pPr>
        <w:rPr>
          <w:b/>
          <w:bCs/>
        </w:rPr>
      </w:pPr>
      <w:r w:rsidRPr="002F5709">
        <w:rPr>
          <w:b/>
          <w:bCs/>
        </w:rPr>
        <w:t>Proposals for amendments to RID/ADR/ADN:</w:t>
      </w:r>
      <w:r w:rsidRPr="002F5709">
        <w:rPr>
          <w:b/>
          <w:bCs/>
        </w:rPr>
        <w:br/>
        <w:t>new proposals</w:t>
      </w:r>
    </w:p>
    <w:p w14:paraId="0E4DA60E" w14:textId="77777777" w:rsidR="001A12F3" w:rsidRPr="002F5709" w:rsidRDefault="00183E01" w:rsidP="001A12F3">
      <w:pPr>
        <w:pStyle w:val="HChG"/>
      </w:pPr>
      <w:r w:rsidRPr="007F31C9">
        <w:tab/>
      </w:r>
      <w:r w:rsidRPr="007F31C9">
        <w:tab/>
      </w:r>
      <w:r w:rsidR="001A12F3" w:rsidRPr="002F5709">
        <w:t>Activities of in-house inspection services in accordance with RID/ADR 6.2.2.11 and 6.2.3.6.1</w:t>
      </w:r>
    </w:p>
    <w:p w14:paraId="53E82460" w14:textId="77777777" w:rsidR="001A12F3" w:rsidRPr="002F5709" w:rsidRDefault="001A12F3" w:rsidP="001A12F3">
      <w:pPr>
        <w:pStyle w:val="H1G"/>
        <w:rPr>
          <w:szCs w:val="24"/>
          <w:lang w:eastAsia="zh-CN"/>
        </w:rPr>
      </w:pPr>
      <w:r w:rsidRPr="002F5709">
        <w:tab/>
      </w:r>
      <w:r w:rsidRPr="002F5709">
        <w:tab/>
        <w:t>Transmitted by the Government of Germany</w:t>
      </w:r>
      <w:r w:rsidRPr="002F5709">
        <w:rPr>
          <w:rStyle w:val="FootnoteReference"/>
          <w:b w:val="0"/>
          <w:bCs/>
          <w:sz w:val="20"/>
        </w:rPr>
        <w:footnoteReference w:customMarkFollows="1" w:id="2"/>
        <w:t>*</w:t>
      </w:r>
      <w:r w:rsidRPr="002F5709">
        <w:rPr>
          <w:bCs/>
          <w:sz w:val="20"/>
          <w:vertAlign w:val="superscript"/>
        </w:rPr>
        <w:t xml:space="preserve">, </w:t>
      </w:r>
      <w:r w:rsidRPr="002F5709">
        <w:rPr>
          <w:rStyle w:val="FootnoteReference"/>
          <w:b w:val="0"/>
          <w:bCs/>
          <w:sz w:val="20"/>
        </w:rPr>
        <w:footnoteReference w:customMarkFollows="1" w:id="3"/>
        <w:t>**</w:t>
      </w:r>
      <w:r w:rsidRPr="002F5709">
        <w:rPr>
          <w:bCs/>
          <w:sz w:val="20"/>
          <w:lang w:eastAsia="zh-C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1A12F3" w:rsidRPr="002F5709" w14:paraId="2225E79E" w14:textId="77777777" w:rsidTr="00020A16">
        <w:trPr>
          <w:jc w:val="center"/>
        </w:trPr>
        <w:tc>
          <w:tcPr>
            <w:tcW w:w="9082" w:type="dxa"/>
            <w:hideMark/>
          </w:tcPr>
          <w:p w14:paraId="0BC8670C" w14:textId="77777777" w:rsidR="001A12F3" w:rsidRPr="002F5709" w:rsidRDefault="001A12F3" w:rsidP="00020A16">
            <w:pPr>
              <w:spacing w:before="240" w:after="120"/>
              <w:ind w:left="255"/>
              <w:rPr>
                <w:i/>
              </w:rPr>
            </w:pPr>
            <w:r w:rsidRPr="002F5709">
              <w:rPr>
                <w:i/>
              </w:rPr>
              <w:t>Summary</w:t>
            </w:r>
          </w:p>
        </w:tc>
      </w:tr>
      <w:tr w:rsidR="001A12F3" w:rsidRPr="002F5709" w14:paraId="01D0239A" w14:textId="77777777" w:rsidTr="00020A16">
        <w:trPr>
          <w:jc w:val="center"/>
        </w:trPr>
        <w:tc>
          <w:tcPr>
            <w:tcW w:w="9082" w:type="dxa"/>
            <w:hideMark/>
          </w:tcPr>
          <w:p w14:paraId="23334AFA" w14:textId="77777777" w:rsidR="001A12F3" w:rsidRPr="002F5709" w:rsidRDefault="001A12F3" w:rsidP="00020A16">
            <w:pPr>
              <w:tabs>
                <w:tab w:val="left" w:pos="3260"/>
              </w:tabs>
              <w:spacing w:after="120"/>
              <w:ind w:left="3260" w:right="1134" w:hanging="2126"/>
              <w:jc w:val="both"/>
            </w:pPr>
            <w:r w:rsidRPr="002F5709">
              <w:rPr>
                <w:b/>
              </w:rPr>
              <w:t>Executive summary:</w:t>
            </w:r>
            <w:r w:rsidRPr="002F5709">
              <w:tab/>
            </w:r>
            <w:r w:rsidRPr="002F5709">
              <w:rPr>
                <w:snapToGrid w:val="0"/>
              </w:rPr>
              <w:t xml:space="preserve">The purpose of this proposal is to clarify </w:t>
            </w:r>
            <w:r>
              <w:rPr>
                <w:snapToGrid w:val="0"/>
              </w:rPr>
              <w:t xml:space="preserve">for </w:t>
            </w:r>
            <w:r w:rsidRPr="002F5709">
              <w:rPr>
                <w:snapToGrid w:val="0"/>
              </w:rPr>
              <w:t>which</w:t>
            </w:r>
            <w:r>
              <w:rPr>
                <w:snapToGrid w:val="0"/>
              </w:rPr>
              <w:t xml:space="preserve"> </w:t>
            </w:r>
            <w:r w:rsidRPr="002F5709">
              <w:rPr>
                <w:snapToGrid w:val="0"/>
              </w:rPr>
              <w:t xml:space="preserve">pressure receptacles </w:t>
            </w:r>
            <w:r>
              <w:rPr>
                <w:snapToGrid w:val="0"/>
              </w:rPr>
              <w:t xml:space="preserve">the </w:t>
            </w:r>
            <w:r w:rsidRPr="002F5709">
              <w:rPr>
                <w:snapToGrid w:val="0"/>
              </w:rPr>
              <w:t>procedures in accordance with RID/ADR 6.2.2.11 and 6.2.3.6.1 may be used by an in-house inspection service.</w:t>
            </w:r>
          </w:p>
        </w:tc>
      </w:tr>
      <w:tr w:rsidR="001A12F3" w:rsidRPr="002F5709" w14:paraId="7B80F48A" w14:textId="77777777" w:rsidTr="00020A16">
        <w:trPr>
          <w:jc w:val="center"/>
        </w:trPr>
        <w:tc>
          <w:tcPr>
            <w:tcW w:w="9082" w:type="dxa"/>
            <w:hideMark/>
          </w:tcPr>
          <w:p w14:paraId="28F28910" w14:textId="4336962C" w:rsidR="001A12F3" w:rsidRPr="002F5709" w:rsidRDefault="001A12F3" w:rsidP="00020A16">
            <w:pPr>
              <w:tabs>
                <w:tab w:val="left" w:pos="3260"/>
              </w:tabs>
              <w:ind w:left="3260" w:right="1134" w:hanging="2126"/>
            </w:pPr>
            <w:r w:rsidRPr="002F5709">
              <w:rPr>
                <w:b/>
              </w:rPr>
              <w:t>Action to be taken:</w:t>
            </w:r>
            <w:r w:rsidRPr="002F5709">
              <w:rPr>
                <w:b/>
              </w:rPr>
              <w:tab/>
            </w:r>
            <w:r w:rsidRPr="002F5709">
              <w:rPr>
                <w:snapToGrid w:val="0"/>
              </w:rPr>
              <w:t>Clarification of RID/ADR 6.2.2.11 and 6.2.3.6.1 and in</w:t>
            </w:r>
            <w:r>
              <w:rPr>
                <w:snapToGrid w:val="0"/>
              </w:rPr>
              <w:t>sertion</w:t>
            </w:r>
            <w:r w:rsidRPr="002F5709">
              <w:rPr>
                <w:snapToGrid w:val="0"/>
              </w:rPr>
              <w:t xml:space="preserve"> of a transitional measure in RID/ADR 1.6.2.</w:t>
            </w:r>
            <w:r w:rsidR="00CF41CC">
              <w:rPr>
                <w:snapToGrid w:val="0"/>
              </w:rPr>
              <w:tab/>
            </w:r>
          </w:p>
        </w:tc>
      </w:tr>
    </w:tbl>
    <w:p w14:paraId="1D325F26" w14:textId="77777777" w:rsidR="001A12F3" w:rsidRPr="002F5709" w:rsidRDefault="001A12F3" w:rsidP="001A12F3">
      <w:pPr>
        <w:tabs>
          <w:tab w:val="left" w:pos="1418"/>
          <w:tab w:val="left" w:pos="2977"/>
          <w:tab w:val="left" w:pos="4395"/>
        </w:tabs>
      </w:pPr>
    </w:p>
    <w:p w14:paraId="307908F3" w14:textId="77777777" w:rsidR="001A12F3" w:rsidRPr="002F5709" w:rsidRDefault="001A12F3" w:rsidP="001A12F3">
      <w:pPr>
        <w:pStyle w:val="HChG"/>
      </w:pPr>
      <w:r w:rsidRPr="002F5709">
        <w:tab/>
      </w:r>
      <w:r w:rsidRPr="002F5709">
        <w:tab/>
        <w:t>Introduction</w:t>
      </w:r>
    </w:p>
    <w:p w14:paraId="2E592B72" w14:textId="77777777" w:rsidR="001A12F3" w:rsidRPr="002F5709" w:rsidRDefault="001A12F3" w:rsidP="001A12F3">
      <w:pPr>
        <w:pStyle w:val="SingleTxtG"/>
        <w:rPr>
          <w:bCs/>
        </w:rPr>
      </w:pPr>
      <w:r w:rsidRPr="002F5709">
        <w:t>1.</w:t>
      </w:r>
      <w:r w:rsidRPr="002F5709">
        <w:tab/>
        <w:t xml:space="preserve">According to RID/ADR 6.2.2.11 and 6.2.3.6.1, the periodic inspection of pressure receptacles may be carried out by an </w:t>
      </w:r>
      <w:proofErr w:type="spellStart"/>
      <w:r w:rsidRPr="002F5709">
        <w:t>Xa</w:t>
      </w:r>
      <w:proofErr w:type="spellEnd"/>
      <w:r w:rsidRPr="002F5709">
        <w:t xml:space="preserve"> or </w:t>
      </w:r>
      <w:proofErr w:type="spellStart"/>
      <w:r w:rsidRPr="002F5709">
        <w:t>Xb</w:t>
      </w:r>
      <w:proofErr w:type="spellEnd"/>
      <w:r w:rsidRPr="002F5709">
        <w:t xml:space="preserve"> inspection body or by an in-house inspection service (IS). While </w:t>
      </w:r>
      <w:proofErr w:type="spellStart"/>
      <w:r w:rsidRPr="002F5709">
        <w:t>Xa</w:t>
      </w:r>
      <w:proofErr w:type="spellEnd"/>
      <w:r w:rsidRPr="002F5709">
        <w:t xml:space="preserve"> and </w:t>
      </w:r>
      <w:proofErr w:type="spellStart"/>
      <w:r w:rsidRPr="002F5709">
        <w:t>Xb</w:t>
      </w:r>
      <w:proofErr w:type="spellEnd"/>
      <w:r w:rsidRPr="002F5709">
        <w:t xml:space="preserve"> inspection bodies must be accredited for their activities in accordance with EN ISO/IEC 17020:2012, the in-house inspection service IS </w:t>
      </w:r>
      <w:proofErr w:type="spellStart"/>
      <w:r w:rsidRPr="002F5709">
        <w:t>is</w:t>
      </w:r>
      <w:proofErr w:type="spellEnd"/>
      <w:r w:rsidRPr="002F5709">
        <w:t xml:space="preserve"> approved and supervised by an </w:t>
      </w:r>
      <w:proofErr w:type="spellStart"/>
      <w:r w:rsidRPr="002F5709">
        <w:t>Xa</w:t>
      </w:r>
      <w:proofErr w:type="spellEnd"/>
      <w:r w:rsidRPr="002F5709">
        <w:t xml:space="preserve"> inspection body. It does not require accreditation for its activities.</w:t>
      </w:r>
    </w:p>
    <w:p w14:paraId="2DE46DBC" w14:textId="77777777" w:rsidR="001A12F3" w:rsidRPr="002F5709" w:rsidRDefault="001A12F3" w:rsidP="001A12F3">
      <w:pPr>
        <w:pStyle w:val="SingleTxtG"/>
        <w:rPr>
          <w:bCs/>
        </w:rPr>
      </w:pPr>
      <w:r w:rsidRPr="002F5709">
        <w:t>2.</w:t>
      </w:r>
      <w:r w:rsidRPr="002F5709">
        <w:tab/>
        <w:t>In practice, it has been found that in-house inspection services apply these procedures both to pressure receptacles owned by the applicant and to pressure receptacles not owned by the applicant.</w:t>
      </w:r>
    </w:p>
    <w:p w14:paraId="2F529D6A" w14:textId="77777777" w:rsidR="001A12F3" w:rsidRPr="002F5709" w:rsidRDefault="001A12F3" w:rsidP="001A12F3">
      <w:pPr>
        <w:pStyle w:val="SingleTxtG"/>
        <w:rPr>
          <w:bCs/>
        </w:rPr>
      </w:pPr>
      <w:r w:rsidRPr="002F5709">
        <w:lastRenderedPageBreak/>
        <w:t>3.</w:t>
      </w:r>
      <w:r w:rsidRPr="002F5709">
        <w:tab/>
        <w:t xml:space="preserve">When monitoring the manufacture and initial inspection, an in-house inspection service may only inspect pressure receptacles manufactured by the </w:t>
      </w:r>
      <w:r>
        <w:t>company</w:t>
      </w:r>
      <w:r w:rsidRPr="002F5709">
        <w:t xml:space="preserve"> to which the in-house inspection service belongs.</w:t>
      </w:r>
    </w:p>
    <w:p w14:paraId="0F6DB65D" w14:textId="77777777" w:rsidR="001A12F3" w:rsidRPr="002F5709" w:rsidRDefault="001A12F3" w:rsidP="001A12F3">
      <w:pPr>
        <w:pStyle w:val="SingleTxtG"/>
        <w:rPr>
          <w:bCs/>
        </w:rPr>
      </w:pPr>
      <w:r w:rsidRPr="002F5709">
        <w:t>4.</w:t>
      </w:r>
      <w:r w:rsidRPr="002F5709">
        <w:tab/>
        <w:t xml:space="preserve">By analogy with paragraph 3, it is assumed that an in-house inspection service may only carry out periodic inspections on pressure receptacles owned by the </w:t>
      </w:r>
      <w:r>
        <w:t>company</w:t>
      </w:r>
      <w:r w:rsidRPr="002F5709">
        <w:t xml:space="preserve"> to which the in-house inspection service belongs. This view is also supported by the meaning of the term "in-house".</w:t>
      </w:r>
    </w:p>
    <w:p w14:paraId="7EF9D2DE" w14:textId="77777777" w:rsidR="001A12F3" w:rsidRPr="002F5709" w:rsidRDefault="001A12F3" w:rsidP="001A12F3">
      <w:pPr>
        <w:pStyle w:val="SingleTxtG"/>
      </w:pPr>
      <w:r w:rsidRPr="002F5709">
        <w:t>5.</w:t>
      </w:r>
      <w:r w:rsidRPr="002F5709">
        <w:tab/>
        <w:t xml:space="preserve">If periodic inspections are also to be carried out on pressure receptacles not owned by the </w:t>
      </w:r>
      <w:r>
        <w:t>company</w:t>
      </w:r>
      <w:r w:rsidRPr="002F5709">
        <w:t xml:space="preserve">, accreditation as an </w:t>
      </w:r>
      <w:proofErr w:type="spellStart"/>
      <w:r w:rsidRPr="002F5709">
        <w:t>Xb</w:t>
      </w:r>
      <w:proofErr w:type="spellEnd"/>
      <w:r w:rsidRPr="002F5709">
        <w:t xml:space="preserve"> inspection body is required for this purpose (see also document ECE/TRANS/WP.15/AC.1/2021/16 of the informal working group on the inspection and certification of tanks).</w:t>
      </w:r>
    </w:p>
    <w:p w14:paraId="511B7A9F" w14:textId="77777777" w:rsidR="001A12F3" w:rsidRPr="002F5709" w:rsidRDefault="001A12F3" w:rsidP="001A12F3">
      <w:pPr>
        <w:pStyle w:val="SingleTxtG"/>
      </w:pPr>
      <w:r w:rsidRPr="002F5709">
        <w:t>6.</w:t>
      </w:r>
      <w:r w:rsidRPr="002F5709">
        <w:tab/>
      </w:r>
      <w:r>
        <w:t>T</w:t>
      </w:r>
      <w:r w:rsidRPr="002F5709">
        <w:t>herefore</w:t>
      </w:r>
      <w:r>
        <w:t>,</w:t>
      </w:r>
      <w:r w:rsidRPr="002F5709">
        <w:t xml:space="preserve"> </w:t>
      </w:r>
      <w:r>
        <w:t>t</w:t>
      </w:r>
      <w:r w:rsidRPr="002F5709">
        <w:t>he following clarification is proposed.</w:t>
      </w:r>
    </w:p>
    <w:p w14:paraId="263BF5DD" w14:textId="77777777" w:rsidR="001A12F3" w:rsidRPr="002F5709" w:rsidRDefault="001A12F3" w:rsidP="001A12F3">
      <w:pPr>
        <w:pStyle w:val="SingleTxtG"/>
      </w:pPr>
      <w:r w:rsidRPr="002F5709">
        <w:t>7.</w:t>
      </w:r>
      <w:r w:rsidRPr="002F5709">
        <w:tab/>
        <w:t xml:space="preserve">If the clarification is adopted, an appropriate transitional period must be provided to protect the </w:t>
      </w:r>
      <w:r>
        <w:t>companies</w:t>
      </w:r>
      <w:r w:rsidRPr="002F5709">
        <w:t xml:space="preserve"> concerned from undue hardship.</w:t>
      </w:r>
    </w:p>
    <w:p w14:paraId="6553D96D" w14:textId="77777777" w:rsidR="001A12F3" w:rsidRPr="002F5709" w:rsidRDefault="001A12F3" w:rsidP="001A12F3">
      <w:pPr>
        <w:pStyle w:val="HChG"/>
        <w:rPr>
          <w:b w:val="0"/>
        </w:rPr>
      </w:pPr>
      <w:r w:rsidRPr="002F5709">
        <w:tab/>
      </w:r>
      <w:r w:rsidRPr="002F5709">
        <w:tab/>
        <w:t>Proposal</w:t>
      </w:r>
    </w:p>
    <w:p w14:paraId="5CC92900" w14:textId="77777777" w:rsidR="001A12F3" w:rsidRPr="002F5709" w:rsidRDefault="001A12F3" w:rsidP="001A12F3">
      <w:pPr>
        <w:pStyle w:val="SingleTxtG"/>
      </w:pPr>
      <w:r w:rsidRPr="002F5709">
        <w:t>8.</w:t>
      </w:r>
      <w:r w:rsidRPr="002F5709">
        <w:tab/>
      </w:r>
      <w:r>
        <w:t>A</w:t>
      </w:r>
      <w:r w:rsidRPr="002F5709">
        <w:t xml:space="preserve">mend RID/ADR 6.2.2.11 and 6.2.3.6.1 </w:t>
      </w:r>
      <w:r>
        <w:t xml:space="preserve">to read </w:t>
      </w:r>
      <w:r w:rsidRPr="002F5709">
        <w:t>as follows (new text is underlined):</w:t>
      </w:r>
    </w:p>
    <w:p w14:paraId="2C36CF40" w14:textId="77777777" w:rsidR="001A12F3" w:rsidRPr="002F5709" w:rsidRDefault="001A12F3" w:rsidP="001A12F3">
      <w:pPr>
        <w:pStyle w:val="SingleTxtG"/>
      </w:pPr>
      <w:r w:rsidRPr="002F5709">
        <w:t xml:space="preserve">“IS means an in-house inspection service of the applicant under the surveillance of an inspection body conforming to 1.8.6.2, 1.8.6.4, 1.8.6.5 and 1.8.6.8 and accredited according to EN ISO/IEC 17020:2012 (except clause 8.1.3) type A. The in-house inspection service </w:t>
      </w:r>
      <w:r w:rsidRPr="002F5709">
        <w:rPr>
          <w:u w:val="single"/>
        </w:rPr>
        <w:t>may only use the procedures described in the above table for pressure receptacles owned by the applicant, and</w:t>
      </w:r>
      <w:r w:rsidRPr="002F5709">
        <w:t xml:space="preserve"> shall be independent from design process, manufacturing operations, repair and maintenance.”</w:t>
      </w:r>
    </w:p>
    <w:p w14:paraId="4DB99374" w14:textId="77777777" w:rsidR="001A12F3" w:rsidRPr="002F5709" w:rsidRDefault="001A12F3" w:rsidP="001A12F3">
      <w:pPr>
        <w:pStyle w:val="SingleTxtG"/>
      </w:pPr>
      <w:r w:rsidRPr="002F5709">
        <w:t>9.</w:t>
      </w:r>
      <w:r w:rsidRPr="002F5709">
        <w:tab/>
      </w:r>
      <w:r>
        <w:t>I</w:t>
      </w:r>
      <w:r w:rsidRPr="002F5709">
        <w:t xml:space="preserve">nsert </w:t>
      </w:r>
      <w:r>
        <w:t>the</w:t>
      </w:r>
      <w:r w:rsidRPr="002F5709">
        <w:t xml:space="preserve"> following new transitional measure in RID/ADR 1.6.2</w:t>
      </w:r>
      <w:r>
        <w:t xml:space="preserve"> as follows</w:t>
      </w:r>
      <w:r w:rsidRPr="002F5709">
        <w:t>:</w:t>
      </w:r>
    </w:p>
    <w:p w14:paraId="635AB4BC" w14:textId="77777777" w:rsidR="001A12F3" w:rsidRPr="002F5709" w:rsidRDefault="001A12F3" w:rsidP="001A12F3">
      <w:pPr>
        <w:pStyle w:val="SingleTxtG"/>
        <w:spacing w:after="0" w:line="240" w:lineRule="auto"/>
        <w:ind w:left="2268" w:hanging="1134"/>
      </w:pPr>
      <w:r w:rsidRPr="002F5709">
        <w:t>"</w:t>
      </w:r>
      <w:r w:rsidRPr="002F5709">
        <w:rPr>
          <w:b/>
          <w:bCs/>
        </w:rPr>
        <w:t>1.6.2.x</w:t>
      </w:r>
      <w:r w:rsidRPr="002F5709">
        <w:tab/>
      </w:r>
      <w:r w:rsidRPr="007A6C12">
        <w:rPr>
          <w:u w:val="single"/>
        </w:rPr>
        <w:t>Until 31 December 2024, in-house inspection services may carry out periodic inspections in accordance with the versions of 6.2.2.11 and 6.2.3.6.1 applicable until 31 December 2022 on pressure receptacles not owned by the applicant</w:t>
      </w:r>
      <w:r w:rsidRPr="002F5709">
        <w:t>."</w:t>
      </w:r>
    </w:p>
    <w:p w14:paraId="29D48A35" w14:textId="77777777" w:rsidR="001A12F3" w:rsidRPr="002F5709" w:rsidRDefault="001A12F3" w:rsidP="001A12F3">
      <w:pPr>
        <w:pStyle w:val="HChG"/>
        <w:rPr>
          <w:b w:val="0"/>
        </w:rPr>
      </w:pPr>
      <w:r w:rsidRPr="002F5709">
        <w:tab/>
      </w:r>
      <w:r w:rsidRPr="002F5709">
        <w:tab/>
        <w:t>Justification</w:t>
      </w:r>
    </w:p>
    <w:p w14:paraId="59C6DB09" w14:textId="77777777" w:rsidR="001A12F3" w:rsidRPr="002F5709" w:rsidRDefault="001A12F3" w:rsidP="001A12F3">
      <w:pPr>
        <w:pStyle w:val="SingleTxtG"/>
      </w:pPr>
      <w:r w:rsidRPr="002F5709">
        <w:t>10.</w:t>
      </w:r>
      <w:r w:rsidRPr="002F5709">
        <w:tab/>
        <w:t xml:space="preserve">The purpose of this proposal is to clarify </w:t>
      </w:r>
      <w:r>
        <w:t xml:space="preserve">for </w:t>
      </w:r>
      <w:r w:rsidRPr="002F5709">
        <w:t>which pressure receptacles the procedures in accordance with RID/ADR 6.2.2.11 and 6.2.3.6.1 may be used by an in-house inspection service and hence to establish a uniform procedure.</w:t>
      </w:r>
    </w:p>
    <w:p w14:paraId="3CCDC28F" w14:textId="77777777" w:rsidR="001A12F3" w:rsidRPr="002F5709" w:rsidRDefault="001A12F3" w:rsidP="001A12F3">
      <w:pPr>
        <w:widowControl w:val="0"/>
        <w:jc w:val="center"/>
      </w:pPr>
      <w:r w:rsidRPr="002F5709">
        <w:t>__________</w:t>
      </w:r>
    </w:p>
    <w:sectPr w:rsidR="001A12F3" w:rsidRPr="002F5709" w:rsidSect="00FD6BE1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C4D57" w14:textId="77777777" w:rsidR="00BC67F2" w:rsidRDefault="00BC67F2"/>
  </w:endnote>
  <w:endnote w:type="continuationSeparator" w:id="0">
    <w:p w14:paraId="46DCE7C7" w14:textId="77777777" w:rsidR="00BC67F2" w:rsidRDefault="00BC67F2"/>
  </w:endnote>
  <w:endnote w:type="continuationNotice" w:id="1">
    <w:p w14:paraId="631F3920" w14:textId="77777777" w:rsidR="00BC67F2" w:rsidRDefault="00BC67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080F3" w14:textId="6AD12FE3" w:rsidR="00FD6BE1" w:rsidRPr="00FD6BE1" w:rsidRDefault="00FD6BE1" w:rsidP="00FD6BE1">
    <w:pPr>
      <w:pStyle w:val="Footer"/>
      <w:tabs>
        <w:tab w:val="right" w:pos="9638"/>
      </w:tabs>
      <w:rPr>
        <w:sz w:val="18"/>
      </w:rPr>
    </w:pPr>
    <w:r w:rsidRPr="00FD6BE1">
      <w:rPr>
        <w:b/>
        <w:sz w:val="18"/>
      </w:rPr>
      <w:fldChar w:fldCharType="begin"/>
    </w:r>
    <w:r w:rsidRPr="00FD6BE1">
      <w:rPr>
        <w:b/>
        <w:sz w:val="18"/>
      </w:rPr>
      <w:instrText xml:space="preserve"> PAGE  \* MERGEFORMAT </w:instrText>
    </w:r>
    <w:r w:rsidRPr="00FD6BE1">
      <w:rPr>
        <w:b/>
        <w:sz w:val="18"/>
      </w:rPr>
      <w:fldChar w:fldCharType="separate"/>
    </w:r>
    <w:r w:rsidRPr="00FD6BE1">
      <w:rPr>
        <w:b/>
        <w:noProof/>
        <w:sz w:val="18"/>
      </w:rPr>
      <w:t>2</w:t>
    </w:r>
    <w:r w:rsidRPr="00FD6BE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15CAA" w14:textId="7A2D18C1" w:rsidR="00FD6BE1" w:rsidRPr="00FD6BE1" w:rsidRDefault="00FD6BE1" w:rsidP="00FD6BE1">
    <w:pPr>
      <w:pStyle w:val="Footer"/>
      <w:tabs>
        <w:tab w:val="right" w:pos="9638"/>
      </w:tabs>
      <w:rPr>
        <w:b/>
        <w:sz w:val="18"/>
      </w:rPr>
    </w:pPr>
    <w:r>
      <w:tab/>
    </w:r>
    <w:r w:rsidRPr="00FD6BE1">
      <w:rPr>
        <w:b/>
        <w:sz w:val="18"/>
      </w:rPr>
      <w:fldChar w:fldCharType="begin"/>
    </w:r>
    <w:r w:rsidRPr="00FD6BE1">
      <w:rPr>
        <w:b/>
        <w:sz w:val="18"/>
      </w:rPr>
      <w:instrText xml:space="preserve"> PAGE  \* MERGEFORMAT </w:instrText>
    </w:r>
    <w:r w:rsidRPr="00FD6BE1">
      <w:rPr>
        <w:b/>
        <w:sz w:val="18"/>
      </w:rPr>
      <w:fldChar w:fldCharType="separate"/>
    </w:r>
    <w:r w:rsidRPr="00FD6BE1">
      <w:rPr>
        <w:b/>
        <w:noProof/>
        <w:sz w:val="18"/>
      </w:rPr>
      <w:t>3</w:t>
    </w:r>
    <w:r w:rsidRPr="00FD6BE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D1009" w14:textId="77777777" w:rsidR="00BC67F2" w:rsidRPr="000B175B" w:rsidRDefault="00BC67F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4EBD65" w14:textId="77777777" w:rsidR="00BC67F2" w:rsidRPr="00FC68B7" w:rsidRDefault="00BC67F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DBE8F1" w14:textId="77777777" w:rsidR="00BC67F2" w:rsidRDefault="00BC67F2"/>
  </w:footnote>
  <w:footnote w:id="2">
    <w:p w14:paraId="26B5C75E" w14:textId="77777777" w:rsidR="001A12F3" w:rsidRDefault="001A12F3" w:rsidP="001A12F3">
      <w:pPr>
        <w:pStyle w:val="SingleTxtG"/>
        <w:snapToGrid w:val="0"/>
        <w:spacing w:after="0"/>
        <w:rPr>
          <w:sz w:val="18"/>
        </w:rPr>
      </w:pPr>
      <w:r w:rsidRPr="00393DB1">
        <w:rPr>
          <w:b/>
          <w:bCs/>
        </w:rPr>
        <w:tab/>
      </w:r>
      <w:r w:rsidRPr="00393DB1">
        <w:rPr>
          <w:rStyle w:val="FootnoteReference"/>
          <w:b/>
          <w:bCs/>
          <w:sz w:val="20"/>
        </w:rPr>
        <w:t>*</w:t>
      </w:r>
      <w:r>
        <w:tab/>
      </w:r>
      <w:r>
        <w:rPr>
          <w:sz w:val="18"/>
          <w:szCs w:val="18"/>
        </w:rPr>
        <w:t>A/75/6 (Sect.20), para 20.51.</w:t>
      </w:r>
    </w:p>
  </w:footnote>
  <w:footnote w:id="3">
    <w:p w14:paraId="26AE17EC" w14:textId="388E9215" w:rsidR="001A12F3" w:rsidRDefault="001A12F3" w:rsidP="001A12F3">
      <w:pPr>
        <w:pStyle w:val="SingleTxtG"/>
      </w:pPr>
      <w:r w:rsidRPr="00393DB1">
        <w:tab/>
      </w:r>
      <w:r w:rsidRPr="00393DB1">
        <w:rPr>
          <w:rStyle w:val="FootnoteReference"/>
          <w:b/>
          <w:bCs/>
          <w:sz w:val="20"/>
        </w:rPr>
        <w:t>**</w:t>
      </w:r>
      <w:r>
        <w:tab/>
      </w:r>
      <w:r>
        <w:rPr>
          <w:sz w:val="18"/>
          <w:szCs w:val="18"/>
        </w:rPr>
        <w:t>Circulated by the Intergovernmental Organisation for International Carriage by Rail (OTIF) under the symbol OTIF/RID/RC/2021/3</w:t>
      </w:r>
      <w:r w:rsidR="002F6DB8">
        <w:rPr>
          <w:sz w:val="18"/>
          <w:szCs w:val="18"/>
        </w:rPr>
        <w:t>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E1DB8" w14:textId="7498FD42" w:rsidR="00FD6BE1" w:rsidRPr="00FD6BE1" w:rsidRDefault="00393DB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D6BE1">
      <w:t>ECE/TRANS/WP.15/AC.1/2021/31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F86EA" w14:textId="18321CEA" w:rsidR="00FD6BE1" w:rsidRPr="00FD6BE1" w:rsidRDefault="00393DB1" w:rsidP="00FD6BE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D6BE1">
      <w:t>ECE/TRANS/WP.15/AC.1/2021/31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256167"/>
    <w:multiLevelType w:val="hybridMultilevel"/>
    <w:tmpl w:val="033C4E7C"/>
    <w:lvl w:ilvl="0" w:tplc="14B23A8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04044539"/>
    <w:multiLevelType w:val="hybridMultilevel"/>
    <w:tmpl w:val="3F8A0B94"/>
    <w:lvl w:ilvl="0" w:tplc="39C4751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C0017">
      <w:start w:val="1"/>
      <w:numFmt w:val="lowerLetter"/>
      <w:lvlText w:val="%2)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A5E91"/>
    <w:multiLevelType w:val="hybridMultilevel"/>
    <w:tmpl w:val="1772F5DA"/>
    <w:lvl w:ilvl="0" w:tplc="10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B765050"/>
    <w:multiLevelType w:val="hybridMultilevel"/>
    <w:tmpl w:val="9E969146"/>
    <w:lvl w:ilvl="0" w:tplc="100C0017">
      <w:start w:val="1"/>
      <w:numFmt w:val="lowerLetter"/>
      <w:lvlText w:val="%1)"/>
      <w:lvlJc w:val="left"/>
      <w:pPr>
        <w:ind w:left="1440" w:hanging="360"/>
      </w:pPr>
    </w:lvl>
    <w:lvl w:ilvl="1" w:tplc="94527ED4">
      <w:start w:val="1"/>
      <w:numFmt w:val="decimal"/>
      <w:lvlText w:val="%2."/>
      <w:lvlJc w:val="left"/>
      <w:pPr>
        <w:ind w:left="2235" w:hanging="435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C214F8D"/>
    <w:multiLevelType w:val="hybridMultilevel"/>
    <w:tmpl w:val="15B29D8E"/>
    <w:lvl w:ilvl="0" w:tplc="14B23A8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F7D4F"/>
    <w:multiLevelType w:val="hybridMultilevel"/>
    <w:tmpl w:val="22D83EAC"/>
    <w:lvl w:ilvl="0" w:tplc="14B23A8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18E4414"/>
    <w:multiLevelType w:val="hybridMultilevel"/>
    <w:tmpl w:val="475A9FBE"/>
    <w:lvl w:ilvl="0" w:tplc="100C000F">
      <w:start w:val="1"/>
      <w:numFmt w:val="decimal"/>
      <w:lvlText w:val="%1."/>
      <w:lvlJc w:val="left"/>
      <w:pPr>
        <w:ind w:left="1429" w:hanging="360"/>
      </w:pPr>
    </w:lvl>
    <w:lvl w:ilvl="1" w:tplc="100C000F">
      <w:start w:val="1"/>
      <w:numFmt w:val="decimal"/>
      <w:lvlText w:val="%2."/>
      <w:lvlJc w:val="left"/>
      <w:pPr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38870E9"/>
    <w:multiLevelType w:val="hybridMultilevel"/>
    <w:tmpl w:val="F880EFA8"/>
    <w:lvl w:ilvl="0" w:tplc="100C0017">
      <w:start w:val="1"/>
      <w:numFmt w:val="lowerLetter"/>
      <w:lvlText w:val="%1)"/>
      <w:lvlJc w:val="left"/>
      <w:pPr>
        <w:ind w:left="1495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AE56DA6"/>
    <w:multiLevelType w:val="hybridMultilevel"/>
    <w:tmpl w:val="ABB02B1C"/>
    <w:lvl w:ilvl="0" w:tplc="14B23A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5B30E97"/>
    <w:multiLevelType w:val="hybridMultilevel"/>
    <w:tmpl w:val="F880EFA8"/>
    <w:lvl w:ilvl="0" w:tplc="100C0017">
      <w:start w:val="1"/>
      <w:numFmt w:val="lowerLetter"/>
      <w:lvlText w:val="%1)"/>
      <w:lvlJc w:val="left"/>
      <w:pPr>
        <w:ind w:left="1495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57C56704"/>
    <w:multiLevelType w:val="hybridMultilevel"/>
    <w:tmpl w:val="383E3136"/>
    <w:lvl w:ilvl="0" w:tplc="60A06E88">
      <w:start w:val="1"/>
      <w:numFmt w:val="decimal"/>
      <w:pStyle w:val="Titrenumrot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052F9"/>
    <w:multiLevelType w:val="hybridMultilevel"/>
    <w:tmpl w:val="C06CA0D6"/>
    <w:lvl w:ilvl="0" w:tplc="100C001B">
      <w:start w:val="1"/>
      <w:numFmt w:val="lowerRoman"/>
      <w:lvlText w:val="%1."/>
      <w:lvlJc w:val="right"/>
      <w:pPr>
        <w:ind w:left="2629" w:hanging="360"/>
      </w:pPr>
    </w:lvl>
    <w:lvl w:ilvl="1" w:tplc="100C0019" w:tentative="1">
      <w:start w:val="1"/>
      <w:numFmt w:val="lowerLetter"/>
      <w:lvlText w:val="%2."/>
      <w:lvlJc w:val="left"/>
      <w:pPr>
        <w:ind w:left="3349" w:hanging="360"/>
      </w:pPr>
    </w:lvl>
    <w:lvl w:ilvl="2" w:tplc="100C001B" w:tentative="1">
      <w:start w:val="1"/>
      <w:numFmt w:val="lowerRoman"/>
      <w:lvlText w:val="%3."/>
      <w:lvlJc w:val="right"/>
      <w:pPr>
        <w:ind w:left="4069" w:hanging="180"/>
      </w:pPr>
    </w:lvl>
    <w:lvl w:ilvl="3" w:tplc="100C000F" w:tentative="1">
      <w:start w:val="1"/>
      <w:numFmt w:val="decimal"/>
      <w:lvlText w:val="%4."/>
      <w:lvlJc w:val="left"/>
      <w:pPr>
        <w:ind w:left="4789" w:hanging="360"/>
      </w:pPr>
    </w:lvl>
    <w:lvl w:ilvl="4" w:tplc="100C0019" w:tentative="1">
      <w:start w:val="1"/>
      <w:numFmt w:val="lowerLetter"/>
      <w:lvlText w:val="%5."/>
      <w:lvlJc w:val="left"/>
      <w:pPr>
        <w:ind w:left="5509" w:hanging="360"/>
      </w:pPr>
    </w:lvl>
    <w:lvl w:ilvl="5" w:tplc="100C001B" w:tentative="1">
      <w:start w:val="1"/>
      <w:numFmt w:val="lowerRoman"/>
      <w:lvlText w:val="%6."/>
      <w:lvlJc w:val="right"/>
      <w:pPr>
        <w:ind w:left="6229" w:hanging="180"/>
      </w:pPr>
    </w:lvl>
    <w:lvl w:ilvl="6" w:tplc="100C000F" w:tentative="1">
      <w:start w:val="1"/>
      <w:numFmt w:val="decimal"/>
      <w:lvlText w:val="%7."/>
      <w:lvlJc w:val="left"/>
      <w:pPr>
        <w:ind w:left="6949" w:hanging="360"/>
      </w:pPr>
    </w:lvl>
    <w:lvl w:ilvl="7" w:tplc="100C0019" w:tentative="1">
      <w:start w:val="1"/>
      <w:numFmt w:val="lowerLetter"/>
      <w:lvlText w:val="%8."/>
      <w:lvlJc w:val="left"/>
      <w:pPr>
        <w:ind w:left="7669" w:hanging="360"/>
      </w:pPr>
    </w:lvl>
    <w:lvl w:ilvl="8" w:tplc="100C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E1022"/>
    <w:multiLevelType w:val="hybridMultilevel"/>
    <w:tmpl w:val="42A40468"/>
    <w:lvl w:ilvl="0" w:tplc="14B23A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F732308"/>
    <w:multiLevelType w:val="hybridMultilevel"/>
    <w:tmpl w:val="4B72A4A0"/>
    <w:lvl w:ilvl="0" w:tplc="10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10"/>
  </w:num>
  <w:num w:numId="14">
    <w:abstractNumId w:val="16"/>
  </w:num>
  <w:num w:numId="15">
    <w:abstractNumId w:val="23"/>
  </w:num>
  <w:num w:numId="16">
    <w:abstractNumId w:val="18"/>
  </w:num>
  <w:num w:numId="17">
    <w:abstractNumId w:val="28"/>
  </w:num>
  <w:num w:numId="18">
    <w:abstractNumId w:val="30"/>
  </w:num>
  <w:num w:numId="19">
    <w:abstractNumId w:val="15"/>
  </w:num>
  <w:num w:numId="20">
    <w:abstractNumId w:val="15"/>
  </w:num>
  <w:num w:numId="21">
    <w:abstractNumId w:val="17"/>
  </w:num>
  <w:num w:numId="22">
    <w:abstractNumId w:val="11"/>
  </w:num>
  <w:num w:numId="23">
    <w:abstractNumId w:val="29"/>
  </w:num>
  <w:num w:numId="24">
    <w:abstractNumId w:val="12"/>
  </w:num>
  <w:num w:numId="25">
    <w:abstractNumId w:val="13"/>
  </w:num>
  <w:num w:numId="26">
    <w:abstractNumId w:val="32"/>
  </w:num>
  <w:num w:numId="27">
    <w:abstractNumId w:val="20"/>
  </w:num>
  <w:num w:numId="28">
    <w:abstractNumId w:val="27"/>
  </w:num>
  <w:num w:numId="29">
    <w:abstractNumId w:val="25"/>
  </w:num>
  <w:num w:numId="30">
    <w:abstractNumId w:val="26"/>
  </w:num>
  <w:num w:numId="31">
    <w:abstractNumId w:val="24"/>
  </w:num>
  <w:num w:numId="32">
    <w:abstractNumId w:val="14"/>
  </w:num>
  <w:num w:numId="33">
    <w:abstractNumId w:val="31"/>
  </w:num>
  <w:num w:numId="34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E1"/>
    <w:rsid w:val="00002A7D"/>
    <w:rsid w:val="000038A8"/>
    <w:rsid w:val="00006790"/>
    <w:rsid w:val="00013BEA"/>
    <w:rsid w:val="00027624"/>
    <w:rsid w:val="00030A0D"/>
    <w:rsid w:val="0003228D"/>
    <w:rsid w:val="0003369F"/>
    <w:rsid w:val="00050F6B"/>
    <w:rsid w:val="000678CD"/>
    <w:rsid w:val="00072C8C"/>
    <w:rsid w:val="00081CE0"/>
    <w:rsid w:val="00084C4A"/>
    <w:rsid w:val="00084D30"/>
    <w:rsid w:val="00090320"/>
    <w:rsid w:val="000931C0"/>
    <w:rsid w:val="0009732C"/>
    <w:rsid w:val="000A01F9"/>
    <w:rsid w:val="000A17A2"/>
    <w:rsid w:val="000A2E09"/>
    <w:rsid w:val="000B175B"/>
    <w:rsid w:val="000B3A0F"/>
    <w:rsid w:val="000B6F33"/>
    <w:rsid w:val="000C5BC3"/>
    <w:rsid w:val="000D5E47"/>
    <w:rsid w:val="000E0415"/>
    <w:rsid w:val="000F7715"/>
    <w:rsid w:val="00111F98"/>
    <w:rsid w:val="00124ED2"/>
    <w:rsid w:val="00142EBA"/>
    <w:rsid w:val="00156B99"/>
    <w:rsid w:val="00166124"/>
    <w:rsid w:val="0017451E"/>
    <w:rsid w:val="0017498A"/>
    <w:rsid w:val="00177F18"/>
    <w:rsid w:val="00183E01"/>
    <w:rsid w:val="00184DDA"/>
    <w:rsid w:val="00185A08"/>
    <w:rsid w:val="001900CD"/>
    <w:rsid w:val="00197D25"/>
    <w:rsid w:val="001A0452"/>
    <w:rsid w:val="001A12F3"/>
    <w:rsid w:val="001B4B04"/>
    <w:rsid w:val="001B5875"/>
    <w:rsid w:val="001C4B9C"/>
    <w:rsid w:val="001C6663"/>
    <w:rsid w:val="001C7895"/>
    <w:rsid w:val="001D26DF"/>
    <w:rsid w:val="001E3991"/>
    <w:rsid w:val="001E39D2"/>
    <w:rsid w:val="001F1599"/>
    <w:rsid w:val="001F19C4"/>
    <w:rsid w:val="002043F0"/>
    <w:rsid w:val="00211E0B"/>
    <w:rsid w:val="00217D1B"/>
    <w:rsid w:val="00232575"/>
    <w:rsid w:val="00247258"/>
    <w:rsid w:val="00257CAC"/>
    <w:rsid w:val="00264441"/>
    <w:rsid w:val="00267126"/>
    <w:rsid w:val="0027237A"/>
    <w:rsid w:val="0027381C"/>
    <w:rsid w:val="00294477"/>
    <w:rsid w:val="002959A9"/>
    <w:rsid w:val="002974E9"/>
    <w:rsid w:val="002A7F94"/>
    <w:rsid w:val="002B109A"/>
    <w:rsid w:val="002C6D45"/>
    <w:rsid w:val="002D6E53"/>
    <w:rsid w:val="002E3107"/>
    <w:rsid w:val="002F046D"/>
    <w:rsid w:val="002F3023"/>
    <w:rsid w:val="002F3F04"/>
    <w:rsid w:val="002F6DB8"/>
    <w:rsid w:val="00301764"/>
    <w:rsid w:val="003229D8"/>
    <w:rsid w:val="00327CB9"/>
    <w:rsid w:val="00336C97"/>
    <w:rsid w:val="0033774F"/>
    <w:rsid w:val="00337F88"/>
    <w:rsid w:val="00342432"/>
    <w:rsid w:val="00351460"/>
    <w:rsid w:val="0035223F"/>
    <w:rsid w:val="00352D4B"/>
    <w:rsid w:val="0035638C"/>
    <w:rsid w:val="003737F1"/>
    <w:rsid w:val="00393DB1"/>
    <w:rsid w:val="003A46BB"/>
    <w:rsid w:val="003A4EC7"/>
    <w:rsid w:val="003A7295"/>
    <w:rsid w:val="003B1F60"/>
    <w:rsid w:val="003B6CE0"/>
    <w:rsid w:val="003C2CC4"/>
    <w:rsid w:val="003D4B23"/>
    <w:rsid w:val="003E278A"/>
    <w:rsid w:val="00402024"/>
    <w:rsid w:val="00413520"/>
    <w:rsid w:val="00413D4A"/>
    <w:rsid w:val="0041678F"/>
    <w:rsid w:val="004325CB"/>
    <w:rsid w:val="0043464F"/>
    <w:rsid w:val="00440A07"/>
    <w:rsid w:val="00442392"/>
    <w:rsid w:val="004509A8"/>
    <w:rsid w:val="004602C5"/>
    <w:rsid w:val="00462880"/>
    <w:rsid w:val="00466BD2"/>
    <w:rsid w:val="00476784"/>
    <w:rsid w:val="00476F24"/>
    <w:rsid w:val="00493609"/>
    <w:rsid w:val="004A7E1C"/>
    <w:rsid w:val="004B4CF5"/>
    <w:rsid w:val="004C55B0"/>
    <w:rsid w:val="004D5A44"/>
    <w:rsid w:val="004F352E"/>
    <w:rsid w:val="004F6BA0"/>
    <w:rsid w:val="00503BEA"/>
    <w:rsid w:val="005101D8"/>
    <w:rsid w:val="00533616"/>
    <w:rsid w:val="00535ABA"/>
    <w:rsid w:val="0053768B"/>
    <w:rsid w:val="005420F2"/>
    <w:rsid w:val="0054285C"/>
    <w:rsid w:val="0054598B"/>
    <w:rsid w:val="0055116A"/>
    <w:rsid w:val="00551BCD"/>
    <w:rsid w:val="0056690E"/>
    <w:rsid w:val="00570B55"/>
    <w:rsid w:val="0057587A"/>
    <w:rsid w:val="00584173"/>
    <w:rsid w:val="00595520"/>
    <w:rsid w:val="005A44B9"/>
    <w:rsid w:val="005B1BA0"/>
    <w:rsid w:val="005B3DB3"/>
    <w:rsid w:val="005B7657"/>
    <w:rsid w:val="005D15CA"/>
    <w:rsid w:val="005D5FC1"/>
    <w:rsid w:val="005D7969"/>
    <w:rsid w:val="005F08DF"/>
    <w:rsid w:val="005F3066"/>
    <w:rsid w:val="005F3E61"/>
    <w:rsid w:val="00604DDD"/>
    <w:rsid w:val="006115CC"/>
    <w:rsid w:val="00611FC4"/>
    <w:rsid w:val="006176FB"/>
    <w:rsid w:val="00622A7C"/>
    <w:rsid w:val="00630FCB"/>
    <w:rsid w:val="006341E3"/>
    <w:rsid w:val="00637E76"/>
    <w:rsid w:val="00640B26"/>
    <w:rsid w:val="0064780D"/>
    <w:rsid w:val="00656A42"/>
    <w:rsid w:val="0065766B"/>
    <w:rsid w:val="00666B08"/>
    <w:rsid w:val="00671EBC"/>
    <w:rsid w:val="0067203B"/>
    <w:rsid w:val="006770B2"/>
    <w:rsid w:val="00684B63"/>
    <w:rsid w:val="00686A48"/>
    <w:rsid w:val="006940E1"/>
    <w:rsid w:val="00694DBC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37D4"/>
    <w:rsid w:val="0070701E"/>
    <w:rsid w:val="0072411D"/>
    <w:rsid w:val="0072632A"/>
    <w:rsid w:val="0072693E"/>
    <w:rsid w:val="007358E8"/>
    <w:rsid w:val="00736ECE"/>
    <w:rsid w:val="00737210"/>
    <w:rsid w:val="007422F8"/>
    <w:rsid w:val="00743C9C"/>
    <w:rsid w:val="0074533B"/>
    <w:rsid w:val="0075349A"/>
    <w:rsid w:val="007643BC"/>
    <w:rsid w:val="00780C68"/>
    <w:rsid w:val="00780DF1"/>
    <w:rsid w:val="007959FE"/>
    <w:rsid w:val="007A0CF1"/>
    <w:rsid w:val="007A478E"/>
    <w:rsid w:val="007B6BA5"/>
    <w:rsid w:val="007C3390"/>
    <w:rsid w:val="007C3A9A"/>
    <w:rsid w:val="007C42D8"/>
    <w:rsid w:val="007C4F4B"/>
    <w:rsid w:val="007C7A6E"/>
    <w:rsid w:val="007D3947"/>
    <w:rsid w:val="007D7362"/>
    <w:rsid w:val="007E1FB9"/>
    <w:rsid w:val="007E28DE"/>
    <w:rsid w:val="007F31C9"/>
    <w:rsid w:val="007F5CE2"/>
    <w:rsid w:val="007F6611"/>
    <w:rsid w:val="00800522"/>
    <w:rsid w:val="00804306"/>
    <w:rsid w:val="00810BAC"/>
    <w:rsid w:val="00811E26"/>
    <w:rsid w:val="00813E03"/>
    <w:rsid w:val="008175E9"/>
    <w:rsid w:val="008242D7"/>
    <w:rsid w:val="0082577B"/>
    <w:rsid w:val="008272DD"/>
    <w:rsid w:val="00854BF5"/>
    <w:rsid w:val="00856CDB"/>
    <w:rsid w:val="00860F98"/>
    <w:rsid w:val="00866893"/>
    <w:rsid w:val="00866B72"/>
    <w:rsid w:val="00866F02"/>
    <w:rsid w:val="00867D18"/>
    <w:rsid w:val="00871F9A"/>
    <w:rsid w:val="00871FD5"/>
    <w:rsid w:val="0088172E"/>
    <w:rsid w:val="00881EFA"/>
    <w:rsid w:val="008879CB"/>
    <w:rsid w:val="008979B1"/>
    <w:rsid w:val="008A2596"/>
    <w:rsid w:val="008A6B25"/>
    <w:rsid w:val="008A6C4F"/>
    <w:rsid w:val="008A77AE"/>
    <w:rsid w:val="008B389E"/>
    <w:rsid w:val="008D045E"/>
    <w:rsid w:val="008D3F25"/>
    <w:rsid w:val="008D43D9"/>
    <w:rsid w:val="008D4D82"/>
    <w:rsid w:val="008E0E46"/>
    <w:rsid w:val="008E4A5B"/>
    <w:rsid w:val="008E7116"/>
    <w:rsid w:val="008F143B"/>
    <w:rsid w:val="008F3882"/>
    <w:rsid w:val="008F4B7C"/>
    <w:rsid w:val="00921BA6"/>
    <w:rsid w:val="00922015"/>
    <w:rsid w:val="00926E47"/>
    <w:rsid w:val="00947162"/>
    <w:rsid w:val="009610D0"/>
    <w:rsid w:val="0096375C"/>
    <w:rsid w:val="009649A9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2C57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04F1"/>
    <w:rsid w:val="00A425EB"/>
    <w:rsid w:val="00A479DB"/>
    <w:rsid w:val="00A71A93"/>
    <w:rsid w:val="00A72F22"/>
    <w:rsid w:val="00A733BC"/>
    <w:rsid w:val="00A748A6"/>
    <w:rsid w:val="00A76A69"/>
    <w:rsid w:val="00A879A4"/>
    <w:rsid w:val="00AA0FF8"/>
    <w:rsid w:val="00AC079C"/>
    <w:rsid w:val="00AC0F2C"/>
    <w:rsid w:val="00AC502A"/>
    <w:rsid w:val="00AD0CA6"/>
    <w:rsid w:val="00AF58C1"/>
    <w:rsid w:val="00B04A3F"/>
    <w:rsid w:val="00B06643"/>
    <w:rsid w:val="00B15055"/>
    <w:rsid w:val="00B20551"/>
    <w:rsid w:val="00B22CE9"/>
    <w:rsid w:val="00B27BA3"/>
    <w:rsid w:val="00B30179"/>
    <w:rsid w:val="00B33FC7"/>
    <w:rsid w:val="00B341F4"/>
    <w:rsid w:val="00B35CF7"/>
    <w:rsid w:val="00B37B15"/>
    <w:rsid w:val="00B45C02"/>
    <w:rsid w:val="00B4797D"/>
    <w:rsid w:val="00B56AF4"/>
    <w:rsid w:val="00B665BB"/>
    <w:rsid w:val="00B70B63"/>
    <w:rsid w:val="00B71F82"/>
    <w:rsid w:val="00B72A1E"/>
    <w:rsid w:val="00B732B4"/>
    <w:rsid w:val="00B73B1B"/>
    <w:rsid w:val="00B76E9C"/>
    <w:rsid w:val="00B81E12"/>
    <w:rsid w:val="00B85575"/>
    <w:rsid w:val="00BA339B"/>
    <w:rsid w:val="00BB013F"/>
    <w:rsid w:val="00BB23CC"/>
    <w:rsid w:val="00BC1E7E"/>
    <w:rsid w:val="00BC67F2"/>
    <w:rsid w:val="00BC74E9"/>
    <w:rsid w:val="00BC7E3D"/>
    <w:rsid w:val="00BE13B3"/>
    <w:rsid w:val="00BE36A9"/>
    <w:rsid w:val="00BE57C6"/>
    <w:rsid w:val="00BE618E"/>
    <w:rsid w:val="00BE7BEC"/>
    <w:rsid w:val="00BF0A5A"/>
    <w:rsid w:val="00BF0E63"/>
    <w:rsid w:val="00BF12A3"/>
    <w:rsid w:val="00BF16D7"/>
    <w:rsid w:val="00BF2373"/>
    <w:rsid w:val="00BF2D0F"/>
    <w:rsid w:val="00C0294F"/>
    <w:rsid w:val="00C044E2"/>
    <w:rsid w:val="00C048CB"/>
    <w:rsid w:val="00C066F3"/>
    <w:rsid w:val="00C12E32"/>
    <w:rsid w:val="00C24029"/>
    <w:rsid w:val="00C34433"/>
    <w:rsid w:val="00C408B7"/>
    <w:rsid w:val="00C411EB"/>
    <w:rsid w:val="00C463DD"/>
    <w:rsid w:val="00C57D5C"/>
    <w:rsid w:val="00C621C3"/>
    <w:rsid w:val="00C70DB7"/>
    <w:rsid w:val="00C745C3"/>
    <w:rsid w:val="00C978F5"/>
    <w:rsid w:val="00CA24A4"/>
    <w:rsid w:val="00CB2A29"/>
    <w:rsid w:val="00CB2C2C"/>
    <w:rsid w:val="00CB348D"/>
    <w:rsid w:val="00CC4AA6"/>
    <w:rsid w:val="00CD46F5"/>
    <w:rsid w:val="00CE4A8F"/>
    <w:rsid w:val="00CE59E7"/>
    <w:rsid w:val="00CE78F6"/>
    <w:rsid w:val="00CF071D"/>
    <w:rsid w:val="00CF41CC"/>
    <w:rsid w:val="00D0123D"/>
    <w:rsid w:val="00D05BFD"/>
    <w:rsid w:val="00D15B04"/>
    <w:rsid w:val="00D16E7F"/>
    <w:rsid w:val="00D2031B"/>
    <w:rsid w:val="00D25D68"/>
    <w:rsid w:val="00D25FE2"/>
    <w:rsid w:val="00D27EE0"/>
    <w:rsid w:val="00D368BE"/>
    <w:rsid w:val="00D37DA9"/>
    <w:rsid w:val="00D406A7"/>
    <w:rsid w:val="00D40765"/>
    <w:rsid w:val="00D43252"/>
    <w:rsid w:val="00D44D86"/>
    <w:rsid w:val="00D50B7D"/>
    <w:rsid w:val="00D52012"/>
    <w:rsid w:val="00D52D4F"/>
    <w:rsid w:val="00D54B54"/>
    <w:rsid w:val="00D704E5"/>
    <w:rsid w:val="00D72727"/>
    <w:rsid w:val="00D77343"/>
    <w:rsid w:val="00D978C6"/>
    <w:rsid w:val="00DA0956"/>
    <w:rsid w:val="00DA357F"/>
    <w:rsid w:val="00DA3E12"/>
    <w:rsid w:val="00DB0CB3"/>
    <w:rsid w:val="00DC18AD"/>
    <w:rsid w:val="00DF7CAE"/>
    <w:rsid w:val="00E009A0"/>
    <w:rsid w:val="00E064A1"/>
    <w:rsid w:val="00E12155"/>
    <w:rsid w:val="00E125CC"/>
    <w:rsid w:val="00E2115E"/>
    <w:rsid w:val="00E2394B"/>
    <w:rsid w:val="00E423C0"/>
    <w:rsid w:val="00E5237B"/>
    <w:rsid w:val="00E54B8E"/>
    <w:rsid w:val="00E6414C"/>
    <w:rsid w:val="00E7260F"/>
    <w:rsid w:val="00E8702D"/>
    <w:rsid w:val="00E905F4"/>
    <w:rsid w:val="00E916A9"/>
    <w:rsid w:val="00E916DE"/>
    <w:rsid w:val="00E925AD"/>
    <w:rsid w:val="00E96630"/>
    <w:rsid w:val="00EA4077"/>
    <w:rsid w:val="00EB2B47"/>
    <w:rsid w:val="00EB604F"/>
    <w:rsid w:val="00ED18DC"/>
    <w:rsid w:val="00ED6201"/>
    <w:rsid w:val="00ED7A2A"/>
    <w:rsid w:val="00EF1D7F"/>
    <w:rsid w:val="00F0137E"/>
    <w:rsid w:val="00F064C6"/>
    <w:rsid w:val="00F12A62"/>
    <w:rsid w:val="00F17D35"/>
    <w:rsid w:val="00F21786"/>
    <w:rsid w:val="00F3742B"/>
    <w:rsid w:val="00F4120A"/>
    <w:rsid w:val="00F41FDB"/>
    <w:rsid w:val="00F46800"/>
    <w:rsid w:val="00F50596"/>
    <w:rsid w:val="00F56D63"/>
    <w:rsid w:val="00F609A9"/>
    <w:rsid w:val="00F64F3A"/>
    <w:rsid w:val="00F6543B"/>
    <w:rsid w:val="00F776CB"/>
    <w:rsid w:val="00F80C99"/>
    <w:rsid w:val="00F85CCD"/>
    <w:rsid w:val="00F867EC"/>
    <w:rsid w:val="00F91B2B"/>
    <w:rsid w:val="00F96BA4"/>
    <w:rsid w:val="00FB2117"/>
    <w:rsid w:val="00FB6B46"/>
    <w:rsid w:val="00FC03CD"/>
    <w:rsid w:val="00FC0646"/>
    <w:rsid w:val="00FC1824"/>
    <w:rsid w:val="00FC68B7"/>
    <w:rsid w:val="00FD6BE1"/>
    <w:rsid w:val="00FE5405"/>
    <w:rsid w:val="00FE6985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74E9EA"/>
  <w15:docId w15:val="{36290F1F-D6C4-4E5E-9082-36658ACC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SingleTxtGCar">
    <w:name w:val="_ Single Txt_G Car"/>
    <w:rsid w:val="006341E3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6341E3"/>
    <w:pPr>
      <w:suppressAutoHyphens w:val="0"/>
      <w:spacing w:after="240" w:line="240" w:lineRule="auto"/>
      <w:ind w:left="720"/>
      <w:contextualSpacing/>
    </w:pPr>
    <w:rPr>
      <w:lang w:eastAsia="en-US"/>
    </w:rPr>
  </w:style>
  <w:style w:type="paragraph" w:customStyle="1" w:styleId="Titrenumrot">
    <w:name w:val="Titre numéroté"/>
    <w:basedOn w:val="Normal"/>
    <w:qFormat/>
    <w:rsid w:val="006341E3"/>
    <w:pPr>
      <w:keepNext/>
      <w:keepLines/>
      <w:numPr>
        <w:numId w:val="28"/>
      </w:numPr>
      <w:suppressAutoHyphens w:val="0"/>
      <w:spacing w:before="360" w:after="240" w:line="300" w:lineRule="exact"/>
      <w:ind w:right="1134"/>
      <w:jc w:val="both"/>
    </w:pPr>
    <w:rPr>
      <w:b/>
      <w:sz w:val="28"/>
      <w:lang w:val="fr-CH" w:eastAsia="en-US"/>
    </w:rPr>
  </w:style>
  <w:style w:type="character" w:styleId="CommentReference">
    <w:name w:val="annotation reference"/>
    <w:basedOn w:val="DefaultParagraphFont"/>
    <w:rsid w:val="006341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1E3"/>
    <w:pPr>
      <w:suppressAutoHyphens w:val="0"/>
      <w:spacing w:after="240" w:line="240" w:lineRule="auto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6341E3"/>
    <w:rPr>
      <w:lang w:val="en-GB" w:eastAsia="en-US"/>
    </w:rPr>
  </w:style>
  <w:style w:type="paragraph" w:customStyle="1" w:styleId="Default">
    <w:name w:val="Default"/>
    <w:rsid w:val="006341E3"/>
    <w:pPr>
      <w:autoSpaceDE w:val="0"/>
      <w:autoSpaceDN w:val="0"/>
      <w:adjustRightInd w:val="0"/>
    </w:pPr>
    <w:rPr>
      <w:color w:val="000000"/>
      <w:sz w:val="24"/>
      <w:szCs w:val="24"/>
      <w:lang w:val="fr-CH" w:eastAsia="en-US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866B72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8CB01-E354-4BD5-955E-64F7D1D0F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ED443-6DFD-488B-9E6B-1E657AB1C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FC889D-7EDA-492F-80BF-E2376D3A49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357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ECE/TRANS/WP.15/AC.1/2021/31</dc:title>
  <dc:creator>Christine Barrio-Champeau</dc:creator>
  <cp:lastModifiedBy>Christine Barrio-Champeau</cp:lastModifiedBy>
  <cp:revision>163</cp:revision>
  <cp:lastPrinted>2009-02-18T09:36:00Z</cp:lastPrinted>
  <dcterms:created xsi:type="dcterms:W3CDTF">2021-06-21T11:15:00Z</dcterms:created>
  <dcterms:modified xsi:type="dcterms:W3CDTF">2021-06-30T07:05:00Z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