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84AF" w14:textId="77E845AD" w:rsidR="00E809D8" w:rsidRDefault="0096408D" w:rsidP="00E809D8">
      <w:pPr>
        <w:pStyle w:val="Title"/>
        <w:rPr>
          <w:rFonts w:ascii="Times New Roman" w:hAnsi="Times New Roman"/>
          <w:b/>
          <w:bCs/>
          <w:sz w:val="24"/>
          <w:szCs w:val="24"/>
        </w:rPr>
      </w:pPr>
      <w:bookmarkStart w:id="0" w:name="_Hlk26791282"/>
      <w:bookmarkStart w:id="1" w:name="_Toc355689647"/>
      <w:r>
        <w:rPr>
          <w:rFonts w:ascii="Times New Roman" w:hAnsi="Times New Roman"/>
          <w:b/>
          <w:bCs/>
          <w:sz w:val="24"/>
          <w:szCs w:val="24"/>
        </w:rPr>
        <w:t xml:space="preserve">First Steps for </w:t>
      </w:r>
      <w:r w:rsidR="00E809D8" w:rsidRPr="00E809D8">
        <w:rPr>
          <w:rFonts w:ascii="Times New Roman" w:hAnsi="Times New Roman"/>
          <w:b/>
          <w:bCs/>
          <w:sz w:val="24"/>
          <w:szCs w:val="24"/>
        </w:rPr>
        <w:t>Introducing New Weights in the CPI</w:t>
      </w:r>
    </w:p>
    <w:p w14:paraId="24C5FAC1" w14:textId="31E1D0FB" w:rsidR="0070113C" w:rsidRDefault="0070113C" w:rsidP="0070113C">
      <w:pPr>
        <w:jc w:val="center"/>
      </w:pPr>
      <w:r>
        <w:t>Paul A. Armknecht,</w:t>
      </w:r>
      <w:r>
        <w:rPr>
          <w:rStyle w:val="FootnoteReference"/>
        </w:rPr>
        <w:footnoteReference w:id="1"/>
      </w:r>
      <w:r>
        <w:t xml:space="preserve"> IMF Price Statistics Expert</w:t>
      </w:r>
    </w:p>
    <w:p w14:paraId="23F70F44" w14:textId="77777777" w:rsidR="0070113C" w:rsidRPr="0070113C" w:rsidRDefault="0070113C" w:rsidP="0070113C">
      <w:pPr>
        <w:jc w:val="center"/>
      </w:pPr>
    </w:p>
    <w:p w14:paraId="7C70DBC0" w14:textId="4E387E2F" w:rsidR="00E809D8" w:rsidRPr="00E809D8" w:rsidRDefault="00E809D8" w:rsidP="00E809D8">
      <w:pPr>
        <w:jc w:val="center"/>
        <w:rPr>
          <w:rFonts w:cs="Times New Roman"/>
          <w:sz w:val="24"/>
          <w:szCs w:val="24"/>
        </w:rPr>
      </w:pPr>
      <w:r w:rsidRPr="00E809D8">
        <w:rPr>
          <w:rFonts w:cs="Times New Roman"/>
          <w:sz w:val="24"/>
          <w:szCs w:val="24"/>
        </w:rPr>
        <w:t>Abstract</w:t>
      </w:r>
    </w:p>
    <w:p w14:paraId="05F2EDA3" w14:textId="58F323CB" w:rsidR="00E809D8" w:rsidRDefault="00E809D8" w:rsidP="00E809D8">
      <w:pPr>
        <w:rPr>
          <w:rFonts w:cs="Times New Roman"/>
          <w:sz w:val="24"/>
          <w:szCs w:val="24"/>
        </w:rPr>
      </w:pPr>
    </w:p>
    <w:p w14:paraId="615246F1" w14:textId="560F0A79" w:rsidR="00E809D8" w:rsidRPr="00E809D8" w:rsidRDefault="00E809D8" w:rsidP="00E809D8">
      <w:pPr>
        <w:rPr>
          <w:rFonts w:cs="Times New Roman"/>
          <w:sz w:val="24"/>
          <w:szCs w:val="24"/>
        </w:rPr>
      </w:pPr>
      <w:r w:rsidRPr="00E809D8">
        <w:rPr>
          <w:rFonts w:cs="Times New Roman"/>
          <w:sz w:val="24"/>
          <w:szCs w:val="24"/>
        </w:rPr>
        <w:t>The CPI is one of the most important indicators of economic performance that a country produces</w:t>
      </w:r>
      <w:r w:rsidR="00147E50">
        <w:rPr>
          <w:rFonts w:cs="Times New Roman"/>
          <w:sz w:val="24"/>
          <w:szCs w:val="24"/>
        </w:rPr>
        <w:t xml:space="preserve"> and a</w:t>
      </w:r>
      <w:r w:rsidRPr="00E809D8">
        <w:rPr>
          <w:rFonts w:cs="Times New Roman"/>
          <w:sz w:val="24"/>
          <w:szCs w:val="24"/>
        </w:rPr>
        <w:t xml:space="preserve"> key </w:t>
      </w:r>
      <w:r w:rsidR="00147E50">
        <w:rPr>
          <w:rFonts w:cs="Times New Roman"/>
          <w:sz w:val="24"/>
          <w:szCs w:val="24"/>
        </w:rPr>
        <w:t>indicator</w:t>
      </w:r>
      <w:r w:rsidRPr="00E809D8">
        <w:rPr>
          <w:rFonts w:cs="Times New Roman"/>
          <w:sz w:val="24"/>
          <w:szCs w:val="24"/>
        </w:rPr>
        <w:t xml:space="preserve"> for measuring inflation and </w:t>
      </w:r>
      <w:r w:rsidR="0096408D">
        <w:rPr>
          <w:rFonts w:cs="Times New Roman"/>
          <w:sz w:val="24"/>
          <w:szCs w:val="24"/>
        </w:rPr>
        <w:t>economic policymaking</w:t>
      </w:r>
      <w:r w:rsidRPr="00E809D8">
        <w:rPr>
          <w:rFonts w:cs="Times New Roman"/>
          <w:sz w:val="24"/>
          <w:szCs w:val="24"/>
        </w:rPr>
        <w:t>. As such the accuracy and relevance of the CPI is of critical importance</w:t>
      </w:r>
      <w:r w:rsidR="00147E50">
        <w:rPr>
          <w:rFonts w:cs="Times New Roman"/>
          <w:sz w:val="24"/>
          <w:szCs w:val="24"/>
        </w:rPr>
        <w:t>, and</w:t>
      </w:r>
      <w:r w:rsidRPr="00E809D8">
        <w:rPr>
          <w:rFonts w:cs="Times New Roman"/>
          <w:sz w:val="24"/>
          <w:szCs w:val="24"/>
        </w:rPr>
        <w:t xml:space="preserve"> must not only reflect current price movements, but also include an up-to-date basket of items. </w:t>
      </w:r>
      <w:r>
        <w:rPr>
          <w:rFonts w:cs="Times New Roman"/>
          <w:sz w:val="24"/>
          <w:szCs w:val="24"/>
        </w:rPr>
        <w:t>I</w:t>
      </w:r>
      <w:r w:rsidRPr="00E809D8">
        <w:rPr>
          <w:rFonts w:cs="Times New Roman"/>
          <w:sz w:val="24"/>
          <w:szCs w:val="24"/>
        </w:rPr>
        <w:t xml:space="preserve">t is important that the agencies producing a CPI revise and update the market basket on a regular basis. </w:t>
      </w:r>
      <w:bookmarkStart w:id="2" w:name="_Hlk26813963"/>
      <w:r>
        <w:rPr>
          <w:rFonts w:cs="Times New Roman"/>
          <w:sz w:val="24"/>
          <w:szCs w:val="24"/>
        </w:rPr>
        <w:t xml:space="preserve">In so doing, there are several steps that </w:t>
      </w:r>
      <w:r w:rsidR="00EE65E1">
        <w:rPr>
          <w:rFonts w:cs="Times New Roman"/>
          <w:sz w:val="24"/>
          <w:szCs w:val="24"/>
        </w:rPr>
        <w:t xml:space="preserve">NSOs </w:t>
      </w:r>
      <w:r>
        <w:rPr>
          <w:rFonts w:cs="Times New Roman"/>
          <w:sz w:val="24"/>
          <w:szCs w:val="24"/>
        </w:rPr>
        <w:t xml:space="preserve">must take before </w:t>
      </w:r>
      <w:r w:rsidR="0096408D">
        <w:rPr>
          <w:rFonts w:cs="Times New Roman"/>
          <w:sz w:val="24"/>
          <w:szCs w:val="24"/>
        </w:rPr>
        <w:t xml:space="preserve">revising the weight structure. </w:t>
      </w:r>
      <w:r w:rsidRPr="00E809D8">
        <w:rPr>
          <w:rFonts w:cs="Times New Roman"/>
          <w:sz w:val="24"/>
          <w:szCs w:val="24"/>
        </w:rPr>
        <w:t xml:space="preserve">This paper discusses </w:t>
      </w:r>
      <w:r w:rsidR="0096408D">
        <w:rPr>
          <w:rFonts w:cs="Times New Roman"/>
          <w:sz w:val="24"/>
          <w:szCs w:val="24"/>
        </w:rPr>
        <w:t xml:space="preserve">the first steps and decisions that need to be made in introducing the new weights. Of primary importance is whether the weights should be introduced directly into the CPI or adjusted for price change between the weight reference and price reference periods. </w:t>
      </w:r>
      <w:bookmarkEnd w:id="2"/>
    </w:p>
    <w:bookmarkEnd w:id="0"/>
    <w:p w14:paraId="02B11936" w14:textId="77777777" w:rsidR="00E809D8" w:rsidRPr="00E809D8" w:rsidRDefault="00E809D8" w:rsidP="00E809D8">
      <w:pPr>
        <w:rPr>
          <w:rFonts w:cs="Times New Roman"/>
          <w:sz w:val="24"/>
          <w:szCs w:val="24"/>
        </w:rPr>
      </w:pPr>
    </w:p>
    <w:p w14:paraId="19AD11F5" w14:textId="1F969F0D" w:rsidR="00E809D8" w:rsidRPr="00E809D8" w:rsidRDefault="00E809D8">
      <w:pPr>
        <w:spacing w:after="160" w:line="259" w:lineRule="auto"/>
        <w:rPr>
          <w:rFonts w:cs="Times New Roman"/>
          <w:sz w:val="24"/>
          <w:szCs w:val="24"/>
        </w:rPr>
      </w:pPr>
      <w:r w:rsidRPr="00E809D8">
        <w:rPr>
          <w:rFonts w:cs="Times New Roman"/>
          <w:sz w:val="24"/>
          <w:szCs w:val="24"/>
        </w:rPr>
        <w:br w:type="page"/>
      </w:r>
    </w:p>
    <w:p w14:paraId="70606E4A" w14:textId="77777777" w:rsidR="00E809D8" w:rsidRPr="00E809D8" w:rsidRDefault="00E809D8" w:rsidP="00E809D8"/>
    <w:p w14:paraId="414EDEDB" w14:textId="77777777" w:rsidR="005A4EA3" w:rsidRDefault="005A4EA3" w:rsidP="005A4EA3">
      <w:pPr>
        <w:pStyle w:val="Heading1"/>
      </w:pPr>
      <w:r w:rsidRPr="00DC1CB6">
        <w:t>Introduction</w:t>
      </w:r>
      <w:bookmarkEnd w:id="1"/>
    </w:p>
    <w:p w14:paraId="09C85AD8" w14:textId="280FACCE" w:rsidR="005A4EA3" w:rsidRDefault="005A4EA3" w:rsidP="000A450A">
      <w:pPr>
        <w:pStyle w:val="ParagraphNumbering"/>
      </w:pPr>
      <w:bookmarkStart w:id="3" w:name="_Hlk26789492"/>
      <w:r>
        <w:t xml:space="preserve">The CPI is one of the most important indicators of economic performance that a country produces. It is the key element for measuring inflation and is monitored by government, the business community, and the general public. As such the accuracy and relevance of the CPI is of critical importance. In this regard, the CPI must not only reflect current price movements, but also include an up-to-date basket of those important items that households purchase for day-to-day living. The basket, in turn, should reflect the current structure and distribution of goods and services that households are buying. Therefore, it is important that the agencies producing a CPI revise and update the market basket on a regular basis. This </w:t>
      </w:r>
      <w:r w:rsidR="007A19AB">
        <w:t>paper discusses</w:t>
      </w:r>
      <w:r>
        <w:t xml:space="preserve"> various methods </w:t>
      </w:r>
      <w:r w:rsidR="007A19AB">
        <w:t>to introduce new weights for</w:t>
      </w:r>
      <w:r>
        <w:t xml:space="preserve"> </w:t>
      </w:r>
      <w:r w:rsidR="001279F3">
        <w:t xml:space="preserve">the </w:t>
      </w:r>
      <w:r>
        <w:t xml:space="preserve">CPI </w:t>
      </w:r>
      <w:r w:rsidR="007A19AB">
        <w:t xml:space="preserve">to keep it </w:t>
      </w:r>
      <w:r>
        <w:t>up-to-date and relevant in today’s economy.</w:t>
      </w:r>
    </w:p>
    <w:p w14:paraId="054FFC25" w14:textId="4CCC30EA" w:rsidR="005A4EA3" w:rsidRDefault="005A4EA3" w:rsidP="00C31CDD">
      <w:pPr>
        <w:pStyle w:val="Heading2"/>
      </w:pPr>
      <w:bookmarkStart w:id="4" w:name="_Toc355689648"/>
      <w:bookmarkEnd w:id="3"/>
      <w:r>
        <w:t xml:space="preserve">Background </w:t>
      </w:r>
      <w:bookmarkEnd w:id="4"/>
    </w:p>
    <w:p w14:paraId="6888CD76" w14:textId="2F2DD5B2" w:rsidR="005A4EA3" w:rsidRDefault="005A4EA3" w:rsidP="000A450A">
      <w:pPr>
        <w:pStyle w:val="ParagraphNumbering"/>
      </w:pPr>
      <w:r>
        <w:t xml:space="preserve">The accuracy of the CPI </w:t>
      </w:r>
      <w:r w:rsidR="00760C43">
        <w:t>depends upon</w:t>
      </w:r>
      <w:r w:rsidR="007A19AB">
        <w:t xml:space="preserve"> </w:t>
      </w:r>
      <w:r>
        <w:t>representative samples for measuring price movements and that the methods and procedures for estimating</w:t>
      </w:r>
      <w:r w:rsidR="00760C43">
        <w:t xml:space="preserve"> and aggregating price changes in</w:t>
      </w:r>
      <w:r>
        <w:t xml:space="preserve"> the CPI reflect the best available techniques. Regarding relevance, the CPI should include all the important products that are purchased as well as reflect the current structure of those purchases in the economy.</w:t>
      </w:r>
    </w:p>
    <w:p w14:paraId="08BA6EAC" w14:textId="2021CE1E" w:rsidR="005A4EA3" w:rsidRDefault="005A4EA3" w:rsidP="00090531">
      <w:pPr>
        <w:pStyle w:val="ParagraphNumbering"/>
      </w:pPr>
      <w:r>
        <w:t xml:space="preserve">The speed with which the structure of consumer </w:t>
      </w:r>
      <w:r w:rsidR="00760C43">
        <w:t>expenditures</w:t>
      </w:r>
      <w:r>
        <w:t xml:space="preserve"> shift will vary over different time periods. During periods of rapid price change, the types and amounts of </w:t>
      </w:r>
      <w:r w:rsidR="00760C43">
        <w:t>expenditure</w:t>
      </w:r>
      <w:r>
        <w:t xml:space="preserve"> often change quickly. In such cases, the basket of items and their relative importance will shift quickly as well. It becomes important for the CPI to be able to capture these shifts </w:t>
      </w:r>
      <w:proofErr w:type="gramStart"/>
      <w:r>
        <w:t>in order for</w:t>
      </w:r>
      <w:proofErr w:type="gramEnd"/>
      <w:r>
        <w:t xml:space="preserve"> it to maintain its relevancy</w:t>
      </w:r>
      <w:r w:rsidR="00760C43">
        <w:t xml:space="preserve"> and representativity</w:t>
      </w:r>
      <w:r>
        <w:t xml:space="preserve">. National Statistical Offices (NSOs) need technical </w:t>
      </w:r>
      <w:r w:rsidR="000A450A">
        <w:t>advice on internationally</w:t>
      </w:r>
      <w:r>
        <w:t xml:space="preserve"> accepted methods and procedures for updating CPI baskets and their weights. </w:t>
      </w:r>
      <w:r w:rsidR="00D26A1E" w:rsidRPr="00D26A1E">
        <w:t>There are several steps that NSOs must take before revising the weight</w:t>
      </w:r>
      <w:r w:rsidR="00760C43">
        <w:t>ing</w:t>
      </w:r>
      <w:r w:rsidR="00D26A1E" w:rsidRPr="00D26A1E">
        <w:t xml:space="preserve"> structure using a </w:t>
      </w:r>
      <w:r w:rsidR="00760C43">
        <w:t xml:space="preserve">the most </w:t>
      </w:r>
      <w:r w:rsidR="00D26A1E" w:rsidRPr="00D26A1E">
        <w:t>recent household expenditure survey</w:t>
      </w:r>
      <w:r w:rsidR="001279F3">
        <w:t xml:space="preserve"> (HES)</w:t>
      </w:r>
      <w:r w:rsidR="00D26A1E" w:rsidRPr="00D26A1E">
        <w:t xml:space="preserve">. </w:t>
      </w:r>
      <w:r w:rsidR="00D26A1E" w:rsidRPr="00E809D8">
        <w:t xml:space="preserve">This paper discusses </w:t>
      </w:r>
      <w:r w:rsidR="00D26A1E" w:rsidRPr="00D26A1E">
        <w:t>the first steps and decisions that need to be made in introducing the new weights. Of primary importance is whether the weights should be introduced directly into the CPI or adjusted for price change between the weight reference and price reference periods</w:t>
      </w:r>
      <w:r w:rsidR="00D26A1E">
        <w:rPr>
          <w:sz w:val="24"/>
        </w:rPr>
        <w:t>.</w:t>
      </w:r>
    </w:p>
    <w:p w14:paraId="3DE32019" w14:textId="3E574977" w:rsidR="005A4EA3" w:rsidRDefault="00760C43" w:rsidP="009B2F49">
      <w:pPr>
        <w:pStyle w:val="ParagraphNumbering"/>
      </w:pPr>
      <w:r>
        <w:t>Some</w:t>
      </w:r>
      <w:r w:rsidR="005A4EA3">
        <w:t xml:space="preserve"> NSOs, particularly in </w:t>
      </w:r>
      <w:r>
        <w:t>lower capacity</w:t>
      </w:r>
      <w:r w:rsidR="005A4EA3">
        <w:t xml:space="preserve"> countries, undertake weight updates </w:t>
      </w:r>
      <w:r>
        <w:t>infrequently</w:t>
      </w:r>
      <w:r w:rsidR="00AA2F13">
        <w:t xml:space="preserve"> and, in a few cases, </w:t>
      </w:r>
      <w:r w:rsidR="005A4EA3">
        <w:t>every 10 years</w:t>
      </w:r>
      <w:r w:rsidR="006F66E4">
        <w:t xml:space="preserve"> or so</w:t>
      </w:r>
      <w:r w:rsidR="005A4EA3">
        <w:t>. Such a long interval between updates raises serious concerns about the relevance of the CPI. An example can provide a better understanding as to why NSOs need to have more frequent weight updates. Consider an item that has significant importance, such as potatoes. Assume potatoes become limited in supply and hard to find following a potato blight. The price of potatoes will rise rapidly due to their scarcity, but because the quantity of potatoes in the basket remains fixed, as prices rise</w:t>
      </w:r>
      <w:r w:rsidR="009B2F49">
        <w:t>,</w:t>
      </w:r>
      <w:r w:rsidR="005A4EA3">
        <w:t xml:space="preserve"> the share (importance) of potatoes in the basket</w:t>
      </w:r>
      <w:r w:rsidR="009B2F49">
        <w:t xml:space="preserve"> will also rise</w:t>
      </w:r>
      <w:r w:rsidR="005A4EA3">
        <w:t>. Review the following example for prices and weights for a CPI component</w:t>
      </w:r>
      <w:r w:rsidR="001279F3">
        <w:t xml:space="preserve"> called “tubers”</w:t>
      </w:r>
      <w:r w:rsidR="005A4EA3">
        <w:t>.</w:t>
      </w:r>
    </w:p>
    <w:p w14:paraId="158D6373" w14:textId="6C2CF443" w:rsidR="00AA2F13" w:rsidRDefault="00AA2F13" w:rsidP="00AA2F13">
      <w:pPr>
        <w:pStyle w:val="ParagraphNumbering"/>
        <w:numPr>
          <w:ilvl w:val="0"/>
          <w:numId w:val="0"/>
        </w:numPr>
      </w:pPr>
    </w:p>
    <w:p w14:paraId="13A3A51B" w14:textId="0801AC8B" w:rsidR="00AA2F13" w:rsidRDefault="00AA2F13" w:rsidP="00AA2F13">
      <w:pPr>
        <w:pStyle w:val="ParagraphNumbering"/>
        <w:numPr>
          <w:ilvl w:val="0"/>
          <w:numId w:val="0"/>
        </w:numPr>
      </w:pPr>
    </w:p>
    <w:p w14:paraId="4344F8A8" w14:textId="48042CA8" w:rsidR="00AA2F13" w:rsidRDefault="00AA2F13" w:rsidP="00AA2F13">
      <w:pPr>
        <w:pStyle w:val="ParagraphNumbering"/>
        <w:numPr>
          <w:ilvl w:val="0"/>
          <w:numId w:val="0"/>
        </w:numPr>
      </w:pPr>
    </w:p>
    <w:p w14:paraId="63320AE3" w14:textId="11D888D9" w:rsidR="00AA2F13" w:rsidRDefault="00AA2F13" w:rsidP="00AA2F13">
      <w:pPr>
        <w:pStyle w:val="ParagraphNumbering"/>
        <w:numPr>
          <w:ilvl w:val="0"/>
          <w:numId w:val="0"/>
        </w:numPr>
      </w:pPr>
    </w:p>
    <w:p w14:paraId="3B06B344" w14:textId="77777777" w:rsidR="00AA2F13" w:rsidRDefault="00AA2F13" w:rsidP="00B660CD">
      <w:pPr>
        <w:pStyle w:val="ParagraphNumbering"/>
        <w:numPr>
          <w:ilvl w:val="0"/>
          <w:numId w:val="0"/>
        </w:numPr>
      </w:pPr>
    </w:p>
    <w:p w14:paraId="0EE92E52" w14:textId="77777777" w:rsidR="005A4EA3" w:rsidRPr="00124EA3" w:rsidRDefault="005A4EA3" w:rsidP="005A4EA3">
      <w:pPr>
        <w:rPr>
          <w:b/>
        </w:rPr>
      </w:pPr>
      <w:r>
        <w:rPr>
          <w:b/>
        </w:rPr>
        <w:lastRenderedPageBreak/>
        <w:t>Table 1</w:t>
      </w:r>
      <w:r w:rsidRPr="00124EA3">
        <w:rPr>
          <w:b/>
        </w:rPr>
        <w:t>: Average Price, Expenditure Weights, and Expenditure Shares for CPI Tubers</w:t>
      </w:r>
    </w:p>
    <w:tbl>
      <w:tblPr>
        <w:tblW w:w="9257" w:type="dxa"/>
        <w:tblInd w:w="93" w:type="dxa"/>
        <w:tblCellMar>
          <w:left w:w="43" w:type="dxa"/>
          <w:right w:w="43" w:type="dxa"/>
        </w:tblCellMar>
        <w:tblLook w:val="04A0" w:firstRow="1" w:lastRow="0" w:firstColumn="1" w:lastColumn="0" w:noHBand="0" w:noVBand="1"/>
      </w:tblPr>
      <w:tblGrid>
        <w:gridCol w:w="1162"/>
        <w:gridCol w:w="900"/>
        <w:gridCol w:w="630"/>
        <w:gridCol w:w="720"/>
        <w:gridCol w:w="900"/>
        <w:gridCol w:w="810"/>
        <w:gridCol w:w="810"/>
        <w:gridCol w:w="900"/>
        <w:gridCol w:w="810"/>
        <w:gridCol w:w="751"/>
        <w:gridCol w:w="864"/>
      </w:tblGrid>
      <w:tr w:rsidR="00112E74" w:rsidRPr="008A78D0" w14:paraId="3126CA32" w14:textId="77777777" w:rsidTr="00CF51A7">
        <w:trPr>
          <w:trHeight w:val="300"/>
        </w:trPr>
        <w:tc>
          <w:tcPr>
            <w:tcW w:w="1162" w:type="dxa"/>
            <w:tcBorders>
              <w:top w:val="single" w:sz="4" w:space="0" w:color="auto"/>
              <w:left w:val="single" w:sz="4" w:space="0" w:color="auto"/>
              <w:bottom w:val="nil"/>
              <w:right w:val="single" w:sz="4" w:space="0" w:color="auto"/>
            </w:tcBorders>
            <w:shd w:val="clear" w:color="auto" w:fill="auto"/>
            <w:noWrap/>
            <w:vAlign w:val="bottom"/>
            <w:hideMark/>
          </w:tcPr>
          <w:p w14:paraId="22A2B8F6" w14:textId="77777777" w:rsidR="00112E74" w:rsidRPr="003C4AF4" w:rsidRDefault="00112E74" w:rsidP="005A4EA3">
            <w:pPr>
              <w:rPr>
                <w:rFonts w:eastAsia="Times New Roman" w:cs="Times New Roman"/>
                <w:b/>
                <w:bCs/>
                <w:color w:val="000000"/>
                <w:sz w:val="20"/>
                <w:szCs w:val="20"/>
              </w:rPr>
            </w:pPr>
            <w:r w:rsidRPr="003C4AF4">
              <w:rPr>
                <w:rFonts w:eastAsia="Times New Roman" w:cs="Times New Roman"/>
                <w:b/>
                <w:bCs/>
                <w:color w:val="000000"/>
                <w:sz w:val="20"/>
                <w:szCs w:val="20"/>
              </w:rPr>
              <w:t> </w:t>
            </w:r>
          </w:p>
        </w:tc>
        <w:tc>
          <w:tcPr>
            <w:tcW w:w="900" w:type="dxa"/>
            <w:tcBorders>
              <w:top w:val="single" w:sz="4" w:space="0" w:color="auto"/>
              <w:left w:val="nil"/>
              <w:bottom w:val="nil"/>
              <w:right w:val="single" w:sz="4" w:space="0" w:color="auto"/>
            </w:tcBorders>
          </w:tcPr>
          <w:p w14:paraId="19744F27" w14:textId="729E7141"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HES Quantity</w:t>
            </w:r>
            <w:r w:rsidR="00AA2F13">
              <w:rPr>
                <w:rFonts w:eastAsia="Times New Roman" w:cs="Times New Roman"/>
                <w:b/>
                <w:bCs/>
                <w:color w:val="000000"/>
                <w:sz w:val="20"/>
                <w:szCs w:val="20"/>
              </w:rPr>
              <w:t xml:space="preserve"> in Kg</w:t>
            </w:r>
          </w:p>
        </w:tc>
        <w:tc>
          <w:tcPr>
            <w:tcW w:w="630" w:type="dxa"/>
            <w:tcBorders>
              <w:top w:val="single" w:sz="4" w:space="0" w:color="auto"/>
              <w:left w:val="single" w:sz="4" w:space="0" w:color="auto"/>
              <w:bottom w:val="nil"/>
              <w:right w:val="single" w:sz="4" w:space="0" w:color="auto"/>
            </w:tcBorders>
            <w:shd w:val="clear" w:color="auto" w:fill="auto"/>
            <w:noWrap/>
            <w:vAlign w:val="bottom"/>
            <w:hideMark/>
          </w:tcPr>
          <w:p w14:paraId="579E7F8C" w14:textId="12CB39C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Avg. Price</w:t>
            </w:r>
          </w:p>
        </w:tc>
        <w:tc>
          <w:tcPr>
            <w:tcW w:w="720" w:type="dxa"/>
            <w:tcBorders>
              <w:top w:val="single" w:sz="4" w:space="0" w:color="auto"/>
              <w:left w:val="nil"/>
              <w:bottom w:val="nil"/>
              <w:right w:val="single" w:sz="4" w:space="0" w:color="auto"/>
            </w:tcBorders>
            <w:shd w:val="clear" w:color="auto" w:fill="auto"/>
            <w:noWrap/>
            <w:vAlign w:val="bottom"/>
            <w:hideMark/>
          </w:tcPr>
          <w:p w14:paraId="768FF0F4" w14:textId="7777777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HES Weight</w:t>
            </w:r>
          </w:p>
        </w:tc>
        <w:tc>
          <w:tcPr>
            <w:tcW w:w="900" w:type="dxa"/>
            <w:tcBorders>
              <w:top w:val="single" w:sz="4" w:space="0" w:color="auto"/>
              <w:left w:val="nil"/>
              <w:bottom w:val="nil"/>
              <w:right w:val="single" w:sz="4" w:space="0" w:color="auto"/>
            </w:tcBorders>
            <w:shd w:val="clear" w:color="auto" w:fill="auto"/>
            <w:noWrap/>
            <w:vAlign w:val="bottom"/>
            <w:hideMark/>
          </w:tcPr>
          <w:p w14:paraId="0B1BAB58" w14:textId="2A76CC2D"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Share (</w:t>
            </w:r>
            <w:r>
              <w:rPr>
                <w:rFonts w:eastAsia="Times New Roman" w:cs="Times New Roman"/>
                <w:b/>
                <w:bCs/>
                <w:color w:val="000000"/>
                <w:sz w:val="20"/>
                <w:szCs w:val="20"/>
              </w:rPr>
              <w:t>percent</w:t>
            </w:r>
            <w:r w:rsidRPr="003C4AF4">
              <w:rPr>
                <w:rFonts w:eastAsia="Times New Roman" w:cs="Times New Roman"/>
                <w:b/>
                <w:bCs/>
                <w:color w:val="000000"/>
                <w:sz w:val="20"/>
                <w:szCs w:val="20"/>
              </w:rPr>
              <w:t>)</w:t>
            </w:r>
          </w:p>
        </w:tc>
        <w:tc>
          <w:tcPr>
            <w:tcW w:w="810" w:type="dxa"/>
            <w:tcBorders>
              <w:top w:val="single" w:sz="4" w:space="0" w:color="auto"/>
              <w:left w:val="nil"/>
              <w:bottom w:val="nil"/>
              <w:right w:val="single" w:sz="4" w:space="0" w:color="auto"/>
            </w:tcBorders>
            <w:shd w:val="clear" w:color="auto" w:fill="auto"/>
            <w:noWrap/>
            <w:vAlign w:val="bottom"/>
            <w:hideMark/>
          </w:tcPr>
          <w:p w14:paraId="3F88F542" w14:textId="7777777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Avg. Price</w:t>
            </w:r>
          </w:p>
        </w:tc>
        <w:tc>
          <w:tcPr>
            <w:tcW w:w="810" w:type="dxa"/>
            <w:tcBorders>
              <w:top w:val="single" w:sz="4" w:space="0" w:color="auto"/>
              <w:left w:val="nil"/>
              <w:bottom w:val="nil"/>
              <w:right w:val="single" w:sz="4" w:space="0" w:color="auto"/>
            </w:tcBorders>
            <w:shd w:val="clear" w:color="auto" w:fill="auto"/>
            <w:noWrap/>
            <w:vAlign w:val="bottom"/>
            <w:hideMark/>
          </w:tcPr>
          <w:p w14:paraId="0435B7DA" w14:textId="7777777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Cost Weight</w:t>
            </w:r>
          </w:p>
        </w:tc>
        <w:tc>
          <w:tcPr>
            <w:tcW w:w="900" w:type="dxa"/>
            <w:tcBorders>
              <w:top w:val="single" w:sz="4" w:space="0" w:color="auto"/>
              <w:left w:val="nil"/>
              <w:bottom w:val="nil"/>
              <w:right w:val="single" w:sz="4" w:space="0" w:color="auto"/>
            </w:tcBorders>
            <w:shd w:val="clear" w:color="auto" w:fill="auto"/>
            <w:noWrap/>
            <w:vAlign w:val="bottom"/>
            <w:hideMark/>
          </w:tcPr>
          <w:p w14:paraId="1BDAD5A1" w14:textId="1C394255"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Share (</w:t>
            </w:r>
            <w:r>
              <w:rPr>
                <w:rFonts w:eastAsia="Times New Roman" w:cs="Times New Roman"/>
                <w:b/>
                <w:bCs/>
                <w:color w:val="000000"/>
                <w:sz w:val="20"/>
                <w:szCs w:val="20"/>
              </w:rPr>
              <w:t>percent</w:t>
            </w:r>
            <w:r w:rsidRPr="003C4AF4">
              <w:rPr>
                <w:rFonts w:eastAsia="Times New Roman" w:cs="Times New Roman"/>
                <w:b/>
                <w:bCs/>
                <w:color w:val="000000"/>
                <w:sz w:val="20"/>
                <w:szCs w:val="20"/>
              </w:rPr>
              <w:t>)</w:t>
            </w:r>
          </w:p>
        </w:tc>
        <w:tc>
          <w:tcPr>
            <w:tcW w:w="810" w:type="dxa"/>
            <w:tcBorders>
              <w:top w:val="single" w:sz="4" w:space="0" w:color="auto"/>
              <w:left w:val="nil"/>
              <w:bottom w:val="nil"/>
              <w:right w:val="single" w:sz="4" w:space="0" w:color="auto"/>
            </w:tcBorders>
            <w:shd w:val="clear" w:color="auto" w:fill="auto"/>
            <w:noWrap/>
            <w:vAlign w:val="bottom"/>
            <w:hideMark/>
          </w:tcPr>
          <w:p w14:paraId="35423424" w14:textId="7777777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Avg. Price</w:t>
            </w:r>
          </w:p>
        </w:tc>
        <w:tc>
          <w:tcPr>
            <w:tcW w:w="751" w:type="dxa"/>
            <w:tcBorders>
              <w:top w:val="single" w:sz="4" w:space="0" w:color="auto"/>
              <w:left w:val="nil"/>
              <w:bottom w:val="nil"/>
              <w:right w:val="single" w:sz="4" w:space="0" w:color="auto"/>
            </w:tcBorders>
            <w:shd w:val="clear" w:color="auto" w:fill="auto"/>
            <w:noWrap/>
            <w:vAlign w:val="bottom"/>
            <w:hideMark/>
          </w:tcPr>
          <w:p w14:paraId="47D71AD3" w14:textId="77777777"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Cost Weight</w:t>
            </w:r>
          </w:p>
        </w:tc>
        <w:tc>
          <w:tcPr>
            <w:tcW w:w="864" w:type="dxa"/>
            <w:tcBorders>
              <w:top w:val="single" w:sz="4" w:space="0" w:color="auto"/>
              <w:left w:val="nil"/>
              <w:bottom w:val="nil"/>
              <w:right w:val="single" w:sz="4" w:space="0" w:color="auto"/>
            </w:tcBorders>
            <w:shd w:val="clear" w:color="auto" w:fill="auto"/>
            <w:noWrap/>
            <w:vAlign w:val="bottom"/>
            <w:hideMark/>
          </w:tcPr>
          <w:p w14:paraId="222CF103" w14:textId="72798D15" w:rsidR="00112E74" w:rsidRPr="003C4AF4" w:rsidRDefault="00112E74" w:rsidP="00155D0C">
            <w:pPr>
              <w:jc w:val="center"/>
              <w:rPr>
                <w:rFonts w:eastAsia="Times New Roman" w:cs="Times New Roman"/>
                <w:b/>
                <w:bCs/>
                <w:color w:val="000000"/>
                <w:sz w:val="20"/>
                <w:szCs w:val="20"/>
              </w:rPr>
            </w:pPr>
            <w:r w:rsidRPr="003C4AF4">
              <w:rPr>
                <w:rFonts w:eastAsia="Times New Roman" w:cs="Times New Roman"/>
                <w:b/>
                <w:bCs/>
                <w:color w:val="000000"/>
                <w:sz w:val="20"/>
                <w:szCs w:val="20"/>
              </w:rPr>
              <w:t>Share (</w:t>
            </w:r>
            <w:r>
              <w:rPr>
                <w:rFonts w:eastAsia="Times New Roman" w:cs="Times New Roman"/>
                <w:b/>
                <w:bCs/>
                <w:color w:val="000000"/>
                <w:sz w:val="20"/>
                <w:szCs w:val="20"/>
              </w:rPr>
              <w:t>percent</w:t>
            </w:r>
            <w:r w:rsidRPr="003C4AF4">
              <w:rPr>
                <w:rFonts w:eastAsia="Times New Roman" w:cs="Times New Roman"/>
                <w:b/>
                <w:bCs/>
                <w:color w:val="000000"/>
                <w:sz w:val="20"/>
                <w:szCs w:val="20"/>
              </w:rPr>
              <w:t>)</w:t>
            </w:r>
          </w:p>
        </w:tc>
      </w:tr>
      <w:tr w:rsidR="00112E74" w:rsidRPr="008A78D0" w14:paraId="42F98887" w14:textId="77777777" w:rsidTr="00CF51A7">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827AC4B" w14:textId="77777777" w:rsidR="00112E74" w:rsidRPr="003C4AF4" w:rsidRDefault="00112E74" w:rsidP="005A4EA3">
            <w:pPr>
              <w:jc w:val="center"/>
              <w:rPr>
                <w:rFonts w:eastAsia="Times New Roman" w:cs="Times New Roman"/>
                <w:b/>
                <w:bCs/>
                <w:color w:val="000000"/>
                <w:sz w:val="20"/>
                <w:szCs w:val="20"/>
              </w:rPr>
            </w:pPr>
            <w:r w:rsidRPr="003C4AF4">
              <w:rPr>
                <w:rFonts w:eastAsia="Times New Roman" w:cs="Times New Roman"/>
                <w:b/>
                <w:bCs/>
                <w:color w:val="000000"/>
                <w:sz w:val="20"/>
                <w:szCs w:val="20"/>
              </w:rPr>
              <w:t>Tuber Items</w:t>
            </w:r>
          </w:p>
        </w:tc>
        <w:tc>
          <w:tcPr>
            <w:tcW w:w="900" w:type="dxa"/>
            <w:tcBorders>
              <w:top w:val="nil"/>
              <w:left w:val="nil"/>
              <w:bottom w:val="single" w:sz="4" w:space="0" w:color="auto"/>
              <w:right w:val="single" w:sz="4" w:space="0" w:color="auto"/>
            </w:tcBorders>
          </w:tcPr>
          <w:p w14:paraId="7E45A4CE" w14:textId="2A0EC5EB" w:rsidR="00112E74" w:rsidRDefault="00CF51A7" w:rsidP="00155D0C">
            <w:pPr>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50981B3" w14:textId="1E0D4610"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720" w:type="dxa"/>
            <w:tcBorders>
              <w:top w:val="nil"/>
              <w:left w:val="nil"/>
              <w:bottom w:val="single" w:sz="4" w:space="0" w:color="auto"/>
              <w:right w:val="single" w:sz="4" w:space="0" w:color="auto"/>
            </w:tcBorders>
            <w:shd w:val="clear" w:color="auto" w:fill="auto"/>
            <w:noWrap/>
            <w:vAlign w:val="bottom"/>
            <w:hideMark/>
          </w:tcPr>
          <w:p w14:paraId="38C1A2AB" w14:textId="71BBE537"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900" w:type="dxa"/>
            <w:tcBorders>
              <w:top w:val="nil"/>
              <w:left w:val="nil"/>
              <w:bottom w:val="single" w:sz="4" w:space="0" w:color="auto"/>
              <w:right w:val="single" w:sz="4" w:space="0" w:color="auto"/>
            </w:tcBorders>
            <w:shd w:val="clear" w:color="auto" w:fill="auto"/>
            <w:noWrap/>
            <w:vAlign w:val="bottom"/>
            <w:hideMark/>
          </w:tcPr>
          <w:p w14:paraId="778A5083" w14:textId="73F4054E"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2017</w:t>
            </w:r>
          </w:p>
        </w:tc>
        <w:tc>
          <w:tcPr>
            <w:tcW w:w="810" w:type="dxa"/>
            <w:tcBorders>
              <w:top w:val="nil"/>
              <w:left w:val="nil"/>
              <w:bottom w:val="single" w:sz="4" w:space="0" w:color="auto"/>
              <w:right w:val="single" w:sz="4" w:space="0" w:color="auto"/>
            </w:tcBorders>
            <w:shd w:val="clear" w:color="auto" w:fill="auto"/>
            <w:noWrap/>
            <w:vAlign w:val="bottom"/>
            <w:hideMark/>
          </w:tcPr>
          <w:p w14:paraId="103F9BFE" w14:textId="08E18FB6"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2018</w:t>
            </w:r>
          </w:p>
        </w:tc>
        <w:tc>
          <w:tcPr>
            <w:tcW w:w="810" w:type="dxa"/>
            <w:tcBorders>
              <w:top w:val="nil"/>
              <w:left w:val="nil"/>
              <w:bottom w:val="single" w:sz="4" w:space="0" w:color="auto"/>
              <w:right w:val="single" w:sz="4" w:space="0" w:color="auto"/>
            </w:tcBorders>
            <w:shd w:val="clear" w:color="auto" w:fill="auto"/>
            <w:noWrap/>
            <w:vAlign w:val="bottom"/>
            <w:hideMark/>
          </w:tcPr>
          <w:p w14:paraId="7350100D" w14:textId="17E3D98D"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2018</w:t>
            </w:r>
          </w:p>
        </w:tc>
        <w:tc>
          <w:tcPr>
            <w:tcW w:w="900" w:type="dxa"/>
            <w:tcBorders>
              <w:top w:val="nil"/>
              <w:left w:val="nil"/>
              <w:bottom w:val="single" w:sz="4" w:space="0" w:color="auto"/>
              <w:right w:val="single" w:sz="4" w:space="0" w:color="auto"/>
            </w:tcBorders>
            <w:shd w:val="clear" w:color="auto" w:fill="auto"/>
            <w:noWrap/>
            <w:vAlign w:val="bottom"/>
            <w:hideMark/>
          </w:tcPr>
          <w:p w14:paraId="6184A613" w14:textId="5B2F5345"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2018</w:t>
            </w:r>
          </w:p>
        </w:tc>
        <w:tc>
          <w:tcPr>
            <w:tcW w:w="810" w:type="dxa"/>
            <w:tcBorders>
              <w:top w:val="nil"/>
              <w:left w:val="nil"/>
              <w:bottom w:val="single" w:sz="4" w:space="0" w:color="auto"/>
              <w:right w:val="single" w:sz="4" w:space="0" w:color="auto"/>
            </w:tcBorders>
            <w:shd w:val="clear" w:color="auto" w:fill="auto"/>
            <w:noWrap/>
            <w:vAlign w:val="bottom"/>
            <w:hideMark/>
          </w:tcPr>
          <w:p w14:paraId="38E421B6" w14:textId="58CF3517"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2019</w:t>
            </w:r>
          </w:p>
        </w:tc>
        <w:tc>
          <w:tcPr>
            <w:tcW w:w="751" w:type="dxa"/>
            <w:tcBorders>
              <w:top w:val="nil"/>
              <w:left w:val="nil"/>
              <w:bottom w:val="single" w:sz="4" w:space="0" w:color="auto"/>
              <w:right w:val="single" w:sz="4" w:space="0" w:color="auto"/>
            </w:tcBorders>
            <w:shd w:val="clear" w:color="auto" w:fill="auto"/>
            <w:noWrap/>
            <w:vAlign w:val="bottom"/>
            <w:hideMark/>
          </w:tcPr>
          <w:p w14:paraId="22EE11CB" w14:textId="1D8C2CA5"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222D67F3" w14:textId="0CB559C9" w:rsidR="00112E74" w:rsidRPr="003C4AF4" w:rsidRDefault="00112E74" w:rsidP="00155D0C">
            <w:pPr>
              <w:jc w:val="center"/>
              <w:rPr>
                <w:rFonts w:eastAsia="Times New Roman" w:cs="Times New Roman"/>
                <w:b/>
                <w:bCs/>
                <w:color w:val="000000"/>
                <w:sz w:val="20"/>
                <w:szCs w:val="20"/>
              </w:rPr>
            </w:pPr>
            <w:r>
              <w:rPr>
                <w:rFonts w:eastAsia="Times New Roman" w:cs="Times New Roman"/>
                <w:b/>
                <w:bCs/>
                <w:color w:val="000000"/>
                <w:sz w:val="20"/>
                <w:szCs w:val="20"/>
              </w:rPr>
              <w:t>2019</w:t>
            </w:r>
          </w:p>
        </w:tc>
      </w:tr>
      <w:tr w:rsidR="00112E74" w:rsidRPr="008A78D0" w14:paraId="3078F1E4" w14:textId="77777777" w:rsidTr="00CF51A7">
        <w:trPr>
          <w:trHeight w:val="300"/>
        </w:trPr>
        <w:tc>
          <w:tcPr>
            <w:tcW w:w="1162" w:type="dxa"/>
            <w:tcBorders>
              <w:top w:val="nil"/>
              <w:left w:val="single" w:sz="4" w:space="0" w:color="auto"/>
              <w:bottom w:val="nil"/>
              <w:right w:val="single" w:sz="4" w:space="0" w:color="auto"/>
            </w:tcBorders>
            <w:shd w:val="clear" w:color="auto" w:fill="auto"/>
            <w:noWrap/>
            <w:vAlign w:val="bottom"/>
            <w:hideMark/>
          </w:tcPr>
          <w:p w14:paraId="79F7862B" w14:textId="77777777" w:rsidR="00112E74" w:rsidRPr="003C4AF4" w:rsidRDefault="00112E74" w:rsidP="005A4EA3">
            <w:pPr>
              <w:rPr>
                <w:rFonts w:eastAsia="Times New Roman" w:cs="Times New Roman"/>
                <w:sz w:val="20"/>
                <w:szCs w:val="20"/>
              </w:rPr>
            </w:pPr>
            <w:r w:rsidRPr="003C4AF4">
              <w:rPr>
                <w:rFonts w:eastAsia="Times New Roman" w:cs="Times New Roman"/>
                <w:sz w:val="20"/>
                <w:szCs w:val="20"/>
              </w:rPr>
              <w:t>Potatoes</w:t>
            </w:r>
          </w:p>
        </w:tc>
        <w:tc>
          <w:tcPr>
            <w:tcW w:w="900" w:type="dxa"/>
            <w:tcBorders>
              <w:top w:val="nil"/>
              <w:left w:val="nil"/>
              <w:bottom w:val="nil"/>
              <w:right w:val="single" w:sz="4" w:space="0" w:color="auto"/>
            </w:tcBorders>
            <w:vAlign w:val="bottom"/>
          </w:tcPr>
          <w:p w14:paraId="69E260E5" w14:textId="0BEA9A2B" w:rsidR="00112E74" w:rsidRPr="003C4AF4" w:rsidRDefault="00CF51A7" w:rsidP="005A4EA3">
            <w:pPr>
              <w:jc w:val="right"/>
              <w:rPr>
                <w:rFonts w:eastAsia="Times New Roman" w:cs="Times New Roman"/>
                <w:sz w:val="20"/>
                <w:szCs w:val="20"/>
              </w:rPr>
            </w:pPr>
            <w:r>
              <w:rPr>
                <w:rFonts w:eastAsia="Times New Roman" w:cs="Times New Roman"/>
                <w:sz w:val="20"/>
                <w:szCs w:val="20"/>
              </w:rPr>
              <w:t>32.5</w:t>
            </w:r>
          </w:p>
        </w:tc>
        <w:tc>
          <w:tcPr>
            <w:tcW w:w="630" w:type="dxa"/>
            <w:tcBorders>
              <w:top w:val="nil"/>
              <w:left w:val="single" w:sz="4" w:space="0" w:color="auto"/>
              <w:bottom w:val="nil"/>
              <w:right w:val="nil"/>
            </w:tcBorders>
            <w:shd w:val="clear" w:color="auto" w:fill="auto"/>
            <w:noWrap/>
            <w:vAlign w:val="bottom"/>
            <w:hideMark/>
          </w:tcPr>
          <w:p w14:paraId="27E32BBD" w14:textId="50D08099"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3.08</w:t>
            </w:r>
          </w:p>
        </w:tc>
        <w:tc>
          <w:tcPr>
            <w:tcW w:w="720" w:type="dxa"/>
            <w:tcBorders>
              <w:top w:val="nil"/>
              <w:left w:val="nil"/>
              <w:bottom w:val="nil"/>
              <w:right w:val="nil"/>
            </w:tcBorders>
            <w:shd w:val="clear" w:color="auto" w:fill="auto"/>
            <w:noWrap/>
            <w:vAlign w:val="bottom"/>
            <w:hideMark/>
          </w:tcPr>
          <w:p w14:paraId="5111BEE9"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hideMark/>
          </w:tcPr>
          <w:p w14:paraId="30D5D4E6"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50.0</w:t>
            </w:r>
          </w:p>
        </w:tc>
        <w:tc>
          <w:tcPr>
            <w:tcW w:w="810" w:type="dxa"/>
            <w:tcBorders>
              <w:top w:val="nil"/>
              <w:left w:val="nil"/>
              <w:bottom w:val="nil"/>
              <w:right w:val="nil"/>
            </w:tcBorders>
            <w:shd w:val="clear" w:color="auto" w:fill="auto"/>
            <w:noWrap/>
            <w:vAlign w:val="bottom"/>
            <w:hideMark/>
          </w:tcPr>
          <w:p w14:paraId="165556BF" w14:textId="77777777" w:rsidR="00112E74" w:rsidRPr="008A78D0" w:rsidRDefault="00112E74" w:rsidP="005A4EA3">
            <w:pPr>
              <w:jc w:val="right"/>
              <w:rPr>
                <w:rFonts w:cs="Times New Roman"/>
                <w:sz w:val="20"/>
                <w:szCs w:val="20"/>
              </w:rPr>
            </w:pPr>
            <w:r w:rsidRPr="008A78D0">
              <w:rPr>
                <w:rFonts w:cs="Times New Roman"/>
                <w:sz w:val="20"/>
                <w:szCs w:val="20"/>
              </w:rPr>
              <w:t>6.16</w:t>
            </w:r>
          </w:p>
        </w:tc>
        <w:tc>
          <w:tcPr>
            <w:tcW w:w="810" w:type="dxa"/>
            <w:tcBorders>
              <w:top w:val="nil"/>
              <w:left w:val="nil"/>
              <w:bottom w:val="nil"/>
              <w:right w:val="nil"/>
            </w:tcBorders>
            <w:shd w:val="clear" w:color="auto" w:fill="auto"/>
            <w:noWrap/>
            <w:vAlign w:val="bottom"/>
            <w:hideMark/>
          </w:tcPr>
          <w:p w14:paraId="62ED9309"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200</w:t>
            </w:r>
          </w:p>
        </w:tc>
        <w:tc>
          <w:tcPr>
            <w:tcW w:w="900" w:type="dxa"/>
            <w:tcBorders>
              <w:top w:val="nil"/>
              <w:left w:val="nil"/>
              <w:bottom w:val="nil"/>
              <w:right w:val="single" w:sz="4" w:space="0" w:color="auto"/>
            </w:tcBorders>
            <w:shd w:val="clear" w:color="auto" w:fill="auto"/>
            <w:noWrap/>
            <w:vAlign w:val="bottom"/>
            <w:hideMark/>
          </w:tcPr>
          <w:p w14:paraId="4F2E9C35" w14:textId="77777777" w:rsidR="00112E74" w:rsidRPr="008A78D0" w:rsidRDefault="00112E74" w:rsidP="005A4EA3">
            <w:pPr>
              <w:jc w:val="right"/>
              <w:rPr>
                <w:rFonts w:cs="Times New Roman"/>
                <w:sz w:val="20"/>
                <w:szCs w:val="20"/>
              </w:rPr>
            </w:pPr>
            <w:r w:rsidRPr="008A78D0">
              <w:rPr>
                <w:rFonts w:cs="Times New Roman"/>
                <w:sz w:val="20"/>
                <w:szCs w:val="20"/>
              </w:rPr>
              <w:t>64.7</w:t>
            </w:r>
          </w:p>
        </w:tc>
        <w:tc>
          <w:tcPr>
            <w:tcW w:w="810" w:type="dxa"/>
            <w:tcBorders>
              <w:top w:val="nil"/>
              <w:left w:val="nil"/>
              <w:bottom w:val="nil"/>
              <w:right w:val="nil"/>
            </w:tcBorders>
            <w:shd w:val="clear" w:color="auto" w:fill="auto"/>
            <w:noWrap/>
            <w:vAlign w:val="bottom"/>
            <w:hideMark/>
          </w:tcPr>
          <w:p w14:paraId="4A2B7239" w14:textId="77777777" w:rsidR="00112E74" w:rsidRPr="008A78D0" w:rsidRDefault="00112E74" w:rsidP="005A4EA3">
            <w:pPr>
              <w:jc w:val="right"/>
              <w:rPr>
                <w:rFonts w:cs="Times New Roman"/>
                <w:sz w:val="20"/>
                <w:szCs w:val="20"/>
              </w:rPr>
            </w:pPr>
            <w:r w:rsidRPr="008A78D0">
              <w:rPr>
                <w:rFonts w:cs="Times New Roman"/>
                <w:sz w:val="20"/>
                <w:szCs w:val="20"/>
              </w:rPr>
              <w:t>9.24</w:t>
            </w:r>
          </w:p>
        </w:tc>
        <w:tc>
          <w:tcPr>
            <w:tcW w:w="751" w:type="dxa"/>
            <w:tcBorders>
              <w:top w:val="nil"/>
              <w:left w:val="nil"/>
              <w:bottom w:val="nil"/>
              <w:right w:val="nil"/>
            </w:tcBorders>
            <w:shd w:val="clear" w:color="auto" w:fill="auto"/>
            <w:noWrap/>
            <w:vAlign w:val="bottom"/>
            <w:hideMark/>
          </w:tcPr>
          <w:p w14:paraId="7FC9CDCB"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300</w:t>
            </w:r>
          </w:p>
        </w:tc>
        <w:tc>
          <w:tcPr>
            <w:tcW w:w="864" w:type="dxa"/>
            <w:tcBorders>
              <w:top w:val="nil"/>
              <w:left w:val="nil"/>
              <w:bottom w:val="nil"/>
              <w:right w:val="single" w:sz="4" w:space="0" w:color="auto"/>
            </w:tcBorders>
            <w:shd w:val="clear" w:color="auto" w:fill="auto"/>
            <w:noWrap/>
            <w:vAlign w:val="bottom"/>
            <w:hideMark/>
          </w:tcPr>
          <w:p w14:paraId="7BE8E3D2" w14:textId="77777777" w:rsidR="00112E74" w:rsidRPr="008A78D0" w:rsidRDefault="00112E74" w:rsidP="005A4EA3">
            <w:pPr>
              <w:jc w:val="right"/>
              <w:rPr>
                <w:rFonts w:cs="Times New Roman"/>
                <w:color w:val="000000"/>
                <w:sz w:val="20"/>
                <w:szCs w:val="20"/>
              </w:rPr>
            </w:pPr>
            <w:r w:rsidRPr="00287DE4">
              <w:rPr>
                <w:rFonts w:cs="Times New Roman"/>
                <w:color w:val="000000"/>
                <w:sz w:val="20"/>
                <w:szCs w:val="20"/>
              </w:rPr>
              <w:t xml:space="preserve">69.9 </w:t>
            </w:r>
          </w:p>
        </w:tc>
      </w:tr>
      <w:tr w:rsidR="00112E74" w:rsidRPr="008A78D0" w14:paraId="68456DB8" w14:textId="77777777" w:rsidTr="00CF51A7">
        <w:trPr>
          <w:trHeight w:val="300"/>
        </w:trPr>
        <w:tc>
          <w:tcPr>
            <w:tcW w:w="1162" w:type="dxa"/>
            <w:tcBorders>
              <w:top w:val="nil"/>
              <w:left w:val="single" w:sz="4" w:space="0" w:color="auto"/>
              <w:bottom w:val="nil"/>
              <w:right w:val="single" w:sz="4" w:space="0" w:color="auto"/>
            </w:tcBorders>
            <w:shd w:val="clear" w:color="auto" w:fill="auto"/>
            <w:noWrap/>
            <w:vAlign w:val="bottom"/>
            <w:hideMark/>
          </w:tcPr>
          <w:p w14:paraId="2AE48262" w14:textId="77777777" w:rsidR="00112E74" w:rsidRPr="003C4AF4" w:rsidRDefault="00112E74" w:rsidP="005A4EA3">
            <w:pPr>
              <w:rPr>
                <w:rFonts w:eastAsia="Times New Roman" w:cs="Times New Roman"/>
                <w:sz w:val="20"/>
                <w:szCs w:val="20"/>
              </w:rPr>
            </w:pPr>
            <w:r w:rsidRPr="003C4AF4">
              <w:rPr>
                <w:rFonts w:eastAsia="Times New Roman" w:cs="Times New Roman"/>
                <w:sz w:val="20"/>
                <w:szCs w:val="20"/>
              </w:rPr>
              <w:t>Yams</w:t>
            </w:r>
          </w:p>
        </w:tc>
        <w:tc>
          <w:tcPr>
            <w:tcW w:w="900" w:type="dxa"/>
            <w:tcBorders>
              <w:top w:val="nil"/>
              <w:left w:val="nil"/>
              <w:bottom w:val="nil"/>
              <w:right w:val="single" w:sz="4" w:space="0" w:color="auto"/>
            </w:tcBorders>
            <w:vAlign w:val="bottom"/>
          </w:tcPr>
          <w:p w14:paraId="6251FF7F" w14:textId="79BAB71F" w:rsidR="00112E74" w:rsidRPr="003C4AF4" w:rsidRDefault="00CF51A7" w:rsidP="005A4EA3">
            <w:pPr>
              <w:jc w:val="right"/>
              <w:rPr>
                <w:rFonts w:eastAsia="Times New Roman" w:cs="Times New Roman"/>
                <w:sz w:val="20"/>
                <w:szCs w:val="20"/>
              </w:rPr>
            </w:pPr>
            <w:r>
              <w:rPr>
                <w:rFonts w:eastAsia="Times New Roman" w:cs="Times New Roman"/>
                <w:sz w:val="20"/>
                <w:szCs w:val="20"/>
              </w:rPr>
              <w:t>32.5</w:t>
            </w:r>
          </w:p>
        </w:tc>
        <w:tc>
          <w:tcPr>
            <w:tcW w:w="630" w:type="dxa"/>
            <w:tcBorders>
              <w:top w:val="nil"/>
              <w:left w:val="single" w:sz="4" w:space="0" w:color="auto"/>
              <w:bottom w:val="nil"/>
              <w:right w:val="nil"/>
            </w:tcBorders>
            <w:shd w:val="clear" w:color="auto" w:fill="auto"/>
            <w:noWrap/>
            <w:vAlign w:val="bottom"/>
            <w:hideMark/>
          </w:tcPr>
          <w:p w14:paraId="1B6AB92E" w14:textId="2CAC1FF0"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2.05</w:t>
            </w:r>
          </w:p>
        </w:tc>
        <w:tc>
          <w:tcPr>
            <w:tcW w:w="720" w:type="dxa"/>
            <w:tcBorders>
              <w:top w:val="nil"/>
              <w:left w:val="nil"/>
              <w:bottom w:val="nil"/>
              <w:right w:val="nil"/>
            </w:tcBorders>
            <w:shd w:val="clear" w:color="auto" w:fill="auto"/>
            <w:noWrap/>
            <w:vAlign w:val="bottom"/>
            <w:hideMark/>
          </w:tcPr>
          <w:p w14:paraId="684EC970"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50</w:t>
            </w:r>
          </w:p>
        </w:tc>
        <w:tc>
          <w:tcPr>
            <w:tcW w:w="900" w:type="dxa"/>
            <w:tcBorders>
              <w:top w:val="nil"/>
              <w:left w:val="nil"/>
              <w:bottom w:val="nil"/>
              <w:right w:val="single" w:sz="4" w:space="0" w:color="auto"/>
            </w:tcBorders>
            <w:shd w:val="clear" w:color="auto" w:fill="auto"/>
            <w:noWrap/>
            <w:vAlign w:val="bottom"/>
            <w:hideMark/>
          </w:tcPr>
          <w:p w14:paraId="3192C294"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25.0</w:t>
            </w:r>
          </w:p>
        </w:tc>
        <w:tc>
          <w:tcPr>
            <w:tcW w:w="810" w:type="dxa"/>
            <w:tcBorders>
              <w:top w:val="nil"/>
              <w:left w:val="nil"/>
              <w:bottom w:val="nil"/>
              <w:right w:val="nil"/>
            </w:tcBorders>
            <w:shd w:val="clear" w:color="auto" w:fill="auto"/>
            <w:noWrap/>
            <w:vAlign w:val="bottom"/>
            <w:hideMark/>
          </w:tcPr>
          <w:p w14:paraId="663F6907" w14:textId="77777777" w:rsidR="00112E74" w:rsidRPr="008A78D0" w:rsidRDefault="00112E74" w:rsidP="005A4EA3">
            <w:pPr>
              <w:jc w:val="right"/>
              <w:rPr>
                <w:rFonts w:cs="Times New Roman"/>
                <w:sz w:val="20"/>
                <w:szCs w:val="20"/>
              </w:rPr>
            </w:pPr>
            <w:r w:rsidRPr="008A78D0">
              <w:rPr>
                <w:rFonts w:cs="Times New Roman"/>
                <w:sz w:val="20"/>
                <w:szCs w:val="20"/>
              </w:rPr>
              <w:t>2.18</w:t>
            </w:r>
          </w:p>
        </w:tc>
        <w:tc>
          <w:tcPr>
            <w:tcW w:w="810" w:type="dxa"/>
            <w:tcBorders>
              <w:top w:val="nil"/>
              <w:left w:val="nil"/>
              <w:bottom w:val="nil"/>
              <w:right w:val="nil"/>
            </w:tcBorders>
            <w:shd w:val="clear" w:color="auto" w:fill="auto"/>
            <w:noWrap/>
            <w:vAlign w:val="bottom"/>
            <w:hideMark/>
          </w:tcPr>
          <w:p w14:paraId="29AD1367"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53</w:t>
            </w:r>
          </w:p>
        </w:tc>
        <w:tc>
          <w:tcPr>
            <w:tcW w:w="900" w:type="dxa"/>
            <w:tcBorders>
              <w:top w:val="nil"/>
              <w:left w:val="nil"/>
              <w:bottom w:val="nil"/>
              <w:right w:val="single" w:sz="4" w:space="0" w:color="auto"/>
            </w:tcBorders>
            <w:shd w:val="clear" w:color="auto" w:fill="auto"/>
            <w:noWrap/>
            <w:vAlign w:val="bottom"/>
            <w:hideMark/>
          </w:tcPr>
          <w:p w14:paraId="6FCE126F" w14:textId="77777777" w:rsidR="00112E74" w:rsidRPr="008A78D0" w:rsidRDefault="00112E74" w:rsidP="005A4EA3">
            <w:pPr>
              <w:jc w:val="right"/>
              <w:rPr>
                <w:rFonts w:cs="Times New Roman"/>
                <w:sz w:val="20"/>
                <w:szCs w:val="20"/>
              </w:rPr>
            </w:pPr>
            <w:r w:rsidRPr="008A78D0">
              <w:rPr>
                <w:rFonts w:cs="Times New Roman"/>
                <w:sz w:val="20"/>
                <w:szCs w:val="20"/>
              </w:rPr>
              <w:t>17.2</w:t>
            </w:r>
          </w:p>
        </w:tc>
        <w:tc>
          <w:tcPr>
            <w:tcW w:w="810" w:type="dxa"/>
            <w:tcBorders>
              <w:top w:val="nil"/>
              <w:left w:val="nil"/>
              <w:bottom w:val="nil"/>
              <w:right w:val="nil"/>
            </w:tcBorders>
            <w:shd w:val="clear" w:color="auto" w:fill="auto"/>
            <w:noWrap/>
            <w:vAlign w:val="bottom"/>
            <w:hideMark/>
          </w:tcPr>
          <w:p w14:paraId="4FA6191F" w14:textId="77777777" w:rsidR="00112E74" w:rsidRPr="008A78D0" w:rsidRDefault="00112E74" w:rsidP="005A4EA3">
            <w:pPr>
              <w:jc w:val="right"/>
              <w:rPr>
                <w:rFonts w:cs="Times New Roman"/>
                <w:sz w:val="20"/>
                <w:szCs w:val="20"/>
              </w:rPr>
            </w:pPr>
            <w:r w:rsidRPr="008A78D0">
              <w:rPr>
                <w:rFonts w:cs="Times New Roman"/>
                <w:sz w:val="20"/>
                <w:szCs w:val="20"/>
              </w:rPr>
              <w:t>2.75</w:t>
            </w:r>
          </w:p>
        </w:tc>
        <w:tc>
          <w:tcPr>
            <w:tcW w:w="751" w:type="dxa"/>
            <w:tcBorders>
              <w:top w:val="nil"/>
              <w:left w:val="nil"/>
              <w:bottom w:val="nil"/>
              <w:right w:val="nil"/>
            </w:tcBorders>
            <w:shd w:val="clear" w:color="auto" w:fill="auto"/>
            <w:noWrap/>
            <w:vAlign w:val="bottom"/>
            <w:hideMark/>
          </w:tcPr>
          <w:p w14:paraId="321E8A36"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67</w:t>
            </w:r>
          </w:p>
        </w:tc>
        <w:tc>
          <w:tcPr>
            <w:tcW w:w="864" w:type="dxa"/>
            <w:tcBorders>
              <w:top w:val="nil"/>
              <w:left w:val="nil"/>
              <w:bottom w:val="nil"/>
              <w:right w:val="single" w:sz="4" w:space="0" w:color="auto"/>
            </w:tcBorders>
            <w:shd w:val="clear" w:color="auto" w:fill="auto"/>
            <w:noWrap/>
            <w:vAlign w:val="bottom"/>
            <w:hideMark/>
          </w:tcPr>
          <w:p w14:paraId="58A90C30"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15.6</w:t>
            </w:r>
          </w:p>
        </w:tc>
      </w:tr>
      <w:tr w:rsidR="00112E74" w:rsidRPr="008A78D0" w14:paraId="43A4C0BE" w14:textId="77777777" w:rsidTr="00CF51A7">
        <w:trPr>
          <w:trHeight w:val="300"/>
        </w:trPr>
        <w:tc>
          <w:tcPr>
            <w:tcW w:w="1162" w:type="dxa"/>
            <w:tcBorders>
              <w:top w:val="nil"/>
              <w:left w:val="single" w:sz="4" w:space="0" w:color="auto"/>
              <w:bottom w:val="nil"/>
              <w:right w:val="single" w:sz="4" w:space="0" w:color="auto"/>
            </w:tcBorders>
            <w:shd w:val="clear" w:color="auto" w:fill="auto"/>
            <w:noWrap/>
            <w:vAlign w:val="bottom"/>
            <w:hideMark/>
          </w:tcPr>
          <w:p w14:paraId="4A8F1558" w14:textId="77777777" w:rsidR="00112E74" w:rsidRPr="003C4AF4" w:rsidRDefault="00112E74" w:rsidP="005A4EA3">
            <w:pPr>
              <w:rPr>
                <w:rFonts w:eastAsia="Times New Roman" w:cs="Times New Roman"/>
                <w:sz w:val="20"/>
                <w:szCs w:val="20"/>
              </w:rPr>
            </w:pPr>
            <w:r w:rsidRPr="003C4AF4">
              <w:rPr>
                <w:rFonts w:eastAsia="Times New Roman" w:cs="Times New Roman"/>
                <w:sz w:val="20"/>
                <w:szCs w:val="20"/>
              </w:rPr>
              <w:t>Taro</w:t>
            </w:r>
          </w:p>
        </w:tc>
        <w:tc>
          <w:tcPr>
            <w:tcW w:w="900" w:type="dxa"/>
            <w:tcBorders>
              <w:top w:val="nil"/>
              <w:left w:val="nil"/>
              <w:bottom w:val="nil"/>
              <w:right w:val="single" w:sz="4" w:space="0" w:color="auto"/>
            </w:tcBorders>
            <w:vAlign w:val="bottom"/>
          </w:tcPr>
          <w:p w14:paraId="2DEB1B54" w14:textId="50B28768" w:rsidR="00112E74" w:rsidRPr="003C4AF4" w:rsidRDefault="00CF51A7" w:rsidP="00CF51A7">
            <w:pPr>
              <w:jc w:val="right"/>
              <w:rPr>
                <w:rFonts w:eastAsia="Times New Roman" w:cs="Times New Roman"/>
                <w:sz w:val="20"/>
                <w:szCs w:val="20"/>
              </w:rPr>
            </w:pPr>
            <w:r>
              <w:rPr>
                <w:rFonts w:eastAsia="Times New Roman" w:cs="Times New Roman"/>
                <w:sz w:val="20"/>
                <w:szCs w:val="20"/>
              </w:rPr>
              <w:t>9.1</w:t>
            </w:r>
          </w:p>
        </w:tc>
        <w:tc>
          <w:tcPr>
            <w:tcW w:w="630" w:type="dxa"/>
            <w:tcBorders>
              <w:top w:val="nil"/>
              <w:left w:val="single" w:sz="4" w:space="0" w:color="auto"/>
              <w:bottom w:val="nil"/>
              <w:right w:val="nil"/>
            </w:tcBorders>
            <w:shd w:val="clear" w:color="auto" w:fill="auto"/>
            <w:noWrap/>
            <w:vAlign w:val="bottom"/>
            <w:hideMark/>
          </w:tcPr>
          <w:p w14:paraId="6E32A137" w14:textId="7EC385A6"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2.75</w:t>
            </w:r>
          </w:p>
        </w:tc>
        <w:tc>
          <w:tcPr>
            <w:tcW w:w="720" w:type="dxa"/>
            <w:tcBorders>
              <w:top w:val="nil"/>
              <w:left w:val="nil"/>
              <w:bottom w:val="nil"/>
              <w:right w:val="nil"/>
            </w:tcBorders>
            <w:shd w:val="clear" w:color="auto" w:fill="auto"/>
            <w:noWrap/>
            <w:vAlign w:val="bottom"/>
            <w:hideMark/>
          </w:tcPr>
          <w:p w14:paraId="275FA96D"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25</w:t>
            </w:r>
          </w:p>
        </w:tc>
        <w:tc>
          <w:tcPr>
            <w:tcW w:w="900" w:type="dxa"/>
            <w:tcBorders>
              <w:top w:val="nil"/>
              <w:left w:val="nil"/>
              <w:bottom w:val="nil"/>
              <w:right w:val="single" w:sz="4" w:space="0" w:color="auto"/>
            </w:tcBorders>
            <w:shd w:val="clear" w:color="auto" w:fill="auto"/>
            <w:noWrap/>
            <w:vAlign w:val="bottom"/>
            <w:hideMark/>
          </w:tcPr>
          <w:p w14:paraId="1BF38A8C"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12.5</w:t>
            </w:r>
          </w:p>
        </w:tc>
        <w:tc>
          <w:tcPr>
            <w:tcW w:w="810" w:type="dxa"/>
            <w:tcBorders>
              <w:top w:val="nil"/>
              <w:left w:val="nil"/>
              <w:bottom w:val="nil"/>
              <w:right w:val="nil"/>
            </w:tcBorders>
            <w:shd w:val="clear" w:color="auto" w:fill="auto"/>
            <w:noWrap/>
            <w:vAlign w:val="bottom"/>
            <w:hideMark/>
          </w:tcPr>
          <w:p w14:paraId="6916EF6E" w14:textId="77777777" w:rsidR="00112E74" w:rsidRPr="008A78D0" w:rsidRDefault="00112E74" w:rsidP="005A4EA3">
            <w:pPr>
              <w:jc w:val="right"/>
              <w:rPr>
                <w:rFonts w:cs="Times New Roman"/>
                <w:sz w:val="20"/>
                <w:szCs w:val="20"/>
              </w:rPr>
            </w:pPr>
            <w:r w:rsidRPr="008A78D0">
              <w:rPr>
                <w:rFonts w:cs="Times New Roman"/>
                <w:sz w:val="20"/>
                <w:szCs w:val="20"/>
              </w:rPr>
              <w:t>3.06</w:t>
            </w:r>
          </w:p>
        </w:tc>
        <w:tc>
          <w:tcPr>
            <w:tcW w:w="810" w:type="dxa"/>
            <w:tcBorders>
              <w:top w:val="nil"/>
              <w:left w:val="nil"/>
              <w:bottom w:val="nil"/>
              <w:right w:val="nil"/>
            </w:tcBorders>
            <w:shd w:val="clear" w:color="auto" w:fill="auto"/>
            <w:noWrap/>
            <w:vAlign w:val="bottom"/>
            <w:hideMark/>
          </w:tcPr>
          <w:p w14:paraId="2FEC2F3F"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28</w:t>
            </w:r>
          </w:p>
        </w:tc>
        <w:tc>
          <w:tcPr>
            <w:tcW w:w="900" w:type="dxa"/>
            <w:tcBorders>
              <w:top w:val="nil"/>
              <w:left w:val="nil"/>
              <w:bottom w:val="nil"/>
              <w:right w:val="single" w:sz="4" w:space="0" w:color="auto"/>
            </w:tcBorders>
            <w:shd w:val="clear" w:color="auto" w:fill="auto"/>
            <w:noWrap/>
            <w:vAlign w:val="bottom"/>
            <w:hideMark/>
          </w:tcPr>
          <w:p w14:paraId="12DD4707" w14:textId="77777777" w:rsidR="00112E74" w:rsidRPr="008A78D0" w:rsidRDefault="00112E74" w:rsidP="005A4EA3">
            <w:pPr>
              <w:jc w:val="right"/>
              <w:rPr>
                <w:rFonts w:cs="Times New Roman"/>
                <w:sz w:val="20"/>
                <w:szCs w:val="20"/>
              </w:rPr>
            </w:pPr>
            <w:r w:rsidRPr="008A78D0">
              <w:rPr>
                <w:rFonts w:cs="Times New Roman"/>
                <w:sz w:val="20"/>
                <w:szCs w:val="20"/>
              </w:rPr>
              <w:t>9.0</w:t>
            </w:r>
          </w:p>
        </w:tc>
        <w:tc>
          <w:tcPr>
            <w:tcW w:w="810" w:type="dxa"/>
            <w:tcBorders>
              <w:top w:val="nil"/>
              <w:left w:val="nil"/>
              <w:bottom w:val="nil"/>
              <w:right w:val="nil"/>
            </w:tcBorders>
            <w:shd w:val="clear" w:color="auto" w:fill="auto"/>
            <w:noWrap/>
            <w:vAlign w:val="bottom"/>
            <w:hideMark/>
          </w:tcPr>
          <w:p w14:paraId="4DFA816D" w14:textId="77777777" w:rsidR="00112E74" w:rsidRPr="008A78D0" w:rsidRDefault="00112E74" w:rsidP="005A4EA3">
            <w:pPr>
              <w:jc w:val="right"/>
              <w:rPr>
                <w:rFonts w:cs="Times New Roman"/>
                <w:sz w:val="20"/>
                <w:szCs w:val="20"/>
              </w:rPr>
            </w:pPr>
            <w:r w:rsidRPr="008A78D0">
              <w:rPr>
                <w:rFonts w:cs="Times New Roman"/>
                <w:sz w:val="20"/>
                <w:szCs w:val="20"/>
              </w:rPr>
              <w:t>3.17</w:t>
            </w:r>
          </w:p>
        </w:tc>
        <w:tc>
          <w:tcPr>
            <w:tcW w:w="751" w:type="dxa"/>
            <w:tcBorders>
              <w:top w:val="nil"/>
              <w:left w:val="nil"/>
              <w:bottom w:val="nil"/>
              <w:right w:val="nil"/>
            </w:tcBorders>
            <w:shd w:val="clear" w:color="auto" w:fill="auto"/>
            <w:noWrap/>
            <w:vAlign w:val="bottom"/>
            <w:hideMark/>
          </w:tcPr>
          <w:p w14:paraId="1E44210B"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29</w:t>
            </w:r>
          </w:p>
        </w:tc>
        <w:tc>
          <w:tcPr>
            <w:tcW w:w="864" w:type="dxa"/>
            <w:tcBorders>
              <w:top w:val="nil"/>
              <w:left w:val="nil"/>
              <w:bottom w:val="nil"/>
              <w:right w:val="single" w:sz="4" w:space="0" w:color="auto"/>
            </w:tcBorders>
            <w:shd w:val="clear" w:color="auto" w:fill="auto"/>
            <w:noWrap/>
            <w:vAlign w:val="bottom"/>
            <w:hideMark/>
          </w:tcPr>
          <w:p w14:paraId="36B472CC"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 xml:space="preserve">6.8 </w:t>
            </w:r>
          </w:p>
        </w:tc>
      </w:tr>
      <w:tr w:rsidR="00112E74" w:rsidRPr="008A78D0" w14:paraId="242243E4" w14:textId="77777777" w:rsidTr="00CF51A7">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2283218D" w14:textId="77777777" w:rsidR="00112E74" w:rsidRPr="003C4AF4" w:rsidRDefault="00112E74" w:rsidP="005A4EA3">
            <w:pPr>
              <w:rPr>
                <w:rFonts w:eastAsia="Times New Roman" w:cs="Times New Roman"/>
                <w:sz w:val="20"/>
                <w:szCs w:val="20"/>
              </w:rPr>
            </w:pPr>
            <w:r w:rsidRPr="003C4AF4">
              <w:rPr>
                <w:rFonts w:eastAsia="Times New Roman" w:cs="Times New Roman"/>
                <w:sz w:val="20"/>
                <w:szCs w:val="20"/>
              </w:rPr>
              <w:t>Plantains</w:t>
            </w:r>
          </w:p>
        </w:tc>
        <w:tc>
          <w:tcPr>
            <w:tcW w:w="900" w:type="dxa"/>
            <w:tcBorders>
              <w:top w:val="nil"/>
              <w:left w:val="nil"/>
              <w:bottom w:val="single" w:sz="4" w:space="0" w:color="auto"/>
              <w:right w:val="single" w:sz="4" w:space="0" w:color="auto"/>
            </w:tcBorders>
            <w:vAlign w:val="bottom"/>
          </w:tcPr>
          <w:p w14:paraId="7FA1D62D" w14:textId="5BE6E53F" w:rsidR="00112E74" w:rsidRPr="003C4AF4" w:rsidRDefault="00CF51A7" w:rsidP="005A4EA3">
            <w:pPr>
              <w:jc w:val="right"/>
              <w:rPr>
                <w:rFonts w:eastAsia="Times New Roman" w:cs="Times New Roman"/>
                <w:sz w:val="20"/>
                <w:szCs w:val="20"/>
              </w:rPr>
            </w:pPr>
            <w:r>
              <w:rPr>
                <w:rFonts w:eastAsia="Times New Roman" w:cs="Times New Roman"/>
                <w:sz w:val="20"/>
                <w:szCs w:val="20"/>
              </w:rPr>
              <w:t>6.5</w:t>
            </w:r>
          </w:p>
        </w:tc>
        <w:tc>
          <w:tcPr>
            <w:tcW w:w="630" w:type="dxa"/>
            <w:tcBorders>
              <w:top w:val="nil"/>
              <w:left w:val="single" w:sz="4" w:space="0" w:color="auto"/>
              <w:bottom w:val="single" w:sz="4" w:space="0" w:color="auto"/>
              <w:right w:val="nil"/>
            </w:tcBorders>
            <w:shd w:val="clear" w:color="auto" w:fill="auto"/>
            <w:noWrap/>
            <w:vAlign w:val="bottom"/>
            <w:hideMark/>
          </w:tcPr>
          <w:p w14:paraId="1BAAE09D" w14:textId="2F844041"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3.86</w:t>
            </w:r>
          </w:p>
        </w:tc>
        <w:tc>
          <w:tcPr>
            <w:tcW w:w="720" w:type="dxa"/>
            <w:tcBorders>
              <w:top w:val="nil"/>
              <w:left w:val="nil"/>
              <w:bottom w:val="single" w:sz="4" w:space="0" w:color="auto"/>
              <w:right w:val="nil"/>
            </w:tcBorders>
            <w:shd w:val="clear" w:color="auto" w:fill="auto"/>
            <w:noWrap/>
            <w:vAlign w:val="bottom"/>
            <w:hideMark/>
          </w:tcPr>
          <w:p w14:paraId="057797F8"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14:paraId="580DA9A8"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12.5</w:t>
            </w:r>
          </w:p>
        </w:tc>
        <w:tc>
          <w:tcPr>
            <w:tcW w:w="810" w:type="dxa"/>
            <w:tcBorders>
              <w:top w:val="nil"/>
              <w:left w:val="nil"/>
              <w:bottom w:val="single" w:sz="4" w:space="0" w:color="auto"/>
              <w:right w:val="nil"/>
            </w:tcBorders>
            <w:shd w:val="clear" w:color="auto" w:fill="auto"/>
            <w:noWrap/>
            <w:vAlign w:val="bottom"/>
            <w:hideMark/>
          </w:tcPr>
          <w:p w14:paraId="1F328473" w14:textId="77777777" w:rsidR="00112E74" w:rsidRPr="008A78D0" w:rsidRDefault="00112E74" w:rsidP="005A4EA3">
            <w:pPr>
              <w:jc w:val="right"/>
              <w:rPr>
                <w:rFonts w:cs="Times New Roman"/>
                <w:sz w:val="20"/>
                <w:szCs w:val="20"/>
              </w:rPr>
            </w:pPr>
            <w:r w:rsidRPr="008A78D0">
              <w:rPr>
                <w:rFonts w:cs="Times New Roman"/>
                <w:sz w:val="20"/>
                <w:szCs w:val="20"/>
              </w:rPr>
              <w:t>4.31</w:t>
            </w:r>
          </w:p>
        </w:tc>
        <w:tc>
          <w:tcPr>
            <w:tcW w:w="810" w:type="dxa"/>
            <w:tcBorders>
              <w:top w:val="nil"/>
              <w:left w:val="nil"/>
              <w:bottom w:val="single" w:sz="4" w:space="0" w:color="auto"/>
              <w:right w:val="nil"/>
            </w:tcBorders>
            <w:shd w:val="clear" w:color="auto" w:fill="auto"/>
            <w:noWrap/>
            <w:vAlign w:val="bottom"/>
            <w:hideMark/>
          </w:tcPr>
          <w:p w14:paraId="700FF143"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28</w:t>
            </w:r>
          </w:p>
        </w:tc>
        <w:tc>
          <w:tcPr>
            <w:tcW w:w="900" w:type="dxa"/>
            <w:tcBorders>
              <w:top w:val="nil"/>
              <w:left w:val="nil"/>
              <w:bottom w:val="single" w:sz="4" w:space="0" w:color="auto"/>
              <w:right w:val="single" w:sz="4" w:space="0" w:color="auto"/>
            </w:tcBorders>
            <w:shd w:val="clear" w:color="auto" w:fill="auto"/>
            <w:noWrap/>
            <w:vAlign w:val="bottom"/>
            <w:hideMark/>
          </w:tcPr>
          <w:p w14:paraId="2EA78E1A" w14:textId="77777777" w:rsidR="00112E74" w:rsidRPr="008A78D0" w:rsidRDefault="00112E74" w:rsidP="005A4EA3">
            <w:pPr>
              <w:jc w:val="right"/>
              <w:rPr>
                <w:rFonts w:cs="Times New Roman"/>
                <w:sz w:val="20"/>
                <w:szCs w:val="20"/>
              </w:rPr>
            </w:pPr>
            <w:r w:rsidRPr="008A78D0">
              <w:rPr>
                <w:rFonts w:cs="Times New Roman"/>
                <w:sz w:val="20"/>
                <w:szCs w:val="20"/>
              </w:rPr>
              <w:t>9.0</w:t>
            </w:r>
          </w:p>
        </w:tc>
        <w:tc>
          <w:tcPr>
            <w:tcW w:w="810" w:type="dxa"/>
            <w:tcBorders>
              <w:top w:val="nil"/>
              <w:left w:val="nil"/>
              <w:bottom w:val="single" w:sz="4" w:space="0" w:color="auto"/>
              <w:right w:val="nil"/>
            </w:tcBorders>
            <w:shd w:val="clear" w:color="auto" w:fill="auto"/>
            <w:noWrap/>
            <w:vAlign w:val="bottom"/>
            <w:hideMark/>
          </w:tcPr>
          <w:p w14:paraId="6D035189" w14:textId="77777777" w:rsidR="00112E74" w:rsidRPr="008A78D0" w:rsidRDefault="00112E74" w:rsidP="005A4EA3">
            <w:pPr>
              <w:jc w:val="right"/>
              <w:rPr>
                <w:rFonts w:cs="Times New Roman"/>
                <w:sz w:val="20"/>
                <w:szCs w:val="20"/>
              </w:rPr>
            </w:pPr>
            <w:r w:rsidRPr="008A78D0">
              <w:rPr>
                <w:rFonts w:cs="Times New Roman"/>
                <w:sz w:val="20"/>
                <w:szCs w:val="20"/>
              </w:rPr>
              <w:t>5.10</w:t>
            </w:r>
          </w:p>
        </w:tc>
        <w:tc>
          <w:tcPr>
            <w:tcW w:w="751" w:type="dxa"/>
            <w:tcBorders>
              <w:top w:val="nil"/>
              <w:left w:val="nil"/>
              <w:bottom w:val="single" w:sz="4" w:space="0" w:color="auto"/>
              <w:right w:val="nil"/>
            </w:tcBorders>
            <w:shd w:val="clear" w:color="auto" w:fill="auto"/>
            <w:noWrap/>
            <w:vAlign w:val="bottom"/>
            <w:hideMark/>
          </w:tcPr>
          <w:p w14:paraId="335BE9A9"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33</w:t>
            </w:r>
          </w:p>
        </w:tc>
        <w:tc>
          <w:tcPr>
            <w:tcW w:w="864" w:type="dxa"/>
            <w:tcBorders>
              <w:top w:val="nil"/>
              <w:left w:val="nil"/>
              <w:bottom w:val="single" w:sz="4" w:space="0" w:color="auto"/>
              <w:right w:val="single" w:sz="4" w:space="0" w:color="auto"/>
            </w:tcBorders>
            <w:shd w:val="clear" w:color="auto" w:fill="auto"/>
            <w:noWrap/>
            <w:vAlign w:val="bottom"/>
            <w:hideMark/>
          </w:tcPr>
          <w:p w14:paraId="681FB9A8" w14:textId="77777777" w:rsidR="00112E74" w:rsidRPr="008A78D0" w:rsidRDefault="00112E74" w:rsidP="005A4EA3">
            <w:pPr>
              <w:jc w:val="right"/>
              <w:rPr>
                <w:rFonts w:cs="Times New Roman"/>
                <w:color w:val="000000"/>
                <w:sz w:val="20"/>
                <w:szCs w:val="20"/>
              </w:rPr>
            </w:pPr>
            <w:r w:rsidRPr="008A78D0">
              <w:rPr>
                <w:rFonts w:cs="Times New Roman"/>
                <w:color w:val="000000"/>
                <w:sz w:val="20"/>
                <w:szCs w:val="20"/>
              </w:rPr>
              <w:t>7.7</w:t>
            </w:r>
          </w:p>
        </w:tc>
      </w:tr>
      <w:tr w:rsidR="00112E74" w:rsidRPr="008A78D0" w14:paraId="295A97BF" w14:textId="77777777" w:rsidTr="00CF51A7">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51933DD8" w14:textId="77777777" w:rsidR="00112E74" w:rsidRPr="003C4AF4" w:rsidRDefault="00112E74" w:rsidP="005A4EA3">
            <w:pPr>
              <w:jc w:val="right"/>
              <w:rPr>
                <w:rFonts w:eastAsia="Times New Roman" w:cs="Times New Roman"/>
                <w:sz w:val="20"/>
                <w:szCs w:val="20"/>
              </w:rPr>
            </w:pPr>
            <w:r w:rsidRPr="003C4AF4">
              <w:rPr>
                <w:rFonts w:eastAsia="Times New Roman" w:cs="Times New Roman"/>
                <w:sz w:val="20"/>
                <w:szCs w:val="20"/>
              </w:rPr>
              <w:t>Total</w:t>
            </w:r>
          </w:p>
        </w:tc>
        <w:tc>
          <w:tcPr>
            <w:tcW w:w="900" w:type="dxa"/>
            <w:tcBorders>
              <w:top w:val="nil"/>
              <w:left w:val="nil"/>
              <w:bottom w:val="single" w:sz="4" w:space="0" w:color="auto"/>
              <w:right w:val="single" w:sz="4" w:space="0" w:color="auto"/>
            </w:tcBorders>
          </w:tcPr>
          <w:p w14:paraId="38D652E3" w14:textId="77777777" w:rsidR="00112E74" w:rsidRPr="003C4AF4" w:rsidRDefault="00112E74" w:rsidP="005A4EA3">
            <w:pPr>
              <w:rPr>
                <w:rFonts w:eastAsia="Times New Roman" w:cs="Times New Roman"/>
                <w:color w:val="000000"/>
                <w:sz w:val="20"/>
                <w:szCs w:val="20"/>
              </w:rPr>
            </w:pPr>
          </w:p>
        </w:tc>
        <w:tc>
          <w:tcPr>
            <w:tcW w:w="630" w:type="dxa"/>
            <w:tcBorders>
              <w:top w:val="nil"/>
              <w:left w:val="single" w:sz="4" w:space="0" w:color="auto"/>
              <w:bottom w:val="single" w:sz="4" w:space="0" w:color="auto"/>
              <w:right w:val="nil"/>
            </w:tcBorders>
            <w:shd w:val="clear" w:color="auto" w:fill="auto"/>
            <w:noWrap/>
            <w:vAlign w:val="bottom"/>
            <w:hideMark/>
          </w:tcPr>
          <w:p w14:paraId="18B87444" w14:textId="7EA27102"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c>
          <w:tcPr>
            <w:tcW w:w="720" w:type="dxa"/>
            <w:tcBorders>
              <w:top w:val="nil"/>
              <w:left w:val="nil"/>
              <w:bottom w:val="single" w:sz="4" w:space="0" w:color="auto"/>
              <w:right w:val="nil"/>
            </w:tcBorders>
            <w:shd w:val="clear" w:color="auto" w:fill="auto"/>
            <w:noWrap/>
            <w:vAlign w:val="bottom"/>
            <w:hideMark/>
          </w:tcPr>
          <w:p w14:paraId="775124A6" w14:textId="77777777" w:rsidR="00112E74" w:rsidRPr="003C4AF4" w:rsidRDefault="00112E74" w:rsidP="005A4EA3">
            <w:pPr>
              <w:jc w:val="right"/>
              <w:rPr>
                <w:rFonts w:eastAsia="Times New Roman" w:cs="Times New Roman"/>
                <w:color w:val="000000"/>
                <w:sz w:val="20"/>
                <w:szCs w:val="20"/>
              </w:rPr>
            </w:pPr>
            <w:r w:rsidRPr="003C4AF4">
              <w:rPr>
                <w:rFonts w:eastAsia="Times New Roman"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noWrap/>
            <w:vAlign w:val="bottom"/>
            <w:hideMark/>
          </w:tcPr>
          <w:p w14:paraId="7EF7ED3C" w14:textId="77777777"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08551D99" w14:textId="77777777"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445D215E" w14:textId="77777777" w:rsidR="00112E74" w:rsidRPr="003C4AF4" w:rsidRDefault="00112E74" w:rsidP="005A4EA3">
            <w:pPr>
              <w:jc w:val="right"/>
              <w:rPr>
                <w:rFonts w:eastAsia="Times New Roman" w:cs="Times New Roman"/>
                <w:color w:val="000000"/>
                <w:sz w:val="20"/>
                <w:szCs w:val="20"/>
              </w:rPr>
            </w:pPr>
            <w:r w:rsidRPr="003C4AF4">
              <w:rPr>
                <w:rFonts w:eastAsia="Times New Roman" w:cs="Times New Roman"/>
                <w:color w:val="000000"/>
                <w:sz w:val="20"/>
                <w:szCs w:val="20"/>
              </w:rPr>
              <w:t>309</w:t>
            </w:r>
          </w:p>
        </w:tc>
        <w:tc>
          <w:tcPr>
            <w:tcW w:w="900" w:type="dxa"/>
            <w:tcBorders>
              <w:top w:val="nil"/>
              <w:left w:val="nil"/>
              <w:bottom w:val="single" w:sz="4" w:space="0" w:color="auto"/>
              <w:right w:val="single" w:sz="4" w:space="0" w:color="auto"/>
            </w:tcBorders>
            <w:shd w:val="clear" w:color="auto" w:fill="auto"/>
            <w:noWrap/>
            <w:vAlign w:val="bottom"/>
            <w:hideMark/>
          </w:tcPr>
          <w:p w14:paraId="43D5E21F" w14:textId="77777777"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7F50AA55" w14:textId="77777777"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14:paraId="54A36E5F" w14:textId="77777777" w:rsidR="00112E74" w:rsidRPr="003C4AF4" w:rsidRDefault="00112E74" w:rsidP="005A4EA3">
            <w:pPr>
              <w:jc w:val="right"/>
              <w:rPr>
                <w:rFonts w:eastAsia="Times New Roman" w:cs="Times New Roman"/>
                <w:color w:val="000000"/>
                <w:sz w:val="20"/>
                <w:szCs w:val="20"/>
              </w:rPr>
            </w:pPr>
            <w:r>
              <w:rPr>
                <w:rFonts w:eastAsia="Times New Roman" w:cs="Times New Roman"/>
                <w:color w:val="000000"/>
                <w:sz w:val="20"/>
                <w:szCs w:val="20"/>
              </w:rPr>
              <w:t>429</w:t>
            </w:r>
          </w:p>
        </w:tc>
        <w:tc>
          <w:tcPr>
            <w:tcW w:w="864" w:type="dxa"/>
            <w:tcBorders>
              <w:top w:val="nil"/>
              <w:left w:val="nil"/>
              <w:bottom w:val="single" w:sz="4" w:space="0" w:color="auto"/>
              <w:right w:val="single" w:sz="4" w:space="0" w:color="auto"/>
            </w:tcBorders>
            <w:shd w:val="clear" w:color="auto" w:fill="auto"/>
            <w:noWrap/>
            <w:vAlign w:val="bottom"/>
            <w:hideMark/>
          </w:tcPr>
          <w:p w14:paraId="1CCE1725" w14:textId="77777777" w:rsidR="00112E74" w:rsidRPr="003C4AF4" w:rsidRDefault="00112E74" w:rsidP="005A4EA3">
            <w:pPr>
              <w:rPr>
                <w:rFonts w:eastAsia="Times New Roman" w:cs="Times New Roman"/>
                <w:color w:val="000000"/>
                <w:sz w:val="20"/>
                <w:szCs w:val="20"/>
              </w:rPr>
            </w:pPr>
            <w:r w:rsidRPr="003C4AF4">
              <w:rPr>
                <w:rFonts w:eastAsia="Times New Roman" w:cs="Times New Roman"/>
                <w:color w:val="000000"/>
                <w:sz w:val="20"/>
                <w:szCs w:val="20"/>
              </w:rPr>
              <w:t> </w:t>
            </w:r>
          </w:p>
        </w:tc>
      </w:tr>
    </w:tbl>
    <w:p w14:paraId="7765CAF4" w14:textId="77777777" w:rsidR="00AA2F13" w:rsidRDefault="00AA2F13" w:rsidP="00B660CD">
      <w:pPr>
        <w:pStyle w:val="ParagraphNumbering"/>
        <w:numPr>
          <w:ilvl w:val="0"/>
          <w:numId w:val="0"/>
        </w:numPr>
      </w:pPr>
    </w:p>
    <w:p w14:paraId="20F4E68F" w14:textId="35AA411C" w:rsidR="005A4EA3" w:rsidRDefault="005A4EA3" w:rsidP="00112E74">
      <w:pPr>
        <w:pStyle w:val="ParagraphNumbering"/>
      </w:pPr>
      <w:r>
        <w:t>In</w:t>
      </w:r>
      <w:r w:rsidR="00153335">
        <w:t xml:space="preserve"> 201</w:t>
      </w:r>
      <w:r w:rsidR="00112E74">
        <w:t>7</w:t>
      </w:r>
      <w:r>
        <w:t>, the annual expenditures from the HES for potatoes are 100 out of a total</w:t>
      </w:r>
      <w:r w:rsidR="00AA2F13">
        <w:t xml:space="preserve"> expenditure</w:t>
      </w:r>
      <w:r>
        <w:t xml:space="preserve"> of 200 for all tubers. This represents a share of 50.0 percent. The other tubers that are important in the</w:t>
      </w:r>
      <w:r w:rsidR="00153335">
        <w:t xml:space="preserve"> 201</w:t>
      </w:r>
      <w:r w:rsidR="00112E74">
        <w:t>7</w:t>
      </w:r>
      <w:r>
        <w:t xml:space="preserve"> basket are yams, taro, and plantains. In </w:t>
      </w:r>
      <w:r w:rsidR="003A44ED">
        <w:t>201</w:t>
      </w:r>
      <w:r w:rsidR="00112E74">
        <w:t>8</w:t>
      </w:r>
      <w:r>
        <w:t>, prices for each item rise</w:t>
      </w:r>
      <w:r w:rsidR="00AA2F13">
        <w:t>, and if households purchased the same amount of potatoes, the expenditure on each item would also increase.</w:t>
      </w:r>
      <w:r>
        <w:t xml:space="preserve"> The cost (cost weight) for purchasing the same amount of potatoes, as is the case with a fixed quantity basket index, would be (6.16/3.08*100=) 200 and the total basket would cost 309. However, the share of expenditure on potatoes for the tuber basket has risen to (200/309*100=) 64.7 percent. The reason for this large shift in the share of potatoes is that their prices have increased by 100 percent while the price changes for the others have been more modest (6.6, 11.3, and 11.7 percent). Similarly</w:t>
      </w:r>
      <w:r w:rsidR="00833291">
        <w:t>,</w:t>
      </w:r>
      <w:r>
        <w:t xml:space="preserve"> in </w:t>
      </w:r>
      <w:r w:rsidR="003A44ED">
        <w:t>201</w:t>
      </w:r>
      <w:r w:rsidR="00112E74">
        <w:t>9</w:t>
      </w:r>
      <w:r>
        <w:t>, the price for potatoes continues to rise much faster than the other items, having increased by 200 percent from</w:t>
      </w:r>
      <w:r w:rsidR="00153335">
        <w:t xml:space="preserve"> 201</w:t>
      </w:r>
      <w:r w:rsidR="00112E74">
        <w:t>7</w:t>
      </w:r>
      <w:r>
        <w:t xml:space="preserve"> compared to 34, 15, and 32 percent, respectively for the other tubers. This results in a further rise in the share for potatoes to almost 70 percent of the basket.</w:t>
      </w:r>
    </w:p>
    <w:p w14:paraId="51E11EDA" w14:textId="5F9091B5" w:rsidR="005A4EA3" w:rsidRDefault="005A4EA3" w:rsidP="00112E74">
      <w:pPr>
        <w:pStyle w:val="ParagraphNumbering"/>
      </w:pPr>
      <w:r>
        <w:t xml:space="preserve">This example demonstrates one of the important facets of using fixed </w:t>
      </w:r>
      <w:r w:rsidR="00833291">
        <w:t>quantity weights</w:t>
      </w:r>
      <w:r>
        <w:t xml:space="preserve">.  As relative prices change, those items with the larger than average price change will gain in importance in the index while those with smaller than average price change will lose importance. This will usually result in the basket being unrepresentative of current household </w:t>
      </w:r>
      <w:r w:rsidR="00AA2F13">
        <w:t>expenditure</w:t>
      </w:r>
      <w:r>
        <w:t xml:space="preserve"> patterns because of normal consumer behavior to purchase less of</w:t>
      </w:r>
      <w:r w:rsidR="00AA2F13">
        <w:t xml:space="preserve"> those</w:t>
      </w:r>
      <w:r>
        <w:t xml:space="preserve"> items with relatively high increases in prices and more of th</w:t>
      </w:r>
      <w:r w:rsidR="00AA2F13">
        <w:t>os</w:t>
      </w:r>
      <w:r>
        <w:t>e items with relatively low</w:t>
      </w:r>
      <w:r w:rsidR="000A450A">
        <w:t>er</w:t>
      </w:r>
      <w:r>
        <w:t xml:space="preserve"> price increases. </w:t>
      </w:r>
    </w:p>
    <w:p w14:paraId="1C7DFB76" w14:textId="4832B1FB" w:rsidR="005A4EA3" w:rsidRDefault="005A4EA3" w:rsidP="00112E74">
      <w:pPr>
        <w:pStyle w:val="ParagraphNumbering"/>
      </w:pPr>
      <w:r>
        <w:t>For instance, in Table 1, the quantity of potatoes purchased in</w:t>
      </w:r>
      <w:r w:rsidR="00153335">
        <w:t xml:space="preserve"> 201</w:t>
      </w:r>
      <w:r w:rsidR="00FB1800">
        <w:t>7</w:t>
      </w:r>
      <w:r>
        <w:t xml:space="preserve"> was 32.5</w:t>
      </w:r>
      <w:r w:rsidR="00AA2F13">
        <w:t xml:space="preserve"> kilograms</w:t>
      </w:r>
      <w:r>
        <w:t xml:space="preserve">. Our widely used fixed basket indexes assume that this quantity will continue to be purchased. Households, however, will most likely substitute some purchases of potatoes to a tuber with a lower price increase and the quantity of potatoes purchased will decline while </w:t>
      </w:r>
      <w:r w:rsidR="00AA2F13">
        <w:t>the quantity of</w:t>
      </w:r>
      <w:r>
        <w:t xml:space="preserve"> another tuber, perhaps yams, will increase. In this way households will try to economize by not overspending on potatoes and still maintain a certain level of needed nutrients in their consumption of tubers.</w:t>
      </w:r>
    </w:p>
    <w:p w14:paraId="1DA9717D" w14:textId="4328D082" w:rsidR="005A4EA3" w:rsidRPr="00B02200" w:rsidRDefault="005A4EA3" w:rsidP="00FB1800">
      <w:pPr>
        <w:pStyle w:val="ParagraphNumbering"/>
      </w:pPr>
      <w:r>
        <w:t>As is seen from this example, changes in the pattern of household spending can take place relatively quickly</w:t>
      </w:r>
      <w:r w:rsidR="00FB1800">
        <w:t>;</w:t>
      </w:r>
      <w:r>
        <w:t xml:space="preserve"> however, a fixed </w:t>
      </w:r>
      <w:r w:rsidR="00833291">
        <w:t xml:space="preserve">quantity </w:t>
      </w:r>
      <w:r>
        <w:t xml:space="preserve">index will provide more importance to items contributing to rising prices than are warranted by current market conditions. </w:t>
      </w:r>
    </w:p>
    <w:p w14:paraId="08738960" w14:textId="77777777" w:rsidR="005A4EA3" w:rsidRDefault="005A4EA3" w:rsidP="00C31CDD">
      <w:pPr>
        <w:pStyle w:val="Heading2"/>
      </w:pPr>
      <w:bookmarkStart w:id="5" w:name="_Toc355689649"/>
      <w:r>
        <w:t>International guidance on weight updates</w:t>
      </w:r>
      <w:bookmarkEnd w:id="5"/>
    </w:p>
    <w:p w14:paraId="49745441" w14:textId="1CCF6C30" w:rsidR="000537D2" w:rsidRDefault="00A144C4" w:rsidP="00FB1800">
      <w:pPr>
        <w:pStyle w:val="ParagraphNumbering"/>
      </w:pPr>
      <w:r>
        <w:t>Previously, t</w:t>
      </w:r>
      <w:r w:rsidR="005A4EA3">
        <w:t xml:space="preserve">he primary sources on weight updates have been the </w:t>
      </w:r>
      <w:r w:rsidR="005A4EA3" w:rsidRPr="00706571">
        <w:rPr>
          <w:i/>
          <w:iCs/>
        </w:rPr>
        <w:t>Consumer Price Index Manual: Theory and Practice,</w:t>
      </w:r>
      <w:r w:rsidR="005A4EA3">
        <w:t xml:space="preserve"> 2004, (</w:t>
      </w:r>
      <w:r w:rsidR="005A4EA3" w:rsidRPr="002A4971">
        <w:rPr>
          <w:i/>
          <w:iCs/>
        </w:rPr>
        <w:t>CPI Manual</w:t>
      </w:r>
      <w:r w:rsidR="002A4971">
        <w:t>, 2004</w:t>
      </w:r>
      <w:r w:rsidR="005A4EA3">
        <w:t xml:space="preserve">) and the </w:t>
      </w:r>
      <w:r w:rsidR="005A4EA3" w:rsidRPr="00706571">
        <w:rPr>
          <w:i/>
          <w:iCs/>
        </w:rPr>
        <w:t>Practical Guide to Producing Consumer Price Indices</w:t>
      </w:r>
      <w:r w:rsidR="005A4EA3">
        <w:t>, 2009, (</w:t>
      </w:r>
      <w:r w:rsidR="005A4EA3" w:rsidRPr="001279F3">
        <w:rPr>
          <w:i/>
          <w:iCs/>
        </w:rPr>
        <w:t>CPI Practical Guide</w:t>
      </w:r>
      <w:r w:rsidR="005A4EA3">
        <w:t>). Both provide</w:t>
      </w:r>
      <w:r w:rsidR="00FB1800">
        <w:t>d</w:t>
      </w:r>
      <w:r w:rsidR="005A4EA3">
        <w:t xml:space="preserve"> some advice on updating weights but d</w:t>
      </w:r>
      <w:r w:rsidR="00D4535E">
        <w:t>i</w:t>
      </w:r>
      <w:r w:rsidR="00FB1800">
        <w:t>d</w:t>
      </w:r>
      <w:r w:rsidR="005A4EA3">
        <w:t xml:space="preserve"> not provide detailed examples for NSOs to follow.</w:t>
      </w:r>
      <w:r w:rsidR="003C79AA">
        <w:t xml:space="preserve"> The updated </w:t>
      </w:r>
      <w:r w:rsidR="003C79AA" w:rsidRPr="00706571">
        <w:rPr>
          <w:i/>
        </w:rPr>
        <w:t>C</w:t>
      </w:r>
      <w:r w:rsidR="00D66BBA" w:rsidRPr="00706571">
        <w:rPr>
          <w:i/>
        </w:rPr>
        <w:t>onsumer</w:t>
      </w:r>
      <w:r w:rsidR="003C79AA" w:rsidRPr="00706571">
        <w:rPr>
          <w:i/>
        </w:rPr>
        <w:t xml:space="preserve"> Price Index Manual: Concepts and Methods</w:t>
      </w:r>
      <w:r w:rsidR="003C79AA">
        <w:t xml:space="preserve">, 2020, </w:t>
      </w:r>
      <w:r>
        <w:t>includes</w:t>
      </w:r>
      <w:r w:rsidR="003C79AA">
        <w:t xml:space="preserve"> a new chapter on these issues, </w:t>
      </w:r>
      <w:r>
        <w:t xml:space="preserve">Chapter 9 – </w:t>
      </w:r>
      <w:r w:rsidR="003C79AA">
        <w:t>“</w:t>
      </w:r>
      <w:r w:rsidR="00837BD0">
        <w:t>Updating</w:t>
      </w:r>
      <w:r w:rsidR="003C79AA" w:rsidRPr="003C79AA">
        <w:t xml:space="preserve"> CPI Weights and </w:t>
      </w:r>
      <w:r w:rsidR="003C79AA" w:rsidRPr="003C79AA">
        <w:lastRenderedPageBreak/>
        <w:t>Linking New to Previous CPI Series</w:t>
      </w:r>
      <w:r w:rsidR="003C79AA">
        <w:t xml:space="preserve">,” and gives more guidance to NSOs about </w:t>
      </w:r>
      <w:r>
        <w:t xml:space="preserve">the </w:t>
      </w:r>
      <w:r w:rsidR="003C79AA">
        <w:t>methods and procedures for introducing the new weights.</w:t>
      </w:r>
      <w:r w:rsidR="00706571">
        <w:t xml:space="preserve"> The companion </w:t>
      </w:r>
      <w:r>
        <w:t>publication</w:t>
      </w:r>
      <w:r w:rsidR="00706571" w:rsidRPr="00706571">
        <w:rPr>
          <w:i/>
          <w:iCs/>
        </w:rPr>
        <w:t>, Consumer Price Index Theory</w:t>
      </w:r>
      <w:r w:rsidR="002A4971">
        <w:rPr>
          <w:i/>
          <w:iCs/>
        </w:rPr>
        <w:t xml:space="preserve"> </w:t>
      </w:r>
      <w:r w:rsidR="002A4971">
        <w:t>(forthcoming)</w:t>
      </w:r>
      <w:r w:rsidR="00706571">
        <w:t>, will provide the theoretical underpinnings for CPI compilation methods.</w:t>
      </w:r>
      <w:r w:rsidR="00706571" w:rsidRPr="00706571">
        <w:t xml:space="preserve"> </w:t>
      </w:r>
    </w:p>
    <w:p w14:paraId="5369EDDB" w14:textId="5E5BAB78" w:rsidR="005A4EA3" w:rsidRDefault="00706571" w:rsidP="00FB1800">
      <w:pPr>
        <w:pStyle w:val="ParagraphNumbering"/>
      </w:pPr>
      <w:r>
        <w:t>Each of these publications not</w:t>
      </w:r>
      <w:r w:rsidR="000B3DD5">
        <w:t>e</w:t>
      </w:r>
      <w:r>
        <w:t xml:space="preserve"> that the </w:t>
      </w:r>
      <w:r w:rsidRPr="004E461E">
        <w:t>Laspeyres price index will be an upper bound to the true cost of living index (COLI) and the Paasche price index will be a lower bound.</w:t>
      </w:r>
      <w:r w:rsidR="008167BC">
        <w:rPr>
          <w:rStyle w:val="FootnoteReference"/>
        </w:rPr>
        <w:footnoteReference w:id="2"/>
      </w:r>
      <w:r w:rsidR="008167BC">
        <w:t xml:space="preserve"> </w:t>
      </w:r>
      <w:r>
        <w:t>They</w:t>
      </w:r>
      <w:r w:rsidRPr="004E461E">
        <w:t xml:space="preserve"> also </w:t>
      </w:r>
      <w:r>
        <w:t>discuss</w:t>
      </w:r>
      <w:r w:rsidRPr="004E461E">
        <w:t xml:space="preserve"> that the</w:t>
      </w:r>
      <w:r>
        <w:t>re are</w:t>
      </w:r>
      <w:r w:rsidRPr="004E461E">
        <w:t xml:space="preserve"> three target indices—Fisher, Törnqvist, and Walsh—</w:t>
      </w:r>
      <w:r>
        <w:t xml:space="preserve"> and they </w:t>
      </w:r>
      <w:r w:rsidRPr="004E461E">
        <w:t>are very close approximations to one another and to the true COLI.</w:t>
      </w:r>
      <w:r>
        <w:t xml:space="preserve"> These target indices, however, are difficult to compile</w:t>
      </w:r>
      <w:r w:rsidR="000537D2">
        <w:t xml:space="preserve"> in real time because they require weights for both the current and previous period. </w:t>
      </w:r>
      <w:proofErr w:type="gramStart"/>
      <w:r w:rsidR="000537D2">
        <w:t>In reality, NSOs</w:t>
      </w:r>
      <w:proofErr w:type="gramEnd"/>
      <w:r w:rsidR="000537D2">
        <w:t xml:space="preserve"> only have weights from some period in the past which are </w:t>
      </w:r>
      <w:r w:rsidR="0059337F">
        <w:t xml:space="preserve">often </w:t>
      </w:r>
      <w:r w:rsidR="000537D2">
        <w:t>one to two years out of date.</w:t>
      </w:r>
    </w:p>
    <w:p w14:paraId="13831AA1" w14:textId="117846FF" w:rsidR="00FB1800" w:rsidRDefault="000537D2" w:rsidP="00FB1800">
      <w:pPr>
        <w:pStyle w:val="ParagraphNumbering"/>
      </w:pPr>
      <w:r>
        <w:t>In addition, t</w:t>
      </w:r>
      <w:r w:rsidR="00FB1800" w:rsidRPr="00FB1800">
        <w:t xml:space="preserve">he introduction of new weights is complex because it provides the opportunity to introduce </w:t>
      </w:r>
      <w:r w:rsidR="003B5A35" w:rsidRPr="00FB1800">
        <w:t>new classifications</w:t>
      </w:r>
      <w:r w:rsidR="003B5A35">
        <w:t>,</w:t>
      </w:r>
      <w:r w:rsidR="003B5A35" w:rsidRPr="00FB1800">
        <w:t xml:space="preserve"> </w:t>
      </w:r>
      <w:r w:rsidR="00FB1800" w:rsidRPr="00FB1800">
        <w:t xml:space="preserve">new items, new samples, new data sources, new compilation practices, </w:t>
      </w:r>
      <w:r w:rsidR="003B5A35">
        <w:t xml:space="preserve">and </w:t>
      </w:r>
      <w:r w:rsidR="0059337F">
        <w:t xml:space="preserve">a </w:t>
      </w:r>
      <w:r w:rsidR="00FB1800" w:rsidRPr="00FB1800">
        <w:t xml:space="preserve">new </w:t>
      </w:r>
      <w:r w:rsidR="003B5A35">
        <w:t>aggregation structure</w:t>
      </w:r>
      <w:r w:rsidR="00FB1800" w:rsidRPr="00FB1800">
        <w:t>. These tasks are often undertaken simultaneously at the time of reweighting to minimize overall disruption to the time series and any resulting inconvenience to users of the indices</w:t>
      </w:r>
      <w:r w:rsidR="00706571">
        <w:t>.</w:t>
      </w:r>
    </w:p>
    <w:p w14:paraId="64947D72" w14:textId="7DCDF69A" w:rsidR="005A4EA3" w:rsidRDefault="005A4EA3" w:rsidP="00D4535E">
      <w:pPr>
        <w:pStyle w:val="ParagraphNumbering"/>
      </w:pPr>
      <w:r>
        <w:t>The</w:t>
      </w:r>
      <w:r w:rsidR="003B5A35">
        <w:t xml:space="preserve"> NSOs </w:t>
      </w:r>
      <w:r w:rsidR="008167BC">
        <w:t>should</w:t>
      </w:r>
      <w:r w:rsidR="003B5A35">
        <w:t xml:space="preserve"> first </w:t>
      </w:r>
      <w:r w:rsidR="000537D2">
        <w:t xml:space="preserve">conduct an HES and </w:t>
      </w:r>
      <w:r w:rsidR="003B5A35">
        <w:t>use the</w:t>
      </w:r>
      <w:r w:rsidR="000537D2">
        <w:t xml:space="preserve"> results</w:t>
      </w:r>
      <w:r w:rsidR="003B5A35">
        <w:t xml:space="preserve"> to develop the new basket of items</w:t>
      </w:r>
      <w:r w:rsidR="000537D2">
        <w:t>.</w:t>
      </w:r>
      <w:r w:rsidR="008167BC">
        <w:rPr>
          <w:rStyle w:val="FootnoteReference"/>
        </w:rPr>
        <w:footnoteReference w:id="3"/>
      </w:r>
      <w:r w:rsidR="003B5A35">
        <w:t xml:space="preserve"> </w:t>
      </w:r>
      <w:r w:rsidR="000537D2">
        <w:t>T</w:t>
      </w:r>
      <w:r w:rsidR="003B5A35">
        <w:t xml:space="preserve">hen </w:t>
      </w:r>
      <w:r w:rsidR="000537D2">
        <w:t xml:space="preserve">they </w:t>
      </w:r>
      <w:r w:rsidR="003B5A35">
        <w:t xml:space="preserve">will usually allocate a share weight to each item in the weight reference period, </w:t>
      </w:r>
      <w:r w:rsidR="003B5A35">
        <w:rPr>
          <w:i/>
        </w:rPr>
        <w:t>b.</w:t>
      </w:r>
      <w:r>
        <w:t xml:space="preserve"> </w:t>
      </w:r>
      <w:r w:rsidR="003B5A35">
        <w:t>The</w:t>
      </w:r>
      <w:r>
        <w:t xml:space="preserve"> NSOs </w:t>
      </w:r>
      <w:r w:rsidR="003B5A35">
        <w:t>must then decide whether</w:t>
      </w:r>
      <w:r>
        <w:t xml:space="preserve"> to keep the</w:t>
      </w:r>
      <w:r w:rsidR="003B5A35">
        <w:t>se</w:t>
      </w:r>
      <w:r>
        <w:t xml:space="preserve"> </w:t>
      </w:r>
      <w:r w:rsidR="00D4535E">
        <w:t xml:space="preserve">expenditure </w:t>
      </w:r>
      <w:r>
        <w:t>weights fixed at their reference period levels</w:t>
      </w:r>
      <w:r w:rsidR="00D4535E" w:rsidRPr="00D4535E">
        <w:t xml:space="preserve"> </w:t>
      </w:r>
      <w:r w:rsidR="00D4535E">
        <w:t>or to keep the quantities fixed at the reference period levels.</w:t>
      </w:r>
      <w:r>
        <w:t xml:space="preserve"> </w:t>
      </w:r>
      <w:r w:rsidR="00D4535E">
        <w:t>K</w:t>
      </w:r>
      <w:r>
        <w:t>eeping the expenditure shares fixed</w:t>
      </w:r>
      <w:r w:rsidR="00D4535E">
        <w:t xml:space="preserve"> at the weight reference period means the NSOs do not have to take any additional actions. If the NSOs want to keep the quantities fixed at their level in the weight reference period, they must update the weights for price change from the weight reference period, </w:t>
      </w:r>
      <w:r w:rsidR="00D4535E" w:rsidRPr="00D4535E">
        <w:rPr>
          <w:i/>
          <w:iCs/>
        </w:rPr>
        <w:t>b</w:t>
      </w:r>
      <w:r w:rsidR="00D4535E">
        <w:t>, to their introduction in the index in the price reference period,</w:t>
      </w:r>
      <w:r w:rsidR="002A4971">
        <w:t> </w:t>
      </w:r>
      <w:r w:rsidR="00D4535E" w:rsidRPr="00D4535E">
        <w:rPr>
          <w:i/>
          <w:iCs/>
        </w:rPr>
        <w:t>0</w:t>
      </w:r>
      <w:r>
        <w:t xml:space="preserve">. </w:t>
      </w:r>
      <w:r w:rsidR="0059337F">
        <w:t xml:space="preserve">This requires the use of a series of update factors that measures price movements for each item between </w:t>
      </w:r>
      <w:r w:rsidR="0059337F" w:rsidRPr="0059337F">
        <w:rPr>
          <w:i/>
          <w:iCs/>
        </w:rPr>
        <w:t>b</w:t>
      </w:r>
      <w:r w:rsidR="0059337F">
        <w:t xml:space="preserve"> and </w:t>
      </w:r>
      <w:r w:rsidR="0059337F" w:rsidRPr="0059337F">
        <w:rPr>
          <w:i/>
          <w:iCs/>
        </w:rPr>
        <w:t>0</w:t>
      </w:r>
      <w:r w:rsidR="0059337F">
        <w:t>.</w:t>
      </w:r>
    </w:p>
    <w:p w14:paraId="10D4390C" w14:textId="09A95D35" w:rsidR="003C79AA" w:rsidRDefault="003C79AA" w:rsidP="003C79AA">
      <w:pPr>
        <w:pStyle w:val="Heading3"/>
      </w:pPr>
      <w:r w:rsidRPr="003C79AA">
        <w:rPr>
          <w:i/>
          <w:iCs/>
        </w:rPr>
        <w:t>CPI Manual: Concepts and Methods</w:t>
      </w:r>
      <w:r>
        <w:t xml:space="preserve"> (2020)</w:t>
      </w:r>
    </w:p>
    <w:p w14:paraId="612741CE" w14:textId="5EF6CF0D" w:rsidR="00982695" w:rsidRDefault="00982695" w:rsidP="002D1A6F">
      <w:pPr>
        <w:pStyle w:val="ParagraphNumbering"/>
      </w:pPr>
      <w:r>
        <w:t xml:space="preserve">Given that the new weights are from a period </w:t>
      </w:r>
      <w:r w:rsidRPr="00982695">
        <w:rPr>
          <w:i/>
          <w:iCs/>
        </w:rPr>
        <w:t>b</w:t>
      </w:r>
      <w:r>
        <w:t xml:space="preserve"> that </w:t>
      </w:r>
      <w:r w:rsidR="00D4535E">
        <w:t xml:space="preserve">generally </w:t>
      </w:r>
      <w:r>
        <w:t xml:space="preserve">precedes their introduction into the index in period </w:t>
      </w:r>
      <w:r w:rsidRPr="00982695">
        <w:rPr>
          <w:i/>
          <w:iCs/>
        </w:rPr>
        <w:t>0</w:t>
      </w:r>
      <w:r>
        <w:t>, the</w:t>
      </w:r>
      <w:r w:rsidR="002D1A6F">
        <w:t xml:space="preserve"> NSOs usually chose on</w:t>
      </w:r>
      <w:r w:rsidR="003542F6">
        <w:t>e</w:t>
      </w:r>
      <w:r w:rsidR="002D1A6F">
        <w:t xml:space="preserve"> of</w:t>
      </w:r>
      <w:r>
        <w:t xml:space="preserve"> two methods for introducing the new weights. If the NSO is trying to mimic a Laspeyres index in which the quantity weights remain fixed, they would update the weights for price change between periods </w:t>
      </w:r>
      <w:r w:rsidRPr="00982695">
        <w:rPr>
          <w:i/>
          <w:iCs/>
        </w:rPr>
        <w:t>b</w:t>
      </w:r>
      <w:r>
        <w:t xml:space="preserve"> and </w:t>
      </w:r>
      <w:r w:rsidRPr="00982695">
        <w:rPr>
          <w:i/>
          <w:iCs/>
        </w:rPr>
        <w:t>0</w:t>
      </w:r>
      <w:r>
        <w:t xml:space="preserve">. </w:t>
      </w:r>
      <w:r w:rsidR="003A3EED">
        <w:t>By price updating the weights, the NSO will produce a Lowe price index. On the other hand, if there is reason to believe that the quantities may have shifted between the two periods, it may be more reasonable to assume that the expenditure shares have remained fixed as the quantities shifted. In this case the NSO</w:t>
      </w:r>
      <w:r w:rsidR="002D1A6F">
        <w:t>s</w:t>
      </w:r>
      <w:r w:rsidR="003A3EED">
        <w:t xml:space="preserve"> could simply introduce the new share weights and produce a Young </w:t>
      </w:r>
      <w:r w:rsidR="00E41A1F">
        <w:t xml:space="preserve">price </w:t>
      </w:r>
      <w:r w:rsidR="003A3EED">
        <w:t>index. The new manual provides the following advice</w:t>
      </w:r>
    </w:p>
    <w:p w14:paraId="25B38638" w14:textId="0A21EE01" w:rsidR="003A3EED" w:rsidRDefault="003A3EED" w:rsidP="005F49B8">
      <w:pPr>
        <w:pStyle w:val="Quote"/>
        <w:spacing w:before="0" w:after="0"/>
        <w:jc w:val="both"/>
      </w:pPr>
      <w:r w:rsidRPr="005F49B8">
        <w:rPr>
          <w:sz w:val="20"/>
          <w:szCs w:val="20"/>
        </w:rPr>
        <w:t>“</w:t>
      </w:r>
      <w:r w:rsidR="008A4427" w:rsidRPr="005F49B8">
        <w:rPr>
          <w:b/>
          <w:bCs/>
          <w:i w:val="0"/>
          <w:iCs w:val="0"/>
          <w:sz w:val="20"/>
          <w:szCs w:val="20"/>
        </w:rPr>
        <w:t>9.1</w:t>
      </w:r>
      <w:r w:rsidR="005904B0">
        <w:rPr>
          <w:b/>
          <w:bCs/>
          <w:i w:val="0"/>
          <w:iCs w:val="0"/>
          <w:sz w:val="20"/>
          <w:szCs w:val="20"/>
        </w:rPr>
        <w:t>3</w:t>
      </w:r>
      <w:r w:rsidR="008A4427" w:rsidRPr="005F49B8">
        <w:rPr>
          <w:i w:val="0"/>
          <w:iCs w:val="0"/>
          <w:sz w:val="20"/>
          <w:szCs w:val="20"/>
        </w:rPr>
        <w:t xml:space="preserve"> </w:t>
      </w:r>
      <w:r w:rsidR="002D1A6F" w:rsidRPr="002D1A6F">
        <w:rPr>
          <w:i w:val="0"/>
          <w:iCs w:val="0"/>
          <w:sz w:val="20"/>
          <w:szCs w:val="20"/>
        </w:rPr>
        <w:t>The recent research cited suggests that price updating weights before introducing them in the CPI may not be the best approach for the CPI based on the performance of the resulting index formula when compared to the preferred target indices. Price-updating the expenditure shares does not imply that the resulting weights are necessarily more up to date. When there is a strong inverse relation between movements of price and quantities, price-updating on its own could produce unreliable results</w:t>
      </w:r>
      <w:r w:rsidR="00ED39F6">
        <w:rPr>
          <w:i w:val="0"/>
          <w:iCs w:val="0"/>
          <w:sz w:val="20"/>
          <w:szCs w:val="20"/>
        </w:rPr>
        <w:t>….</w:t>
      </w:r>
      <w:r w:rsidRPr="005F49B8">
        <w:rPr>
          <w:sz w:val="20"/>
          <w:szCs w:val="20"/>
        </w:rPr>
        <w:t>”</w:t>
      </w:r>
    </w:p>
    <w:p w14:paraId="0C5D3521" w14:textId="6ECBE663" w:rsidR="003A3EED" w:rsidRDefault="003A3EED" w:rsidP="003A3EED"/>
    <w:p w14:paraId="1F525509" w14:textId="78EE4810" w:rsidR="003A3EED" w:rsidRPr="003A3EED" w:rsidRDefault="008A4427" w:rsidP="005F49B8">
      <w:pPr>
        <w:pStyle w:val="Quote"/>
        <w:spacing w:before="0" w:after="0"/>
        <w:jc w:val="both"/>
      </w:pPr>
      <w:r>
        <w:t>“</w:t>
      </w:r>
      <w:r w:rsidRPr="005F49B8">
        <w:rPr>
          <w:b/>
          <w:bCs/>
          <w:i w:val="0"/>
          <w:iCs w:val="0"/>
          <w:sz w:val="20"/>
          <w:szCs w:val="20"/>
        </w:rPr>
        <w:t>9.</w:t>
      </w:r>
      <w:r w:rsidR="005904B0">
        <w:rPr>
          <w:b/>
          <w:bCs/>
          <w:i w:val="0"/>
          <w:iCs w:val="0"/>
          <w:sz w:val="20"/>
          <w:szCs w:val="20"/>
        </w:rPr>
        <w:t>16</w:t>
      </w:r>
      <w:r w:rsidRPr="005F49B8">
        <w:rPr>
          <w:i w:val="0"/>
          <w:iCs w:val="0"/>
          <w:sz w:val="20"/>
          <w:szCs w:val="20"/>
        </w:rPr>
        <w:t xml:space="preserve"> </w:t>
      </w:r>
      <w:r w:rsidR="002D1A6F" w:rsidRPr="002D1A6F">
        <w:rPr>
          <w:i w:val="0"/>
          <w:iCs w:val="0"/>
          <w:sz w:val="20"/>
          <w:szCs w:val="20"/>
        </w:rPr>
        <w:t xml:space="preserve">By keeping the expenditure shares constant from the weight reference period to the price reference period the underlying quantities are assumed to vary in response to changes in relative prices. Hence, if households tend to keep constant expenditure shares by substituting from goods </w:t>
      </w:r>
      <w:r w:rsidR="002D1A6F" w:rsidRPr="002D1A6F">
        <w:rPr>
          <w:i w:val="0"/>
          <w:iCs w:val="0"/>
          <w:sz w:val="20"/>
          <w:szCs w:val="20"/>
        </w:rPr>
        <w:lastRenderedPageBreak/>
        <w:t xml:space="preserve">or services with relative price increases to goods or services with relative price decreases, the period </w:t>
      </w:r>
      <w:r w:rsidR="002D1A6F" w:rsidRPr="005904B0">
        <w:rPr>
          <w:sz w:val="20"/>
          <w:szCs w:val="20"/>
        </w:rPr>
        <w:t>b</w:t>
      </w:r>
      <w:r w:rsidR="002D1A6F" w:rsidRPr="002D1A6F">
        <w:rPr>
          <w:i w:val="0"/>
          <w:iCs w:val="0"/>
          <w:sz w:val="20"/>
          <w:szCs w:val="20"/>
        </w:rPr>
        <w:t xml:space="preserve"> expenditure shares will be good estimates of the expenditure shares in the price reference period when the weights are introduced in the index. In turn, if expenditure shares stay unchanged, the Young index will be a good estimate of a target superlative index. However, if quantities tend to remain constant, </w:t>
      </w:r>
      <w:r w:rsidR="005904B0">
        <w:rPr>
          <w:i w:val="0"/>
          <w:iCs w:val="0"/>
          <w:sz w:val="20"/>
          <w:szCs w:val="20"/>
        </w:rPr>
        <w:t>(</w:t>
      </w:r>
      <w:r w:rsidR="002D1A6F" w:rsidRPr="002D1A6F">
        <w:rPr>
          <w:i w:val="0"/>
          <w:iCs w:val="0"/>
          <w:sz w:val="20"/>
          <w:szCs w:val="20"/>
        </w:rPr>
        <w:t xml:space="preserve">i.e. the households </w:t>
      </w:r>
      <w:r w:rsidR="00ED39F6" w:rsidRPr="002D1A6F">
        <w:rPr>
          <w:i w:val="0"/>
          <w:iCs w:val="0"/>
          <w:sz w:val="20"/>
          <w:szCs w:val="20"/>
        </w:rPr>
        <w:t>do</w:t>
      </w:r>
      <w:r w:rsidR="002D1A6F" w:rsidRPr="002D1A6F">
        <w:rPr>
          <w:i w:val="0"/>
          <w:iCs w:val="0"/>
          <w:sz w:val="20"/>
          <w:szCs w:val="20"/>
        </w:rPr>
        <w:t xml:space="preserve"> not substitute between goods and services in response to relative price changes</w:t>
      </w:r>
      <w:r w:rsidR="005904B0">
        <w:rPr>
          <w:i w:val="0"/>
          <w:iCs w:val="0"/>
          <w:sz w:val="20"/>
          <w:szCs w:val="20"/>
        </w:rPr>
        <w:t>)</w:t>
      </w:r>
      <w:r w:rsidR="002D1A6F" w:rsidRPr="002D1A6F">
        <w:rPr>
          <w:i w:val="0"/>
          <w:iCs w:val="0"/>
          <w:sz w:val="20"/>
          <w:szCs w:val="20"/>
        </w:rPr>
        <w:t>, the Young index will be biased downwards compared to a superlative target index</w:t>
      </w:r>
      <w:r w:rsidRPr="005F49B8">
        <w:rPr>
          <w:i w:val="0"/>
          <w:iCs w:val="0"/>
          <w:sz w:val="20"/>
          <w:szCs w:val="20"/>
        </w:rPr>
        <w:t>.”</w:t>
      </w:r>
      <w:r w:rsidR="005904B0" w:rsidRPr="005904B0">
        <w:t xml:space="preserve"> </w:t>
      </w:r>
    </w:p>
    <w:p w14:paraId="0030D5DA" w14:textId="77777777" w:rsidR="003A3EED" w:rsidRPr="00982695" w:rsidRDefault="003A3EED" w:rsidP="005A4EA3"/>
    <w:p w14:paraId="07824810" w14:textId="617A743E" w:rsidR="005A4EA3" w:rsidRPr="00840B51" w:rsidRDefault="005F49B8" w:rsidP="00AA7A89">
      <w:pPr>
        <w:pStyle w:val="ParagraphNumbering"/>
      </w:pPr>
      <w:r>
        <w:t xml:space="preserve">The guidance in the primary sources noted above is helpful to NSOs in understanding the principles and reasons for conducting periodic </w:t>
      </w:r>
      <w:r w:rsidR="003542F6">
        <w:t xml:space="preserve">CPI </w:t>
      </w:r>
      <w:r>
        <w:t>weight updates</w:t>
      </w:r>
      <w:r w:rsidR="003542F6">
        <w:t>.</w:t>
      </w:r>
      <w:r>
        <w:t xml:space="preserve"> The</w:t>
      </w:r>
      <w:r w:rsidR="00AA25D4">
        <w:t xml:space="preserve"> new </w:t>
      </w:r>
      <w:r w:rsidR="00AA25D4" w:rsidRPr="00AA25D4">
        <w:rPr>
          <w:i/>
          <w:iCs/>
        </w:rPr>
        <w:t>CPI Manual</w:t>
      </w:r>
      <w:r>
        <w:t xml:space="preserve"> </w:t>
      </w:r>
      <w:r w:rsidR="00E918B9">
        <w:t xml:space="preserve">(2020) </w:t>
      </w:r>
      <w:r>
        <w:t>provide</w:t>
      </w:r>
      <w:r w:rsidR="00AA25D4">
        <w:t>s</w:t>
      </w:r>
      <w:r>
        <w:t xml:space="preserve"> </w:t>
      </w:r>
      <w:r w:rsidR="00AA25D4">
        <w:t xml:space="preserve">more </w:t>
      </w:r>
      <w:r>
        <w:t xml:space="preserve">information on the concepts and </w:t>
      </w:r>
      <w:r w:rsidR="00AA25D4">
        <w:t>detailed</w:t>
      </w:r>
      <w:r>
        <w:t xml:space="preserve"> methods for updating the expenditure weights</w:t>
      </w:r>
      <w:r w:rsidR="00AA25D4">
        <w:t>. However,</w:t>
      </w:r>
      <w:r>
        <w:t xml:space="preserve"> </w:t>
      </w:r>
      <w:r w:rsidR="00AA25D4">
        <w:t>it</w:t>
      </w:r>
      <w:r w:rsidR="005A4EA3">
        <w:t xml:space="preserve"> leaves the decision up to the best judgment of the NSOs</w:t>
      </w:r>
      <w:r w:rsidR="00AA7A89" w:rsidRPr="00AA7A89">
        <w:t xml:space="preserve"> </w:t>
      </w:r>
      <w:r w:rsidR="00AA7A89">
        <w:t>whether to price update or not</w:t>
      </w:r>
      <w:r w:rsidR="005A4EA3">
        <w:t xml:space="preserve">. </w:t>
      </w:r>
      <w:r w:rsidR="00AA7A89">
        <w:t xml:space="preserve">Section </w:t>
      </w:r>
      <w:r w:rsidR="00E918B9">
        <w:t>2</w:t>
      </w:r>
      <w:r w:rsidR="00AA7A89">
        <w:t xml:space="preserve"> of this paper provides </w:t>
      </w:r>
      <w:r w:rsidR="00AA25D4">
        <w:t xml:space="preserve">additional information that NSOs </w:t>
      </w:r>
      <w:r w:rsidR="00AA7A89">
        <w:t>could</w:t>
      </w:r>
      <w:r w:rsidR="00AA25D4">
        <w:t xml:space="preserve"> use to </w:t>
      </w:r>
      <w:r w:rsidR="00AA7A89">
        <w:t>make this decision</w:t>
      </w:r>
      <w:r w:rsidR="00AA25D4">
        <w:t xml:space="preserve">. </w:t>
      </w:r>
      <w:r w:rsidR="005A4EA3">
        <w:t xml:space="preserve">Section </w:t>
      </w:r>
      <w:r w:rsidR="00E918B9">
        <w:t>3</w:t>
      </w:r>
      <w:r w:rsidR="005A4EA3">
        <w:t xml:space="preserve"> </w:t>
      </w:r>
      <w:r w:rsidR="008A4427">
        <w:t xml:space="preserve">provides concluding </w:t>
      </w:r>
      <w:r w:rsidR="008A4427" w:rsidRPr="00C01C01">
        <w:t>remarks</w:t>
      </w:r>
      <w:r w:rsidR="005A4EA3" w:rsidRPr="00C01C01">
        <w:t>.</w:t>
      </w:r>
    </w:p>
    <w:p w14:paraId="61183A93" w14:textId="77777777" w:rsidR="008A5AC6" w:rsidRDefault="008A5AC6" w:rsidP="008A5AC6"/>
    <w:p w14:paraId="76BA0F0C" w14:textId="77777777" w:rsidR="005A4EA3" w:rsidRDefault="005A4EA3" w:rsidP="005A4EA3">
      <w:pPr>
        <w:pStyle w:val="Heading1"/>
      </w:pPr>
      <w:bookmarkStart w:id="6" w:name="_Toc355689671"/>
      <w:r>
        <w:t>Updating Weights for Price Change: Pros and Cons</w:t>
      </w:r>
      <w:bookmarkEnd w:id="6"/>
    </w:p>
    <w:p w14:paraId="5AE0458E" w14:textId="3E8FE9F8" w:rsidR="005A4EA3" w:rsidRDefault="00EF0359" w:rsidP="00C31CDD">
      <w:pPr>
        <w:pStyle w:val="Heading2"/>
      </w:pPr>
      <w:r>
        <w:t xml:space="preserve">The </w:t>
      </w:r>
      <w:r w:rsidRPr="00002520">
        <w:t>target</w:t>
      </w:r>
      <w:r>
        <w:t xml:space="preserve"> index formula for the CPI</w:t>
      </w:r>
    </w:p>
    <w:p w14:paraId="1CD5DE89" w14:textId="1DDCA842" w:rsidR="005A4EA3" w:rsidRPr="00BE78BA" w:rsidRDefault="005A4EA3" w:rsidP="00002520">
      <w:pPr>
        <w:pStyle w:val="ParagraphNumbering"/>
      </w:pPr>
      <w:r>
        <w:t xml:space="preserve">In the past, the target index for the CPI was a Laspeyres price index that was easy to explain to users. It is a fixed quantity basket price index, with quantities held fixed in the price reference period. The </w:t>
      </w:r>
      <w:r w:rsidRPr="00DF26AC">
        <w:rPr>
          <w:iCs/>
        </w:rPr>
        <w:t xml:space="preserve">CPI </w:t>
      </w:r>
      <w:r w:rsidR="00DF26AC">
        <w:rPr>
          <w:iCs/>
        </w:rPr>
        <w:t>m</w:t>
      </w:r>
      <w:r w:rsidRPr="00DF26AC">
        <w:rPr>
          <w:iCs/>
        </w:rPr>
        <w:t>anual</w:t>
      </w:r>
      <w:r w:rsidR="00DF26AC">
        <w:rPr>
          <w:iCs/>
        </w:rPr>
        <w:t>s</w:t>
      </w:r>
      <w:r>
        <w:t xml:space="preserve"> ha</w:t>
      </w:r>
      <w:r w:rsidR="00DF26AC">
        <w:t>ve</w:t>
      </w:r>
      <w:r>
        <w:t xml:space="preserve"> helped to clarify that the target index for the CPI should be</w:t>
      </w:r>
      <w:r w:rsidRPr="00635052">
        <w:t xml:space="preserve"> </w:t>
      </w:r>
      <w:r>
        <w:t xml:space="preserve">the Fisher, Törnqvist, or Walsh price indexes, not the Laspeyres index. The </w:t>
      </w:r>
      <w:r w:rsidRPr="00D2625C">
        <w:rPr>
          <w:i/>
        </w:rPr>
        <w:t>CPI Manual</w:t>
      </w:r>
      <w:r w:rsidR="00DF26AC">
        <w:rPr>
          <w:i/>
        </w:rPr>
        <w:t xml:space="preserve"> </w:t>
      </w:r>
      <w:r w:rsidR="00EF0359">
        <w:t xml:space="preserve">(2004) </w:t>
      </w:r>
      <w:r>
        <w:t>show</w:t>
      </w:r>
      <w:r w:rsidR="00EF0359">
        <w:t>ed</w:t>
      </w:r>
      <w:r>
        <w:t xml:space="preserve"> in Chapter 17 that these three indexes produce essentially the same results in practice. The Laspeyres index formula</w:t>
      </w:r>
      <w:r w:rsidR="00195919">
        <w:t xml:space="preserve">, </w:t>
      </w:r>
      <w:r>
        <w:t>however,</w:t>
      </w:r>
      <w:r w:rsidR="00EF0359">
        <w:t xml:space="preserve"> </w:t>
      </w:r>
      <w:r>
        <w:t>is not generally used in practice. This is because the weight reference period</w:t>
      </w:r>
      <w:r w:rsidR="003E7FB1" w:rsidRPr="003E7FB1">
        <w:t xml:space="preserve"> </w:t>
      </w:r>
      <w:r w:rsidR="003E7FB1">
        <w:t>of a CPI</w:t>
      </w:r>
      <w:r>
        <w:t xml:space="preserve">, the period </w:t>
      </w:r>
      <w:r w:rsidR="003542F6">
        <w:t>during</w:t>
      </w:r>
      <w:r>
        <w:t xml:space="preserve"> which the </w:t>
      </w:r>
      <w:r w:rsidR="0059337F">
        <w:t>HES</w:t>
      </w:r>
      <w:r>
        <w:t xml:space="preserve"> took place, is generally earlier than the price reference period of the index. To derive an index that </w:t>
      </w:r>
      <w:r w:rsidR="003542F6">
        <w:t>begins</w:t>
      </w:r>
      <w:r>
        <w:t xml:space="preserve"> from its </w:t>
      </w:r>
      <w:r w:rsidR="00B660CD">
        <w:t>index</w:t>
      </w:r>
      <w:r>
        <w:t xml:space="preserve"> reference period</w:t>
      </w:r>
      <w:r w:rsidR="00836BFA">
        <w:t xml:space="preserve"> (where the index is equal to </w:t>
      </w:r>
      <w:r>
        <w:t>100</w:t>
      </w:r>
      <w:r w:rsidR="00836BFA">
        <w:t xml:space="preserve">) </w:t>
      </w:r>
      <w:r>
        <w:t>but keeps quantity weights fixed in the earlier weight reference (survey) period, many NSOs would price update the earlier weights. In this way, the resulting Lowe index was often referred to as a “Laspeyres-type index.” This raises the issue as to which index currently produced by NSOs would best approximate the target ind</w:t>
      </w:r>
      <w:r w:rsidR="002B1872">
        <w:t>ices</w:t>
      </w:r>
      <w:r>
        <w:t>: the Lowe index with price update</w:t>
      </w:r>
      <w:r w:rsidR="00836BFA">
        <w:t>d</w:t>
      </w:r>
      <w:r>
        <w:t xml:space="preserve"> weights or </w:t>
      </w:r>
      <w:r w:rsidR="00836BFA">
        <w:t xml:space="preserve">the </w:t>
      </w:r>
      <w:r>
        <w:t>Young index that simply uses the weights from the weight reference period.</w:t>
      </w:r>
    </w:p>
    <w:p w14:paraId="53C6E7FD" w14:textId="77777777" w:rsidR="005A4EA3" w:rsidRDefault="005A4EA3" w:rsidP="00C31CDD">
      <w:pPr>
        <w:pStyle w:val="Heading2"/>
      </w:pPr>
      <w:bookmarkStart w:id="7" w:name="_Toc355689673"/>
      <w:r>
        <w:t xml:space="preserve">Recent research on the </w:t>
      </w:r>
      <w:proofErr w:type="gramStart"/>
      <w:r>
        <w:t>whether or not</w:t>
      </w:r>
      <w:proofErr w:type="gramEnd"/>
      <w:r>
        <w:t xml:space="preserve"> to price-update weights</w:t>
      </w:r>
      <w:bookmarkEnd w:id="7"/>
    </w:p>
    <w:p w14:paraId="10BEB3EC" w14:textId="20381244" w:rsidR="005A4EA3" w:rsidRDefault="00391A2D" w:rsidP="006E2C82">
      <w:pPr>
        <w:pStyle w:val="ParagraphNumbering"/>
      </w:pPr>
      <w:r>
        <w:t>N</w:t>
      </w:r>
      <w:r w:rsidR="005A4EA3">
        <w:t xml:space="preserve">ormal consumer behavior based on observation and economic theory </w:t>
      </w:r>
      <w:r>
        <w:t>posits</w:t>
      </w:r>
      <w:r w:rsidR="005A4EA3">
        <w:t xml:space="preserve"> that in response to relative price change consumers will adjust the quantities of goods and services they purchase. </w:t>
      </w:r>
      <w:r>
        <w:t>As</w:t>
      </w:r>
      <w:r w:rsidR="005A4EA3">
        <w:t xml:space="preserve"> prices of products purchased rise relative to other similar products, consumers </w:t>
      </w:r>
      <w:r>
        <w:t xml:space="preserve">tend to </w:t>
      </w:r>
      <w:r w:rsidR="005A4EA3">
        <w:t>purchase more of the similar product with the relatively lower price increase</w:t>
      </w:r>
      <w:r>
        <w:t xml:space="preserve"> and reduce purchases of</w:t>
      </w:r>
      <w:r w:rsidR="006E2C82">
        <w:t xml:space="preserve"> the other</w:t>
      </w:r>
      <w:r w:rsidR="005A4EA3">
        <w:t xml:space="preserve">. </w:t>
      </w:r>
      <w:r w:rsidR="006E2C82">
        <w:t>As relative prices fall</w:t>
      </w:r>
      <w:r w:rsidR="001838EF">
        <w:t>,</w:t>
      </w:r>
      <w:r w:rsidR="006E2C82">
        <w:t xml:space="preserve"> consumers will buy </w:t>
      </w:r>
      <w:r w:rsidR="005A4EA3">
        <w:t xml:space="preserve">more of the </w:t>
      </w:r>
      <w:r w:rsidR="006E2C82">
        <w:t xml:space="preserve">relatively less expensive </w:t>
      </w:r>
      <w:r w:rsidR="005A4EA3">
        <w:t xml:space="preserve">product and less of the </w:t>
      </w:r>
      <w:r w:rsidR="006E2C82">
        <w:t xml:space="preserve">more expensive </w:t>
      </w:r>
      <w:r w:rsidR="005A4EA3">
        <w:t xml:space="preserve">product. </w:t>
      </w:r>
      <w:r w:rsidR="006E2C82">
        <w:t>The downward sloping demand curve in economic theory reflects t</w:t>
      </w:r>
      <w:r w:rsidR="005A4EA3">
        <w:t>his consumer reaction to price movements</w:t>
      </w:r>
      <w:r w:rsidR="006E2C82">
        <w:t>.</w:t>
      </w:r>
      <w:r w:rsidR="005A4EA3">
        <w:t xml:space="preserve"> </w:t>
      </w:r>
    </w:p>
    <w:p w14:paraId="1CCA0C15" w14:textId="352FB2EF" w:rsidR="005A4EA3" w:rsidRDefault="006E2C82" w:rsidP="0081008F">
      <w:pPr>
        <w:pStyle w:val="ParagraphNumbering"/>
      </w:pPr>
      <w:r>
        <w:t>T</w:t>
      </w:r>
      <w:r w:rsidR="005A4EA3">
        <w:t>he</w:t>
      </w:r>
      <w:r w:rsidR="00DF26AC">
        <w:t xml:space="preserve"> mew</w:t>
      </w:r>
      <w:r w:rsidR="005A4EA3">
        <w:t xml:space="preserve"> </w:t>
      </w:r>
      <w:r w:rsidR="005A4EA3" w:rsidRPr="00221664">
        <w:rPr>
          <w:i/>
        </w:rPr>
        <w:t xml:space="preserve">CPI </w:t>
      </w:r>
      <w:r w:rsidR="00E918B9">
        <w:rPr>
          <w:i/>
        </w:rPr>
        <w:t xml:space="preserve">Theory </w:t>
      </w:r>
      <w:r w:rsidR="002B1872">
        <w:rPr>
          <w:iCs/>
        </w:rPr>
        <w:t>publication</w:t>
      </w:r>
      <w:r w:rsidR="005A4EA3">
        <w:t xml:space="preserve"> </w:t>
      </w:r>
      <w:r w:rsidR="001838EF">
        <w:t xml:space="preserve">(forthcoming) </w:t>
      </w:r>
      <w:r>
        <w:t xml:space="preserve">notes </w:t>
      </w:r>
      <w:r w:rsidR="00E918B9">
        <w:t xml:space="preserve">in Chapter </w:t>
      </w:r>
      <w:r w:rsidR="00DF26AC">
        <w:t>5</w:t>
      </w:r>
      <w:r w:rsidR="00E918B9">
        <w:t xml:space="preserve"> </w:t>
      </w:r>
      <w:r>
        <w:t>that this inverse relationship between price and quantity movements is why</w:t>
      </w:r>
      <w:r w:rsidR="005A4EA3">
        <w:t xml:space="preserve"> the Laspeyres price index will be an upper bound to the true cost of living index and the Paasche price index will be a lower bound</w:t>
      </w:r>
      <w:r>
        <w:t>.</w:t>
      </w:r>
      <w:r w:rsidR="005A4EA3">
        <w:t xml:space="preserve"> </w:t>
      </w:r>
      <w:r>
        <w:t>T</w:t>
      </w:r>
      <w:r w:rsidR="005A4EA3">
        <w:t>he three target indexes—Fisher, Törnqvist, and Walsh—</w:t>
      </w:r>
      <w:r>
        <w:t xml:space="preserve">that fall numerically between these indices </w:t>
      </w:r>
      <w:r w:rsidR="005A4EA3">
        <w:t xml:space="preserve">are very close approximations </w:t>
      </w:r>
      <w:r w:rsidR="0081008F">
        <w:t>with</w:t>
      </w:r>
      <w:r>
        <w:t xml:space="preserve"> each</w:t>
      </w:r>
      <w:r w:rsidR="005A4EA3">
        <w:t xml:space="preserve"> other and </w:t>
      </w:r>
      <w:r w:rsidR="0081008F">
        <w:t>with</w:t>
      </w:r>
      <w:r w:rsidR="005A4EA3">
        <w:t xml:space="preserve"> the true cost of living index.</w:t>
      </w:r>
    </w:p>
    <w:p w14:paraId="05B005A7" w14:textId="6AD611F4" w:rsidR="005A4EA3" w:rsidRDefault="005A4EA3" w:rsidP="00C863B0">
      <w:pPr>
        <w:pStyle w:val="ParagraphNumbering"/>
      </w:pPr>
      <w:r>
        <w:lastRenderedPageBreak/>
        <w:t xml:space="preserve">The Lowe index, like Laspeyres, assumes that consumers do not </w:t>
      </w:r>
      <w:proofErr w:type="gramStart"/>
      <w:r>
        <w:t>substitute</w:t>
      </w:r>
      <w:proofErr w:type="gramEnd"/>
      <w:r>
        <w:t xml:space="preserve"> </w:t>
      </w:r>
      <w:r w:rsidR="00836BFA">
        <w:t xml:space="preserve">and </w:t>
      </w:r>
      <w:r>
        <w:t xml:space="preserve">the relative quantities are fixed at the weight reference period. </w:t>
      </w:r>
      <w:r w:rsidR="00E918B9">
        <w:t>As shown in Table 1</w:t>
      </w:r>
      <w:r w:rsidR="001838EF">
        <w:t>,</w:t>
      </w:r>
      <w:r>
        <w:t xml:space="preserve"> items with relatively large increases in price gain an unduly large expenditure share in</w:t>
      </w:r>
      <w:r w:rsidR="00E918B9">
        <w:t xml:space="preserve"> 2019</w:t>
      </w:r>
      <w:r>
        <w:t xml:space="preserve"> relative to</w:t>
      </w:r>
      <w:r w:rsidR="00E918B9">
        <w:t xml:space="preserve"> 201</w:t>
      </w:r>
      <w:r w:rsidR="00836BFA">
        <w:t>7</w:t>
      </w:r>
      <w:r w:rsidR="00E918B9">
        <w:t xml:space="preserve">. </w:t>
      </w:r>
      <w:r>
        <w:t xml:space="preserve"> </w:t>
      </w:r>
      <w:r w:rsidR="001838EF">
        <w:t xml:space="preserve">Chapter 9 of the </w:t>
      </w:r>
      <w:r w:rsidR="001838EF" w:rsidRPr="001838EF">
        <w:rPr>
          <w:i/>
          <w:iCs/>
        </w:rPr>
        <w:t>CPI Ma</w:t>
      </w:r>
      <w:r w:rsidR="001838EF" w:rsidRPr="00320D42">
        <w:rPr>
          <w:i/>
          <w:iCs/>
        </w:rPr>
        <w:t>nu</w:t>
      </w:r>
      <w:r w:rsidR="001838EF" w:rsidRPr="00B660CD">
        <w:rPr>
          <w:i/>
          <w:iCs/>
        </w:rPr>
        <w:t>al</w:t>
      </w:r>
      <w:r w:rsidR="001838EF">
        <w:t xml:space="preserve"> notes</w:t>
      </w:r>
      <w:r>
        <w:t xml:space="preserve"> that the Lowe index has an upward substitution bias compared to the true cost of living index</w:t>
      </w:r>
      <w:r w:rsidR="001838EF">
        <w:t>, and t</w:t>
      </w:r>
      <w:r>
        <w:t>his bias increases the longer the period between the weight reference (</w:t>
      </w:r>
      <w:r w:rsidRPr="00862602">
        <w:rPr>
          <w:i/>
        </w:rPr>
        <w:t>b</w:t>
      </w:r>
      <w:r>
        <w:t>) and the price reference (</w:t>
      </w:r>
      <w:r w:rsidRPr="00C863B0">
        <w:rPr>
          <w:i/>
          <w:iCs/>
        </w:rPr>
        <w:t>0</w:t>
      </w:r>
      <w:r>
        <w:t xml:space="preserve">) </w:t>
      </w:r>
      <w:r w:rsidR="001838EF">
        <w:t>period</w:t>
      </w:r>
      <w:r w:rsidR="00C863B0">
        <w:t>s.</w:t>
      </w:r>
      <w:r w:rsidR="001838EF">
        <w:t xml:space="preserve"> </w:t>
      </w:r>
      <w:r w:rsidR="00C863B0">
        <w:rPr>
          <w:iCs/>
        </w:rPr>
        <w:t>Also,</w:t>
      </w:r>
      <w:r>
        <w:t xml:space="preserve"> the Lowe index is upwardly biased relative to the Laspeyres index. Thus, price updating the weights results in an index number that is upward biased relative to </w:t>
      </w:r>
      <w:r w:rsidR="00C863B0">
        <w:t>the</w:t>
      </w:r>
      <w:r>
        <w:t xml:space="preserve"> target ind</w:t>
      </w:r>
      <w:r w:rsidR="00C863B0">
        <w:t>ic</w:t>
      </w:r>
      <w:r>
        <w:t>es as well as the Laspeyres index.</w:t>
      </w:r>
      <w:r w:rsidR="00C863B0">
        <w:t xml:space="preserve"> Assuming prices are moving upward and there is normal consumer substitution behavior, the longer the period between </w:t>
      </w:r>
      <w:r w:rsidR="00C863B0" w:rsidRPr="00C863B0">
        <w:rPr>
          <w:i/>
          <w:iCs/>
        </w:rPr>
        <w:t>b</w:t>
      </w:r>
      <w:r w:rsidR="00C863B0">
        <w:t xml:space="preserve"> and </w:t>
      </w:r>
      <w:r w:rsidR="00C863B0" w:rsidRPr="00C863B0">
        <w:rPr>
          <w:i/>
          <w:iCs/>
        </w:rPr>
        <w:t>0</w:t>
      </w:r>
      <w:r w:rsidR="00C863B0">
        <w:t>, the larger the bias will become.</w:t>
      </w:r>
    </w:p>
    <w:p w14:paraId="7BFF2109" w14:textId="241EA59B" w:rsidR="005A4EA3" w:rsidRDefault="005A4EA3" w:rsidP="00D53108">
      <w:pPr>
        <w:pStyle w:val="ParagraphNumbering"/>
      </w:pPr>
      <w:r>
        <w:t xml:space="preserve">An alternative approach </w:t>
      </w:r>
      <w:r w:rsidR="00D53108">
        <w:t xml:space="preserve">discussed in </w:t>
      </w:r>
      <w:r w:rsidR="00893E4A">
        <w:t>Chapter 9</w:t>
      </w:r>
      <w:r w:rsidR="00D53108">
        <w:t xml:space="preserve"> </w:t>
      </w:r>
      <w:r>
        <w:t>would be to use the weights from the weight reference period directly</w:t>
      </w:r>
      <w:r w:rsidR="00D53108">
        <w:t xml:space="preserve"> so that the expenditure</w:t>
      </w:r>
      <w:r>
        <w:t xml:space="preserve"> shares </w:t>
      </w:r>
      <w:r w:rsidR="00D53108">
        <w:t xml:space="preserve">are </w:t>
      </w:r>
      <w:r>
        <w:t>fixed at the weight reference period level</w:t>
      </w:r>
      <w:r w:rsidR="00D53108">
        <w:t>.</w:t>
      </w:r>
      <w:r>
        <w:t xml:space="preserve"> </w:t>
      </w:r>
      <w:r w:rsidR="00D53108">
        <w:t>This approach assumes that</w:t>
      </w:r>
      <w:r>
        <w:t xml:space="preserve"> there has been no change in </w:t>
      </w:r>
      <w:r w:rsidR="003E7FB1">
        <w:t>shares</w:t>
      </w:r>
      <w:r>
        <w:t xml:space="preserve"> between </w:t>
      </w:r>
      <w:r w:rsidRPr="00862602">
        <w:rPr>
          <w:i/>
        </w:rPr>
        <w:t>b</w:t>
      </w:r>
      <w:r>
        <w:t xml:space="preserve"> and </w:t>
      </w:r>
      <w:r w:rsidRPr="00836BFA">
        <w:rPr>
          <w:i/>
          <w:iCs/>
        </w:rPr>
        <w:t>0</w:t>
      </w:r>
      <w:r>
        <w:t xml:space="preserve">. Unchanging </w:t>
      </w:r>
      <w:r w:rsidR="00D53108">
        <w:t xml:space="preserve">expenditure </w:t>
      </w:r>
      <w:r w:rsidR="003E7FB1">
        <w:t>share</w:t>
      </w:r>
      <w:r>
        <w:t xml:space="preserve">s </w:t>
      </w:r>
      <w:r w:rsidR="00D53108">
        <w:t xml:space="preserve">imply that </w:t>
      </w:r>
      <w:r>
        <w:t xml:space="preserve">consumer shifts in reducing the quantities purchased are in the same proportion as the increase in prices. </w:t>
      </w:r>
    </w:p>
    <w:p w14:paraId="63B54EAC" w14:textId="01F05531" w:rsidR="005A4EA3" w:rsidRDefault="005A4EA3" w:rsidP="007E3741">
      <w:pPr>
        <w:pStyle w:val="ParagraphNumbering"/>
      </w:pPr>
      <w:r>
        <w:t xml:space="preserve">Whether the Young index is biased relative to the target indexes will depend on the </w:t>
      </w:r>
      <w:r w:rsidR="00D53108">
        <w:t>whether the relative change in prices is offset by a relative change in quantities that keeps the expenditure share fixed (</w:t>
      </w:r>
      <w:r>
        <w:t>elasticity of substitution</w:t>
      </w:r>
      <w:r w:rsidR="00D53108">
        <w:t xml:space="preserve"> equal to one)</w:t>
      </w:r>
      <w:r>
        <w:t xml:space="preserve">. </w:t>
      </w:r>
      <w:r w:rsidR="007E3741">
        <w:t>T</w:t>
      </w:r>
      <w:r w:rsidR="00D53108">
        <w:t>he Young index will have a downward bias compared to the target</w:t>
      </w:r>
      <w:r w:rsidR="00860A41">
        <w:t xml:space="preserve"> indices</w:t>
      </w:r>
      <w:r w:rsidR="00D53108">
        <w:t xml:space="preserve"> </w:t>
      </w:r>
      <w:r w:rsidR="007E3741">
        <w:t>i</w:t>
      </w:r>
      <w:r>
        <w:t>f the elasticity is lower than one (inelastic</w:t>
      </w:r>
      <w:r w:rsidR="003E7FB1">
        <w:t>)</w:t>
      </w:r>
      <w:r>
        <w:t xml:space="preserve"> because consumers</w:t>
      </w:r>
      <w:r w:rsidR="007E3741">
        <w:t>,</w:t>
      </w:r>
      <w:r>
        <w:t xml:space="preserve"> on average</w:t>
      </w:r>
      <w:r w:rsidR="007E3741">
        <w:t>,</w:t>
      </w:r>
      <w:r>
        <w:t xml:space="preserve"> do not</w:t>
      </w:r>
      <w:r w:rsidR="00860A41">
        <w:t xml:space="preserve"> necessarily</w:t>
      </w:r>
      <w:r>
        <w:t xml:space="preserve"> substitute as much in response to price changes as the Young index implies. </w:t>
      </w:r>
      <w:r w:rsidR="007E3741">
        <w:t>T</w:t>
      </w:r>
      <w:r>
        <w:t xml:space="preserve">he Young index will have an upward bias </w:t>
      </w:r>
      <w:r w:rsidR="007E3741">
        <w:t xml:space="preserve">if the elasticity is greater than one (elastic) </w:t>
      </w:r>
      <w:r>
        <w:t xml:space="preserve">because consumers tend to substitute more than assumed. </w:t>
      </w:r>
    </w:p>
    <w:p w14:paraId="0B27B070" w14:textId="7C00EE85" w:rsidR="005A4EA3" w:rsidRDefault="007E3741" w:rsidP="007E3741">
      <w:pPr>
        <w:pStyle w:val="ParagraphNumbering"/>
      </w:pPr>
      <w:r>
        <w:t xml:space="preserve">Empirical studies cited in Chapter 9 indicate that </w:t>
      </w:r>
      <w:r w:rsidR="005A4EA3">
        <w:t xml:space="preserve">the potential bias in </w:t>
      </w:r>
      <w:r w:rsidR="0017105D">
        <w:t xml:space="preserve">the </w:t>
      </w:r>
      <w:r w:rsidR="005A4EA3">
        <w:t>Lowe</w:t>
      </w:r>
      <w:r w:rsidR="00DF4DB6">
        <w:t xml:space="preserve"> price</w:t>
      </w:r>
      <w:r w:rsidR="005A4EA3">
        <w:t xml:space="preserve"> index generally exceed</w:t>
      </w:r>
      <w:r w:rsidR="00DF4DB6">
        <w:t>s</w:t>
      </w:r>
      <w:r w:rsidR="005A4EA3">
        <w:t xml:space="preserve"> th</w:t>
      </w:r>
      <w:r w:rsidR="00DF4DB6">
        <w:t>at</w:t>
      </w:r>
      <w:r w:rsidR="005A4EA3">
        <w:t xml:space="preserve"> of the Young index and </w:t>
      </w:r>
      <w:r>
        <w:t xml:space="preserve">that </w:t>
      </w:r>
      <w:r w:rsidR="005A4EA3">
        <w:t>both exceed the target ind</w:t>
      </w:r>
      <w:r w:rsidR="00860A41">
        <w:t>ices</w:t>
      </w:r>
      <w:r w:rsidR="005A4EA3">
        <w:t xml:space="preserve">. </w:t>
      </w:r>
      <w:r w:rsidR="00DF4DB6">
        <w:t xml:space="preserve">This result can also be demonstrated </w:t>
      </w:r>
      <w:r w:rsidR="00893E4A">
        <w:t>empirically by using</w:t>
      </w:r>
      <w:r w:rsidR="00DF4DB6">
        <w:t xml:space="preserve"> alternative price change scenarios. </w:t>
      </w:r>
      <w:bookmarkStart w:id="8" w:name="_Hlk32312088"/>
      <w:r w:rsidR="00DF4DB6">
        <w:t>When the weight reference period precedes the price reference period and there has been general inflation and normal consumer subst</w:t>
      </w:r>
      <w:r w:rsidR="00893E4A">
        <w:t>itu</w:t>
      </w:r>
      <w:r w:rsidR="00DF4DB6">
        <w:t>tion activity between the two periods,</w:t>
      </w:r>
      <w:bookmarkEnd w:id="8"/>
      <w:r w:rsidR="00DF4DB6">
        <w:t xml:space="preserve"> the Lowe price index will always exceed the Young index. On the other hand, if the weight reference period precedes the price reference period and there has been general deflation and normal consumer subst</w:t>
      </w:r>
      <w:r w:rsidR="00C01C01">
        <w:t>itution</w:t>
      </w:r>
      <w:r w:rsidR="00DF4DB6">
        <w:t xml:space="preserve"> activity between the two periods, </w:t>
      </w:r>
      <w:r w:rsidR="00836BFA">
        <w:t>t</w:t>
      </w:r>
      <w:r w:rsidR="00DF4DB6">
        <w:t>he Young price index will exceed the Lowe index.</w:t>
      </w:r>
    </w:p>
    <w:p w14:paraId="2E82080A" w14:textId="7C028CCE" w:rsidR="00893E4A" w:rsidRDefault="00893E4A" w:rsidP="007E3741">
      <w:pPr>
        <w:pStyle w:val="ParagraphNumbering"/>
      </w:pPr>
      <w:r>
        <w:t xml:space="preserve">This relationship can also be derived algebraically by analyzing the differences between the </w:t>
      </w:r>
      <w:r w:rsidR="00DF26AC">
        <w:t>Lowe</w:t>
      </w:r>
      <w:r w:rsidR="005F54BE">
        <w:t xml:space="preserve"> price</w:t>
      </w:r>
      <w:r w:rsidR="00DF26AC">
        <w:t xml:space="preserve"> index (</w:t>
      </w:r>
      <m:oMath>
        <m:sSubSup>
          <m:sSubSupPr>
            <m:ctrlPr>
              <w:rPr>
                <w:rFonts w:ascii="Cambria Math" w:hAnsi="Cambria Math"/>
                <w:i/>
              </w:rPr>
            </m:ctrlPr>
          </m:sSubSupPr>
          <m:e>
            <m:r>
              <w:rPr>
                <w:rFonts w:ascii="Cambria Math" w:hAnsi="Cambria Math"/>
              </w:rPr>
              <m:t>I</m:t>
            </m:r>
          </m:e>
          <m:sub>
            <m:r>
              <w:rPr>
                <w:rFonts w:ascii="Cambria Math" w:hAnsi="Cambria Math"/>
              </w:rPr>
              <m:t>Lo</m:t>
            </m:r>
          </m:sub>
          <m:sup>
            <m:r>
              <w:rPr>
                <w:rFonts w:ascii="Cambria Math" w:hAnsi="Cambria Math"/>
              </w:rPr>
              <m:t>t</m:t>
            </m:r>
          </m:sup>
        </m:sSubSup>
      </m:oMath>
      <w:r w:rsidR="00DF26AC">
        <w:t xml:space="preserve">) and the Young </w:t>
      </w:r>
      <w:r w:rsidR="005F54BE">
        <w:t xml:space="preserve">price </w:t>
      </w:r>
      <w:r w:rsidR="00DF26AC">
        <w:t>index (</w:t>
      </w:r>
      <m:oMath>
        <m:sSubSup>
          <m:sSubSupPr>
            <m:ctrlPr>
              <w:rPr>
                <w:rFonts w:ascii="Cambria Math" w:hAnsi="Cambria Math"/>
                <w:i/>
              </w:rPr>
            </m:ctrlPr>
          </m:sSubSupPr>
          <m:e>
            <m:r>
              <w:rPr>
                <w:rFonts w:ascii="Cambria Math" w:hAnsi="Cambria Math"/>
              </w:rPr>
              <m:t>I</m:t>
            </m:r>
          </m:e>
          <m:sub>
            <m:r>
              <w:rPr>
                <w:rFonts w:ascii="Cambria Math" w:hAnsi="Cambria Math"/>
              </w:rPr>
              <m:t>Y</m:t>
            </m:r>
          </m:sub>
          <m:sup>
            <m:r>
              <w:rPr>
                <w:rFonts w:ascii="Cambria Math" w:hAnsi="Cambria Math"/>
              </w:rPr>
              <m:t>t</m:t>
            </m:r>
          </m:sup>
        </m:sSubSup>
      </m:oMath>
      <w:r w:rsidR="00DF26AC">
        <w:t>).</w:t>
      </w:r>
    </w:p>
    <w:bookmarkStart w:id="9" w:name="_Hlk38423969"/>
    <w:p w14:paraId="63964E3E" w14:textId="6BAECD1C" w:rsidR="00BF7847" w:rsidRPr="00990EE9" w:rsidRDefault="00C02CFF" w:rsidP="00DF26AC">
      <w:pPr>
        <w:pStyle w:val="ListParagraph"/>
        <w:numPr>
          <w:ilvl w:val="0"/>
          <w:numId w:val="11"/>
        </w:num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Y,i</m:t>
            </m:r>
          </m:sub>
          <m:sup>
            <m:r>
              <w:rPr>
                <w:rFonts w:ascii="Cambria Math" w:hAnsi="Cambria Math" w:cs="Times New Roman"/>
              </w:rPr>
              <m:t>t</m:t>
            </m:r>
          </m:sup>
        </m:sSubSup>
        <m:r>
          <w:rPr>
            <w:rFonts w:ascii="Cambria Math" w:hAnsi="Cambria Math" w:cs="Times New Roman"/>
          </w:rPr>
          <m:t>=</m:t>
        </m:r>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t</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den>
            </m:f>
          </m:e>
        </m:nary>
        <m:r>
          <w:rPr>
            <w:rFonts w:ascii="Cambria Math" w:hAnsi="Cambria Math" w:cs="Times New Roman"/>
          </w:rPr>
          <m:t xml:space="preserve">  </m:t>
        </m:r>
      </m:oMath>
      <w:r w:rsidR="007109C9" w:rsidRPr="00990EE9">
        <w:rPr>
          <w:rFonts w:eastAsiaTheme="minorEastAsia" w:cs="Times New Roman"/>
        </w:rPr>
        <w:t>where</w:t>
      </w:r>
    </w:p>
    <w:p w14:paraId="193BEF40" w14:textId="2F0CF569" w:rsidR="00BF7847" w:rsidRPr="00990EE9" w:rsidRDefault="007109C9" w:rsidP="00DF26AC">
      <w:pPr>
        <w:pStyle w:val="ListParagraph"/>
        <w:numPr>
          <w:ilvl w:val="0"/>
          <w:numId w:val="11"/>
        </w:numPr>
        <w:rPr>
          <w:rFonts w:eastAsiaTheme="minorEastAsia" w:cs="Times New Roman"/>
        </w:rPr>
      </w:pPr>
      <w:r w:rsidRPr="00990EE9">
        <w:rPr>
          <w:rFonts w:eastAsiaTheme="minorEastAsia" w:cs="Times New Roman"/>
        </w:rPr>
        <w:t xml:space="preserve">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i</m:t>
                </m:r>
              </m:sub>
              <m:sup>
                <m:r>
                  <w:rPr>
                    <w:rFonts w:ascii="Cambria Math" w:hAnsi="Cambria Math" w:cs="Times New Roman"/>
                  </w:rPr>
                  <m:t>b</m:t>
                </m:r>
              </m:sup>
            </m:sSubSup>
          </m:num>
          <m:den>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e>
            </m:nary>
          </m:den>
        </m:f>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i</m:t>
            </m:r>
          </m:sub>
          <m:sup>
            <m:r>
              <w:rPr>
                <w:rFonts w:ascii="Cambria Math" w:hAnsi="Cambria Math" w:cs="Times New Roman"/>
              </w:rPr>
              <m:t>b</m:t>
            </m:r>
          </m:sup>
        </m:sSubSup>
      </m:oMath>
      <w:r w:rsidRPr="00990EE9">
        <w:rPr>
          <w:rFonts w:eastAsiaTheme="minorEastAsia" w:cs="Times New Roman"/>
        </w:rPr>
        <w:t xml:space="preserve"> </w:t>
      </w:r>
      <w:r w:rsidR="00BF7847" w:rsidRPr="00990EE9">
        <w:rPr>
          <w:rFonts w:eastAsiaTheme="minorEastAsia" w:cs="Times New Roman"/>
        </w:rPr>
        <w:t xml:space="preserve"> </w:t>
      </w:r>
      <w:r w:rsidRPr="00990EE9">
        <w:rPr>
          <w:rFonts w:eastAsiaTheme="minorEastAsia" w:cs="Times New Roman"/>
        </w:rPr>
        <w:t xml:space="preserve">and </w:t>
      </w:r>
      <m:oMath>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i</m:t>
            </m:r>
          </m:sub>
          <m:sup>
            <m:r>
              <w:rPr>
                <w:rFonts w:ascii="Cambria Math" w:eastAsiaTheme="minorEastAsia"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i</m:t>
                    </m:r>
                  </m:sub>
                  <m:sup>
                    <m:r>
                      <w:rPr>
                        <w:rFonts w:ascii="Cambria Math" w:hAnsi="Cambria Math" w:cs="Times New Roman"/>
                      </w:rPr>
                      <m:t>b</m:t>
                    </m:r>
                  </m:sup>
                </m:sSubSup>
              </m:num>
              <m:den>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e>
                </m:nary>
              </m:den>
            </m:f>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i</m:t>
                </m:r>
              </m:sub>
              <m:sup>
                <m:r>
                  <w:rPr>
                    <w:rFonts w:ascii="Cambria Math" w:hAnsi="Cambria Math" w:cs="Times New Roman"/>
                  </w:rPr>
                  <m:t>b</m:t>
                </m:r>
              </m:sup>
            </m:sSubSup>
            <m:r>
              <w:rPr>
                <w:rFonts w:ascii="Cambria Math" w:hAnsi="Cambria Math" w:cs="Times New Roman"/>
              </w:rPr>
              <m:t>=1</m:t>
            </m:r>
          </m:e>
        </m:nary>
      </m:oMath>
    </w:p>
    <w:p w14:paraId="4A4584AA" w14:textId="73B50F3C" w:rsidR="00BC24C3" w:rsidRPr="00990EE9" w:rsidRDefault="00C02CFF" w:rsidP="00DF26AC">
      <w:pPr>
        <w:pStyle w:val="ListParagraph"/>
        <w:numPr>
          <w:ilvl w:val="0"/>
          <w:numId w:val="11"/>
        </w:num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Lo,i</m:t>
            </m:r>
          </m:sub>
          <m:sup>
            <m:r>
              <w:rPr>
                <w:rFonts w:ascii="Cambria Math" w:hAnsi="Cambria Math" w:cs="Times New Roman"/>
              </w:rPr>
              <m:t>t</m:t>
            </m:r>
          </m:sup>
        </m:sSubSup>
        <m:r>
          <w:rPr>
            <w:rFonts w:ascii="Cambria Math" w:hAnsi="Cambria Math" w:cs="Times New Roman"/>
          </w:rPr>
          <m:t>=</m:t>
        </m:r>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b0</m:t>
                </m:r>
              </m:sup>
            </m:sSubSup>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t</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den>
                </m:f>
              </m:e>
            </m:d>
          </m:e>
        </m:nary>
      </m:oMath>
      <w:r w:rsidR="00BC24C3" w:rsidRPr="00990EE9">
        <w:rPr>
          <w:rFonts w:eastAsiaTheme="minorEastAsia" w:cs="Times New Roman"/>
        </w:rPr>
        <w:t xml:space="preserve">  where</w:t>
      </w:r>
    </w:p>
    <w:p w14:paraId="7CE13EF6" w14:textId="12F756B5" w:rsidR="007109C9" w:rsidRPr="00990EE9" w:rsidRDefault="00C02CFF" w:rsidP="00DF26AC">
      <w:pPr>
        <w:pStyle w:val="ListParagraph"/>
        <w:numPr>
          <w:ilvl w:val="0"/>
          <w:numId w:val="11"/>
        </w:num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b0</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den>
                </m:f>
              </m:e>
            </m:d>
          </m:num>
          <m:den>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e>
            </m:nary>
          </m:den>
        </m:f>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den>
            </m:f>
          </m:e>
        </m:d>
      </m:oMath>
      <w:r w:rsidR="00BC24C3" w:rsidRPr="00990EE9">
        <w:rPr>
          <w:rFonts w:eastAsiaTheme="minorEastAsia" w:cs="Times New Roman"/>
        </w:rPr>
        <w:t xml:space="preserve"> ,</w:t>
      </w:r>
      <w:r w:rsidR="008B7EF4" w:rsidRPr="00990EE9">
        <w:rPr>
          <w:rFonts w:eastAsiaTheme="minorEastAsia" w:cs="Times New Roman"/>
        </w:rPr>
        <w:t xml:space="preserve"> i.e., </w:t>
      </w:r>
      <w:r w:rsidR="00FA0A4C" w:rsidRPr="00990EE9">
        <w:rPr>
          <w:rFonts w:eastAsiaTheme="minorEastAsia" w:cs="Times New Roman"/>
        </w:rPr>
        <w:t xml:space="preserve">the </w:t>
      </w:r>
      <w:r w:rsidR="008B7EF4" w:rsidRPr="00990EE9">
        <w:rPr>
          <w:rFonts w:eastAsiaTheme="minorEastAsia" w:cs="Times New Roman"/>
        </w:rPr>
        <w:t xml:space="preserve">weights </w:t>
      </w:r>
      <w:r w:rsidR="00FA0A4C" w:rsidRPr="00990EE9">
        <w:rPr>
          <w:rFonts w:eastAsiaTheme="minorEastAsia" w:cs="Times New Roman"/>
        </w:rPr>
        <w:t xml:space="preserve">are </w:t>
      </w:r>
      <w:r w:rsidR="008B7EF4" w:rsidRPr="00990EE9">
        <w:rPr>
          <w:rFonts w:eastAsiaTheme="minorEastAsia" w:cs="Times New Roman"/>
        </w:rPr>
        <w:t>updated for price change</w:t>
      </w:r>
      <w:r w:rsidR="00FA0A4C" w:rsidRPr="00990EE9">
        <w:rPr>
          <w:rFonts w:eastAsiaTheme="minorEastAsia" w:cs="Times New Roman"/>
        </w:rPr>
        <w:t xml:space="preserve"> between </w:t>
      </w:r>
      <w:r w:rsidR="00FA0A4C" w:rsidRPr="00990EE9">
        <w:rPr>
          <w:rFonts w:eastAsiaTheme="minorEastAsia" w:cs="Times New Roman"/>
          <w:i/>
          <w:iCs/>
        </w:rPr>
        <w:t>b</w:t>
      </w:r>
      <w:r w:rsidR="00FA0A4C" w:rsidRPr="00990EE9">
        <w:rPr>
          <w:rFonts w:eastAsiaTheme="minorEastAsia" w:cs="Times New Roman"/>
        </w:rPr>
        <w:t xml:space="preserve"> and </w:t>
      </w:r>
      <w:r w:rsidR="00FA0A4C" w:rsidRPr="00990EE9">
        <w:rPr>
          <w:rFonts w:eastAsiaTheme="minorEastAsia" w:cs="Times New Roman"/>
          <w:i/>
          <w:iCs/>
        </w:rPr>
        <w:t>0</w:t>
      </w:r>
      <w:r w:rsidR="002E208A" w:rsidRPr="00990EE9">
        <w:rPr>
          <w:rFonts w:eastAsiaTheme="minorEastAsia" w:cs="Times New Roman"/>
        </w:rPr>
        <w:t xml:space="preserve"> and</w:t>
      </w:r>
      <w:r w:rsidR="002E208A" w:rsidRPr="00990EE9">
        <w:rPr>
          <w:rFonts w:eastAsiaTheme="minorEastAsia" w:cs="Times New Roman"/>
          <w:i/>
          <w:iCs/>
        </w:rPr>
        <w:t xml:space="preserve"> </w:t>
      </w:r>
      <m:oMath>
        <m:nary>
          <m:naryPr>
            <m:chr m:val="∑"/>
            <m:limLoc m:val="subSup"/>
            <m:ctrlPr>
              <w:rPr>
                <w:rFonts w:ascii="Cambria Math" w:eastAsiaTheme="minorEastAsia" w:hAnsi="Cambria Math" w:cs="Times New Roman"/>
                <w:i/>
                <w:iCs/>
              </w:rPr>
            </m:ctrlPr>
          </m:naryPr>
          <m:sub>
            <m:r>
              <w:rPr>
                <w:rFonts w:ascii="Cambria Math" w:eastAsiaTheme="minorEastAsia" w:hAnsi="Cambria Math" w:cs="Times New Roman"/>
              </w:rPr>
              <m:t>i</m:t>
            </m:r>
          </m:sub>
          <m:sup>
            <m:r>
              <w:rPr>
                <w:rFonts w:ascii="Cambria Math" w:eastAsiaTheme="minorEastAsia" w:hAnsi="Cambria Math" w:cs="Times New Roman"/>
              </w:rPr>
              <m:t>n</m:t>
            </m:r>
          </m:sup>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den>
                    </m:f>
                  </m:e>
                </m:d>
              </m:num>
              <m:den>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e>
                </m:nary>
              </m:den>
            </m:f>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den>
                </m:f>
              </m:e>
            </m:d>
            <m:r>
              <w:rPr>
                <w:rFonts w:ascii="Cambria Math" w:hAnsi="Cambria Math" w:cs="Times New Roman"/>
              </w:rPr>
              <m:t>=1</m:t>
            </m:r>
          </m:e>
        </m:nary>
      </m:oMath>
      <w:r w:rsidR="00FA0A4C" w:rsidRPr="00990EE9">
        <w:rPr>
          <w:rFonts w:eastAsiaTheme="minorEastAsia" w:cs="Times New Roman"/>
        </w:rPr>
        <w:t>.</w:t>
      </w:r>
    </w:p>
    <w:p w14:paraId="06CB664B" w14:textId="77777777" w:rsidR="00A35C16" w:rsidRPr="00990EE9" w:rsidRDefault="00A35C16" w:rsidP="00A35C16">
      <w:pPr>
        <w:pStyle w:val="ListParagraph"/>
        <w:rPr>
          <w:rFonts w:eastAsiaTheme="minorEastAsia" w:cs="Times New Roman"/>
        </w:rPr>
      </w:pPr>
    </w:p>
    <w:p w14:paraId="3A371685" w14:textId="64612CB3" w:rsidR="007109C9" w:rsidRPr="00990EE9" w:rsidRDefault="008B7EF4" w:rsidP="00DF26AC">
      <w:pPr>
        <w:rPr>
          <w:rFonts w:eastAsiaTheme="minorEastAsia" w:cs="Times New Roman"/>
        </w:rPr>
      </w:pPr>
      <w:r w:rsidRPr="00990EE9">
        <w:rPr>
          <w:rFonts w:eastAsiaTheme="minorEastAsia" w:cs="Times New Roman"/>
        </w:rPr>
        <w:t>B</w:t>
      </w:r>
      <w:r w:rsidR="00BF7847" w:rsidRPr="00990EE9">
        <w:rPr>
          <w:rFonts w:eastAsiaTheme="minorEastAsia" w:cs="Times New Roman"/>
        </w:rPr>
        <w:t>y substituting equation (</w:t>
      </w:r>
      <w:r w:rsidR="002E208A" w:rsidRPr="00990EE9">
        <w:rPr>
          <w:rFonts w:eastAsiaTheme="minorEastAsia" w:cs="Times New Roman"/>
        </w:rPr>
        <w:t>4</w:t>
      </w:r>
      <w:r w:rsidR="00BF7847" w:rsidRPr="00990EE9">
        <w:rPr>
          <w:rFonts w:eastAsiaTheme="minorEastAsia" w:cs="Times New Roman"/>
        </w:rPr>
        <w:t>) into equation (</w:t>
      </w:r>
      <w:r w:rsidR="002E208A" w:rsidRPr="00990EE9">
        <w:rPr>
          <w:rFonts w:eastAsiaTheme="minorEastAsia" w:cs="Times New Roman"/>
        </w:rPr>
        <w:t>3</w:t>
      </w:r>
      <w:r w:rsidR="00BF7847" w:rsidRPr="00990EE9">
        <w:rPr>
          <w:rFonts w:eastAsiaTheme="minorEastAsia" w:cs="Times New Roman"/>
        </w:rPr>
        <w:t>), the following is derived:</w:t>
      </w:r>
    </w:p>
    <w:p w14:paraId="42A1A31D" w14:textId="04166936" w:rsidR="00BF7847" w:rsidRPr="00990EE9" w:rsidRDefault="00C02CFF" w:rsidP="00DF26AC">
      <w:pPr>
        <w:pStyle w:val="ListParagraph"/>
        <w:numPr>
          <w:ilvl w:val="0"/>
          <w:numId w:val="11"/>
        </w:numPr>
        <w:rPr>
          <w:rFonts w:eastAsiaTheme="minorEastAsia" w:cs="Times New Roman"/>
        </w:rPr>
      </w:pP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Lo,i</m:t>
            </m:r>
          </m:sub>
          <m:sup>
            <m:r>
              <w:rPr>
                <w:rFonts w:ascii="Cambria Math" w:hAnsi="Cambria Math" w:cs="Times New Roman"/>
              </w:rPr>
              <m:t>t</m:t>
            </m:r>
          </m:sup>
        </m:sSubSup>
        <m:r>
          <w:rPr>
            <w:rFonts w:ascii="Cambria Math" w:hAnsi="Cambria Math" w:cs="Times New Roman"/>
          </w:rPr>
          <m:t>=</m:t>
        </m:r>
        <m:nary>
          <m:naryPr>
            <m:chr m:val="∑"/>
            <m:limLoc m:val="subSup"/>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b</m:t>
                </m:r>
              </m:sup>
            </m:sSubSup>
            <m:f>
              <m:fPr>
                <m:type m:val="lin"/>
                <m:ctrlPr>
                  <w:rPr>
                    <w:rFonts w:ascii="Cambria Math" w:hAnsi="Cambria Math" w:cs="Times New Roman"/>
                    <w:i/>
                  </w:rPr>
                </m:ctrlPr>
              </m:fPr>
              <m:num>
                <m:sSubSup>
                  <m:sSubSupPr>
                    <m:ctrlPr>
                      <w:rPr>
                        <w:rFonts w:ascii="Cambria Math" w:hAnsi="Cambria Math" w:cs="Times New Roman"/>
                        <w:i/>
                      </w:rPr>
                    </m:ctrlPr>
                  </m:sSubSupPr>
                  <m:e>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b</m:t>
                                </m:r>
                              </m:sup>
                            </m:sSubSup>
                          </m:den>
                        </m:f>
                      </m:e>
                    </m:d>
                    <m:r>
                      <w:rPr>
                        <w:rFonts w:ascii="Cambria Math" w:hAnsi="Cambria Math" w:cs="Times New Roman"/>
                      </w:rPr>
                      <m:t>∙p</m:t>
                    </m:r>
                  </m:e>
                  <m:sub>
                    <m:r>
                      <w:rPr>
                        <w:rFonts w:ascii="Cambria Math" w:hAnsi="Cambria Math" w:cs="Times New Roman"/>
                      </w:rPr>
                      <m:t>i</m:t>
                    </m:r>
                  </m:sub>
                  <m:sup>
                    <m:r>
                      <w:rPr>
                        <w:rFonts w:ascii="Cambria Math" w:hAnsi="Cambria Math" w:cs="Times New Roman"/>
                      </w:rPr>
                      <m:t>t</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0</m:t>
                    </m:r>
                  </m:sup>
                </m:sSubSup>
              </m:den>
            </m:f>
          </m:e>
        </m:nary>
      </m:oMath>
      <w:r w:rsidR="002E208A" w:rsidRPr="00990EE9">
        <w:rPr>
          <w:rFonts w:eastAsiaTheme="minorEastAsia" w:cs="Times New Roman"/>
        </w:rPr>
        <w:t>.</w:t>
      </w:r>
    </w:p>
    <w:p w14:paraId="0A5863CD" w14:textId="77777777" w:rsidR="00BF7847" w:rsidRPr="00990EE9" w:rsidRDefault="00BF7847" w:rsidP="002E208A"/>
    <w:p w14:paraId="3E71F90B" w14:textId="01712FDA" w:rsidR="00594D04" w:rsidRPr="00990EE9" w:rsidRDefault="00594D04" w:rsidP="00594D04">
      <w:pPr>
        <w:pStyle w:val="ParagraphNumbering"/>
        <w:rPr>
          <w:rFonts w:eastAsiaTheme="minorEastAsia"/>
          <w:szCs w:val="22"/>
        </w:rPr>
      </w:pPr>
      <w:r w:rsidRPr="00990EE9">
        <w:rPr>
          <w:rFonts w:eastAsiaTheme="minorEastAsia"/>
          <w:szCs w:val="22"/>
        </w:rPr>
        <w:t>When comparing equation (5) with equation (</w:t>
      </w:r>
      <w:r w:rsidR="00C535A7" w:rsidRPr="00990EE9">
        <w:rPr>
          <w:rFonts w:eastAsiaTheme="minorEastAsia"/>
          <w:szCs w:val="22"/>
        </w:rPr>
        <w:t>1)</w:t>
      </w:r>
      <w:r w:rsidR="00C535A7">
        <w:rPr>
          <w:rFonts w:eastAsiaTheme="minorEastAsia"/>
          <w:szCs w:val="22"/>
        </w:rPr>
        <w:t xml:space="preserve"> for</w:t>
      </w:r>
      <w:r w:rsidR="009A7ACA">
        <w:rPr>
          <w:rFonts w:eastAsiaTheme="minorEastAsia"/>
          <w:szCs w:val="22"/>
        </w:rPr>
        <w:t xml:space="preserve"> period </w:t>
      </w:r>
      <w:r w:rsidR="009A7ACA" w:rsidRPr="00C535A7">
        <w:rPr>
          <w:rFonts w:eastAsiaTheme="minorEastAsia"/>
          <w:i/>
          <w:iCs/>
          <w:szCs w:val="22"/>
        </w:rPr>
        <w:t>0</w:t>
      </w:r>
      <w:r w:rsidR="009A7ACA">
        <w:rPr>
          <w:rFonts w:eastAsiaTheme="minorEastAsia"/>
          <w:szCs w:val="22"/>
        </w:rPr>
        <w:t xml:space="preserve"> when the </w:t>
      </w:r>
      <w:r w:rsidR="00C535A7">
        <w:rPr>
          <w:rFonts w:eastAsiaTheme="minorEastAsia"/>
          <w:szCs w:val="22"/>
        </w:rPr>
        <w:t xml:space="preserve">new </w:t>
      </w:r>
      <w:r w:rsidR="009A7ACA">
        <w:rPr>
          <w:rFonts w:eastAsiaTheme="minorEastAsia"/>
          <w:szCs w:val="22"/>
        </w:rPr>
        <w:t>weights are introduced</w:t>
      </w:r>
      <w:r w:rsidRPr="00990EE9">
        <w:rPr>
          <w:rFonts w:eastAsiaTheme="minorEastAsia"/>
          <w:szCs w:val="22"/>
        </w:rPr>
        <w:t>, note that:</w:t>
      </w:r>
    </w:p>
    <w:p w14:paraId="3B400BA8" w14:textId="2FD8FF19" w:rsidR="00DF26AC" w:rsidRPr="00990EE9" w:rsidRDefault="00BF7847" w:rsidP="00594D04">
      <w:pPr>
        <w:pStyle w:val="ParagraphNumbering"/>
        <w:numPr>
          <w:ilvl w:val="0"/>
          <w:numId w:val="0"/>
        </w:numPr>
        <w:spacing w:after="0"/>
        <w:rPr>
          <w:rFonts w:eastAsiaTheme="minorEastAsia"/>
          <w:szCs w:val="22"/>
        </w:rPr>
      </w:pPr>
      <w:r w:rsidRPr="00990EE9">
        <w:rPr>
          <w:rFonts w:eastAsiaTheme="minorEastAsia"/>
          <w:szCs w:val="22"/>
        </w:rPr>
        <w:t>If</w:t>
      </w:r>
      <w:r w:rsidR="00A35C16" w:rsidRPr="00990EE9">
        <w:rPr>
          <w:rFonts w:eastAsiaTheme="minorEastAsia"/>
          <w:szCs w:val="22"/>
        </w:rPr>
        <w:t xml:space="preserve"> there is no inflation</w:t>
      </w:r>
      <w:r w:rsidR="00594D04" w:rsidRPr="00990EE9">
        <w:rPr>
          <w:rFonts w:eastAsiaTheme="minorEastAsia"/>
          <w:szCs w:val="22"/>
        </w:rPr>
        <w:t xml:space="preserve"> </w:t>
      </w:r>
      <w:bookmarkStart w:id="10" w:name="_Hlk38423433"/>
      <w:r w:rsidR="00594D04" w:rsidRPr="00990EE9">
        <w:rPr>
          <w:rFonts w:eastAsiaTheme="minorEastAsia"/>
          <w:szCs w:val="22"/>
        </w:rPr>
        <w:t xml:space="preserve">between </w:t>
      </w:r>
      <w:r w:rsidR="00594D04" w:rsidRPr="00990EE9">
        <w:rPr>
          <w:rFonts w:eastAsiaTheme="minorEastAsia"/>
          <w:i/>
          <w:iCs/>
          <w:szCs w:val="22"/>
        </w:rPr>
        <w:t>b</w:t>
      </w:r>
      <w:r w:rsidR="00594D04" w:rsidRPr="00990EE9">
        <w:rPr>
          <w:rFonts w:eastAsiaTheme="minorEastAsia"/>
          <w:szCs w:val="22"/>
        </w:rPr>
        <w:t xml:space="preserve"> and </w:t>
      </w:r>
      <w:r w:rsidR="00594D04" w:rsidRPr="00990EE9">
        <w:rPr>
          <w:rFonts w:eastAsiaTheme="minorEastAsia"/>
          <w:i/>
          <w:iCs/>
          <w:szCs w:val="22"/>
        </w:rPr>
        <w:t>0</w:t>
      </w:r>
      <w:bookmarkEnd w:id="10"/>
      <w:r w:rsidR="00A35C16" w:rsidRPr="00990EE9">
        <w:rPr>
          <w:rFonts w:eastAsiaTheme="minorEastAsia"/>
          <w:szCs w:val="22"/>
        </w:rPr>
        <w:t>,</w:t>
      </w:r>
      <w:r w:rsidR="00CF4201" w:rsidRPr="00CF4201">
        <w:rPr>
          <w:rFonts w:eastAsiaTheme="minorEastAsia"/>
          <w:szCs w:val="22"/>
        </w:rPr>
        <w:t xml:space="preserve"> </w:t>
      </w:r>
      <w:r w:rsidR="00CF4201">
        <w:rPr>
          <w:rFonts w:eastAsiaTheme="minorEastAsia"/>
          <w:szCs w:val="22"/>
        </w:rPr>
        <w:t xml:space="preserve">i.e., </w:t>
      </w:r>
      <m:oMath>
        <m:r>
          <w:rPr>
            <w:rFonts w:ascii="Cambria Math" w:eastAsiaTheme="minorEastAsia" w:hAnsi="Cambria Math"/>
            <w:szCs w:val="22"/>
          </w:rPr>
          <m:t>E</m:t>
        </m:r>
        <m:d>
          <m:dPr>
            <m:begChr m:val="["/>
            <m:endChr m:val="]"/>
            <m:ctrlPr>
              <w:rPr>
                <w:rFonts w:ascii="Cambria Math" w:eastAsiaTheme="minorEastAsia" w:hAnsi="Cambria Math"/>
                <w:i/>
                <w:szCs w:val="22"/>
              </w:rPr>
            </m:ctrlPr>
          </m:dPr>
          <m:e>
            <m:nary>
              <m:naryPr>
                <m:chr m:val="∑"/>
                <m:limLoc m:val="subSup"/>
                <m:ctrlPr>
                  <w:rPr>
                    <w:rFonts w:ascii="Cambria Math" w:hAnsi="Cambria Math"/>
                    <w:i/>
                  </w:rPr>
                </m:ctrlPr>
              </m:naryPr>
              <m:sub>
                <m:r>
                  <w:rPr>
                    <w:rFonts w:ascii="Cambria Math" w:hAnsi="Cambria Math"/>
                  </w:rPr>
                  <m:t>i</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b</m:t>
                    </m:r>
                  </m:sup>
                </m:sSubSup>
              </m:e>
            </m:nary>
            <m:r>
              <w:rPr>
                <w:rFonts w:ascii="Cambria Math" w:hAnsi="Cambria Math"/>
              </w:rPr>
              <m:t xml:space="preserve"> </m:t>
            </m:r>
            <m:d>
              <m:dPr>
                <m:ctrlPr>
                  <w:rPr>
                    <w:rFonts w:ascii="Cambria Math" w:eastAsia="Calibri" w:hAnsi="Cambria Math"/>
                    <w:i/>
                    <w:szCs w:val="22"/>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b</m:t>
                        </m:r>
                      </m:sup>
                    </m:sSubSup>
                  </m:den>
                </m:f>
              </m:e>
            </m:d>
          </m:e>
        </m:d>
        <m:r>
          <w:rPr>
            <w:rFonts w:ascii="Cambria Math" w:eastAsiaTheme="minorEastAsia" w:hAnsi="Cambria Math"/>
            <w:szCs w:val="22"/>
          </w:rPr>
          <m:t xml:space="preserve">=1, </m:t>
        </m:r>
      </m:oMath>
      <w:r w:rsidR="00A35C16" w:rsidRPr="00990EE9">
        <w:rPr>
          <w:rFonts w:eastAsiaTheme="minorEastAsia"/>
          <w:szCs w:val="22"/>
        </w:rPr>
        <w:t xml:space="preserve"> </w:t>
      </w:r>
      <w:r w:rsidRPr="00990EE9">
        <w:rPr>
          <w:rFonts w:eastAsiaTheme="minorEastAsia"/>
          <w:szCs w:val="22"/>
        </w:rPr>
        <w:t xml:space="preserve"> </w:t>
      </w:r>
      <m:oMath>
        <m:sSubSup>
          <m:sSubSupPr>
            <m:ctrlPr>
              <w:rPr>
                <w:rFonts w:ascii="Cambria Math" w:hAnsi="Cambria Math"/>
                <w:szCs w:val="22"/>
              </w:rPr>
            </m:ctrlPr>
          </m:sSubSupPr>
          <m:e>
            <m:sSubSup>
              <m:sSubSupPr>
                <m:ctrlPr>
                  <w:rPr>
                    <w:rFonts w:ascii="Cambria Math" w:hAnsi="Cambria Math"/>
                    <w:i/>
                  </w:rPr>
                </m:ctrlPr>
              </m:sSubSupPr>
              <m:e>
                <m:r>
                  <w:rPr>
                    <w:rFonts w:ascii="Cambria Math" w:hAnsi="Cambria Math"/>
                  </w:rPr>
                  <m:t>I</m:t>
                </m:r>
              </m:e>
              <m:sub>
                <m:r>
                  <w:rPr>
                    <w:rFonts w:ascii="Cambria Math" w:hAnsi="Cambria Math"/>
                  </w:rPr>
                  <m:t>Lo,i</m:t>
                </m:r>
              </m:sub>
              <m:sup>
                <m:r>
                  <w:rPr>
                    <w:rFonts w:ascii="Cambria Math" w:hAnsi="Cambria Math"/>
                  </w:rPr>
                  <m:t>0</m:t>
                </m:r>
              </m:sup>
            </m:sSubSup>
            <m:r>
              <m:rPr>
                <m:sty m:val="p"/>
              </m:rPr>
              <w:rPr>
                <w:rFonts w:ascii="Cambria Math" w:hAnsi="Cambria Math"/>
                <w:szCs w:val="22"/>
              </w:rPr>
              <m:t>=</m:t>
            </m:r>
            <m:r>
              <w:rPr>
                <w:rFonts w:ascii="Cambria Math" w:hAnsi="Cambria Math"/>
                <w:szCs w:val="22"/>
              </w:rPr>
              <m:t>I</m:t>
            </m:r>
          </m:e>
          <m:sub>
            <m:r>
              <w:rPr>
                <w:rFonts w:ascii="Cambria Math" w:hAnsi="Cambria Math"/>
                <w:szCs w:val="22"/>
              </w:rPr>
              <m:t>Y,i</m:t>
            </m:r>
          </m:sub>
          <m:sup>
            <m:r>
              <w:rPr>
                <w:rFonts w:ascii="Cambria Math" w:hAnsi="Cambria Math"/>
                <w:szCs w:val="22"/>
              </w:rPr>
              <m:t>0</m:t>
            </m:r>
          </m:sup>
        </m:sSubSup>
        <m:r>
          <w:rPr>
            <w:rFonts w:ascii="Cambria Math" w:hAnsi="Cambria Math"/>
            <w:szCs w:val="22"/>
          </w:rPr>
          <m:t>.</m:t>
        </m:r>
      </m:oMath>
    </w:p>
    <w:p w14:paraId="1C1F7228" w14:textId="55595795" w:rsidR="00DF26AC" w:rsidRPr="00990EE9" w:rsidRDefault="00FC0318" w:rsidP="00FC0318">
      <w:pPr>
        <w:rPr>
          <w:rFonts w:eastAsiaTheme="minorEastAsia" w:cs="Times New Roman"/>
        </w:rPr>
      </w:pPr>
      <w:bookmarkStart w:id="11" w:name="_Hlk38289374"/>
      <w:r w:rsidRPr="00990EE9">
        <w:rPr>
          <w:rFonts w:eastAsiaTheme="minorEastAsia" w:cs="Times New Roman"/>
        </w:rPr>
        <w:lastRenderedPageBreak/>
        <w:t>If</w:t>
      </w:r>
      <w:r w:rsidR="00A35C16" w:rsidRPr="00990EE9">
        <w:rPr>
          <w:rFonts w:eastAsiaTheme="minorEastAsia" w:cs="Times New Roman"/>
        </w:rPr>
        <w:t xml:space="preserve"> inflation has occurred</w:t>
      </w:r>
      <w:r w:rsidR="00594D04" w:rsidRPr="00990EE9">
        <w:rPr>
          <w:rFonts w:eastAsiaTheme="minorEastAsia"/>
        </w:rPr>
        <w:t xml:space="preserve"> between </w:t>
      </w:r>
      <w:r w:rsidR="00594D04" w:rsidRPr="00990EE9">
        <w:rPr>
          <w:rFonts w:eastAsiaTheme="minorEastAsia"/>
          <w:i/>
          <w:iCs/>
        </w:rPr>
        <w:t>b</w:t>
      </w:r>
      <w:r w:rsidR="00594D04" w:rsidRPr="00990EE9">
        <w:rPr>
          <w:rFonts w:eastAsiaTheme="minorEastAsia"/>
        </w:rPr>
        <w:t xml:space="preserve"> and </w:t>
      </w:r>
      <w:r w:rsidR="00594D04" w:rsidRPr="00990EE9">
        <w:rPr>
          <w:rFonts w:eastAsiaTheme="minorEastAsia"/>
          <w:i/>
          <w:iCs/>
        </w:rPr>
        <w:t>0</w:t>
      </w:r>
      <w:r w:rsidR="00A35C16" w:rsidRPr="00990EE9">
        <w:rPr>
          <w:rFonts w:eastAsiaTheme="minorEastAsia" w:cs="Times New Roman"/>
        </w:rPr>
        <w:t>,</w:t>
      </w:r>
      <w:r w:rsidR="00CF4201" w:rsidRPr="00CF4201">
        <w:rPr>
          <w:rFonts w:eastAsiaTheme="minorEastAsia"/>
        </w:rPr>
        <w:t xml:space="preserve"> </w:t>
      </w:r>
      <w:r w:rsidR="00CF4201">
        <w:rPr>
          <w:rFonts w:eastAsiaTheme="minorEastAsia"/>
        </w:rPr>
        <w:t xml:space="preserve">i.e., </w:t>
      </w:r>
      <m:oMath>
        <m:r>
          <w:rPr>
            <w:rFonts w:ascii="Cambria Math" w:eastAsiaTheme="minorEastAsia" w:hAnsi="Cambria Math"/>
          </w:rPr>
          <m:t>E</m:t>
        </m:r>
        <m:d>
          <m:dPr>
            <m:begChr m:val="["/>
            <m:endChr m:val="]"/>
            <m:ctrlPr>
              <w:rPr>
                <w:rFonts w:ascii="Cambria Math" w:eastAsiaTheme="minorEastAsia" w:hAnsi="Cambria Math"/>
                <w:i/>
              </w:rPr>
            </m:ctrlPr>
          </m:dPr>
          <m:e>
            <m:nary>
              <m:naryPr>
                <m:chr m:val="∑"/>
                <m:limLoc m:val="subSup"/>
                <m:ctrlPr>
                  <w:rPr>
                    <w:rFonts w:ascii="Cambria Math" w:hAnsi="Cambria Math"/>
                    <w:i/>
                  </w:rPr>
                </m:ctrlPr>
              </m:naryPr>
              <m:sub>
                <m:r>
                  <w:rPr>
                    <w:rFonts w:ascii="Cambria Math" w:hAnsi="Cambria Math"/>
                  </w:rPr>
                  <m:t>i</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b</m:t>
                    </m:r>
                  </m:sup>
                </m:sSubSup>
              </m:e>
            </m:nary>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b</m:t>
                        </m:r>
                      </m:sup>
                    </m:sSubSup>
                  </m:den>
                </m:f>
              </m:e>
            </m:d>
          </m:e>
        </m:d>
        <m:r>
          <w:rPr>
            <w:rFonts w:ascii="Cambria Math" w:eastAsiaTheme="minorEastAsia" w:hAnsi="Cambria Math"/>
          </w:rPr>
          <m:t xml:space="preserve">&gt;1, </m:t>
        </m:r>
      </m:oMath>
      <w:r w:rsidRPr="00990EE9">
        <w:rPr>
          <w:rFonts w:eastAsiaTheme="minorEastAsia" w:cs="Times New Roman"/>
        </w:rPr>
        <w:t xml:space="preserve"> </w:t>
      </w:r>
      <w:bookmarkEnd w:id="11"/>
      <m:oMath>
        <m:sSubSup>
          <m:sSubSupPr>
            <m:ctrlPr>
              <w:rPr>
                <w:rFonts w:ascii="Cambria Math" w:hAnsi="Cambria Math" w:cs="Times New Roman"/>
                <w:i/>
              </w:rPr>
            </m:ctrlPr>
          </m:sSubSupPr>
          <m:e>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Lo,i</m:t>
                </m:r>
              </m:sub>
              <m:sup>
                <m:r>
                  <w:rPr>
                    <w:rFonts w:ascii="Cambria Math" w:hAnsi="Cambria Math" w:cs="Times New Roman"/>
                  </w:rPr>
                  <m:t>0</m:t>
                </m:r>
              </m:sup>
            </m:sSubSup>
            <m:r>
              <w:rPr>
                <w:rFonts w:ascii="Cambria Math" w:hAnsi="Cambria Math" w:cs="Times New Roman"/>
              </w:rPr>
              <m:t>&gt;I</m:t>
            </m:r>
          </m:e>
          <m:sub>
            <m:r>
              <w:rPr>
                <w:rFonts w:ascii="Cambria Math" w:hAnsi="Cambria Math" w:cs="Times New Roman"/>
              </w:rPr>
              <m:t>Y,i</m:t>
            </m:r>
          </m:sub>
          <m:sup>
            <m:r>
              <w:rPr>
                <w:rFonts w:ascii="Cambria Math" w:hAnsi="Cambria Math" w:cs="Times New Roman"/>
              </w:rPr>
              <m:t>0</m:t>
            </m:r>
          </m:sup>
        </m:sSubSup>
        <m:r>
          <w:rPr>
            <w:rFonts w:ascii="Cambria Math" w:hAnsi="Cambria Math" w:cs="Times New Roman"/>
          </w:rPr>
          <m:t xml:space="preserve">. </m:t>
        </m:r>
      </m:oMath>
      <w:r w:rsidRPr="00990EE9">
        <w:rPr>
          <w:rFonts w:eastAsiaTheme="minorEastAsia" w:cs="Times New Roman"/>
        </w:rPr>
        <w:t xml:space="preserve"> </w:t>
      </w:r>
    </w:p>
    <w:p w14:paraId="12BC37C7" w14:textId="5092FCA2" w:rsidR="00DF26AC" w:rsidRPr="00990EE9" w:rsidRDefault="00FC0318" w:rsidP="00DF26AC">
      <w:pPr>
        <w:rPr>
          <w:rFonts w:eastAsiaTheme="minorEastAsia" w:cs="Times New Roman"/>
        </w:rPr>
      </w:pPr>
      <w:r w:rsidRPr="00990EE9">
        <w:rPr>
          <w:rFonts w:eastAsiaTheme="minorEastAsia" w:cs="Times New Roman"/>
        </w:rPr>
        <w:t>If</w:t>
      </w:r>
      <w:r w:rsidR="00A35C16" w:rsidRPr="00990EE9">
        <w:rPr>
          <w:rFonts w:eastAsiaTheme="minorEastAsia" w:cs="Times New Roman"/>
        </w:rPr>
        <w:t xml:space="preserve"> deflation has occurred</w:t>
      </w:r>
      <w:r w:rsidR="00594D04" w:rsidRPr="00990EE9">
        <w:rPr>
          <w:rFonts w:eastAsiaTheme="minorEastAsia"/>
        </w:rPr>
        <w:t xml:space="preserve"> between </w:t>
      </w:r>
      <w:r w:rsidR="00594D04" w:rsidRPr="00990EE9">
        <w:rPr>
          <w:rFonts w:eastAsiaTheme="minorEastAsia"/>
          <w:i/>
          <w:iCs/>
        </w:rPr>
        <w:t>b</w:t>
      </w:r>
      <w:r w:rsidR="00594D04" w:rsidRPr="00990EE9">
        <w:rPr>
          <w:rFonts w:eastAsiaTheme="minorEastAsia"/>
        </w:rPr>
        <w:t xml:space="preserve"> and </w:t>
      </w:r>
      <w:r w:rsidR="00594D04" w:rsidRPr="00990EE9">
        <w:rPr>
          <w:rFonts w:eastAsiaTheme="minorEastAsia"/>
          <w:i/>
          <w:iCs/>
        </w:rPr>
        <w:t>0</w:t>
      </w:r>
      <w:r w:rsidR="00A35C16" w:rsidRPr="00990EE9">
        <w:rPr>
          <w:rFonts w:eastAsiaTheme="minorEastAsia" w:cs="Times New Roman"/>
        </w:rPr>
        <w:t>,</w:t>
      </w:r>
      <w:r w:rsidR="00805E91" w:rsidRPr="00805E91">
        <w:rPr>
          <w:rFonts w:eastAsiaTheme="minorEastAsia"/>
        </w:rPr>
        <w:t xml:space="preserve"> </w:t>
      </w:r>
      <w:r w:rsidR="00805E91">
        <w:rPr>
          <w:rFonts w:eastAsiaTheme="minorEastAsia"/>
        </w:rPr>
        <w:t xml:space="preserve">i.e., </w:t>
      </w:r>
      <m:oMath>
        <m:r>
          <w:rPr>
            <w:rFonts w:ascii="Cambria Math" w:eastAsiaTheme="minorEastAsia" w:hAnsi="Cambria Math"/>
          </w:rPr>
          <m:t>E</m:t>
        </m:r>
        <m:d>
          <m:dPr>
            <m:begChr m:val="["/>
            <m:endChr m:val="]"/>
            <m:ctrlPr>
              <w:rPr>
                <w:rFonts w:ascii="Cambria Math" w:eastAsiaTheme="minorEastAsia" w:hAnsi="Cambria Math"/>
                <w:i/>
              </w:rPr>
            </m:ctrlPr>
          </m:dPr>
          <m:e>
            <m:nary>
              <m:naryPr>
                <m:chr m:val="∑"/>
                <m:limLoc m:val="subSup"/>
                <m:ctrlPr>
                  <w:rPr>
                    <w:rFonts w:ascii="Cambria Math" w:hAnsi="Cambria Math"/>
                    <w:i/>
                  </w:rPr>
                </m:ctrlPr>
              </m:naryPr>
              <m:sub>
                <m:r>
                  <w:rPr>
                    <w:rFonts w:ascii="Cambria Math" w:hAnsi="Cambria Math"/>
                  </w:rPr>
                  <m:t>i</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b</m:t>
                    </m:r>
                  </m:sup>
                </m:sSubSup>
              </m:e>
            </m:nary>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b</m:t>
                        </m:r>
                      </m:sup>
                    </m:sSubSup>
                  </m:den>
                </m:f>
              </m:e>
            </m:d>
          </m:e>
        </m:d>
        <m:r>
          <w:rPr>
            <w:rFonts w:ascii="Cambria Math" w:eastAsiaTheme="minorEastAsia" w:hAnsi="Cambria Math"/>
          </w:rPr>
          <m:t xml:space="preserve">&lt;1, </m:t>
        </m:r>
      </m:oMath>
      <w:r w:rsidRPr="00990EE9">
        <w:rPr>
          <w:rFonts w:eastAsiaTheme="minorEastAsia" w:cs="Times New Roman"/>
        </w:rPr>
        <w:t xml:space="preserve"> </w:t>
      </w:r>
      <m:oMath>
        <m:r>
          <w:rPr>
            <w:rFonts w:ascii="Cambria Math" w:eastAsiaTheme="minorEastAsia" w:hAnsi="Cambria Math" w:cs="Times New Roman"/>
          </w:rPr>
          <m:t xml:space="preserve"> </m:t>
        </m:r>
        <m:sSubSup>
          <m:sSubSupPr>
            <m:ctrlPr>
              <w:rPr>
                <w:rFonts w:ascii="Cambria Math" w:hAnsi="Cambria Math" w:cs="Times New Roman"/>
                <w:i/>
              </w:rPr>
            </m:ctrlPr>
          </m:sSubSupPr>
          <m:e>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Lo,i</m:t>
                </m:r>
              </m:sub>
              <m:sup>
                <m:r>
                  <w:rPr>
                    <w:rFonts w:ascii="Cambria Math" w:hAnsi="Cambria Math" w:cs="Times New Roman"/>
                  </w:rPr>
                  <m:t>0</m:t>
                </m:r>
              </m:sup>
            </m:sSubSup>
            <m:r>
              <w:rPr>
                <w:rFonts w:ascii="Cambria Math" w:hAnsi="Cambria Math" w:cs="Times New Roman"/>
              </w:rPr>
              <m:t>&lt;I</m:t>
            </m:r>
          </m:e>
          <m:sub>
            <m:r>
              <w:rPr>
                <w:rFonts w:ascii="Cambria Math" w:hAnsi="Cambria Math" w:cs="Times New Roman"/>
              </w:rPr>
              <m:t>Y,i</m:t>
            </m:r>
          </m:sub>
          <m:sup>
            <m:r>
              <w:rPr>
                <w:rFonts w:ascii="Cambria Math" w:hAnsi="Cambria Math" w:cs="Times New Roman"/>
              </w:rPr>
              <m:t>0</m:t>
            </m:r>
          </m:sup>
        </m:sSubSup>
      </m:oMath>
      <w:r w:rsidR="00990EE9" w:rsidRPr="00990EE9">
        <w:rPr>
          <w:rFonts w:eastAsiaTheme="minorEastAsia" w:cs="Times New Roman"/>
        </w:rPr>
        <w:t>.</w:t>
      </w:r>
      <w:r w:rsidR="00DF26AC" w:rsidRPr="00990EE9">
        <w:rPr>
          <w:rFonts w:eastAsiaTheme="minorEastAsia" w:cs="Times New Roman"/>
        </w:rPr>
        <w:t xml:space="preserve"> </w:t>
      </w:r>
    </w:p>
    <w:p w14:paraId="64276880" w14:textId="77777777" w:rsidR="00FC0318" w:rsidRPr="00990EE9" w:rsidRDefault="00FC0318" w:rsidP="00DF26AC">
      <w:pPr>
        <w:rPr>
          <w:rFonts w:cs="Times New Roman"/>
        </w:rPr>
      </w:pPr>
    </w:p>
    <w:p w14:paraId="21CCBB5E" w14:textId="160F3D6E" w:rsidR="00514F4A" w:rsidRPr="00990EE9" w:rsidRDefault="00DF26AC" w:rsidP="00514F4A">
      <w:pPr>
        <w:pStyle w:val="ParagraphNumbering"/>
        <w:rPr>
          <w:rFonts w:eastAsiaTheme="minorEastAsia"/>
          <w:szCs w:val="22"/>
        </w:rPr>
      </w:pPr>
      <w:r w:rsidRPr="00990EE9">
        <w:rPr>
          <w:szCs w:val="22"/>
        </w:rPr>
        <w:t xml:space="preserve">In the case of inflation between </w:t>
      </w:r>
      <w:r w:rsidRPr="00990EE9">
        <w:rPr>
          <w:i/>
          <w:iCs/>
          <w:szCs w:val="22"/>
        </w:rPr>
        <w:t>b</w:t>
      </w:r>
      <w:r w:rsidRPr="00990EE9">
        <w:rPr>
          <w:szCs w:val="22"/>
        </w:rPr>
        <w:t xml:space="preserve"> and </w:t>
      </w:r>
      <w:r w:rsidRPr="00C535A7">
        <w:rPr>
          <w:i/>
          <w:iCs/>
          <w:szCs w:val="22"/>
        </w:rPr>
        <w:t>0</w:t>
      </w:r>
      <w:r w:rsidRPr="00990EE9">
        <w:rPr>
          <w:szCs w:val="22"/>
        </w:rPr>
        <w:t xml:space="preserve">, the Lowe will exceed the Young and in the case of deflation </w:t>
      </w:r>
      <w:r w:rsidR="0070113C" w:rsidRPr="00990EE9">
        <w:rPr>
          <w:szCs w:val="22"/>
        </w:rPr>
        <w:t xml:space="preserve">between </w:t>
      </w:r>
      <w:r w:rsidR="0070113C" w:rsidRPr="00990EE9">
        <w:rPr>
          <w:i/>
          <w:iCs/>
          <w:szCs w:val="22"/>
        </w:rPr>
        <w:t>b</w:t>
      </w:r>
      <w:r w:rsidR="0070113C" w:rsidRPr="00990EE9">
        <w:rPr>
          <w:szCs w:val="22"/>
        </w:rPr>
        <w:t xml:space="preserve"> and </w:t>
      </w:r>
      <w:r w:rsidR="0070113C" w:rsidRPr="00C535A7">
        <w:rPr>
          <w:i/>
          <w:iCs/>
          <w:szCs w:val="22"/>
        </w:rPr>
        <w:t>0</w:t>
      </w:r>
      <w:r w:rsidR="0070113C" w:rsidRPr="00990EE9">
        <w:rPr>
          <w:szCs w:val="22"/>
        </w:rPr>
        <w:t xml:space="preserve">, </w:t>
      </w:r>
      <w:r w:rsidRPr="00990EE9">
        <w:rPr>
          <w:szCs w:val="22"/>
        </w:rPr>
        <w:t xml:space="preserve">the Young will exceed the Lowe. Thus, the advice on whether to price update or not </w:t>
      </w:r>
      <w:r w:rsidR="00C535A7">
        <w:rPr>
          <w:szCs w:val="22"/>
        </w:rPr>
        <w:t xml:space="preserve">partially </w:t>
      </w:r>
      <w:r w:rsidRPr="00990EE9">
        <w:rPr>
          <w:szCs w:val="22"/>
        </w:rPr>
        <w:t>depend</w:t>
      </w:r>
      <w:r w:rsidR="00860A41">
        <w:rPr>
          <w:szCs w:val="22"/>
        </w:rPr>
        <w:t>s</w:t>
      </w:r>
      <w:r w:rsidRPr="00990EE9">
        <w:rPr>
          <w:szCs w:val="22"/>
        </w:rPr>
        <w:t xml:space="preserve"> on the rate of general inflation between </w:t>
      </w:r>
      <w:r w:rsidRPr="00990EE9">
        <w:rPr>
          <w:i/>
          <w:iCs/>
          <w:szCs w:val="22"/>
        </w:rPr>
        <w:t>b</w:t>
      </w:r>
      <w:r w:rsidRPr="00990EE9">
        <w:rPr>
          <w:szCs w:val="22"/>
        </w:rPr>
        <w:t xml:space="preserve"> and </w:t>
      </w:r>
      <w:r w:rsidRPr="00C535A7">
        <w:rPr>
          <w:i/>
          <w:iCs/>
          <w:szCs w:val="22"/>
        </w:rPr>
        <w:t>0</w:t>
      </w:r>
      <w:r w:rsidRPr="00990EE9">
        <w:rPr>
          <w:szCs w:val="22"/>
        </w:rPr>
        <w:t>.</w:t>
      </w:r>
      <w:r w:rsidR="00C535A7">
        <w:rPr>
          <w:szCs w:val="22"/>
        </w:rPr>
        <w:t xml:space="preserve"> Another consideration is the expected inflation rate from period </w:t>
      </w:r>
      <w:r w:rsidR="00C535A7" w:rsidRPr="0070113C">
        <w:rPr>
          <w:i/>
          <w:iCs/>
          <w:szCs w:val="22"/>
        </w:rPr>
        <w:t>0</w:t>
      </w:r>
      <w:r w:rsidR="00C535A7">
        <w:rPr>
          <w:szCs w:val="22"/>
        </w:rPr>
        <w:t xml:space="preserve"> to </w:t>
      </w:r>
      <w:r w:rsidR="00C535A7" w:rsidRPr="0070113C">
        <w:rPr>
          <w:i/>
          <w:iCs/>
          <w:szCs w:val="22"/>
        </w:rPr>
        <w:t>t</w:t>
      </w:r>
      <w:r w:rsidR="00C535A7">
        <w:rPr>
          <w:szCs w:val="22"/>
        </w:rPr>
        <w:t xml:space="preserve">. </w:t>
      </w:r>
      <w:r w:rsidR="00042D92">
        <w:rPr>
          <w:szCs w:val="22"/>
        </w:rPr>
        <w:t xml:space="preserve">The </w:t>
      </w:r>
      <w:r w:rsidR="00042D92" w:rsidRPr="005904B0">
        <w:rPr>
          <w:i/>
          <w:iCs/>
          <w:szCs w:val="22"/>
        </w:rPr>
        <w:t>CPI Manual</w:t>
      </w:r>
      <w:r w:rsidR="00042D92">
        <w:rPr>
          <w:szCs w:val="22"/>
        </w:rPr>
        <w:t xml:space="preserve"> (Table 9.3 and paragraph 9.44) notes that price updated weights give </w:t>
      </w:r>
      <w:r w:rsidR="00860A41">
        <w:rPr>
          <w:szCs w:val="22"/>
        </w:rPr>
        <w:t>greater</w:t>
      </w:r>
      <w:r w:rsidR="00042D92">
        <w:rPr>
          <w:szCs w:val="22"/>
        </w:rPr>
        <w:t xml:space="preserve"> relative importance to items with higher-than-average </w:t>
      </w:r>
      <w:r w:rsidR="007928BA">
        <w:rPr>
          <w:szCs w:val="22"/>
        </w:rPr>
        <w:t>r</w:t>
      </w:r>
      <w:r w:rsidR="00042D92">
        <w:rPr>
          <w:szCs w:val="22"/>
        </w:rPr>
        <w:t>elative price change and less importance to items with lower-than-average price change.</w:t>
      </w:r>
      <w:r w:rsidR="00536084">
        <w:rPr>
          <w:szCs w:val="22"/>
        </w:rPr>
        <w:t xml:space="preserve"> This, along with consumer substitution behavior</w:t>
      </w:r>
      <w:r w:rsidR="00860A41">
        <w:rPr>
          <w:szCs w:val="22"/>
        </w:rPr>
        <w:t>,</w:t>
      </w:r>
      <w:r w:rsidR="00536084">
        <w:rPr>
          <w:szCs w:val="22"/>
        </w:rPr>
        <w:t xml:space="preserve"> argues in favor of choosing the Young index over the Lowe index.</w:t>
      </w:r>
    </w:p>
    <w:p w14:paraId="5E23EA5E" w14:textId="77777777" w:rsidR="005A4EA3" w:rsidRDefault="005A4EA3" w:rsidP="00C31CDD">
      <w:pPr>
        <w:pStyle w:val="Heading2"/>
      </w:pPr>
      <w:bookmarkStart w:id="12" w:name="_Toc355689674"/>
      <w:bookmarkEnd w:id="9"/>
      <w:r>
        <w:t>Should NSOs Use the Lowe or the Young index (to price update of not)?</w:t>
      </w:r>
      <w:bookmarkEnd w:id="12"/>
    </w:p>
    <w:p w14:paraId="0FCBC53C" w14:textId="77777777" w:rsidR="00536084" w:rsidRPr="00536084" w:rsidRDefault="005A4EA3" w:rsidP="004E069D">
      <w:pPr>
        <w:pStyle w:val="ParagraphNumbering"/>
      </w:pPr>
      <w:r w:rsidRPr="007644DB">
        <w:t>Th</w:t>
      </w:r>
      <w:r w:rsidR="00DF26AC">
        <w:t>is</w:t>
      </w:r>
      <w:r w:rsidRPr="007644DB">
        <w:t xml:space="preserve"> evidence suggests that price updating weights before introducing them in the CPI may not be the best approach for the CPI. Consumer theory indicates that if prices have risen between </w:t>
      </w:r>
      <w:r w:rsidRPr="00F21057">
        <w:rPr>
          <w:i/>
        </w:rPr>
        <w:t>b</w:t>
      </w:r>
      <w:r w:rsidRPr="007644DB">
        <w:t xml:space="preserve"> and 0, there should be some shift in the structure of the quantities purchased. </w:t>
      </w:r>
      <w:r w:rsidR="004E069D" w:rsidRPr="007644DB">
        <w:t xml:space="preserve">If </w:t>
      </w:r>
      <w:proofErr w:type="gramStart"/>
      <w:r w:rsidR="004E069D" w:rsidRPr="007644DB">
        <w:t>it is clear that consumer</w:t>
      </w:r>
      <w:proofErr w:type="gramEnd"/>
      <w:r w:rsidR="004E069D" w:rsidRPr="007644DB">
        <w:t xml:space="preserve"> substitution is taking place, then the </w:t>
      </w:r>
      <w:r w:rsidR="004E069D">
        <w:t xml:space="preserve">appropriate formula for an </w:t>
      </w:r>
      <w:r w:rsidR="004E069D" w:rsidRPr="007644DB">
        <w:t xml:space="preserve">NSO </w:t>
      </w:r>
      <w:r w:rsidR="004E069D">
        <w:t xml:space="preserve">depends on the nature and extent of the substitution. </w:t>
      </w:r>
      <w:r w:rsidRPr="007644DB">
        <w:t xml:space="preserve">If no </w:t>
      </w:r>
      <w:r>
        <w:t xml:space="preserve">such </w:t>
      </w:r>
      <w:r w:rsidRPr="007644DB">
        <w:t xml:space="preserve">shifts take place, the NSO should </w:t>
      </w:r>
      <w:r w:rsidR="004E069D">
        <w:t xml:space="preserve">consider </w:t>
      </w:r>
      <w:r>
        <w:t>price-</w:t>
      </w:r>
      <w:r w:rsidRPr="007644DB">
        <w:t>updat</w:t>
      </w:r>
      <w:r w:rsidR="00794C17">
        <w:t>ing</w:t>
      </w:r>
      <w:r w:rsidRPr="007644DB">
        <w:t xml:space="preserve"> the weights</w:t>
      </w:r>
      <w:r>
        <w:t xml:space="preserve">, thus holding quantities constant in period </w:t>
      </w:r>
      <w:r w:rsidRPr="00F21057">
        <w:rPr>
          <w:i/>
        </w:rPr>
        <w:t>b</w:t>
      </w:r>
      <w:r>
        <w:t>,</w:t>
      </w:r>
      <w:r w:rsidRPr="007644DB">
        <w:t xml:space="preserve"> and compile a Lowe index. </w:t>
      </w:r>
      <w:r w:rsidR="00536084">
        <w:t xml:space="preserve">However, </w:t>
      </w:r>
      <w:r w:rsidR="00536084">
        <w:rPr>
          <w:szCs w:val="22"/>
        </w:rPr>
        <w:t>if overall inflation has occurred in the recent past and is expected for the future, then the Lowe price index will exceed the Young index. In this case no price updating would be warranted and the Young price index should be used instead of the Lowe index.</w:t>
      </w:r>
    </w:p>
    <w:p w14:paraId="22E30DB7" w14:textId="309C8228" w:rsidR="005A4EA3" w:rsidRPr="007644DB" w:rsidRDefault="005A4EA3" w:rsidP="004E069D">
      <w:pPr>
        <w:pStyle w:val="ParagraphNumbering"/>
      </w:pPr>
      <w:r>
        <w:t xml:space="preserve">There are two </w:t>
      </w:r>
      <w:r w:rsidR="00536084">
        <w:t xml:space="preserve">additional </w:t>
      </w:r>
      <w:r>
        <w:t>approaches</w:t>
      </w:r>
      <w:r w:rsidR="00536084">
        <w:t xml:space="preserve"> that can be employed</w:t>
      </w:r>
      <w:r>
        <w:t>: (i) estimate or make some judgment about the elasticity of substitution and use it to determine the appropriate formula;</w:t>
      </w:r>
      <w:r w:rsidR="00860A41">
        <w:t xml:space="preserve"> or</w:t>
      </w:r>
      <w:r>
        <w:t xml:space="preserve"> (ii) use superlative index number formulas—such formulas can to an extent accommodate different degrees of substitution behavior—or an approximation to it, as discussed below. </w:t>
      </w:r>
    </w:p>
    <w:p w14:paraId="25346111" w14:textId="604128CE" w:rsidR="005A4EA3" w:rsidRPr="007644DB" w:rsidRDefault="005A4EA3" w:rsidP="00B3412E">
      <w:pPr>
        <w:pStyle w:val="ParagraphNumbering"/>
      </w:pPr>
      <w:r w:rsidRPr="007644DB">
        <w:t xml:space="preserve">A good measure of the degree of substitution is the elasticity of substitution. If no or very little substitution is taking place, the elasticity will be equal to or close to zero.  In this case, the NSO </w:t>
      </w:r>
      <w:r w:rsidR="00794C17">
        <w:t>c</w:t>
      </w:r>
      <w:r w:rsidRPr="007644DB">
        <w:t xml:space="preserve">ould </w:t>
      </w:r>
      <w:r>
        <w:t>price-</w:t>
      </w:r>
      <w:r w:rsidRPr="007644DB">
        <w:t xml:space="preserve">update the weights for price changes from </w:t>
      </w:r>
      <w:r w:rsidRPr="00F21057">
        <w:rPr>
          <w:i/>
        </w:rPr>
        <w:t>b</w:t>
      </w:r>
      <w:r w:rsidRPr="007644DB">
        <w:t xml:space="preserve"> to 0 and compile a Lowe index. If consumer substitution is taking place and the changes in quantities (downward) are about the same proportion as </w:t>
      </w:r>
      <w:r w:rsidR="00860A41">
        <w:t xml:space="preserve">the </w:t>
      </w:r>
      <w:r w:rsidRPr="007644DB">
        <w:t>changes in prices (upward)</w:t>
      </w:r>
      <w:r>
        <w:t xml:space="preserve"> leav</w:t>
      </w:r>
      <w:r w:rsidR="00860A41">
        <w:t>ing</w:t>
      </w:r>
      <w:r>
        <w:t xml:space="preserve"> expenditure shares roughly constant</w:t>
      </w:r>
      <w:r w:rsidRPr="007644DB">
        <w:t xml:space="preserve">, then the elasticity is unitary. In this case, the NSO should use the weight reference period shares directly and compile a Young index. </w:t>
      </w:r>
    </w:p>
    <w:p w14:paraId="657C88A3" w14:textId="4B66612A" w:rsidR="005A4EA3" w:rsidRDefault="005A4EA3" w:rsidP="00B3412E">
      <w:pPr>
        <w:pStyle w:val="ParagraphNumbering"/>
        <w:rPr>
          <w:rFonts w:ascii="Calibri" w:hAnsi="Calibri"/>
        </w:rPr>
      </w:pPr>
      <w:r w:rsidRPr="007644DB">
        <w:t>The NSO usually will not have information on the elasticity of substitution (η</w:t>
      </w:r>
      <w:r>
        <w:t>). Feenstra and Reinsdorf (2007</w:t>
      </w:r>
      <w:r w:rsidRPr="007644DB">
        <w:t xml:space="preserve">), provide a </w:t>
      </w:r>
      <w:r>
        <w:t xml:space="preserve">relatively straightforward </w:t>
      </w:r>
      <w:r w:rsidRPr="007644DB">
        <w:t>method</w:t>
      </w:r>
      <w:r>
        <w:t>, albeit with limitations,</w:t>
      </w:r>
      <w:r w:rsidRPr="007644DB">
        <w:t xml:space="preserve"> for estimating η by using the change in the </w:t>
      </w:r>
      <w:r w:rsidRPr="00155D0C">
        <w:t xml:space="preserve">expenditure shares over </w:t>
      </w:r>
      <w:proofErr w:type="gramStart"/>
      <w:r w:rsidRPr="00155D0C">
        <w:t>a period of time</w:t>
      </w:r>
      <w:proofErr w:type="gramEnd"/>
      <w:r w:rsidRPr="00155D0C">
        <w:t xml:space="preserve"> along with the change in prices. The NSO should have both sets of data available to them. The Feenstra-Reinsdorf approach (their equation 12) is to estimate η from a linear regression where the change in the natural logarithms of the shares (</w:t>
      </w:r>
      <m:oMath>
        <m:r>
          <w:rPr>
            <w:rFonts w:ascii="Cambria Math"/>
          </w:rPr>
          <m:t>Δ</m:t>
        </m:r>
        <m:func>
          <m:funcPr>
            <m:ctrlPr>
              <w:rPr>
                <w:rFonts w:ascii="Cambria Math" w:hAnsi="Cambria Math"/>
                <w:i/>
              </w:rPr>
            </m:ctrlPr>
          </m:funcPr>
          <m:fName>
            <m:r>
              <w:rPr>
                <w:rFonts w:ascii="Cambria Math"/>
              </w:rPr>
              <m:t>ln</m:t>
            </m:r>
          </m:fName>
          <m:e>
            <m:sSub>
              <m:sSubPr>
                <m:ctrlPr>
                  <w:rPr>
                    <w:rFonts w:ascii="Cambria Math" w:hAnsi="Cambria Math"/>
                    <w:i/>
                  </w:rPr>
                </m:ctrlPr>
              </m:sSubPr>
              <m:e>
                <m:r>
                  <w:rPr>
                    <w:rFonts w:ascii="Cambria Math"/>
                  </w:rPr>
                  <m:t>s</m:t>
                </m:r>
              </m:e>
              <m:sub>
                <m:r>
                  <w:rPr>
                    <w:rFonts w:ascii="Cambria Math"/>
                  </w:rPr>
                  <m:t>it</m:t>
                </m:r>
              </m:sub>
            </m:sSub>
          </m:e>
        </m:func>
      </m:oMath>
      <w:r w:rsidRPr="00155D0C">
        <w:t>) is regressed on the change in the natural logarithm of prices (</w:t>
      </w:r>
      <m:oMath>
        <m:r>
          <w:rPr>
            <w:rFonts w:ascii="Cambria Math"/>
          </w:rPr>
          <m:t>Δ</m:t>
        </m:r>
        <m:func>
          <m:funcPr>
            <m:ctrlPr>
              <w:rPr>
                <w:rFonts w:ascii="Cambria Math" w:hAnsi="Cambria Math"/>
                <w:i/>
              </w:rPr>
            </m:ctrlPr>
          </m:funcPr>
          <m:fName>
            <m:r>
              <w:rPr>
                <w:rFonts w:ascii="Cambria Math"/>
              </w:rPr>
              <m:t>ln</m:t>
            </m:r>
          </m:fName>
          <m:e>
            <m:sSub>
              <m:sSubPr>
                <m:ctrlPr>
                  <w:rPr>
                    <w:rFonts w:ascii="Cambria Math" w:hAnsi="Cambria Math"/>
                    <w:i/>
                  </w:rPr>
                </m:ctrlPr>
              </m:sSubPr>
              <m:e>
                <m:r>
                  <w:rPr>
                    <w:rFonts w:ascii="Cambria Math"/>
                  </w:rPr>
                  <m:t>p</m:t>
                </m:r>
              </m:e>
              <m:sub>
                <m:r>
                  <w:rPr>
                    <w:rFonts w:ascii="Cambria Math"/>
                  </w:rPr>
                  <m:t>it</m:t>
                </m:r>
              </m:sub>
            </m:sSub>
          </m:e>
        </m:func>
      </m:oMath>
      <w:r w:rsidRPr="00155D0C">
        <w:t>):</w:t>
      </w:r>
      <w:r w:rsidRPr="007644DB">
        <w:t xml:space="preserve"> </w:t>
      </w:r>
      <w:r w:rsidRPr="007644DB">
        <w:rPr>
          <w:rFonts w:ascii="Calibri" w:hAnsi="Calibri"/>
        </w:rPr>
        <w:t xml:space="preserve"> </w:t>
      </w:r>
    </w:p>
    <w:p w14:paraId="7592CFA5" w14:textId="5F9659FD" w:rsidR="005A4EA3" w:rsidRDefault="00B46B80" w:rsidP="00B46B80">
      <w:pPr>
        <w:jc w:val="center"/>
        <w:rPr>
          <w:sz w:val="20"/>
        </w:rPr>
      </w:pPr>
      <m:oMathPara>
        <m:oMath>
          <m:r>
            <w:rPr>
              <w:rFonts w:ascii="Cambria Math"/>
              <w:sz w:val="20"/>
            </w:rPr>
            <m:t>Δ</m:t>
          </m:r>
          <m:func>
            <m:funcPr>
              <m:ctrlPr>
                <w:rPr>
                  <w:rFonts w:ascii="Cambria Math" w:hAnsi="Cambria Math"/>
                  <w:i/>
                  <w:sz w:val="20"/>
                </w:rPr>
              </m:ctrlPr>
            </m:funcPr>
            <m:fName>
              <m:r>
                <w:rPr>
                  <w:rFonts w:ascii="Cambria Math"/>
                  <w:sz w:val="20"/>
                </w:rPr>
                <m:t>ln</m:t>
              </m:r>
            </m:fName>
            <m:e>
              <m:sSub>
                <m:sSubPr>
                  <m:ctrlPr>
                    <w:rPr>
                      <w:rFonts w:ascii="Cambria Math" w:hAnsi="Cambria Math"/>
                      <w:i/>
                      <w:sz w:val="20"/>
                    </w:rPr>
                  </m:ctrlPr>
                </m:sSubPr>
                <m:e>
                  <m:r>
                    <w:rPr>
                      <w:rFonts w:ascii="Cambria Math"/>
                      <w:sz w:val="20"/>
                    </w:rPr>
                    <m:t>s</m:t>
                  </m:r>
                </m:e>
                <m:sub>
                  <m:r>
                    <w:rPr>
                      <w:rFonts w:ascii="Cambria Math"/>
                      <w:sz w:val="20"/>
                    </w:rPr>
                    <m:t>it</m:t>
                  </m:r>
                </m:sub>
              </m:sSub>
            </m:e>
          </m:func>
          <m:r>
            <w:rPr>
              <w:rFonts w:ascii="Cambria Math"/>
              <w:sz w:val="20"/>
            </w:rPr>
            <m:t xml:space="preserve"> = </m:t>
          </m:r>
          <m:sSub>
            <m:sSubPr>
              <m:ctrlPr>
                <w:rPr>
                  <w:rFonts w:ascii="Cambria Math" w:hAnsi="Cambria Math"/>
                  <w:i/>
                  <w:sz w:val="20"/>
                </w:rPr>
              </m:ctrlPr>
            </m:sSubPr>
            <m:e>
              <m:r>
                <w:rPr>
                  <w:rFonts w:ascii="Cambria Math"/>
                  <w:sz w:val="20"/>
                </w:rPr>
                <m:t>α</m:t>
              </m:r>
            </m:e>
            <m:sub>
              <m:r>
                <w:rPr>
                  <w:rFonts w:ascii="Cambria Math"/>
                  <w:sz w:val="20"/>
                </w:rPr>
                <m:t>t</m:t>
              </m:r>
            </m:sub>
          </m:sSub>
          <m:r>
            <w:rPr>
              <w:rFonts w:ascii="Cambria Math"/>
              <w:sz w:val="20"/>
            </w:rPr>
            <m:t>-</m:t>
          </m:r>
          <m:r>
            <w:rPr>
              <w:rFonts w:ascii="Cambria Math"/>
              <w:sz w:val="20"/>
            </w:rPr>
            <m:t xml:space="preserve"> (η</m:t>
          </m:r>
          <m:r>
            <w:rPr>
              <w:rFonts w:ascii="Cambria Math"/>
              <w:sz w:val="20"/>
            </w:rPr>
            <m:t>-</m:t>
          </m:r>
          <m:r>
            <w:rPr>
              <w:rFonts w:ascii="Cambria Math"/>
              <w:sz w:val="20"/>
            </w:rPr>
            <m:t>1)Δ</m:t>
          </m:r>
          <m:func>
            <m:funcPr>
              <m:ctrlPr>
                <w:rPr>
                  <w:rFonts w:ascii="Cambria Math" w:hAnsi="Cambria Math"/>
                  <w:i/>
                  <w:sz w:val="20"/>
                </w:rPr>
              </m:ctrlPr>
            </m:funcPr>
            <m:fName>
              <m:r>
                <w:rPr>
                  <w:rFonts w:ascii="Cambria Math"/>
                  <w:sz w:val="20"/>
                </w:rPr>
                <m:t>ln</m:t>
              </m:r>
            </m:fName>
            <m:e>
              <m:sSub>
                <m:sSubPr>
                  <m:ctrlPr>
                    <w:rPr>
                      <w:rFonts w:ascii="Cambria Math" w:hAnsi="Cambria Math"/>
                      <w:i/>
                      <w:sz w:val="20"/>
                    </w:rPr>
                  </m:ctrlPr>
                </m:sSubPr>
                <m:e>
                  <m:r>
                    <w:rPr>
                      <w:rFonts w:ascii="Cambria Math"/>
                      <w:sz w:val="20"/>
                    </w:rPr>
                    <m:t>p</m:t>
                  </m:r>
                </m:e>
                <m:sub>
                  <m:r>
                    <w:rPr>
                      <w:rFonts w:ascii="Cambria Math"/>
                      <w:sz w:val="20"/>
                    </w:rPr>
                    <m:t>it</m:t>
                  </m:r>
                </m:sub>
              </m:sSub>
            </m:e>
          </m:func>
          <m:r>
            <w:rPr>
              <w:rFonts w:ascii="Cambria Math"/>
              <w:sz w:val="20"/>
            </w:rPr>
            <m:t xml:space="preserve">  + </m:t>
          </m:r>
          <m:sSub>
            <m:sSubPr>
              <m:ctrlPr>
                <w:rPr>
                  <w:rFonts w:ascii="Cambria Math" w:hAnsi="Cambria Math"/>
                  <w:i/>
                  <w:sz w:val="20"/>
                </w:rPr>
              </m:ctrlPr>
            </m:sSubPr>
            <m:e>
              <m:r>
                <w:rPr>
                  <w:rFonts w:ascii="Cambria Math"/>
                  <w:sz w:val="20"/>
                </w:rPr>
                <m:t>ε</m:t>
              </m:r>
            </m:e>
            <m:sub>
              <m:r>
                <w:rPr>
                  <w:rFonts w:ascii="Cambria Math"/>
                  <w:sz w:val="20"/>
                </w:rPr>
                <m:t>it</m:t>
              </m:r>
            </m:sub>
          </m:sSub>
        </m:oMath>
      </m:oMathPara>
    </w:p>
    <w:p w14:paraId="1C34E581" w14:textId="77777777" w:rsidR="005A4EA3" w:rsidRPr="007644DB" w:rsidRDefault="005A4EA3" w:rsidP="005A4EA3">
      <w:pPr>
        <w:jc w:val="center"/>
      </w:pPr>
    </w:p>
    <w:p w14:paraId="44029EBC" w14:textId="7D1F00C9" w:rsidR="005A4EA3" w:rsidRDefault="005A4EA3" w:rsidP="005A4EA3">
      <w:pPr>
        <w:rPr>
          <w:rFonts w:cs="Times New Roman"/>
        </w:rPr>
      </w:pPr>
      <w:r w:rsidRPr="007644DB">
        <w:t xml:space="preserve">The coefficient from the change in </w:t>
      </w:r>
      <w:r>
        <w:t xml:space="preserve">the natural logarithm of </w:t>
      </w:r>
      <w:r w:rsidRPr="007644DB">
        <w:t xml:space="preserve">prices in the linear regression is then used to estimate </w:t>
      </w:r>
      <w:r w:rsidRPr="007644DB">
        <w:rPr>
          <w:rFonts w:cs="Times New Roman"/>
        </w:rPr>
        <w:t>η.</w:t>
      </w:r>
      <w:r w:rsidR="00747205">
        <w:rPr>
          <w:rFonts w:cs="Times New Roman"/>
        </w:rPr>
        <w:t xml:space="preserve"> The Appendix</w:t>
      </w:r>
      <w:r w:rsidRPr="007644DB">
        <w:rPr>
          <w:rFonts w:cs="Times New Roman"/>
        </w:rPr>
        <w:t xml:space="preserve"> shows the type of information needed for estima</w:t>
      </w:r>
      <w:r>
        <w:rPr>
          <w:rFonts w:cs="Times New Roman"/>
        </w:rPr>
        <w:t xml:space="preserve">ting this regression equation. </w:t>
      </w:r>
      <w:r w:rsidRPr="007644DB">
        <w:t xml:space="preserve">With these data, the NSO </w:t>
      </w:r>
      <w:r w:rsidR="00747205">
        <w:t>can</w:t>
      </w:r>
      <w:r w:rsidRPr="007644DB">
        <w:t xml:space="preserve"> estimate </w:t>
      </w:r>
      <w:r w:rsidRPr="007644DB">
        <w:rPr>
          <w:rFonts w:cs="Times New Roman"/>
        </w:rPr>
        <w:t>η using the regression approach.</w:t>
      </w:r>
      <w:r>
        <w:t xml:space="preserve"> </w:t>
      </w:r>
      <w:r w:rsidR="008A5AC6">
        <w:t xml:space="preserve">The </w:t>
      </w:r>
      <w:r w:rsidRPr="007644DB">
        <w:t>Appendix</w:t>
      </w:r>
      <w:r>
        <w:t xml:space="preserve"> </w:t>
      </w:r>
      <w:r w:rsidRPr="007644DB">
        <w:t xml:space="preserve">also provides the Excel formulas for calculating the slope and intercept for the regression. The slope is used to derive the estimate of </w:t>
      </w:r>
      <w:r>
        <w:rPr>
          <w:rFonts w:cs="Times New Roman"/>
        </w:rPr>
        <w:t xml:space="preserve">η. For the data in </w:t>
      </w:r>
      <w:r w:rsidR="008A5AC6">
        <w:rPr>
          <w:rFonts w:cs="Times New Roman"/>
        </w:rPr>
        <w:t xml:space="preserve">the Appendix, </w:t>
      </w:r>
      <w:r w:rsidRPr="007644DB">
        <w:rPr>
          <w:rFonts w:cs="Times New Roman"/>
        </w:rPr>
        <w:t>the estimated slope of the regression equation is 0.0129. We derive the value for η as follows.</w:t>
      </w:r>
    </w:p>
    <w:p w14:paraId="339075F4" w14:textId="77777777" w:rsidR="005A4EA3" w:rsidRPr="007644DB" w:rsidRDefault="005A4EA3" w:rsidP="005A4EA3">
      <w:pPr>
        <w:rPr>
          <w:rFonts w:cs="Times New Roman"/>
        </w:rPr>
      </w:pPr>
    </w:p>
    <w:p w14:paraId="4809DB72" w14:textId="77777777" w:rsidR="005A4EA3" w:rsidRPr="007644DB" w:rsidRDefault="005A4EA3" w:rsidP="005A4EA3">
      <w:pPr>
        <w:jc w:val="center"/>
      </w:pPr>
      <w:r w:rsidRPr="007644DB">
        <w:rPr>
          <w:position w:val="-10"/>
        </w:rPr>
        <w:object w:dxaOrig="840" w:dyaOrig="320" w14:anchorId="2DADE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4.4pt" o:ole="">
            <v:imagedata r:id="rId11" o:title=""/>
          </v:shape>
          <o:OLEObject Type="Embed" ProgID="Equation.3" ShapeID="_x0000_i1025" DrawAspect="Content" ObjectID="_1681834394" r:id="rId12"/>
        </w:object>
      </w:r>
      <w:r w:rsidRPr="007644DB">
        <w:t>= 0.0129</w:t>
      </w:r>
    </w:p>
    <w:p w14:paraId="3D347B08" w14:textId="77777777" w:rsidR="005A4EA3" w:rsidRPr="007644DB" w:rsidRDefault="005A4EA3" w:rsidP="005A4EA3">
      <w:pPr>
        <w:jc w:val="center"/>
      </w:pPr>
      <w:r w:rsidRPr="007644DB">
        <w:rPr>
          <w:position w:val="-10"/>
        </w:rPr>
        <w:object w:dxaOrig="680" w:dyaOrig="320" w14:anchorId="02983C68">
          <v:shape id="_x0000_i1026" type="#_x0000_t75" style="width:36.3pt;height:14.4pt" o:ole="">
            <v:imagedata r:id="rId13" o:title=""/>
          </v:shape>
          <o:OLEObject Type="Embed" ProgID="Equation.3" ShapeID="_x0000_i1026" DrawAspect="Content" ObjectID="_1681834395" r:id="rId14"/>
        </w:object>
      </w:r>
      <w:r w:rsidRPr="007644DB">
        <w:t>= –0.0129</w:t>
      </w:r>
    </w:p>
    <w:p w14:paraId="2160BAD9" w14:textId="77777777" w:rsidR="005A4EA3" w:rsidRDefault="005A4EA3" w:rsidP="005A4EA3">
      <w:pPr>
        <w:jc w:val="center"/>
        <w:rPr>
          <w:rFonts w:cs="Times New Roman"/>
        </w:rPr>
      </w:pPr>
      <w:r w:rsidRPr="007644DB">
        <w:rPr>
          <w:rFonts w:cs="Times New Roman"/>
        </w:rPr>
        <w:t>η = 0.9871</w:t>
      </w:r>
    </w:p>
    <w:p w14:paraId="16ECE19D" w14:textId="77777777" w:rsidR="005A4EA3" w:rsidRPr="007644DB" w:rsidRDefault="005A4EA3" w:rsidP="005A4EA3">
      <w:pPr>
        <w:jc w:val="center"/>
      </w:pPr>
    </w:p>
    <w:p w14:paraId="18980227" w14:textId="7C6A965D" w:rsidR="005A4EA3" w:rsidRDefault="005A4EA3" w:rsidP="00B3412E">
      <w:pPr>
        <w:pStyle w:val="ParagraphNumbering"/>
      </w:pPr>
      <w:r w:rsidRPr="007644DB">
        <w:t xml:space="preserve">Because the value of η is very close to 1.0, the NSO would conclude that consumers </w:t>
      </w:r>
      <w:r>
        <w:t xml:space="preserve">of this product group </w:t>
      </w:r>
      <w:r w:rsidRPr="007644DB">
        <w:t>have unitary elasticity of substitution. In this case, they would want to use the Young index rather than the Lowe index. This means the NSO should use the weights for</w:t>
      </w:r>
      <w:r w:rsidR="00153335">
        <w:t xml:space="preserve"> 201</w:t>
      </w:r>
      <w:r w:rsidR="00B46B80">
        <w:t>7</w:t>
      </w:r>
      <w:r w:rsidRPr="007644DB">
        <w:t xml:space="preserve"> rather than price-updating the weights before introducing them.</w:t>
      </w:r>
      <w:r>
        <w:t xml:space="preserve"> </w:t>
      </w:r>
      <w:r w:rsidR="000B7080">
        <w:t>Of course,</w:t>
      </w:r>
      <w:r>
        <w:t xml:space="preserve"> an NSO deciding on whether to change their higher-level formula in, say 20</w:t>
      </w:r>
      <w:r w:rsidR="00874F4F">
        <w:t>20</w:t>
      </w:r>
      <w:r>
        <w:t>, is basing the judgment on evidence from</w:t>
      </w:r>
      <w:r w:rsidR="00153335">
        <w:t xml:space="preserve"> 2010</w:t>
      </w:r>
      <w:r>
        <w:t xml:space="preserve"> to</w:t>
      </w:r>
      <w:r w:rsidR="00153335">
        <w:t xml:space="preserve"> 201</w:t>
      </w:r>
      <w:r w:rsidR="00B46B80">
        <w:t>7</w:t>
      </w:r>
      <w:r>
        <w:t xml:space="preserve"> expenditure patterns. </w:t>
      </w:r>
    </w:p>
    <w:p w14:paraId="3BAD5634" w14:textId="77777777" w:rsidR="005A4EA3" w:rsidRPr="007644DB" w:rsidRDefault="005A4EA3" w:rsidP="00B3412E">
      <w:pPr>
        <w:pStyle w:val="ParagraphNumbering"/>
      </w:pPr>
      <w:proofErr w:type="spellStart"/>
      <w:r>
        <w:t>Greenlees</w:t>
      </w:r>
      <w:proofErr w:type="spellEnd"/>
      <w:r>
        <w:t xml:space="preserve"> (2011) in a study of substitution elasticity for the United States found that they were highly volatile in successive years. He found the elasticity not being statistically significant when tested against null hypotheses of zero in one year and unity in the next. Should regular expenditure surveys be available, the NSO should also undertake estimates for sub-periods. The implication of such volatility is that a more flexible, albeit retrospective, formula should be used in addition to the headline CPI.   </w:t>
      </w:r>
    </w:p>
    <w:p w14:paraId="00128C0C" w14:textId="7C03C327" w:rsidR="005A4EA3" w:rsidRPr="007644DB" w:rsidRDefault="00A23A42" w:rsidP="00B3412E">
      <w:pPr>
        <w:pStyle w:val="ParagraphNumbering"/>
      </w:pPr>
      <w:r>
        <w:t>Many</w:t>
      </w:r>
      <w:r w:rsidR="005A4EA3" w:rsidRPr="007644DB">
        <w:t xml:space="preserve"> NSO</w:t>
      </w:r>
      <w:r>
        <w:t>s</w:t>
      </w:r>
      <w:r w:rsidR="005A4EA3" w:rsidRPr="007644DB">
        <w:t xml:space="preserve"> </w:t>
      </w:r>
      <w:r>
        <w:t>may</w:t>
      </w:r>
      <w:r w:rsidR="005A4EA3" w:rsidRPr="007644DB">
        <w:t xml:space="preserve"> not able to estimate η</w:t>
      </w:r>
      <w:r>
        <w:t xml:space="preserve"> and </w:t>
      </w:r>
      <w:r w:rsidR="005A4EA3" w:rsidRPr="007644DB">
        <w:t xml:space="preserve">they will need to evaluate other data. We know that, on the one hand, if the CPI has been increasing over the 24 to </w:t>
      </w:r>
      <w:r w:rsidR="00874F4F" w:rsidRPr="007644DB">
        <w:t>36-month</w:t>
      </w:r>
      <w:r w:rsidR="005A4EA3" w:rsidRPr="007644DB">
        <w:t xml:space="preserve"> period between </w:t>
      </w:r>
      <w:r w:rsidR="005A4EA3" w:rsidRPr="00F21057">
        <w:rPr>
          <w:i/>
        </w:rPr>
        <w:t>b</w:t>
      </w:r>
      <w:r w:rsidR="005A4EA3" w:rsidRPr="007644DB">
        <w:t xml:space="preserve"> and 0 with price increases (e.g. </w:t>
      </w:r>
      <w:r w:rsidR="00794C17">
        <w:t>2</w:t>
      </w:r>
      <w:r w:rsidR="005A4EA3">
        <w:t xml:space="preserve"> percent</w:t>
      </w:r>
      <w:r w:rsidR="005A4EA3" w:rsidRPr="007644DB">
        <w:t xml:space="preserve"> or more per year), the Lowe index will most likely be biased upward. If prices are changing at </w:t>
      </w:r>
      <w:r w:rsidR="00794C17">
        <w:t>2</w:t>
      </w:r>
      <w:r w:rsidR="005A4EA3">
        <w:t xml:space="preserve"> percent</w:t>
      </w:r>
      <w:r w:rsidR="005A4EA3" w:rsidRPr="007644DB">
        <w:t xml:space="preserve"> or more per year, it is likely that consumers are substituting away from the higher priced items.</w:t>
      </w:r>
      <w:r w:rsidR="005A4EA3">
        <w:t xml:space="preserve"> </w:t>
      </w:r>
      <w:r w:rsidR="005A4EA3" w:rsidRPr="007644DB">
        <w:t>We know, on the other hand, if the elasticity of substitution is less than unitary, the Young index also has an upward bias. However, the NSO cannot know for certain whether this activity is closer to unitary elasticity or zero elasticity.</w:t>
      </w:r>
    </w:p>
    <w:p w14:paraId="4C5639F9" w14:textId="485643B4" w:rsidR="005A4EA3" w:rsidRDefault="005A4EA3" w:rsidP="00B3412E">
      <w:pPr>
        <w:pStyle w:val="ParagraphNumbering"/>
      </w:pPr>
      <w:r w:rsidRPr="007644DB">
        <w:t xml:space="preserve">In such a case, the NSO has other options to consider. It can </w:t>
      </w:r>
      <w:r w:rsidR="00A23A42">
        <w:t xml:space="preserve">price </w:t>
      </w:r>
      <w:r w:rsidRPr="007644DB">
        <w:t>update</w:t>
      </w:r>
      <w:r w:rsidR="00A23A42">
        <w:t xml:space="preserve"> the</w:t>
      </w:r>
      <w:r w:rsidRPr="007644DB">
        <w:t xml:space="preserve"> weights and calculate both a Lowe and geometric Lowe. Also, it can calculate a Young and a geometric Young. With these fo</w:t>
      </w:r>
      <w:r>
        <w:t>ur indexes available the NSO can</w:t>
      </w:r>
      <w:r w:rsidRPr="007644DB">
        <w:t xml:space="preserve"> use a formula that is the geometric average of the Lowe </w:t>
      </w:r>
      <w:r w:rsidR="00B3412E">
        <w:t xml:space="preserve">(upward biased) </w:t>
      </w:r>
      <w:r w:rsidRPr="007644DB">
        <w:t xml:space="preserve">and geometric Young </w:t>
      </w:r>
      <w:r w:rsidR="00B3412E">
        <w:t xml:space="preserve">(downward biased) </w:t>
      </w:r>
      <w:r w:rsidRPr="007644DB">
        <w:t xml:space="preserve">or the Young </w:t>
      </w:r>
      <w:r w:rsidR="00B3412E">
        <w:t xml:space="preserve">(upward biased) </w:t>
      </w:r>
      <w:r w:rsidRPr="007644DB">
        <w:t xml:space="preserve">and geometric Lowe </w:t>
      </w:r>
      <w:r w:rsidR="00B3412E">
        <w:t xml:space="preserve">(downward biased) </w:t>
      </w:r>
      <w:r w:rsidRPr="007644DB">
        <w:t>to approximate the target indexes.</w:t>
      </w:r>
      <w:r>
        <w:t xml:space="preserve"> The NSO should test this approach using historical data.</w:t>
      </w:r>
    </w:p>
    <w:p w14:paraId="0D919592" w14:textId="77777777" w:rsidR="005A4EA3" w:rsidRDefault="005A4EA3" w:rsidP="00B3412E">
      <w:pPr>
        <w:pStyle w:val="ParagraphNumbering"/>
      </w:pPr>
      <w:r>
        <w:t xml:space="preserve">If the NSO </w:t>
      </w:r>
      <w:proofErr w:type="gramStart"/>
      <w:r>
        <w:t>is able to</w:t>
      </w:r>
      <w:proofErr w:type="gramEnd"/>
      <w:r>
        <w:t xml:space="preserve"> conduct an HES on a more frequent basis, for example annually or biannually, it could calculate the superlative Törnqvist index on a retrospective basis. As the new weights become available, the NSO can compile the Törnqvist index using the weights from the previous HES and current HES with the price data for the interim period. They can continue to use these weights until the next HES is available and revise the index for the new interim period. </w:t>
      </w:r>
    </w:p>
    <w:p w14:paraId="646D8C57" w14:textId="5EAF9B13" w:rsidR="005A4EA3" w:rsidRDefault="005A4EA3" w:rsidP="00B3412E">
      <w:pPr>
        <w:pStyle w:val="ParagraphNumbering"/>
      </w:pPr>
      <w:r>
        <w:t xml:space="preserve">It may be that more pragmatic factors influence the decision as to </w:t>
      </w:r>
      <w:proofErr w:type="gramStart"/>
      <w:r>
        <w:t>whether or not</w:t>
      </w:r>
      <w:proofErr w:type="gramEnd"/>
      <w:r>
        <w:t xml:space="preserve"> to price update the weights. Major changes to a classificat</w:t>
      </w:r>
      <w:r w:rsidR="00A23A42">
        <w:t>ion</w:t>
      </w:r>
      <w:r>
        <w:t xml:space="preserve"> system, addition and deletion of new and old representative products, extension of the geographical areas, and change in methodology from a previously biased one, at the time of reweighting make it problematic to reliably price-update the weights. </w:t>
      </w:r>
    </w:p>
    <w:p w14:paraId="5ADF00E6" w14:textId="69A564AB" w:rsidR="00153335" w:rsidRDefault="00153335" w:rsidP="00153335">
      <w:pPr>
        <w:pStyle w:val="Heading1"/>
      </w:pPr>
      <w:bookmarkStart w:id="13" w:name="_Toc355689703"/>
      <w:r w:rsidRPr="00D86036">
        <w:t>Conc</w:t>
      </w:r>
      <w:bookmarkEnd w:id="13"/>
      <w:r w:rsidR="00990EE9">
        <w:t>luding Remarks</w:t>
      </w:r>
    </w:p>
    <w:p w14:paraId="7F6BEA36" w14:textId="0913E7AA" w:rsidR="00153335" w:rsidRDefault="00153335" w:rsidP="00531579">
      <w:pPr>
        <w:pStyle w:val="ParagraphNumbering"/>
      </w:pPr>
      <w:r>
        <w:t xml:space="preserve">The CPI is one of the most watched indicators of economic performance in modern economies. It is used by policy makers in government, business, and private institutions to gauge the general movement of prices and determine the presence of inflationary conditions. Because of the CPI’s importance, it is critical to users that it remains both accurate and relevant. In this regard, the CPI must both reflect current price movements as well as an up-to-date basket of those important items that households purchase. The basket must reflect the current structure and distribution of goods and services that households are buying. </w:t>
      </w:r>
      <w:r>
        <w:lastRenderedPageBreak/>
        <w:t xml:space="preserve">Therefore, it is important that the agencies producing a CPI revise and update the market basket on a regular basis. </w:t>
      </w:r>
    </w:p>
    <w:p w14:paraId="0A2E6567" w14:textId="11DD23B0" w:rsidR="00E131CE" w:rsidRDefault="00153335" w:rsidP="00531579">
      <w:pPr>
        <w:pStyle w:val="ParagraphNumbering"/>
      </w:pPr>
      <w:r w:rsidRPr="007644DB">
        <w:t>C</w:t>
      </w:r>
      <w:r>
        <w:t>onsumer theory indicates that as</w:t>
      </w:r>
      <w:r w:rsidRPr="007644DB">
        <w:t xml:space="preserve"> prices</w:t>
      </w:r>
      <w:r>
        <w:t xml:space="preserve"> change</w:t>
      </w:r>
      <w:r w:rsidRPr="007644DB">
        <w:t xml:space="preserve">, there should be some shift in the structure of the quantities </w:t>
      </w:r>
      <w:r>
        <w:t xml:space="preserve">of goods and services </w:t>
      </w:r>
      <w:r w:rsidRPr="007644DB">
        <w:t xml:space="preserve">purchased. If no </w:t>
      </w:r>
      <w:r>
        <w:t xml:space="preserve">such </w:t>
      </w:r>
      <w:r w:rsidRPr="007644DB">
        <w:t>shifts take place</w:t>
      </w:r>
      <w:r w:rsidR="00990EE9">
        <w:t xml:space="preserve"> and</w:t>
      </w:r>
      <w:r w:rsidRPr="007644DB">
        <w:t xml:space="preserve"> there is </w:t>
      </w:r>
      <w:r>
        <w:t>no</w:t>
      </w:r>
      <w:r w:rsidRPr="007644DB">
        <w:t xml:space="preserve"> substitution in consumer purchases</w:t>
      </w:r>
      <w:r w:rsidR="00990EE9">
        <w:t>,</w:t>
      </w:r>
      <w:r>
        <w:t xml:space="preserve"> updating the weights for price change </w:t>
      </w:r>
      <w:r w:rsidR="00E131CE">
        <w:t>could be appropriate to produce an index that holds quantities fixed at the weight reference period levels (Lowe index)</w:t>
      </w:r>
      <w:r w:rsidRPr="007644DB">
        <w:t xml:space="preserve">. In </w:t>
      </w:r>
      <w:r>
        <w:t>theory and practice, however, consumers do make substitutions in their basket in response to relative price changes and the</w:t>
      </w:r>
      <w:r w:rsidR="00E131CE">
        <w:t xml:space="preserve"> quantities of goods and services in the</w:t>
      </w:r>
      <w:r>
        <w:t xml:space="preserve"> basket shift through time.</w:t>
      </w:r>
      <w:r w:rsidRPr="007644DB">
        <w:t xml:space="preserve"> </w:t>
      </w:r>
      <w:r w:rsidR="00E131CE">
        <w:t>In th</w:t>
      </w:r>
      <w:r w:rsidR="00604D8C">
        <w:t>e</w:t>
      </w:r>
      <w:r w:rsidR="00E131CE">
        <w:t xml:space="preserve"> case where </w:t>
      </w:r>
      <w:r w:rsidR="00604D8C">
        <w:t xml:space="preserve">inflation is occurring and </w:t>
      </w:r>
      <w:r w:rsidR="00E131CE">
        <w:t>quantities will change, the NSO should not update the weights for price change and, thus, us</w:t>
      </w:r>
      <w:r w:rsidR="00604D8C">
        <w:t>e</w:t>
      </w:r>
      <w:r w:rsidR="00E131CE">
        <w:t xml:space="preserve"> an index that keeps expenditure shares fixed at the weight reference period level (Young index).</w:t>
      </w:r>
      <w:r w:rsidRPr="007644DB">
        <w:t xml:space="preserve"> </w:t>
      </w:r>
      <w:r w:rsidR="00604D8C">
        <w:t>Also,</w:t>
      </w:r>
      <w:r w:rsidR="00990EE9">
        <w:t xml:space="preserve"> if there has been inflation between the </w:t>
      </w:r>
      <w:r w:rsidR="00C31CDD">
        <w:t>weight reference period and the price reference period, the Lowe price index will have an upward bias versus the Young price index.</w:t>
      </w:r>
    </w:p>
    <w:p w14:paraId="52886926" w14:textId="6D21BAEF" w:rsidR="00123B49" w:rsidRDefault="00123B49" w:rsidP="00531579">
      <w:pPr>
        <w:pStyle w:val="ParagraphNumbering"/>
      </w:pPr>
      <w:proofErr w:type="gramStart"/>
      <w:r>
        <w:t>I</w:t>
      </w:r>
      <w:r w:rsidRPr="007644DB">
        <w:t xml:space="preserve">t is clear that </w:t>
      </w:r>
      <w:r>
        <w:t>when</w:t>
      </w:r>
      <w:proofErr w:type="gramEnd"/>
      <w:r>
        <w:t xml:space="preserve"> </w:t>
      </w:r>
      <w:r w:rsidRPr="007644DB">
        <w:t>consumer substitution is taking place</w:t>
      </w:r>
      <w:r>
        <w:t xml:space="preserve"> and the CPI basket is changing, then</w:t>
      </w:r>
      <w:r w:rsidRPr="007644DB">
        <w:t xml:space="preserve"> </w:t>
      </w:r>
      <w:r>
        <w:t>appropriate steps must be taken to update the basket more frequently. Such updating should be a standard practice for CPI compilers, but the details for conducting updates are not always clear.</w:t>
      </w:r>
    </w:p>
    <w:p w14:paraId="3067CDEF" w14:textId="77777777" w:rsidR="002A4971" w:rsidRDefault="002A4971" w:rsidP="002A4971">
      <w:pPr>
        <w:pStyle w:val="Heading3"/>
      </w:pPr>
      <w:r>
        <w:t>References</w:t>
      </w:r>
    </w:p>
    <w:p w14:paraId="6953F3D0" w14:textId="77777777" w:rsidR="00337998" w:rsidRDefault="00337998" w:rsidP="00337998">
      <w:pPr>
        <w:ind w:left="432" w:hanging="432"/>
      </w:pPr>
      <w:r>
        <w:t xml:space="preserve">Armknecht, P.A. 1996. Improving the Efficiency of the U.S. CPI, Working Paper No. 96/103 (Washington, D.C.: IMF). </w:t>
      </w:r>
    </w:p>
    <w:p w14:paraId="7D58C982" w14:textId="63E706FD" w:rsidR="00337998" w:rsidRDefault="00337998" w:rsidP="00337998">
      <w:pPr>
        <w:ind w:left="432" w:hanging="432"/>
      </w:pPr>
      <w:r>
        <w:t xml:space="preserve">——. 2016. “Fixed Basket Methods for Compiling Consumer Price Indexes”, Meeting of the Group of Experts on Consumer Price Indices, 2 - 4 May 2016. Available at </w:t>
      </w:r>
      <w:hyperlink r:id="rId15" w:history="1">
        <w:r w:rsidRPr="000C614B">
          <w:rPr>
            <w:rStyle w:val="Hyperlink"/>
          </w:rPr>
          <w:t>http://www.unece.org/index.php?id=41278</w:t>
        </w:r>
      </w:hyperlink>
    </w:p>
    <w:p w14:paraId="698826A6" w14:textId="6181BFF7" w:rsidR="00337998" w:rsidRDefault="00337998" w:rsidP="00337998">
      <w:pPr>
        <w:ind w:left="432" w:hanging="432"/>
      </w:pPr>
      <w:r w:rsidRPr="00337998">
        <w:t>——, and M. Silver. 2014. Post-Laspeyres: The Case for a New Formula for Compiling Consumer Price Indexes. The Review of Income and Wealth, 60 (2), pp. 225–244.</w:t>
      </w:r>
    </w:p>
    <w:p w14:paraId="075F6A76" w14:textId="7894BE63" w:rsidR="00337998" w:rsidRDefault="00337998" w:rsidP="00337998">
      <w:pPr>
        <w:ind w:left="432" w:hanging="432"/>
      </w:pPr>
      <w:r w:rsidRPr="00337998">
        <w:t>Feenstra,</w:t>
      </w:r>
      <w:r>
        <w:t xml:space="preserve"> </w:t>
      </w:r>
      <w:r w:rsidRPr="00337998">
        <w:t>Robert</w:t>
      </w:r>
      <w:r>
        <w:t xml:space="preserve"> </w:t>
      </w:r>
      <w:r w:rsidRPr="00337998">
        <w:t>C.</w:t>
      </w:r>
      <w:r>
        <w:t xml:space="preserve"> </w:t>
      </w:r>
      <w:r w:rsidRPr="00337998">
        <w:t>and</w:t>
      </w:r>
      <w:r>
        <w:t xml:space="preserve"> </w:t>
      </w:r>
      <w:r w:rsidRPr="00337998">
        <w:t>Marshall</w:t>
      </w:r>
      <w:r>
        <w:t xml:space="preserve"> </w:t>
      </w:r>
      <w:r w:rsidRPr="00337998">
        <w:t>B.</w:t>
      </w:r>
      <w:r>
        <w:t xml:space="preserve"> </w:t>
      </w:r>
      <w:r w:rsidRPr="00337998">
        <w:t>Reinsdorf,</w:t>
      </w:r>
      <w:r>
        <w:t xml:space="preserve"> </w:t>
      </w:r>
      <w:r w:rsidRPr="00337998">
        <w:t>“Should</w:t>
      </w:r>
      <w:r>
        <w:t xml:space="preserve"> </w:t>
      </w:r>
      <w:r w:rsidRPr="00337998">
        <w:t>Exact</w:t>
      </w:r>
      <w:r>
        <w:t xml:space="preserve"> </w:t>
      </w:r>
      <w:r w:rsidRPr="00337998">
        <w:t>Index</w:t>
      </w:r>
      <w:r>
        <w:t xml:space="preserve"> </w:t>
      </w:r>
      <w:r w:rsidRPr="00337998">
        <w:t>Numbers</w:t>
      </w:r>
      <w:r>
        <w:t xml:space="preserve"> </w:t>
      </w:r>
      <w:r w:rsidRPr="00337998">
        <w:t>Have</w:t>
      </w:r>
      <w:r>
        <w:t xml:space="preserve"> </w:t>
      </w:r>
      <w:r w:rsidRPr="00337998">
        <w:t>Standard</w:t>
      </w:r>
      <w:r>
        <w:t xml:space="preserve"> </w:t>
      </w:r>
      <w:r w:rsidRPr="00337998">
        <w:t xml:space="preserve">Errors? Theory and Application to Asian Growth,” in Ernst R. Berndt and Charles R. </w:t>
      </w:r>
      <w:proofErr w:type="spellStart"/>
      <w:r w:rsidRPr="00337998">
        <w:t>Hulten</w:t>
      </w:r>
      <w:proofErr w:type="spellEnd"/>
      <w:r w:rsidRPr="00337998">
        <w:t xml:space="preserve"> (eds), Hard-to-Measure Goods and Services: Essays in Honor of </w:t>
      </w:r>
      <w:proofErr w:type="spellStart"/>
      <w:r w:rsidRPr="00337998">
        <w:t>Zvi</w:t>
      </w:r>
      <w:proofErr w:type="spellEnd"/>
      <w:r w:rsidRPr="00337998">
        <w:t xml:space="preserve"> </w:t>
      </w:r>
      <w:proofErr w:type="spellStart"/>
      <w:r w:rsidRPr="00337998">
        <w:t>Griliches</w:t>
      </w:r>
      <w:proofErr w:type="spellEnd"/>
      <w:r w:rsidRPr="00337998">
        <w:t>, National Bureau of Economic Research, Chicago, IL, 2007.</w:t>
      </w:r>
    </w:p>
    <w:p w14:paraId="21B1BE9F" w14:textId="0773FA8B" w:rsidR="00337998" w:rsidRDefault="00337998" w:rsidP="00337998">
      <w:pPr>
        <w:ind w:left="432" w:hanging="432"/>
      </w:pPr>
      <w:proofErr w:type="spellStart"/>
      <w:r w:rsidRPr="00337998">
        <w:t>Greenlees</w:t>
      </w:r>
      <w:proofErr w:type="spellEnd"/>
      <w:r w:rsidRPr="00337998">
        <w:t>, John S., “Improving the Preliminary Values of the Chained CPI-U,” Journal of Economic and Social Measurement, 36(1), 1–18, 2011.</w:t>
      </w:r>
    </w:p>
    <w:p w14:paraId="6D2A3D50" w14:textId="36CC1374" w:rsidR="002A4971" w:rsidRDefault="002A4971" w:rsidP="00337998">
      <w:pPr>
        <w:ind w:left="432" w:hanging="432"/>
      </w:pPr>
      <w:r w:rsidRPr="002A4971">
        <w:t xml:space="preserve">Hansen, Carsten Bolden. 2007. “Recalculations of the Danish CPI 1996–2006,” Proceedings of the Tenth Meeting of the International Working (Ottawa) Group on Price Indexes, Ottawa, Canada, October 9–12, 2007. Available at: </w:t>
      </w:r>
      <w:hyperlink r:id="rId16" w:history="1">
        <w:r w:rsidR="00782601" w:rsidRPr="000C614B">
          <w:rPr>
            <w:rStyle w:val="Hyperlink"/>
          </w:rPr>
          <w:t>www.ottawagroup.org</w:t>
        </w:r>
      </w:hyperlink>
      <w:r w:rsidRPr="002A4971">
        <w:t>.</w:t>
      </w:r>
    </w:p>
    <w:p w14:paraId="0D037D75" w14:textId="0660FEAB" w:rsidR="00782601" w:rsidRDefault="00782601" w:rsidP="00337998">
      <w:pPr>
        <w:ind w:left="432" w:hanging="432"/>
      </w:pPr>
      <w:bookmarkStart w:id="14" w:name="_Hlk38272883"/>
      <w:r w:rsidRPr="00782601">
        <w:t xml:space="preserve">ILO (International </w:t>
      </w:r>
      <w:proofErr w:type="spellStart"/>
      <w:r w:rsidRPr="00782601">
        <w:t>Labour</w:t>
      </w:r>
      <w:proofErr w:type="spellEnd"/>
      <w:r w:rsidRPr="00782601">
        <w:t xml:space="preserve"> Organization), IMF, OECD, Eurostat, United Nations, and World Bank, </w:t>
      </w:r>
      <w:r w:rsidRPr="00782601">
        <w:rPr>
          <w:i/>
          <w:iCs/>
        </w:rPr>
        <w:t>Consumer Price Index Manual: Theory and Practice</w:t>
      </w:r>
      <w:r w:rsidRPr="00782601">
        <w:t xml:space="preserve">, ILO, Geneva, 2004 (available at: </w:t>
      </w:r>
      <w:bookmarkEnd w:id="14"/>
      <w:r w:rsidR="00062967">
        <w:fldChar w:fldCharType="begin"/>
      </w:r>
      <w:r w:rsidR="00062967">
        <w:instrText xml:space="preserve"> HYPERLINK "https://www.imf.org/en/Data/Statistics/cpi-manual" </w:instrText>
      </w:r>
      <w:r w:rsidR="00062967">
        <w:fldChar w:fldCharType="separate"/>
      </w:r>
      <w:r w:rsidR="00062967" w:rsidRPr="00062967">
        <w:rPr>
          <w:rStyle w:val="Hyperlink"/>
        </w:rPr>
        <w:t>https://www.imf.org/en/Data/Statistics/cpi-manual</w:t>
      </w:r>
      <w:r w:rsidR="00062967">
        <w:fldChar w:fldCharType="end"/>
      </w:r>
      <w:r w:rsidRPr="00782601">
        <w:t>).</w:t>
      </w:r>
    </w:p>
    <w:p w14:paraId="29662F4C" w14:textId="1E2E2539" w:rsidR="00782601" w:rsidRDefault="00782601" w:rsidP="00337998">
      <w:pPr>
        <w:ind w:left="432" w:hanging="432"/>
      </w:pPr>
      <w:r w:rsidRPr="00782601">
        <w:t xml:space="preserve">ILO (International </w:t>
      </w:r>
      <w:proofErr w:type="spellStart"/>
      <w:r w:rsidRPr="00782601">
        <w:t>Labour</w:t>
      </w:r>
      <w:proofErr w:type="spellEnd"/>
      <w:r w:rsidRPr="00782601">
        <w:t xml:space="preserve"> Organization), IMF, OECD, Eurostat, United Nations, and World Bank, </w:t>
      </w:r>
      <w:r w:rsidRPr="00782601">
        <w:rPr>
          <w:i/>
          <w:iCs/>
        </w:rPr>
        <w:t>Consumer Price Index Manual:</w:t>
      </w:r>
      <w:r>
        <w:rPr>
          <w:i/>
          <w:iCs/>
        </w:rPr>
        <w:t xml:space="preserve"> Concepts and Methods</w:t>
      </w:r>
      <w:r w:rsidRPr="00782601">
        <w:t>, I</w:t>
      </w:r>
      <w:r>
        <w:t>MF</w:t>
      </w:r>
      <w:r w:rsidRPr="00782601">
        <w:t xml:space="preserve">, </w:t>
      </w:r>
      <w:r>
        <w:t>Washington D.C.</w:t>
      </w:r>
      <w:r w:rsidRPr="00782601">
        <w:t>, 20</w:t>
      </w:r>
      <w:r>
        <w:t>20</w:t>
      </w:r>
      <w:r w:rsidRPr="00782601">
        <w:t xml:space="preserve"> (available at: </w:t>
      </w:r>
      <w:hyperlink r:id="rId17" w:history="1">
        <w:r w:rsidRPr="00782601">
          <w:rPr>
            <w:rStyle w:val="Hyperlink"/>
          </w:rPr>
          <w:t>https://www.imf.org/en/Data/Statistics/cpi-manual</w:t>
        </w:r>
      </w:hyperlink>
      <w:r>
        <w:t xml:space="preserve">. </w:t>
      </w:r>
    </w:p>
    <w:p w14:paraId="582B14FC" w14:textId="3D7AAE28" w:rsidR="00782601" w:rsidRDefault="00782601" w:rsidP="00337998">
      <w:pPr>
        <w:ind w:left="432" w:hanging="432"/>
      </w:pPr>
      <w:r w:rsidRPr="00782601">
        <w:t xml:space="preserve">UNECE (United Nations Economic Commission for Europe), ILO, IMF, OECD, Eurostat, World Bank, and Ofﬁce for National Statistics United Kingdom, Practical Guide to Producing Consumer Price Indices, United Nations, New York and Geneva, 2009 (available at: </w:t>
      </w:r>
      <w:hyperlink r:id="rId18" w:history="1">
        <w:r w:rsidRPr="006A72DD">
          <w:rPr>
            <w:rStyle w:val="Hyperlink"/>
          </w:rPr>
          <w:t>http://www.imf.org/ external/</w:t>
        </w:r>
        <w:proofErr w:type="spellStart"/>
        <w:r w:rsidRPr="006A72DD">
          <w:rPr>
            <w:rStyle w:val="Hyperlink"/>
          </w:rPr>
          <w:t>data.htm#guide</w:t>
        </w:r>
        <w:proofErr w:type="spellEnd"/>
      </w:hyperlink>
      <w:r w:rsidRPr="00782601">
        <w:t>).</w:t>
      </w:r>
    </w:p>
    <w:p w14:paraId="4F89D4CF" w14:textId="1D1296A7" w:rsidR="00782601" w:rsidRPr="002A4971" w:rsidRDefault="00782601" w:rsidP="00337998">
      <w:pPr>
        <w:ind w:left="432" w:hanging="432"/>
        <w:sectPr w:rsidR="00782601" w:rsidRPr="002A4971">
          <w:pgSz w:w="12240" w:h="15840"/>
          <w:pgMar w:top="1440" w:right="1440" w:bottom="1440" w:left="1440" w:header="720" w:footer="720" w:gutter="0"/>
          <w:cols w:space="720"/>
          <w:docGrid w:linePitch="360"/>
        </w:sectPr>
      </w:pPr>
    </w:p>
    <w:p w14:paraId="1BAB22FF" w14:textId="399B527A" w:rsidR="005A4EA3" w:rsidRDefault="005A4EA3" w:rsidP="00C31CDD">
      <w:pPr>
        <w:pStyle w:val="Heading2"/>
      </w:pPr>
      <w:bookmarkStart w:id="15" w:name="_Toc355689706"/>
      <w:r>
        <w:lastRenderedPageBreak/>
        <w:t>Appendix: Estimation of Elasticity of Substitution with Linear Regression</w:t>
      </w:r>
      <w:bookmarkEnd w:id="15"/>
    </w:p>
    <w:p w14:paraId="0F6A4876" w14:textId="16B7E14C" w:rsidR="005A4EA3" w:rsidRPr="00C96DCB" w:rsidRDefault="005A4EA3" w:rsidP="005A4EA3">
      <w:pPr>
        <w:rPr>
          <w:rFonts w:cs="Times New Roman"/>
          <w:sz w:val="20"/>
          <w:szCs w:val="20"/>
        </w:rPr>
      </w:pPr>
      <w:r w:rsidRPr="00C96DCB">
        <w:rPr>
          <w:sz w:val="20"/>
          <w:szCs w:val="20"/>
        </w:rPr>
        <w:t xml:space="preserve">The NSO can estimate </w:t>
      </w:r>
      <w:r w:rsidRPr="00C96DCB">
        <w:rPr>
          <w:rFonts w:cs="Times New Roman"/>
          <w:sz w:val="20"/>
          <w:szCs w:val="20"/>
        </w:rPr>
        <w:t>η using the regression approach by taking the following steps:</w:t>
      </w:r>
    </w:p>
    <w:p w14:paraId="43246E4D" w14:textId="717A4339" w:rsidR="005A4EA3" w:rsidRPr="00C96DCB" w:rsidRDefault="005A4EA3" w:rsidP="005A4EA3">
      <w:pPr>
        <w:numPr>
          <w:ilvl w:val="0"/>
          <w:numId w:val="8"/>
        </w:numPr>
        <w:contextualSpacing/>
        <w:rPr>
          <w:sz w:val="20"/>
          <w:szCs w:val="20"/>
        </w:rPr>
      </w:pPr>
      <w:r w:rsidRPr="00C96DCB">
        <w:rPr>
          <w:sz w:val="20"/>
          <w:szCs w:val="20"/>
        </w:rPr>
        <w:t>Calculate the natural logarithm (ln) of the item shares present in both</w:t>
      </w:r>
      <w:r w:rsidR="00153335">
        <w:rPr>
          <w:sz w:val="20"/>
          <w:szCs w:val="20"/>
        </w:rPr>
        <w:t xml:space="preserve"> 2019</w:t>
      </w:r>
      <w:r w:rsidRPr="00C96DCB">
        <w:rPr>
          <w:sz w:val="20"/>
          <w:szCs w:val="20"/>
        </w:rPr>
        <w:t xml:space="preserve"> (ln</w:t>
      </w:r>
      <w:r w:rsidR="00153335">
        <w:rPr>
          <w:sz w:val="20"/>
          <w:szCs w:val="20"/>
        </w:rPr>
        <w:t xml:space="preserve"> 2019</w:t>
      </w:r>
      <w:r w:rsidRPr="00C96DCB">
        <w:rPr>
          <w:sz w:val="20"/>
          <w:szCs w:val="20"/>
        </w:rPr>
        <w:t xml:space="preserve"> shares) and</w:t>
      </w:r>
      <w:r w:rsidR="00153335">
        <w:rPr>
          <w:sz w:val="20"/>
          <w:szCs w:val="20"/>
        </w:rPr>
        <w:t xml:space="preserve"> 2010</w:t>
      </w:r>
      <w:r w:rsidRPr="00C96DCB">
        <w:rPr>
          <w:sz w:val="20"/>
          <w:szCs w:val="20"/>
        </w:rPr>
        <w:t xml:space="preserve"> (ln</w:t>
      </w:r>
      <w:r w:rsidR="00153335">
        <w:rPr>
          <w:sz w:val="20"/>
          <w:szCs w:val="20"/>
        </w:rPr>
        <w:t xml:space="preserve"> 2010</w:t>
      </w:r>
      <w:r w:rsidRPr="00C96DCB">
        <w:rPr>
          <w:sz w:val="20"/>
          <w:szCs w:val="20"/>
        </w:rPr>
        <w:t xml:space="preserve"> shares). There are 90 in this example. </w:t>
      </w:r>
    </w:p>
    <w:p w14:paraId="67A86400" w14:textId="7E44F5C4" w:rsidR="005A4EA3" w:rsidRPr="00C96DCB" w:rsidRDefault="005A4EA3" w:rsidP="005A4EA3">
      <w:pPr>
        <w:pStyle w:val="ListParagraph"/>
        <w:numPr>
          <w:ilvl w:val="0"/>
          <w:numId w:val="8"/>
        </w:numPr>
        <w:rPr>
          <w:sz w:val="20"/>
          <w:szCs w:val="20"/>
        </w:rPr>
      </w:pPr>
      <w:r w:rsidRPr="00C96DCB">
        <w:rPr>
          <w:sz w:val="20"/>
          <w:szCs w:val="20"/>
        </w:rPr>
        <w:t>Subtract the</w:t>
      </w:r>
      <w:r w:rsidR="00153335">
        <w:rPr>
          <w:sz w:val="20"/>
          <w:szCs w:val="20"/>
        </w:rPr>
        <w:t xml:space="preserve"> 2010</w:t>
      </w:r>
      <w:r w:rsidRPr="00C96DCB">
        <w:rPr>
          <w:sz w:val="20"/>
          <w:szCs w:val="20"/>
        </w:rPr>
        <w:t xml:space="preserve"> natural log from the</w:t>
      </w:r>
      <w:r w:rsidR="00153335">
        <w:rPr>
          <w:sz w:val="20"/>
          <w:szCs w:val="20"/>
        </w:rPr>
        <w:t xml:space="preserve"> 2019</w:t>
      </w:r>
      <w:r w:rsidRPr="00C96DCB">
        <w:rPr>
          <w:sz w:val="20"/>
          <w:szCs w:val="20"/>
        </w:rPr>
        <w:t xml:space="preserve"> natural log (</w:t>
      </w:r>
      <w:r w:rsidRPr="00C96DCB">
        <w:rPr>
          <w:rFonts w:eastAsia="Times New Roman" w:cs="Times New Roman"/>
          <w:b/>
          <w:bCs/>
          <w:sz w:val="20"/>
          <w:szCs w:val="20"/>
        </w:rPr>
        <w:t>Δ ln of Shares)</w:t>
      </w:r>
      <w:r w:rsidRPr="00C96DCB">
        <w:rPr>
          <w:sz w:val="20"/>
          <w:szCs w:val="20"/>
        </w:rPr>
        <w:t>.</w:t>
      </w:r>
    </w:p>
    <w:p w14:paraId="421140A5" w14:textId="77777777" w:rsidR="005A4EA3" w:rsidRPr="00C96DCB" w:rsidRDefault="005A4EA3" w:rsidP="005A4EA3">
      <w:pPr>
        <w:pStyle w:val="ListParagraph"/>
        <w:numPr>
          <w:ilvl w:val="0"/>
          <w:numId w:val="8"/>
        </w:numPr>
        <w:rPr>
          <w:sz w:val="20"/>
          <w:szCs w:val="20"/>
        </w:rPr>
      </w:pPr>
      <w:r w:rsidRPr="00C96DCB">
        <w:rPr>
          <w:sz w:val="20"/>
          <w:szCs w:val="20"/>
        </w:rPr>
        <w:t>Convert the price indexes to price relatives by dividing by 100.</w:t>
      </w:r>
    </w:p>
    <w:p w14:paraId="2AE9E251" w14:textId="4F5160CC" w:rsidR="005A4EA3" w:rsidRPr="00C96DCB" w:rsidRDefault="005A4EA3" w:rsidP="005A4EA3">
      <w:pPr>
        <w:pStyle w:val="ListParagraph"/>
        <w:numPr>
          <w:ilvl w:val="0"/>
          <w:numId w:val="8"/>
        </w:numPr>
        <w:rPr>
          <w:sz w:val="20"/>
          <w:szCs w:val="20"/>
        </w:rPr>
      </w:pPr>
      <w:r w:rsidRPr="00C96DCB">
        <w:rPr>
          <w:sz w:val="20"/>
          <w:szCs w:val="20"/>
        </w:rPr>
        <w:t>Calculate the natural log of the price relatives (</w:t>
      </w:r>
      <w:r w:rsidRPr="00C96DCB">
        <w:rPr>
          <w:b/>
          <w:sz w:val="20"/>
          <w:szCs w:val="20"/>
        </w:rPr>
        <w:t>ln Price Rel</w:t>
      </w:r>
      <w:r w:rsidRPr="00C96DCB">
        <w:rPr>
          <w:sz w:val="20"/>
          <w:szCs w:val="20"/>
        </w:rPr>
        <w:t>).</w:t>
      </w:r>
      <w:r>
        <w:rPr>
          <w:sz w:val="20"/>
          <w:szCs w:val="20"/>
        </w:rPr>
        <w:t xml:space="preserve"> </w:t>
      </w:r>
      <w:r w:rsidRPr="00E53A60">
        <w:rPr>
          <w:sz w:val="20"/>
          <w:szCs w:val="20"/>
        </w:rPr>
        <w:t>(Note: Price Rel in</w:t>
      </w:r>
      <w:r w:rsidR="00153335" w:rsidRPr="00E53A60">
        <w:rPr>
          <w:sz w:val="20"/>
          <w:szCs w:val="20"/>
        </w:rPr>
        <w:t xml:space="preserve"> 2010</w:t>
      </w:r>
      <w:r w:rsidRPr="00E53A60">
        <w:rPr>
          <w:sz w:val="20"/>
          <w:szCs w:val="20"/>
        </w:rPr>
        <w:t xml:space="preserve"> = 1 for all indexes and ln Price Rel in</w:t>
      </w:r>
      <w:r w:rsidR="00153335" w:rsidRPr="00E53A60">
        <w:rPr>
          <w:sz w:val="20"/>
          <w:szCs w:val="20"/>
        </w:rPr>
        <w:t xml:space="preserve"> 2010</w:t>
      </w:r>
      <w:r w:rsidRPr="00E53A60">
        <w:rPr>
          <w:sz w:val="20"/>
          <w:szCs w:val="20"/>
        </w:rPr>
        <w:t xml:space="preserve"> = 0. Thus, the</w:t>
      </w:r>
      <w:r w:rsidRPr="00CD2D26">
        <w:t xml:space="preserve"> </w:t>
      </w:r>
      <w:proofErr w:type="spellStart"/>
      <w:r w:rsidRPr="00CD2D26">
        <w:rPr>
          <w:rFonts w:eastAsia="Times New Roman" w:cs="Times New Roman"/>
          <w:b/>
          <w:bCs/>
          <w:sz w:val="18"/>
          <w:szCs w:val="18"/>
        </w:rPr>
        <w:t>Δ</w:t>
      </w:r>
      <w:r w:rsidRPr="005D1C31">
        <w:rPr>
          <w:b/>
          <w:sz w:val="18"/>
          <w:szCs w:val="18"/>
        </w:rPr>
        <w:t>ln</w:t>
      </w:r>
      <w:proofErr w:type="spellEnd"/>
      <w:r>
        <w:rPr>
          <w:b/>
          <w:sz w:val="18"/>
          <w:szCs w:val="18"/>
        </w:rPr>
        <w:t> </w:t>
      </w:r>
      <w:r w:rsidRPr="005D1C31">
        <w:rPr>
          <w:b/>
          <w:sz w:val="18"/>
          <w:szCs w:val="18"/>
        </w:rPr>
        <w:t>Price Rel</w:t>
      </w:r>
      <w:r>
        <w:rPr>
          <w:b/>
          <w:sz w:val="18"/>
          <w:szCs w:val="18"/>
        </w:rPr>
        <w:t xml:space="preserve"> = ln Price Rel</w:t>
      </w:r>
      <w:r w:rsidR="00153335">
        <w:rPr>
          <w:b/>
          <w:sz w:val="18"/>
          <w:szCs w:val="18"/>
        </w:rPr>
        <w:t xml:space="preserve"> 2019</w:t>
      </w:r>
      <w:r>
        <w:rPr>
          <w:b/>
          <w:sz w:val="18"/>
          <w:szCs w:val="18"/>
        </w:rPr>
        <w:t xml:space="preserve"> – </w:t>
      </w:r>
      <w:r w:rsidRPr="005D1C31">
        <w:rPr>
          <w:b/>
          <w:sz w:val="18"/>
          <w:szCs w:val="18"/>
        </w:rPr>
        <w:t>ln</w:t>
      </w:r>
      <w:r>
        <w:rPr>
          <w:b/>
          <w:sz w:val="18"/>
          <w:szCs w:val="18"/>
        </w:rPr>
        <w:t> </w:t>
      </w:r>
      <w:r w:rsidRPr="005D1C31">
        <w:rPr>
          <w:b/>
          <w:sz w:val="18"/>
          <w:szCs w:val="18"/>
        </w:rPr>
        <w:t>Price Rel</w:t>
      </w:r>
      <w:r w:rsidR="00153335">
        <w:rPr>
          <w:b/>
          <w:sz w:val="18"/>
          <w:szCs w:val="18"/>
        </w:rPr>
        <w:t xml:space="preserve"> 2010</w:t>
      </w:r>
      <w:r>
        <w:rPr>
          <w:b/>
          <w:sz w:val="18"/>
          <w:szCs w:val="18"/>
        </w:rPr>
        <w:t xml:space="preserve"> = </w:t>
      </w:r>
      <w:r w:rsidRPr="005D1C31">
        <w:rPr>
          <w:b/>
          <w:sz w:val="18"/>
          <w:szCs w:val="18"/>
        </w:rPr>
        <w:t>ln</w:t>
      </w:r>
      <w:r>
        <w:rPr>
          <w:b/>
          <w:sz w:val="18"/>
          <w:szCs w:val="18"/>
        </w:rPr>
        <w:t> </w:t>
      </w:r>
      <w:r w:rsidRPr="005D1C31">
        <w:rPr>
          <w:b/>
          <w:sz w:val="18"/>
          <w:szCs w:val="18"/>
        </w:rPr>
        <w:t>Price Rel</w:t>
      </w:r>
      <w:r w:rsidR="00153335">
        <w:rPr>
          <w:b/>
          <w:sz w:val="18"/>
          <w:szCs w:val="18"/>
        </w:rPr>
        <w:t xml:space="preserve"> 2019</w:t>
      </w:r>
      <w:r>
        <w:rPr>
          <w:b/>
          <w:sz w:val="18"/>
          <w:szCs w:val="18"/>
        </w:rPr>
        <w:t>.)</w:t>
      </w:r>
    </w:p>
    <w:p w14:paraId="699C183D" w14:textId="77777777" w:rsidR="005A4EA3" w:rsidRPr="00C96DCB" w:rsidRDefault="005A4EA3" w:rsidP="005A4EA3">
      <w:pPr>
        <w:pStyle w:val="ListParagraph"/>
        <w:numPr>
          <w:ilvl w:val="0"/>
          <w:numId w:val="8"/>
        </w:numPr>
        <w:rPr>
          <w:sz w:val="20"/>
          <w:szCs w:val="20"/>
        </w:rPr>
      </w:pPr>
      <w:r w:rsidRPr="00C96DCB">
        <w:rPr>
          <w:sz w:val="20"/>
          <w:szCs w:val="20"/>
        </w:rPr>
        <w:t xml:space="preserve">Calculate the weights for each observation as </w:t>
      </w:r>
      <w:r w:rsidRPr="00C96DCB">
        <w:rPr>
          <w:rFonts w:eastAsia="Times New Roman" w:cs="Times New Roman"/>
          <w:b/>
          <w:bCs/>
          <w:sz w:val="20"/>
          <w:szCs w:val="20"/>
        </w:rPr>
        <w:t>Δ Share / Δ ln of Shares.</w:t>
      </w:r>
    </w:p>
    <w:p w14:paraId="245ABBB2" w14:textId="77777777" w:rsidR="005A4EA3" w:rsidRPr="00C96DCB" w:rsidRDefault="005A4EA3" w:rsidP="005A4EA3">
      <w:pPr>
        <w:pStyle w:val="ListParagraph"/>
        <w:numPr>
          <w:ilvl w:val="0"/>
          <w:numId w:val="8"/>
        </w:numPr>
        <w:rPr>
          <w:sz w:val="20"/>
          <w:szCs w:val="20"/>
        </w:rPr>
      </w:pPr>
      <w:r w:rsidRPr="00C96DCB">
        <w:rPr>
          <w:sz w:val="20"/>
          <w:szCs w:val="20"/>
        </w:rPr>
        <w:t>Sum the column of weights.</w:t>
      </w:r>
    </w:p>
    <w:p w14:paraId="47DF65D8" w14:textId="77777777" w:rsidR="005A4EA3" w:rsidRPr="00C96DCB" w:rsidRDefault="005A4EA3" w:rsidP="005A4EA3">
      <w:pPr>
        <w:pStyle w:val="ListParagraph"/>
        <w:numPr>
          <w:ilvl w:val="0"/>
          <w:numId w:val="8"/>
        </w:numPr>
        <w:rPr>
          <w:sz w:val="20"/>
          <w:szCs w:val="20"/>
        </w:rPr>
      </w:pPr>
      <w:r w:rsidRPr="00C96DCB">
        <w:rPr>
          <w:sz w:val="20"/>
          <w:szCs w:val="20"/>
        </w:rPr>
        <w:t xml:space="preserve">Calculate normalized </w:t>
      </w:r>
      <w:r w:rsidRPr="00C96DCB">
        <w:rPr>
          <w:b/>
          <w:sz w:val="20"/>
          <w:szCs w:val="20"/>
        </w:rPr>
        <w:t>Weights</w:t>
      </w:r>
      <w:r w:rsidRPr="00C96DCB">
        <w:rPr>
          <w:sz w:val="20"/>
          <w:szCs w:val="20"/>
        </w:rPr>
        <w:t xml:space="preserve"> (i.e., weights that sum to 1.0 by dividing by the sum of the weights in the previous step).</w:t>
      </w:r>
    </w:p>
    <w:p w14:paraId="6052E290" w14:textId="77777777" w:rsidR="005A4EA3" w:rsidRDefault="005A4EA3" w:rsidP="005A4EA3">
      <w:pPr>
        <w:pStyle w:val="ListParagraph"/>
        <w:numPr>
          <w:ilvl w:val="0"/>
          <w:numId w:val="8"/>
        </w:numPr>
        <w:rPr>
          <w:sz w:val="20"/>
          <w:szCs w:val="20"/>
        </w:rPr>
      </w:pPr>
      <w:r w:rsidRPr="00C96DCB">
        <w:rPr>
          <w:sz w:val="20"/>
          <w:szCs w:val="20"/>
        </w:rPr>
        <w:t xml:space="preserve">Calculate a weighted linear regression with the </w:t>
      </w:r>
      <w:r w:rsidRPr="00C96DCB">
        <w:rPr>
          <w:rFonts w:eastAsia="Times New Roman" w:cs="Times New Roman"/>
          <w:b/>
          <w:bCs/>
          <w:sz w:val="20"/>
          <w:szCs w:val="20"/>
        </w:rPr>
        <w:t>Δ ln of Shares</w:t>
      </w:r>
      <w:r w:rsidRPr="00C96DCB">
        <w:rPr>
          <w:sz w:val="20"/>
          <w:szCs w:val="20"/>
        </w:rPr>
        <w:t xml:space="preserve"> as the </w:t>
      </w:r>
      <w:proofErr w:type="gramStart"/>
      <w:r w:rsidRPr="00C96DCB">
        <w:rPr>
          <w:sz w:val="20"/>
          <w:szCs w:val="20"/>
        </w:rPr>
        <w:t>left hand</w:t>
      </w:r>
      <w:proofErr w:type="gramEnd"/>
      <w:r w:rsidRPr="00C96DCB">
        <w:rPr>
          <w:sz w:val="20"/>
          <w:szCs w:val="20"/>
        </w:rPr>
        <w:t xml:space="preserve"> variable and </w:t>
      </w:r>
      <w:r w:rsidRPr="00C96DCB">
        <w:rPr>
          <w:b/>
          <w:sz w:val="20"/>
          <w:szCs w:val="20"/>
        </w:rPr>
        <w:t>ln Price Rel</w:t>
      </w:r>
      <w:r w:rsidRPr="00C96DCB">
        <w:rPr>
          <w:sz w:val="20"/>
          <w:szCs w:val="20"/>
        </w:rPr>
        <w:t xml:space="preserve"> and </w:t>
      </w:r>
      <w:r w:rsidRPr="00C96DCB">
        <w:rPr>
          <w:b/>
          <w:sz w:val="20"/>
          <w:szCs w:val="20"/>
        </w:rPr>
        <w:t xml:space="preserve">Weights </w:t>
      </w:r>
      <w:r w:rsidRPr="00C96DCB">
        <w:rPr>
          <w:sz w:val="20"/>
          <w:szCs w:val="20"/>
        </w:rPr>
        <w:t>as the right hand variables.</w:t>
      </w:r>
    </w:p>
    <w:p w14:paraId="66CA9902" w14:textId="77777777" w:rsidR="005A4EA3" w:rsidRPr="00C96DCB" w:rsidRDefault="005A4EA3" w:rsidP="005A4EA3">
      <w:pPr>
        <w:ind w:left="720"/>
        <w:rPr>
          <w:sz w:val="20"/>
          <w:szCs w:val="20"/>
        </w:rPr>
      </w:pPr>
      <w:r>
        <w:rPr>
          <w:sz w:val="20"/>
          <w:szCs w:val="20"/>
        </w:rPr>
        <w:t>The calculations formulas appear below following the table.</w:t>
      </w:r>
    </w:p>
    <w:p w14:paraId="055CD4BF" w14:textId="77777777" w:rsidR="005A4EA3" w:rsidRPr="00C96DCB" w:rsidRDefault="005A4EA3" w:rsidP="00C31CDD">
      <w:pPr>
        <w:spacing w:after="120"/>
        <w:ind w:left="720"/>
        <w:rPr>
          <w:sz w:val="20"/>
          <w:szCs w:val="20"/>
        </w:rPr>
      </w:pPr>
      <w:r w:rsidRPr="00C96DCB">
        <w:rPr>
          <w:sz w:val="20"/>
          <w:szCs w:val="20"/>
        </w:rPr>
        <w:t xml:space="preserve">These should work if there is no missing data. With missing data, </w:t>
      </w:r>
      <w:r>
        <w:rPr>
          <w:sz w:val="20"/>
          <w:szCs w:val="20"/>
        </w:rPr>
        <w:t>the NSO</w:t>
      </w:r>
      <w:r w:rsidRPr="00C96DCB">
        <w:rPr>
          <w:sz w:val="20"/>
          <w:szCs w:val="20"/>
        </w:rPr>
        <w:t xml:space="preserve"> must </w:t>
      </w:r>
      <w:proofErr w:type="gramStart"/>
      <w:r w:rsidRPr="00C96DCB">
        <w:rPr>
          <w:sz w:val="20"/>
          <w:szCs w:val="20"/>
        </w:rPr>
        <w:t>insure</w:t>
      </w:r>
      <w:proofErr w:type="gramEnd"/>
      <w:r w:rsidRPr="00C96DCB">
        <w:rPr>
          <w:sz w:val="20"/>
          <w:szCs w:val="20"/>
        </w:rPr>
        <w:t xml:space="preserve"> that the averages do not include unmatched data.</w:t>
      </w:r>
    </w:p>
    <w:tbl>
      <w:tblPr>
        <w:tblW w:w="12960" w:type="dxa"/>
        <w:tblInd w:w="93" w:type="dxa"/>
        <w:tblLayout w:type="fixed"/>
        <w:tblCellMar>
          <w:left w:w="43" w:type="dxa"/>
          <w:right w:w="43" w:type="dxa"/>
        </w:tblCellMar>
        <w:tblLook w:val="04A0" w:firstRow="1" w:lastRow="0" w:firstColumn="1" w:lastColumn="0" w:noHBand="0" w:noVBand="1"/>
      </w:tblPr>
      <w:tblGrid>
        <w:gridCol w:w="1116"/>
        <w:gridCol w:w="2074"/>
        <w:gridCol w:w="1153"/>
        <w:gridCol w:w="1289"/>
        <w:gridCol w:w="967"/>
        <w:gridCol w:w="860"/>
        <w:gridCol w:w="967"/>
        <w:gridCol w:w="860"/>
        <w:gridCol w:w="860"/>
        <w:gridCol w:w="967"/>
        <w:gridCol w:w="860"/>
        <w:gridCol w:w="860"/>
        <w:gridCol w:w="127"/>
      </w:tblGrid>
      <w:tr w:rsidR="005A4EA3" w:rsidRPr="008A78D0" w14:paraId="2E80359E" w14:textId="77777777" w:rsidTr="005A4EA3">
        <w:trPr>
          <w:trHeight w:val="432"/>
          <w:tblHeader/>
        </w:trPr>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7D9FD" w14:textId="77777777"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COICOP Code</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1C327190" w14:textId="77777777"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Item Name</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14:paraId="563B730F" w14:textId="652D8B80"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Expenditure Share</w:t>
            </w:r>
            <w:r w:rsidR="00153335">
              <w:rPr>
                <w:rFonts w:eastAsia="Times New Roman" w:cs="Times New Roman"/>
                <w:b/>
                <w:bCs/>
                <w:color w:val="000000"/>
                <w:sz w:val="18"/>
                <w:szCs w:val="18"/>
              </w:rPr>
              <w:t xml:space="preserve"> 2010</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14:paraId="41B9E6CF" w14:textId="39FDC7D1"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Expenditure Share</w:t>
            </w:r>
            <w:r w:rsidR="00153335">
              <w:rPr>
                <w:rFonts w:eastAsia="Times New Roman" w:cs="Times New Roman"/>
                <w:b/>
                <w:bCs/>
                <w:color w:val="000000"/>
                <w:sz w:val="18"/>
                <w:szCs w:val="18"/>
              </w:rPr>
              <w:t xml:space="preserve"> 2019</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13D85D4E" w14:textId="61ECFB1A"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Avg</w:t>
            </w:r>
            <w:r>
              <w:rPr>
                <w:rFonts w:eastAsia="Times New Roman" w:cs="Times New Roman"/>
                <w:b/>
                <w:bCs/>
                <w:color w:val="000000"/>
                <w:sz w:val="18"/>
                <w:szCs w:val="18"/>
              </w:rPr>
              <w:t>.</w:t>
            </w:r>
            <w:r w:rsidRPr="00B43597">
              <w:rPr>
                <w:rFonts w:eastAsia="Times New Roman" w:cs="Times New Roman"/>
                <w:b/>
                <w:bCs/>
                <w:color w:val="000000"/>
                <w:sz w:val="18"/>
                <w:szCs w:val="18"/>
              </w:rPr>
              <w:t xml:space="preserve"> CPI</w:t>
            </w:r>
            <w:r w:rsidR="00153335">
              <w:rPr>
                <w:rFonts w:eastAsia="Times New Roman" w:cs="Times New Roman"/>
                <w:b/>
                <w:bCs/>
                <w:color w:val="000000"/>
                <w:sz w:val="18"/>
                <w:szCs w:val="18"/>
              </w:rPr>
              <w:t xml:space="preserve"> 2019</w:t>
            </w:r>
            <w:r w:rsidRPr="00B43597">
              <w:rPr>
                <w:rFonts w:eastAsia="Times New Roman" w:cs="Times New Roman"/>
                <w:b/>
                <w:bCs/>
                <w:color w:val="000000"/>
                <w:sz w:val="18"/>
                <w:szCs w:val="18"/>
              </w:rPr>
              <w:t>/100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6E804576" w14:textId="77777777" w:rsidR="005A4EA3" w:rsidRPr="00B43597" w:rsidRDefault="005A4EA3" w:rsidP="005A4EA3">
            <w:pPr>
              <w:jc w:val="center"/>
              <w:rPr>
                <w:rFonts w:eastAsia="Times New Roman" w:cs="Times New Roman"/>
                <w:b/>
                <w:bCs/>
                <w:color w:val="000000"/>
                <w:sz w:val="18"/>
                <w:szCs w:val="18"/>
              </w:rPr>
            </w:pPr>
            <w:proofErr w:type="spellStart"/>
            <w:r w:rsidRPr="00B43597">
              <w:rPr>
                <w:rFonts w:eastAsia="Times New Roman" w:cs="Times New Roman"/>
                <w:b/>
                <w:bCs/>
                <w:color w:val="000000"/>
                <w:sz w:val="18"/>
                <w:szCs w:val="18"/>
              </w:rPr>
              <w:t>ΔShare</w:t>
            </w:r>
            <w:proofErr w:type="spellEnd"/>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49F5AEB0" w14:textId="00923523"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ln Share</w:t>
            </w:r>
            <w:r w:rsidR="00153335">
              <w:rPr>
                <w:rFonts w:eastAsia="Times New Roman" w:cs="Times New Roman"/>
                <w:b/>
                <w:bCs/>
                <w:color w:val="000000"/>
                <w:sz w:val="18"/>
                <w:szCs w:val="18"/>
              </w:rPr>
              <w:t xml:space="preserve"> 2010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713B6249" w14:textId="0E148816"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ln Share</w:t>
            </w:r>
            <w:r w:rsidR="00153335">
              <w:rPr>
                <w:rFonts w:eastAsia="Times New Roman" w:cs="Times New Roman"/>
                <w:b/>
                <w:bCs/>
                <w:color w:val="000000"/>
                <w:sz w:val="18"/>
                <w:szCs w:val="18"/>
              </w:rPr>
              <w:t xml:space="preserve"> 2019</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E368E3F" w14:textId="77777777" w:rsidR="005A4EA3" w:rsidRPr="00B43597" w:rsidRDefault="005A4EA3" w:rsidP="005A4EA3">
            <w:pPr>
              <w:jc w:val="center"/>
              <w:rPr>
                <w:rFonts w:eastAsia="Times New Roman" w:cs="Times New Roman"/>
                <w:b/>
                <w:bCs/>
                <w:color w:val="000000"/>
                <w:sz w:val="18"/>
                <w:szCs w:val="18"/>
              </w:rPr>
            </w:pPr>
            <w:proofErr w:type="spellStart"/>
            <w:r w:rsidRPr="00B43597">
              <w:rPr>
                <w:rFonts w:eastAsia="Times New Roman" w:cs="Times New Roman"/>
                <w:b/>
                <w:bCs/>
                <w:color w:val="000000"/>
                <w:sz w:val="18"/>
                <w:szCs w:val="18"/>
              </w:rPr>
              <w:t>Δln</w:t>
            </w:r>
            <w:proofErr w:type="spellEnd"/>
            <w:r w:rsidRPr="00B43597">
              <w:rPr>
                <w:rFonts w:eastAsia="Times New Roman" w:cs="Times New Roman"/>
                <w:b/>
                <w:bCs/>
                <w:color w:val="000000"/>
                <w:sz w:val="18"/>
                <w:szCs w:val="18"/>
              </w:rPr>
              <w:t xml:space="preserve"> of Share</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5DFBC6F3" w14:textId="77777777"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 xml:space="preserve">ln </w:t>
            </w:r>
            <w:proofErr w:type="spellStart"/>
            <w:r w:rsidRPr="00B43597">
              <w:rPr>
                <w:rFonts w:eastAsia="Times New Roman" w:cs="Times New Roman"/>
                <w:b/>
                <w:bCs/>
                <w:color w:val="000000"/>
                <w:sz w:val="18"/>
                <w:szCs w:val="18"/>
              </w:rPr>
              <w:t>PriceRel</w:t>
            </w:r>
            <w:proofErr w:type="spellEnd"/>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1F0C3DBC" w14:textId="77777777"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Initial Weights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33A90687" w14:textId="77777777" w:rsidR="005A4EA3" w:rsidRPr="00B43597" w:rsidRDefault="005A4EA3" w:rsidP="005A4EA3">
            <w:pPr>
              <w:jc w:val="center"/>
              <w:rPr>
                <w:rFonts w:eastAsia="Times New Roman" w:cs="Times New Roman"/>
                <w:b/>
                <w:bCs/>
                <w:color w:val="000000"/>
                <w:sz w:val="18"/>
                <w:szCs w:val="18"/>
              </w:rPr>
            </w:pPr>
            <w:r w:rsidRPr="00B43597">
              <w:rPr>
                <w:rFonts w:eastAsia="Times New Roman" w:cs="Times New Roman"/>
                <w:b/>
                <w:bCs/>
                <w:color w:val="000000"/>
                <w:sz w:val="18"/>
                <w:szCs w:val="18"/>
              </w:rPr>
              <w:t>Weights</w:t>
            </w:r>
          </w:p>
        </w:tc>
        <w:tc>
          <w:tcPr>
            <w:tcW w:w="127" w:type="dxa"/>
            <w:tcBorders>
              <w:top w:val="nil"/>
              <w:left w:val="nil"/>
              <w:bottom w:val="nil"/>
              <w:right w:val="nil"/>
            </w:tcBorders>
            <w:shd w:val="clear" w:color="auto" w:fill="auto"/>
            <w:noWrap/>
            <w:vAlign w:val="bottom"/>
            <w:hideMark/>
          </w:tcPr>
          <w:p w14:paraId="766C297A" w14:textId="77777777" w:rsidR="005A4EA3" w:rsidRPr="00B43597" w:rsidRDefault="005A4EA3" w:rsidP="005A4EA3">
            <w:pPr>
              <w:rPr>
                <w:rFonts w:eastAsia="Times New Roman" w:cs="Times New Roman"/>
                <w:color w:val="000000"/>
                <w:sz w:val="18"/>
                <w:szCs w:val="18"/>
              </w:rPr>
            </w:pPr>
          </w:p>
        </w:tc>
      </w:tr>
      <w:tr w:rsidR="005A4EA3" w:rsidRPr="008A78D0" w14:paraId="25610A43" w14:textId="77777777" w:rsidTr="005A4EA3">
        <w:trPr>
          <w:trHeight w:hRule="exact" w:val="245"/>
          <w:tblHeader/>
        </w:trPr>
        <w:tc>
          <w:tcPr>
            <w:tcW w:w="1116" w:type="dxa"/>
            <w:tcBorders>
              <w:top w:val="single" w:sz="4" w:space="0" w:color="auto"/>
              <w:left w:val="single" w:sz="4" w:space="0" w:color="auto"/>
              <w:right w:val="single" w:sz="4" w:space="0" w:color="auto"/>
            </w:tcBorders>
            <w:shd w:val="clear" w:color="auto" w:fill="auto"/>
            <w:noWrap/>
            <w:vAlign w:val="bottom"/>
          </w:tcPr>
          <w:p w14:paraId="0795B177" w14:textId="77777777" w:rsidR="005A4EA3" w:rsidRPr="00B43597" w:rsidRDefault="005A4EA3" w:rsidP="005A4EA3">
            <w:pPr>
              <w:rPr>
                <w:rFonts w:eastAsia="Times New Roman" w:cs="Times New Roman"/>
                <w:color w:val="000000"/>
                <w:sz w:val="18"/>
                <w:szCs w:val="18"/>
              </w:rPr>
            </w:pPr>
          </w:p>
        </w:tc>
        <w:tc>
          <w:tcPr>
            <w:tcW w:w="2074" w:type="dxa"/>
            <w:tcBorders>
              <w:top w:val="nil"/>
              <w:left w:val="single" w:sz="4" w:space="0" w:color="auto"/>
              <w:bottom w:val="nil"/>
              <w:right w:val="single" w:sz="4" w:space="0" w:color="auto"/>
            </w:tcBorders>
            <w:shd w:val="clear" w:color="auto" w:fill="auto"/>
            <w:noWrap/>
            <w:vAlign w:val="bottom"/>
          </w:tcPr>
          <w:p w14:paraId="14C5C526" w14:textId="77777777" w:rsidR="005A4EA3" w:rsidRPr="00B43597" w:rsidRDefault="005A4EA3" w:rsidP="005A4EA3">
            <w:pPr>
              <w:rPr>
                <w:rFonts w:eastAsia="Times New Roman" w:cs="Times New Roman"/>
                <w:color w:val="000000"/>
                <w:sz w:val="18"/>
                <w:szCs w:val="18"/>
              </w:rPr>
            </w:pPr>
          </w:p>
        </w:tc>
        <w:tc>
          <w:tcPr>
            <w:tcW w:w="1153" w:type="dxa"/>
            <w:tcBorders>
              <w:top w:val="single" w:sz="4" w:space="0" w:color="auto"/>
              <w:left w:val="single" w:sz="4" w:space="0" w:color="auto"/>
              <w:bottom w:val="single" w:sz="4" w:space="0" w:color="auto"/>
              <w:right w:val="nil"/>
            </w:tcBorders>
            <w:shd w:val="clear" w:color="auto" w:fill="auto"/>
            <w:noWrap/>
            <w:vAlign w:val="bottom"/>
          </w:tcPr>
          <w:p w14:paraId="02290F03" w14:textId="77777777" w:rsidR="005A4EA3" w:rsidRPr="00B43597" w:rsidRDefault="005A4EA3" w:rsidP="005A4EA3">
            <w:pPr>
              <w:jc w:val="right"/>
              <w:rPr>
                <w:rFonts w:eastAsia="Times New Roman" w:cs="Times New Roman"/>
                <w:color w:val="000000"/>
                <w:sz w:val="18"/>
                <w:szCs w:val="18"/>
              </w:rPr>
            </w:pPr>
          </w:p>
        </w:tc>
        <w:tc>
          <w:tcPr>
            <w:tcW w:w="1289" w:type="dxa"/>
            <w:tcBorders>
              <w:top w:val="single" w:sz="4" w:space="0" w:color="auto"/>
              <w:left w:val="nil"/>
              <w:bottom w:val="single" w:sz="4" w:space="0" w:color="auto"/>
              <w:right w:val="nil"/>
            </w:tcBorders>
            <w:shd w:val="clear" w:color="auto" w:fill="auto"/>
            <w:noWrap/>
            <w:vAlign w:val="bottom"/>
          </w:tcPr>
          <w:p w14:paraId="7C318F26"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Original Data</w:t>
            </w:r>
          </w:p>
        </w:tc>
        <w:tc>
          <w:tcPr>
            <w:tcW w:w="967" w:type="dxa"/>
            <w:tcBorders>
              <w:top w:val="single" w:sz="4" w:space="0" w:color="auto"/>
              <w:left w:val="nil"/>
              <w:bottom w:val="single" w:sz="4" w:space="0" w:color="auto"/>
            </w:tcBorders>
            <w:shd w:val="clear" w:color="auto" w:fill="auto"/>
            <w:noWrap/>
            <w:vAlign w:val="bottom"/>
          </w:tcPr>
          <w:p w14:paraId="144D9354"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iii</w:t>
            </w:r>
          </w:p>
        </w:tc>
        <w:tc>
          <w:tcPr>
            <w:tcW w:w="860" w:type="dxa"/>
            <w:tcBorders>
              <w:top w:val="single" w:sz="4" w:space="0" w:color="auto"/>
              <w:bottom w:val="single" w:sz="4" w:space="0" w:color="auto"/>
              <w:right w:val="single" w:sz="4" w:space="0" w:color="auto"/>
            </w:tcBorders>
            <w:shd w:val="clear" w:color="auto" w:fill="auto"/>
            <w:noWrap/>
            <w:vAlign w:val="bottom"/>
          </w:tcPr>
          <w:p w14:paraId="7F19C4EB" w14:textId="77777777" w:rsidR="005A4EA3" w:rsidRPr="00B43597" w:rsidRDefault="005A4EA3" w:rsidP="005A4EA3">
            <w:pPr>
              <w:jc w:val="center"/>
              <w:rPr>
                <w:rFonts w:eastAsia="Times New Roman" w:cs="Times New Roman"/>
                <w:color w:val="000000"/>
                <w:sz w:val="18"/>
                <w:szCs w:val="18"/>
              </w:rPr>
            </w:pPr>
          </w:p>
        </w:tc>
        <w:tc>
          <w:tcPr>
            <w:tcW w:w="967" w:type="dxa"/>
            <w:tcBorders>
              <w:top w:val="single" w:sz="4" w:space="0" w:color="auto"/>
              <w:left w:val="single" w:sz="4" w:space="0" w:color="auto"/>
              <w:bottom w:val="single" w:sz="4" w:space="0" w:color="auto"/>
              <w:right w:val="nil"/>
            </w:tcBorders>
            <w:shd w:val="clear" w:color="auto" w:fill="auto"/>
            <w:noWrap/>
            <w:vAlign w:val="bottom"/>
          </w:tcPr>
          <w:p w14:paraId="1AA46F8C"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i</w:t>
            </w:r>
          </w:p>
        </w:tc>
        <w:tc>
          <w:tcPr>
            <w:tcW w:w="860" w:type="dxa"/>
            <w:tcBorders>
              <w:top w:val="single" w:sz="4" w:space="0" w:color="auto"/>
              <w:left w:val="nil"/>
              <w:bottom w:val="single" w:sz="4" w:space="0" w:color="auto"/>
              <w:right w:val="nil"/>
            </w:tcBorders>
            <w:shd w:val="clear" w:color="auto" w:fill="auto"/>
            <w:noWrap/>
            <w:vAlign w:val="bottom"/>
          </w:tcPr>
          <w:p w14:paraId="31581139"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i</w:t>
            </w:r>
          </w:p>
        </w:tc>
        <w:tc>
          <w:tcPr>
            <w:tcW w:w="860" w:type="dxa"/>
            <w:tcBorders>
              <w:top w:val="single" w:sz="4" w:space="0" w:color="auto"/>
              <w:left w:val="nil"/>
              <w:bottom w:val="single" w:sz="4" w:space="0" w:color="auto"/>
              <w:right w:val="nil"/>
            </w:tcBorders>
            <w:shd w:val="clear" w:color="auto" w:fill="auto"/>
            <w:noWrap/>
            <w:vAlign w:val="bottom"/>
          </w:tcPr>
          <w:p w14:paraId="1A997680"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ii</w:t>
            </w:r>
          </w:p>
        </w:tc>
        <w:tc>
          <w:tcPr>
            <w:tcW w:w="967" w:type="dxa"/>
            <w:tcBorders>
              <w:top w:val="single" w:sz="4" w:space="0" w:color="auto"/>
              <w:left w:val="nil"/>
              <w:bottom w:val="single" w:sz="4" w:space="0" w:color="auto"/>
              <w:right w:val="nil"/>
            </w:tcBorders>
            <w:shd w:val="clear" w:color="auto" w:fill="auto"/>
            <w:noWrap/>
            <w:vAlign w:val="bottom"/>
          </w:tcPr>
          <w:p w14:paraId="0C63C839"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iv</w:t>
            </w:r>
          </w:p>
        </w:tc>
        <w:tc>
          <w:tcPr>
            <w:tcW w:w="860" w:type="dxa"/>
            <w:tcBorders>
              <w:top w:val="single" w:sz="4" w:space="0" w:color="auto"/>
              <w:left w:val="nil"/>
              <w:bottom w:val="single" w:sz="4" w:space="0" w:color="auto"/>
              <w:right w:val="nil"/>
            </w:tcBorders>
            <w:shd w:val="clear" w:color="auto" w:fill="auto"/>
            <w:noWrap/>
            <w:vAlign w:val="bottom"/>
          </w:tcPr>
          <w:p w14:paraId="6B04DD44"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 xml:space="preserve">Step </w:t>
            </w:r>
            <w:proofErr w:type="spellStart"/>
            <w:r>
              <w:rPr>
                <w:rFonts w:eastAsia="Times New Roman" w:cs="Times New Roman"/>
                <w:color w:val="000000"/>
                <w:sz w:val="18"/>
                <w:szCs w:val="18"/>
              </w:rPr>
              <w:t>v&amp;vi</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34A95A23" w14:textId="77777777" w:rsidR="005A4EA3" w:rsidRPr="00B43597" w:rsidRDefault="005A4EA3" w:rsidP="005A4EA3">
            <w:pPr>
              <w:jc w:val="center"/>
              <w:rPr>
                <w:rFonts w:eastAsia="Times New Roman" w:cs="Times New Roman"/>
                <w:color w:val="000000"/>
                <w:sz w:val="18"/>
                <w:szCs w:val="18"/>
              </w:rPr>
            </w:pPr>
            <w:r>
              <w:rPr>
                <w:rFonts w:eastAsia="Times New Roman" w:cs="Times New Roman"/>
                <w:color w:val="000000"/>
                <w:sz w:val="18"/>
                <w:szCs w:val="18"/>
              </w:rPr>
              <w:t>Step vii</w:t>
            </w:r>
          </w:p>
        </w:tc>
        <w:tc>
          <w:tcPr>
            <w:tcW w:w="127" w:type="dxa"/>
            <w:tcBorders>
              <w:top w:val="nil"/>
              <w:left w:val="single" w:sz="4" w:space="0" w:color="auto"/>
              <w:bottom w:val="nil"/>
              <w:right w:val="nil"/>
            </w:tcBorders>
            <w:shd w:val="clear" w:color="auto" w:fill="auto"/>
            <w:noWrap/>
            <w:vAlign w:val="bottom"/>
          </w:tcPr>
          <w:p w14:paraId="5FF3C1DC" w14:textId="77777777" w:rsidR="005A4EA3" w:rsidRPr="00B43597" w:rsidRDefault="005A4EA3" w:rsidP="005A4EA3">
            <w:pPr>
              <w:rPr>
                <w:rFonts w:eastAsia="Times New Roman" w:cs="Times New Roman"/>
                <w:color w:val="000000"/>
                <w:sz w:val="18"/>
                <w:szCs w:val="18"/>
              </w:rPr>
            </w:pPr>
          </w:p>
        </w:tc>
      </w:tr>
      <w:tr w:rsidR="005A4EA3" w:rsidRPr="008A78D0" w14:paraId="729A8771" w14:textId="77777777" w:rsidTr="005A4EA3">
        <w:trPr>
          <w:trHeight w:hRule="exact" w:val="245"/>
        </w:trPr>
        <w:tc>
          <w:tcPr>
            <w:tcW w:w="1116" w:type="dxa"/>
            <w:tcBorders>
              <w:left w:val="single" w:sz="4" w:space="0" w:color="auto"/>
              <w:bottom w:val="nil"/>
              <w:right w:val="single" w:sz="4" w:space="0" w:color="auto"/>
            </w:tcBorders>
            <w:shd w:val="clear" w:color="auto" w:fill="auto"/>
            <w:noWrap/>
            <w:vAlign w:val="bottom"/>
            <w:hideMark/>
          </w:tcPr>
          <w:p w14:paraId="16D3710D"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01.1.101</w:t>
            </w:r>
          </w:p>
        </w:tc>
        <w:tc>
          <w:tcPr>
            <w:tcW w:w="2074" w:type="dxa"/>
            <w:tcBorders>
              <w:top w:val="nil"/>
              <w:left w:val="single" w:sz="4" w:space="0" w:color="auto"/>
              <w:bottom w:val="nil"/>
              <w:right w:val="single" w:sz="4" w:space="0" w:color="auto"/>
            </w:tcBorders>
            <w:shd w:val="clear" w:color="auto" w:fill="auto"/>
            <w:noWrap/>
            <w:vAlign w:val="bottom"/>
            <w:hideMark/>
          </w:tcPr>
          <w:p w14:paraId="48A4C8D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Rice (white)</w:t>
            </w:r>
          </w:p>
        </w:tc>
        <w:tc>
          <w:tcPr>
            <w:tcW w:w="1153" w:type="dxa"/>
            <w:tcBorders>
              <w:top w:val="single" w:sz="4" w:space="0" w:color="auto"/>
              <w:left w:val="single" w:sz="4" w:space="0" w:color="auto"/>
              <w:bottom w:val="nil"/>
              <w:right w:val="nil"/>
            </w:tcBorders>
            <w:shd w:val="clear" w:color="auto" w:fill="auto"/>
            <w:noWrap/>
            <w:vAlign w:val="bottom"/>
            <w:hideMark/>
          </w:tcPr>
          <w:p w14:paraId="74BA37D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5.759</w:t>
            </w:r>
          </w:p>
        </w:tc>
        <w:tc>
          <w:tcPr>
            <w:tcW w:w="1289" w:type="dxa"/>
            <w:tcBorders>
              <w:top w:val="single" w:sz="4" w:space="0" w:color="auto"/>
              <w:left w:val="nil"/>
              <w:bottom w:val="nil"/>
              <w:right w:val="nil"/>
            </w:tcBorders>
            <w:shd w:val="clear" w:color="auto" w:fill="auto"/>
            <w:noWrap/>
            <w:vAlign w:val="bottom"/>
            <w:hideMark/>
          </w:tcPr>
          <w:p w14:paraId="26FC715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1.406</w:t>
            </w:r>
          </w:p>
        </w:tc>
        <w:tc>
          <w:tcPr>
            <w:tcW w:w="967" w:type="dxa"/>
            <w:tcBorders>
              <w:top w:val="single" w:sz="4" w:space="0" w:color="auto"/>
              <w:left w:val="nil"/>
              <w:bottom w:val="nil"/>
            </w:tcBorders>
            <w:shd w:val="clear" w:color="auto" w:fill="auto"/>
            <w:noWrap/>
            <w:vAlign w:val="bottom"/>
            <w:hideMark/>
          </w:tcPr>
          <w:p w14:paraId="3D941E5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1.5070</w:t>
            </w:r>
          </w:p>
        </w:tc>
        <w:tc>
          <w:tcPr>
            <w:tcW w:w="860" w:type="dxa"/>
            <w:tcBorders>
              <w:top w:val="single" w:sz="4" w:space="0" w:color="auto"/>
              <w:bottom w:val="nil"/>
              <w:right w:val="single" w:sz="4" w:space="0" w:color="auto"/>
            </w:tcBorders>
            <w:shd w:val="clear" w:color="auto" w:fill="auto"/>
            <w:noWrap/>
            <w:vAlign w:val="bottom"/>
            <w:hideMark/>
          </w:tcPr>
          <w:p w14:paraId="765D01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-4.352</w:t>
            </w:r>
          </w:p>
        </w:tc>
        <w:tc>
          <w:tcPr>
            <w:tcW w:w="967" w:type="dxa"/>
            <w:tcBorders>
              <w:top w:val="single" w:sz="4" w:space="0" w:color="auto"/>
              <w:left w:val="single" w:sz="4" w:space="0" w:color="auto"/>
              <w:bottom w:val="nil"/>
              <w:right w:val="nil"/>
            </w:tcBorders>
            <w:shd w:val="clear" w:color="auto" w:fill="auto"/>
            <w:noWrap/>
            <w:vAlign w:val="bottom"/>
            <w:hideMark/>
          </w:tcPr>
          <w:p w14:paraId="6917AAF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1.7508</w:t>
            </w:r>
          </w:p>
        </w:tc>
        <w:tc>
          <w:tcPr>
            <w:tcW w:w="860" w:type="dxa"/>
            <w:tcBorders>
              <w:top w:val="single" w:sz="4" w:space="0" w:color="auto"/>
              <w:left w:val="nil"/>
              <w:bottom w:val="nil"/>
              <w:right w:val="nil"/>
            </w:tcBorders>
            <w:shd w:val="clear" w:color="auto" w:fill="auto"/>
            <w:noWrap/>
            <w:vAlign w:val="bottom"/>
            <w:hideMark/>
          </w:tcPr>
          <w:p w14:paraId="4C06855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0.3411</w:t>
            </w:r>
          </w:p>
        </w:tc>
        <w:tc>
          <w:tcPr>
            <w:tcW w:w="860" w:type="dxa"/>
            <w:tcBorders>
              <w:top w:val="single" w:sz="4" w:space="0" w:color="auto"/>
              <w:left w:val="nil"/>
              <w:bottom w:val="nil"/>
              <w:right w:val="nil"/>
            </w:tcBorders>
            <w:shd w:val="clear" w:color="auto" w:fill="auto"/>
            <w:noWrap/>
            <w:vAlign w:val="bottom"/>
            <w:hideMark/>
          </w:tcPr>
          <w:p w14:paraId="313662F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-1.4097</w:t>
            </w:r>
          </w:p>
        </w:tc>
        <w:tc>
          <w:tcPr>
            <w:tcW w:w="967" w:type="dxa"/>
            <w:tcBorders>
              <w:top w:val="single" w:sz="4" w:space="0" w:color="auto"/>
              <w:left w:val="nil"/>
              <w:bottom w:val="nil"/>
              <w:right w:val="nil"/>
            </w:tcBorders>
            <w:shd w:val="clear" w:color="auto" w:fill="auto"/>
            <w:noWrap/>
            <w:vAlign w:val="bottom"/>
            <w:hideMark/>
          </w:tcPr>
          <w:p w14:paraId="0E7FDA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0.4101</w:t>
            </w:r>
          </w:p>
        </w:tc>
        <w:tc>
          <w:tcPr>
            <w:tcW w:w="860" w:type="dxa"/>
            <w:tcBorders>
              <w:top w:val="single" w:sz="4" w:space="0" w:color="auto"/>
              <w:left w:val="nil"/>
              <w:bottom w:val="nil"/>
              <w:right w:val="nil"/>
            </w:tcBorders>
            <w:shd w:val="clear" w:color="auto" w:fill="auto"/>
            <w:noWrap/>
            <w:vAlign w:val="bottom"/>
            <w:hideMark/>
          </w:tcPr>
          <w:p w14:paraId="59F8C2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3.0876</w:t>
            </w:r>
          </w:p>
        </w:tc>
        <w:tc>
          <w:tcPr>
            <w:tcW w:w="860" w:type="dxa"/>
            <w:tcBorders>
              <w:top w:val="single" w:sz="4" w:space="0" w:color="auto"/>
              <w:left w:val="nil"/>
              <w:bottom w:val="nil"/>
              <w:right w:val="single" w:sz="4" w:space="0" w:color="auto"/>
            </w:tcBorders>
            <w:shd w:val="clear" w:color="auto" w:fill="auto"/>
            <w:noWrap/>
            <w:vAlign w:val="bottom"/>
            <w:hideMark/>
          </w:tcPr>
          <w:p w14:paraId="3749DFB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0.0322</w:t>
            </w:r>
          </w:p>
        </w:tc>
        <w:tc>
          <w:tcPr>
            <w:tcW w:w="127" w:type="dxa"/>
            <w:tcBorders>
              <w:top w:val="nil"/>
              <w:left w:val="single" w:sz="4" w:space="0" w:color="auto"/>
              <w:bottom w:val="nil"/>
              <w:right w:val="nil"/>
            </w:tcBorders>
            <w:shd w:val="clear" w:color="auto" w:fill="auto"/>
            <w:noWrap/>
            <w:vAlign w:val="bottom"/>
            <w:hideMark/>
          </w:tcPr>
          <w:p w14:paraId="28196DEB" w14:textId="77777777" w:rsidR="005A4EA3" w:rsidRPr="00B43597" w:rsidRDefault="005A4EA3" w:rsidP="005A4EA3">
            <w:pPr>
              <w:rPr>
                <w:rFonts w:eastAsia="Times New Roman" w:cs="Times New Roman"/>
                <w:color w:val="000000"/>
                <w:sz w:val="18"/>
                <w:szCs w:val="18"/>
              </w:rPr>
            </w:pPr>
          </w:p>
        </w:tc>
      </w:tr>
      <w:tr w:rsidR="005A4EA3" w:rsidRPr="008A78D0" w14:paraId="6109EAE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D4AE74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01.1.102</w:t>
            </w:r>
          </w:p>
        </w:tc>
        <w:tc>
          <w:tcPr>
            <w:tcW w:w="2074" w:type="dxa"/>
            <w:tcBorders>
              <w:top w:val="nil"/>
              <w:left w:val="single" w:sz="4" w:space="0" w:color="auto"/>
              <w:bottom w:val="nil"/>
              <w:right w:val="single" w:sz="4" w:space="0" w:color="auto"/>
            </w:tcBorders>
            <w:shd w:val="clear" w:color="auto" w:fill="auto"/>
            <w:noWrap/>
            <w:vAlign w:val="bottom"/>
            <w:hideMark/>
          </w:tcPr>
          <w:p w14:paraId="2D98222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Rice (Brown)</w:t>
            </w:r>
          </w:p>
        </w:tc>
        <w:tc>
          <w:tcPr>
            <w:tcW w:w="1153" w:type="dxa"/>
            <w:tcBorders>
              <w:top w:val="nil"/>
              <w:left w:val="single" w:sz="4" w:space="0" w:color="auto"/>
              <w:bottom w:val="nil"/>
              <w:right w:val="nil"/>
            </w:tcBorders>
            <w:shd w:val="clear" w:color="auto" w:fill="auto"/>
            <w:noWrap/>
            <w:vAlign w:val="bottom"/>
            <w:hideMark/>
          </w:tcPr>
          <w:p w14:paraId="406320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0.381</w:t>
            </w:r>
          </w:p>
        </w:tc>
        <w:tc>
          <w:tcPr>
            <w:tcW w:w="1289" w:type="dxa"/>
            <w:tcBorders>
              <w:top w:val="nil"/>
              <w:left w:val="nil"/>
              <w:bottom w:val="nil"/>
              <w:right w:val="nil"/>
            </w:tcBorders>
            <w:shd w:val="clear" w:color="auto" w:fill="auto"/>
            <w:noWrap/>
            <w:vAlign w:val="bottom"/>
            <w:hideMark/>
          </w:tcPr>
          <w:p w14:paraId="35DB775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3.361</w:t>
            </w:r>
          </w:p>
        </w:tc>
        <w:tc>
          <w:tcPr>
            <w:tcW w:w="967" w:type="dxa"/>
            <w:tcBorders>
              <w:top w:val="nil"/>
              <w:left w:val="nil"/>
              <w:bottom w:val="nil"/>
            </w:tcBorders>
            <w:shd w:val="clear" w:color="auto" w:fill="auto"/>
            <w:noWrap/>
            <w:vAlign w:val="bottom"/>
            <w:hideMark/>
          </w:tcPr>
          <w:p w14:paraId="3F7E8CD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1.5173</w:t>
            </w:r>
          </w:p>
        </w:tc>
        <w:tc>
          <w:tcPr>
            <w:tcW w:w="860" w:type="dxa"/>
            <w:tcBorders>
              <w:top w:val="nil"/>
              <w:bottom w:val="nil"/>
              <w:right w:val="single" w:sz="4" w:space="0" w:color="auto"/>
            </w:tcBorders>
            <w:shd w:val="clear" w:color="auto" w:fill="auto"/>
            <w:noWrap/>
            <w:vAlign w:val="bottom"/>
            <w:hideMark/>
          </w:tcPr>
          <w:p w14:paraId="74ECEE9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2.981</w:t>
            </w:r>
          </w:p>
        </w:tc>
        <w:tc>
          <w:tcPr>
            <w:tcW w:w="967" w:type="dxa"/>
            <w:tcBorders>
              <w:top w:val="nil"/>
              <w:left w:val="single" w:sz="4" w:space="0" w:color="auto"/>
              <w:bottom w:val="nil"/>
              <w:right w:val="nil"/>
            </w:tcBorders>
            <w:shd w:val="clear" w:color="auto" w:fill="auto"/>
            <w:noWrap/>
            <w:vAlign w:val="bottom"/>
            <w:hideMark/>
          </w:tcPr>
          <w:p w14:paraId="4089E7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-0.9661</w:t>
            </w:r>
          </w:p>
        </w:tc>
        <w:tc>
          <w:tcPr>
            <w:tcW w:w="860" w:type="dxa"/>
            <w:tcBorders>
              <w:top w:val="nil"/>
              <w:left w:val="nil"/>
              <w:bottom w:val="nil"/>
              <w:right w:val="nil"/>
            </w:tcBorders>
            <w:shd w:val="clear" w:color="auto" w:fill="auto"/>
            <w:noWrap/>
            <w:vAlign w:val="bottom"/>
            <w:hideMark/>
          </w:tcPr>
          <w:p w14:paraId="057C5E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1.2123</w:t>
            </w:r>
          </w:p>
        </w:tc>
        <w:tc>
          <w:tcPr>
            <w:tcW w:w="860" w:type="dxa"/>
            <w:tcBorders>
              <w:top w:val="nil"/>
              <w:left w:val="nil"/>
              <w:bottom w:val="nil"/>
              <w:right w:val="nil"/>
            </w:tcBorders>
            <w:shd w:val="clear" w:color="auto" w:fill="auto"/>
            <w:noWrap/>
            <w:vAlign w:val="bottom"/>
            <w:hideMark/>
          </w:tcPr>
          <w:p w14:paraId="0F47FE0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2.1784</w:t>
            </w:r>
          </w:p>
        </w:tc>
        <w:tc>
          <w:tcPr>
            <w:tcW w:w="967" w:type="dxa"/>
            <w:tcBorders>
              <w:top w:val="nil"/>
              <w:left w:val="nil"/>
              <w:bottom w:val="nil"/>
              <w:right w:val="nil"/>
            </w:tcBorders>
            <w:shd w:val="clear" w:color="auto" w:fill="auto"/>
            <w:noWrap/>
            <w:vAlign w:val="bottom"/>
            <w:hideMark/>
          </w:tcPr>
          <w:p w14:paraId="57E9A98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0.4169</w:t>
            </w:r>
          </w:p>
        </w:tc>
        <w:tc>
          <w:tcPr>
            <w:tcW w:w="860" w:type="dxa"/>
            <w:tcBorders>
              <w:top w:val="nil"/>
              <w:left w:val="nil"/>
              <w:bottom w:val="nil"/>
              <w:right w:val="nil"/>
            </w:tcBorders>
            <w:shd w:val="clear" w:color="auto" w:fill="auto"/>
            <w:noWrap/>
            <w:vAlign w:val="bottom"/>
            <w:hideMark/>
          </w:tcPr>
          <w:p w14:paraId="3A18E5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1.3682</w:t>
            </w:r>
          </w:p>
        </w:tc>
        <w:tc>
          <w:tcPr>
            <w:tcW w:w="860" w:type="dxa"/>
            <w:tcBorders>
              <w:top w:val="nil"/>
              <w:left w:val="nil"/>
              <w:bottom w:val="nil"/>
              <w:right w:val="single" w:sz="4" w:space="0" w:color="auto"/>
            </w:tcBorders>
            <w:shd w:val="clear" w:color="auto" w:fill="auto"/>
            <w:noWrap/>
            <w:vAlign w:val="bottom"/>
            <w:hideMark/>
          </w:tcPr>
          <w:p w14:paraId="6821853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0.0143</w:t>
            </w:r>
          </w:p>
        </w:tc>
        <w:tc>
          <w:tcPr>
            <w:tcW w:w="127" w:type="dxa"/>
            <w:tcBorders>
              <w:top w:val="nil"/>
              <w:left w:val="single" w:sz="4" w:space="0" w:color="auto"/>
              <w:bottom w:val="nil"/>
              <w:right w:val="nil"/>
            </w:tcBorders>
            <w:shd w:val="clear" w:color="auto" w:fill="auto"/>
            <w:noWrap/>
            <w:vAlign w:val="bottom"/>
            <w:hideMark/>
          </w:tcPr>
          <w:p w14:paraId="6900DC22" w14:textId="77777777" w:rsidR="005A4EA3" w:rsidRPr="00B43597" w:rsidRDefault="005A4EA3" w:rsidP="005A4EA3">
            <w:pPr>
              <w:rPr>
                <w:rFonts w:eastAsia="Times New Roman" w:cs="Times New Roman"/>
                <w:color w:val="000000"/>
                <w:sz w:val="18"/>
                <w:szCs w:val="18"/>
              </w:rPr>
            </w:pPr>
          </w:p>
        </w:tc>
      </w:tr>
      <w:tr w:rsidR="005A4EA3" w:rsidRPr="008A78D0" w14:paraId="79288B0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486797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01.1.103</w:t>
            </w:r>
          </w:p>
        </w:tc>
        <w:tc>
          <w:tcPr>
            <w:tcW w:w="2074" w:type="dxa"/>
            <w:tcBorders>
              <w:top w:val="nil"/>
              <w:left w:val="single" w:sz="4" w:space="0" w:color="auto"/>
              <w:bottom w:val="nil"/>
              <w:right w:val="single" w:sz="4" w:space="0" w:color="auto"/>
            </w:tcBorders>
            <w:shd w:val="clear" w:color="auto" w:fill="auto"/>
            <w:noWrap/>
            <w:vAlign w:val="bottom"/>
            <w:hideMark/>
          </w:tcPr>
          <w:p w14:paraId="45EF7FC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Flour</w:t>
            </w:r>
          </w:p>
        </w:tc>
        <w:tc>
          <w:tcPr>
            <w:tcW w:w="1153" w:type="dxa"/>
            <w:tcBorders>
              <w:top w:val="nil"/>
              <w:left w:val="single" w:sz="4" w:space="0" w:color="auto"/>
              <w:bottom w:val="nil"/>
              <w:right w:val="nil"/>
            </w:tcBorders>
            <w:shd w:val="clear" w:color="auto" w:fill="auto"/>
            <w:noWrap/>
            <w:vAlign w:val="bottom"/>
            <w:hideMark/>
          </w:tcPr>
          <w:p w14:paraId="10051D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4.356</w:t>
            </w:r>
          </w:p>
        </w:tc>
        <w:tc>
          <w:tcPr>
            <w:tcW w:w="1289" w:type="dxa"/>
            <w:tcBorders>
              <w:top w:val="nil"/>
              <w:left w:val="nil"/>
              <w:bottom w:val="nil"/>
              <w:right w:val="nil"/>
            </w:tcBorders>
            <w:shd w:val="clear" w:color="auto" w:fill="auto"/>
            <w:noWrap/>
            <w:vAlign w:val="bottom"/>
            <w:hideMark/>
          </w:tcPr>
          <w:p w14:paraId="2F37706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2.578</w:t>
            </w:r>
          </w:p>
        </w:tc>
        <w:tc>
          <w:tcPr>
            <w:tcW w:w="967" w:type="dxa"/>
            <w:tcBorders>
              <w:top w:val="nil"/>
              <w:left w:val="nil"/>
              <w:bottom w:val="nil"/>
            </w:tcBorders>
            <w:shd w:val="clear" w:color="auto" w:fill="auto"/>
            <w:noWrap/>
            <w:vAlign w:val="bottom"/>
            <w:hideMark/>
          </w:tcPr>
          <w:p w14:paraId="7CE1127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1.3484</w:t>
            </w:r>
          </w:p>
        </w:tc>
        <w:tc>
          <w:tcPr>
            <w:tcW w:w="860" w:type="dxa"/>
            <w:tcBorders>
              <w:top w:val="nil"/>
              <w:bottom w:val="nil"/>
              <w:right w:val="single" w:sz="4" w:space="0" w:color="auto"/>
            </w:tcBorders>
            <w:shd w:val="clear" w:color="auto" w:fill="auto"/>
            <w:noWrap/>
            <w:vAlign w:val="bottom"/>
            <w:hideMark/>
          </w:tcPr>
          <w:p w14:paraId="618E254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-1.778</w:t>
            </w:r>
          </w:p>
        </w:tc>
        <w:tc>
          <w:tcPr>
            <w:tcW w:w="967" w:type="dxa"/>
            <w:tcBorders>
              <w:top w:val="nil"/>
              <w:left w:val="single" w:sz="4" w:space="0" w:color="auto"/>
              <w:bottom w:val="nil"/>
              <w:right w:val="nil"/>
            </w:tcBorders>
            <w:shd w:val="clear" w:color="auto" w:fill="auto"/>
            <w:noWrap/>
            <w:vAlign w:val="bottom"/>
            <w:hideMark/>
          </w:tcPr>
          <w:p w14:paraId="25395B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1.4716</w:t>
            </w:r>
          </w:p>
        </w:tc>
        <w:tc>
          <w:tcPr>
            <w:tcW w:w="860" w:type="dxa"/>
            <w:tcBorders>
              <w:top w:val="nil"/>
              <w:left w:val="nil"/>
              <w:bottom w:val="nil"/>
              <w:right w:val="nil"/>
            </w:tcBorders>
            <w:shd w:val="clear" w:color="auto" w:fill="auto"/>
            <w:noWrap/>
            <w:vAlign w:val="bottom"/>
            <w:hideMark/>
          </w:tcPr>
          <w:p w14:paraId="247552B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0.9470</w:t>
            </w:r>
          </w:p>
        </w:tc>
        <w:tc>
          <w:tcPr>
            <w:tcW w:w="860" w:type="dxa"/>
            <w:tcBorders>
              <w:top w:val="nil"/>
              <w:left w:val="nil"/>
              <w:bottom w:val="nil"/>
              <w:right w:val="nil"/>
            </w:tcBorders>
            <w:shd w:val="clear" w:color="auto" w:fill="auto"/>
            <w:noWrap/>
            <w:vAlign w:val="bottom"/>
            <w:hideMark/>
          </w:tcPr>
          <w:p w14:paraId="43F41D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-0.5245</w:t>
            </w:r>
          </w:p>
        </w:tc>
        <w:tc>
          <w:tcPr>
            <w:tcW w:w="967" w:type="dxa"/>
            <w:tcBorders>
              <w:top w:val="nil"/>
              <w:left w:val="nil"/>
              <w:bottom w:val="nil"/>
              <w:right w:val="nil"/>
            </w:tcBorders>
            <w:shd w:val="clear" w:color="auto" w:fill="auto"/>
            <w:noWrap/>
            <w:vAlign w:val="bottom"/>
            <w:hideMark/>
          </w:tcPr>
          <w:p w14:paraId="07155B2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0.2989</w:t>
            </w:r>
          </w:p>
        </w:tc>
        <w:tc>
          <w:tcPr>
            <w:tcW w:w="860" w:type="dxa"/>
            <w:tcBorders>
              <w:top w:val="nil"/>
              <w:left w:val="nil"/>
              <w:bottom w:val="nil"/>
              <w:right w:val="nil"/>
            </w:tcBorders>
            <w:shd w:val="clear" w:color="auto" w:fill="auto"/>
            <w:noWrap/>
            <w:vAlign w:val="bottom"/>
            <w:hideMark/>
          </w:tcPr>
          <w:p w14:paraId="5957DAB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3.3896</w:t>
            </w:r>
          </w:p>
        </w:tc>
        <w:tc>
          <w:tcPr>
            <w:tcW w:w="860" w:type="dxa"/>
            <w:tcBorders>
              <w:top w:val="nil"/>
              <w:left w:val="nil"/>
              <w:bottom w:val="nil"/>
              <w:right w:val="single" w:sz="4" w:space="0" w:color="auto"/>
            </w:tcBorders>
            <w:shd w:val="clear" w:color="auto" w:fill="auto"/>
            <w:noWrap/>
            <w:vAlign w:val="bottom"/>
            <w:hideMark/>
          </w:tcPr>
          <w:p w14:paraId="1A6F55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0.0354</w:t>
            </w:r>
          </w:p>
        </w:tc>
        <w:tc>
          <w:tcPr>
            <w:tcW w:w="127" w:type="dxa"/>
            <w:tcBorders>
              <w:top w:val="nil"/>
              <w:left w:val="single" w:sz="4" w:space="0" w:color="auto"/>
              <w:bottom w:val="nil"/>
              <w:right w:val="nil"/>
            </w:tcBorders>
            <w:shd w:val="clear" w:color="auto" w:fill="auto"/>
            <w:noWrap/>
            <w:vAlign w:val="bottom"/>
            <w:hideMark/>
          </w:tcPr>
          <w:p w14:paraId="3C21D657" w14:textId="77777777" w:rsidR="005A4EA3" w:rsidRPr="00B43597" w:rsidRDefault="005A4EA3" w:rsidP="005A4EA3">
            <w:pPr>
              <w:rPr>
                <w:rFonts w:eastAsia="Times New Roman" w:cs="Times New Roman"/>
                <w:color w:val="000000"/>
                <w:sz w:val="18"/>
                <w:szCs w:val="18"/>
              </w:rPr>
            </w:pPr>
          </w:p>
        </w:tc>
      </w:tr>
      <w:tr w:rsidR="005A4EA3" w:rsidRPr="008A78D0" w14:paraId="053775D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36AEAC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01.1.104</w:t>
            </w:r>
          </w:p>
        </w:tc>
        <w:tc>
          <w:tcPr>
            <w:tcW w:w="2074" w:type="dxa"/>
            <w:tcBorders>
              <w:top w:val="nil"/>
              <w:left w:val="single" w:sz="4" w:space="0" w:color="auto"/>
              <w:bottom w:val="nil"/>
              <w:right w:val="single" w:sz="4" w:space="0" w:color="auto"/>
            </w:tcBorders>
            <w:shd w:val="clear" w:color="auto" w:fill="auto"/>
            <w:noWrap/>
            <w:vAlign w:val="bottom"/>
            <w:hideMark/>
          </w:tcPr>
          <w:p w14:paraId="57BCCC2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Bread</w:t>
            </w:r>
          </w:p>
        </w:tc>
        <w:tc>
          <w:tcPr>
            <w:tcW w:w="1153" w:type="dxa"/>
            <w:tcBorders>
              <w:top w:val="nil"/>
              <w:left w:val="single" w:sz="4" w:space="0" w:color="auto"/>
              <w:bottom w:val="nil"/>
              <w:right w:val="nil"/>
            </w:tcBorders>
            <w:shd w:val="clear" w:color="auto" w:fill="auto"/>
            <w:noWrap/>
            <w:vAlign w:val="bottom"/>
            <w:hideMark/>
          </w:tcPr>
          <w:p w14:paraId="00F0A61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6.167</w:t>
            </w:r>
          </w:p>
        </w:tc>
        <w:tc>
          <w:tcPr>
            <w:tcW w:w="1289" w:type="dxa"/>
            <w:tcBorders>
              <w:top w:val="nil"/>
              <w:left w:val="nil"/>
              <w:bottom w:val="nil"/>
              <w:right w:val="nil"/>
            </w:tcBorders>
            <w:shd w:val="clear" w:color="auto" w:fill="auto"/>
            <w:noWrap/>
            <w:vAlign w:val="bottom"/>
            <w:hideMark/>
          </w:tcPr>
          <w:p w14:paraId="2B1FD95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6.864</w:t>
            </w:r>
          </w:p>
        </w:tc>
        <w:tc>
          <w:tcPr>
            <w:tcW w:w="967" w:type="dxa"/>
            <w:tcBorders>
              <w:top w:val="nil"/>
              <w:left w:val="nil"/>
              <w:bottom w:val="nil"/>
            </w:tcBorders>
            <w:shd w:val="clear" w:color="auto" w:fill="auto"/>
            <w:noWrap/>
            <w:vAlign w:val="bottom"/>
            <w:hideMark/>
          </w:tcPr>
          <w:p w14:paraId="7FE14EB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1.2718</w:t>
            </w:r>
          </w:p>
        </w:tc>
        <w:tc>
          <w:tcPr>
            <w:tcW w:w="860" w:type="dxa"/>
            <w:tcBorders>
              <w:top w:val="nil"/>
              <w:bottom w:val="nil"/>
              <w:right w:val="single" w:sz="4" w:space="0" w:color="auto"/>
            </w:tcBorders>
            <w:shd w:val="clear" w:color="auto" w:fill="auto"/>
            <w:noWrap/>
            <w:vAlign w:val="bottom"/>
            <w:hideMark/>
          </w:tcPr>
          <w:p w14:paraId="0195E11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0.697</w:t>
            </w:r>
          </w:p>
        </w:tc>
        <w:tc>
          <w:tcPr>
            <w:tcW w:w="967" w:type="dxa"/>
            <w:tcBorders>
              <w:top w:val="nil"/>
              <w:left w:val="single" w:sz="4" w:space="0" w:color="auto"/>
              <w:bottom w:val="nil"/>
              <w:right w:val="nil"/>
            </w:tcBorders>
            <w:shd w:val="clear" w:color="auto" w:fill="auto"/>
            <w:noWrap/>
            <w:vAlign w:val="bottom"/>
            <w:hideMark/>
          </w:tcPr>
          <w:p w14:paraId="6DE820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1.8193</w:t>
            </w:r>
          </w:p>
        </w:tc>
        <w:tc>
          <w:tcPr>
            <w:tcW w:w="860" w:type="dxa"/>
            <w:tcBorders>
              <w:top w:val="nil"/>
              <w:left w:val="nil"/>
              <w:bottom w:val="nil"/>
              <w:right w:val="nil"/>
            </w:tcBorders>
            <w:shd w:val="clear" w:color="auto" w:fill="auto"/>
            <w:noWrap/>
            <w:vAlign w:val="bottom"/>
            <w:hideMark/>
          </w:tcPr>
          <w:p w14:paraId="7D43A5B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1.9263</w:t>
            </w:r>
          </w:p>
        </w:tc>
        <w:tc>
          <w:tcPr>
            <w:tcW w:w="860" w:type="dxa"/>
            <w:tcBorders>
              <w:top w:val="nil"/>
              <w:left w:val="nil"/>
              <w:bottom w:val="nil"/>
              <w:right w:val="nil"/>
            </w:tcBorders>
            <w:shd w:val="clear" w:color="auto" w:fill="auto"/>
            <w:noWrap/>
            <w:vAlign w:val="bottom"/>
            <w:hideMark/>
          </w:tcPr>
          <w:p w14:paraId="273A759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0.1071</w:t>
            </w:r>
          </w:p>
        </w:tc>
        <w:tc>
          <w:tcPr>
            <w:tcW w:w="967" w:type="dxa"/>
            <w:tcBorders>
              <w:top w:val="nil"/>
              <w:left w:val="nil"/>
              <w:bottom w:val="nil"/>
              <w:right w:val="nil"/>
            </w:tcBorders>
            <w:shd w:val="clear" w:color="auto" w:fill="auto"/>
            <w:noWrap/>
            <w:vAlign w:val="bottom"/>
            <w:hideMark/>
          </w:tcPr>
          <w:p w14:paraId="08BEF12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0.2405</w:t>
            </w:r>
          </w:p>
        </w:tc>
        <w:tc>
          <w:tcPr>
            <w:tcW w:w="860" w:type="dxa"/>
            <w:tcBorders>
              <w:top w:val="nil"/>
              <w:left w:val="nil"/>
              <w:bottom w:val="nil"/>
              <w:right w:val="nil"/>
            </w:tcBorders>
            <w:shd w:val="clear" w:color="auto" w:fill="auto"/>
            <w:noWrap/>
            <w:vAlign w:val="bottom"/>
            <w:hideMark/>
          </w:tcPr>
          <w:p w14:paraId="203685A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6.5097</w:t>
            </w:r>
          </w:p>
        </w:tc>
        <w:tc>
          <w:tcPr>
            <w:tcW w:w="860" w:type="dxa"/>
            <w:tcBorders>
              <w:top w:val="nil"/>
              <w:left w:val="nil"/>
              <w:bottom w:val="nil"/>
              <w:right w:val="single" w:sz="4" w:space="0" w:color="auto"/>
            </w:tcBorders>
            <w:shd w:val="clear" w:color="auto" w:fill="auto"/>
            <w:noWrap/>
            <w:vAlign w:val="bottom"/>
            <w:hideMark/>
          </w:tcPr>
          <w:p w14:paraId="66B2A77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0.0679</w:t>
            </w:r>
          </w:p>
        </w:tc>
        <w:tc>
          <w:tcPr>
            <w:tcW w:w="127" w:type="dxa"/>
            <w:tcBorders>
              <w:top w:val="nil"/>
              <w:left w:val="single" w:sz="4" w:space="0" w:color="auto"/>
              <w:bottom w:val="nil"/>
              <w:right w:val="nil"/>
            </w:tcBorders>
            <w:shd w:val="clear" w:color="auto" w:fill="auto"/>
            <w:noWrap/>
            <w:vAlign w:val="bottom"/>
            <w:hideMark/>
          </w:tcPr>
          <w:p w14:paraId="6ECE8E56" w14:textId="77777777" w:rsidR="005A4EA3" w:rsidRPr="00B43597" w:rsidRDefault="005A4EA3" w:rsidP="005A4EA3">
            <w:pPr>
              <w:rPr>
                <w:rFonts w:eastAsia="Times New Roman" w:cs="Times New Roman"/>
                <w:color w:val="000000"/>
                <w:sz w:val="18"/>
                <w:szCs w:val="18"/>
              </w:rPr>
            </w:pPr>
          </w:p>
        </w:tc>
      </w:tr>
      <w:tr w:rsidR="005A4EA3" w:rsidRPr="008A78D0" w14:paraId="6D2B0B99"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BB0E25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01.1.105</w:t>
            </w:r>
          </w:p>
        </w:tc>
        <w:tc>
          <w:tcPr>
            <w:tcW w:w="2074" w:type="dxa"/>
            <w:tcBorders>
              <w:top w:val="nil"/>
              <w:left w:val="single" w:sz="4" w:space="0" w:color="auto"/>
              <w:bottom w:val="nil"/>
              <w:right w:val="single" w:sz="4" w:space="0" w:color="auto"/>
            </w:tcBorders>
            <w:shd w:val="clear" w:color="auto" w:fill="auto"/>
            <w:noWrap/>
            <w:vAlign w:val="bottom"/>
            <w:hideMark/>
          </w:tcPr>
          <w:p w14:paraId="0BE9168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Biscuits (Salted)</w:t>
            </w:r>
          </w:p>
        </w:tc>
        <w:tc>
          <w:tcPr>
            <w:tcW w:w="1153" w:type="dxa"/>
            <w:tcBorders>
              <w:top w:val="nil"/>
              <w:left w:val="single" w:sz="4" w:space="0" w:color="auto"/>
              <w:bottom w:val="nil"/>
              <w:right w:val="nil"/>
            </w:tcBorders>
            <w:shd w:val="clear" w:color="auto" w:fill="auto"/>
            <w:noWrap/>
            <w:vAlign w:val="bottom"/>
            <w:hideMark/>
          </w:tcPr>
          <w:p w14:paraId="08110AF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1.083</w:t>
            </w:r>
          </w:p>
        </w:tc>
        <w:tc>
          <w:tcPr>
            <w:tcW w:w="1289" w:type="dxa"/>
            <w:tcBorders>
              <w:top w:val="nil"/>
              <w:left w:val="nil"/>
              <w:bottom w:val="nil"/>
              <w:right w:val="nil"/>
            </w:tcBorders>
            <w:shd w:val="clear" w:color="auto" w:fill="auto"/>
            <w:noWrap/>
            <w:vAlign w:val="bottom"/>
            <w:hideMark/>
          </w:tcPr>
          <w:p w14:paraId="10DF41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0.813</w:t>
            </w:r>
          </w:p>
        </w:tc>
        <w:tc>
          <w:tcPr>
            <w:tcW w:w="967" w:type="dxa"/>
            <w:tcBorders>
              <w:top w:val="nil"/>
              <w:left w:val="nil"/>
              <w:bottom w:val="nil"/>
            </w:tcBorders>
            <w:shd w:val="clear" w:color="auto" w:fill="auto"/>
            <w:noWrap/>
            <w:vAlign w:val="bottom"/>
            <w:hideMark/>
          </w:tcPr>
          <w:p w14:paraId="5FD7676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1.1305</w:t>
            </w:r>
          </w:p>
        </w:tc>
        <w:tc>
          <w:tcPr>
            <w:tcW w:w="860" w:type="dxa"/>
            <w:tcBorders>
              <w:top w:val="nil"/>
              <w:bottom w:val="nil"/>
              <w:right w:val="single" w:sz="4" w:space="0" w:color="auto"/>
            </w:tcBorders>
            <w:shd w:val="clear" w:color="auto" w:fill="auto"/>
            <w:noWrap/>
            <w:vAlign w:val="bottom"/>
            <w:hideMark/>
          </w:tcPr>
          <w:p w14:paraId="65A6BF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-0.270</w:t>
            </w:r>
          </w:p>
        </w:tc>
        <w:tc>
          <w:tcPr>
            <w:tcW w:w="967" w:type="dxa"/>
            <w:tcBorders>
              <w:top w:val="nil"/>
              <w:left w:val="single" w:sz="4" w:space="0" w:color="auto"/>
              <w:bottom w:val="nil"/>
              <w:right w:val="nil"/>
            </w:tcBorders>
            <w:shd w:val="clear" w:color="auto" w:fill="auto"/>
            <w:noWrap/>
            <w:vAlign w:val="bottom"/>
            <w:hideMark/>
          </w:tcPr>
          <w:p w14:paraId="491BA59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0.0800</w:t>
            </w:r>
          </w:p>
        </w:tc>
        <w:tc>
          <w:tcPr>
            <w:tcW w:w="860" w:type="dxa"/>
            <w:tcBorders>
              <w:top w:val="nil"/>
              <w:left w:val="nil"/>
              <w:bottom w:val="nil"/>
              <w:right w:val="nil"/>
            </w:tcBorders>
            <w:shd w:val="clear" w:color="auto" w:fill="auto"/>
            <w:noWrap/>
            <w:vAlign w:val="bottom"/>
            <w:hideMark/>
          </w:tcPr>
          <w:p w14:paraId="44ACEBB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-0.2071</w:t>
            </w:r>
          </w:p>
        </w:tc>
        <w:tc>
          <w:tcPr>
            <w:tcW w:w="860" w:type="dxa"/>
            <w:tcBorders>
              <w:top w:val="nil"/>
              <w:left w:val="nil"/>
              <w:bottom w:val="nil"/>
              <w:right w:val="nil"/>
            </w:tcBorders>
            <w:shd w:val="clear" w:color="auto" w:fill="auto"/>
            <w:noWrap/>
            <w:vAlign w:val="bottom"/>
            <w:hideMark/>
          </w:tcPr>
          <w:p w14:paraId="38DCE05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-0.2871</w:t>
            </w:r>
          </w:p>
        </w:tc>
        <w:tc>
          <w:tcPr>
            <w:tcW w:w="967" w:type="dxa"/>
            <w:tcBorders>
              <w:top w:val="nil"/>
              <w:left w:val="nil"/>
              <w:bottom w:val="nil"/>
              <w:right w:val="nil"/>
            </w:tcBorders>
            <w:shd w:val="clear" w:color="auto" w:fill="auto"/>
            <w:noWrap/>
            <w:vAlign w:val="bottom"/>
            <w:hideMark/>
          </w:tcPr>
          <w:p w14:paraId="0C966C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0.1226</w:t>
            </w:r>
          </w:p>
        </w:tc>
        <w:tc>
          <w:tcPr>
            <w:tcW w:w="860" w:type="dxa"/>
            <w:tcBorders>
              <w:top w:val="nil"/>
              <w:left w:val="nil"/>
              <w:bottom w:val="nil"/>
              <w:right w:val="nil"/>
            </w:tcBorders>
            <w:shd w:val="clear" w:color="auto" w:fill="auto"/>
            <w:noWrap/>
            <w:vAlign w:val="bottom"/>
            <w:hideMark/>
          </w:tcPr>
          <w:p w14:paraId="01D7D09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0.9416</w:t>
            </w:r>
          </w:p>
        </w:tc>
        <w:tc>
          <w:tcPr>
            <w:tcW w:w="860" w:type="dxa"/>
            <w:tcBorders>
              <w:top w:val="nil"/>
              <w:left w:val="nil"/>
              <w:bottom w:val="nil"/>
              <w:right w:val="single" w:sz="4" w:space="0" w:color="auto"/>
            </w:tcBorders>
            <w:shd w:val="clear" w:color="auto" w:fill="auto"/>
            <w:noWrap/>
            <w:vAlign w:val="bottom"/>
            <w:hideMark/>
          </w:tcPr>
          <w:p w14:paraId="4F6A9AA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0.0098</w:t>
            </w:r>
          </w:p>
        </w:tc>
        <w:tc>
          <w:tcPr>
            <w:tcW w:w="127" w:type="dxa"/>
            <w:tcBorders>
              <w:top w:val="nil"/>
              <w:left w:val="single" w:sz="4" w:space="0" w:color="auto"/>
              <w:bottom w:val="nil"/>
              <w:right w:val="nil"/>
            </w:tcBorders>
            <w:shd w:val="clear" w:color="auto" w:fill="auto"/>
            <w:noWrap/>
            <w:vAlign w:val="bottom"/>
            <w:hideMark/>
          </w:tcPr>
          <w:p w14:paraId="47BB07E7" w14:textId="77777777" w:rsidR="005A4EA3" w:rsidRPr="00B43597" w:rsidRDefault="005A4EA3" w:rsidP="005A4EA3">
            <w:pPr>
              <w:rPr>
                <w:rFonts w:eastAsia="Times New Roman" w:cs="Times New Roman"/>
                <w:color w:val="000000"/>
                <w:sz w:val="18"/>
                <w:szCs w:val="18"/>
              </w:rPr>
            </w:pPr>
          </w:p>
        </w:tc>
      </w:tr>
      <w:tr w:rsidR="005A4EA3" w:rsidRPr="008A78D0" w14:paraId="02FEF498"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768CEE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01.1.106</w:t>
            </w:r>
          </w:p>
        </w:tc>
        <w:tc>
          <w:tcPr>
            <w:tcW w:w="2074" w:type="dxa"/>
            <w:tcBorders>
              <w:top w:val="nil"/>
              <w:left w:val="single" w:sz="4" w:space="0" w:color="auto"/>
              <w:bottom w:val="nil"/>
              <w:right w:val="single" w:sz="4" w:space="0" w:color="auto"/>
            </w:tcBorders>
            <w:shd w:val="clear" w:color="auto" w:fill="auto"/>
            <w:noWrap/>
            <w:vAlign w:val="bottom"/>
            <w:hideMark/>
          </w:tcPr>
          <w:p w14:paraId="7AD5C04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Cakes,</w:t>
            </w:r>
            <w:r>
              <w:rPr>
                <w:rFonts w:eastAsia="Times New Roman" w:cs="Times New Roman"/>
                <w:color w:val="000000"/>
                <w:sz w:val="18"/>
                <w:szCs w:val="18"/>
              </w:rPr>
              <w:t xml:space="preserve"> </w:t>
            </w:r>
            <w:r w:rsidRPr="00B43597">
              <w:rPr>
                <w:rFonts w:eastAsia="Times New Roman" w:cs="Times New Roman"/>
                <w:color w:val="000000"/>
                <w:sz w:val="18"/>
                <w:szCs w:val="18"/>
              </w:rPr>
              <w:t>Pastry,</w:t>
            </w:r>
            <w:r>
              <w:rPr>
                <w:rFonts w:eastAsia="Times New Roman" w:cs="Times New Roman"/>
                <w:color w:val="000000"/>
                <w:sz w:val="18"/>
                <w:szCs w:val="18"/>
              </w:rPr>
              <w:t xml:space="preserve"> </w:t>
            </w:r>
            <w:r w:rsidRPr="00B43597">
              <w:rPr>
                <w:rFonts w:eastAsia="Times New Roman" w:cs="Times New Roman"/>
                <w:color w:val="000000"/>
                <w:sz w:val="18"/>
                <w:szCs w:val="18"/>
              </w:rPr>
              <w:t>etc.</w:t>
            </w:r>
          </w:p>
        </w:tc>
        <w:tc>
          <w:tcPr>
            <w:tcW w:w="1153" w:type="dxa"/>
            <w:tcBorders>
              <w:top w:val="nil"/>
              <w:left w:val="single" w:sz="4" w:space="0" w:color="auto"/>
              <w:bottom w:val="nil"/>
              <w:right w:val="nil"/>
            </w:tcBorders>
            <w:shd w:val="clear" w:color="auto" w:fill="auto"/>
            <w:noWrap/>
            <w:vAlign w:val="bottom"/>
            <w:hideMark/>
          </w:tcPr>
          <w:p w14:paraId="753ED1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0.375</w:t>
            </w:r>
          </w:p>
        </w:tc>
        <w:tc>
          <w:tcPr>
            <w:tcW w:w="1289" w:type="dxa"/>
            <w:tcBorders>
              <w:top w:val="nil"/>
              <w:left w:val="nil"/>
              <w:bottom w:val="nil"/>
              <w:right w:val="nil"/>
            </w:tcBorders>
            <w:shd w:val="clear" w:color="auto" w:fill="auto"/>
            <w:noWrap/>
            <w:vAlign w:val="bottom"/>
            <w:hideMark/>
          </w:tcPr>
          <w:p w14:paraId="05F0E2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1.034</w:t>
            </w:r>
          </w:p>
        </w:tc>
        <w:tc>
          <w:tcPr>
            <w:tcW w:w="967" w:type="dxa"/>
            <w:tcBorders>
              <w:top w:val="nil"/>
              <w:left w:val="nil"/>
              <w:bottom w:val="nil"/>
            </w:tcBorders>
            <w:shd w:val="clear" w:color="auto" w:fill="auto"/>
            <w:noWrap/>
            <w:vAlign w:val="bottom"/>
            <w:hideMark/>
          </w:tcPr>
          <w:p w14:paraId="0538916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1.3121</w:t>
            </w:r>
          </w:p>
        </w:tc>
        <w:tc>
          <w:tcPr>
            <w:tcW w:w="860" w:type="dxa"/>
            <w:tcBorders>
              <w:top w:val="nil"/>
              <w:bottom w:val="nil"/>
              <w:right w:val="single" w:sz="4" w:space="0" w:color="auto"/>
            </w:tcBorders>
            <w:shd w:val="clear" w:color="auto" w:fill="auto"/>
            <w:noWrap/>
            <w:vAlign w:val="bottom"/>
            <w:hideMark/>
          </w:tcPr>
          <w:p w14:paraId="662E331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0.659</w:t>
            </w:r>
          </w:p>
        </w:tc>
        <w:tc>
          <w:tcPr>
            <w:tcW w:w="967" w:type="dxa"/>
            <w:tcBorders>
              <w:top w:val="nil"/>
              <w:left w:val="single" w:sz="4" w:space="0" w:color="auto"/>
              <w:bottom w:val="nil"/>
              <w:right w:val="nil"/>
            </w:tcBorders>
            <w:shd w:val="clear" w:color="auto" w:fill="auto"/>
            <w:noWrap/>
            <w:vAlign w:val="bottom"/>
            <w:hideMark/>
          </w:tcPr>
          <w:p w14:paraId="156A04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-0.9796</w:t>
            </w:r>
          </w:p>
        </w:tc>
        <w:tc>
          <w:tcPr>
            <w:tcW w:w="860" w:type="dxa"/>
            <w:tcBorders>
              <w:top w:val="nil"/>
              <w:left w:val="nil"/>
              <w:bottom w:val="nil"/>
              <w:right w:val="nil"/>
            </w:tcBorders>
            <w:shd w:val="clear" w:color="auto" w:fill="auto"/>
            <w:noWrap/>
            <w:vAlign w:val="bottom"/>
            <w:hideMark/>
          </w:tcPr>
          <w:p w14:paraId="1F3D1B8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0.0338</w:t>
            </w:r>
          </w:p>
        </w:tc>
        <w:tc>
          <w:tcPr>
            <w:tcW w:w="860" w:type="dxa"/>
            <w:tcBorders>
              <w:top w:val="nil"/>
              <w:left w:val="nil"/>
              <w:bottom w:val="nil"/>
              <w:right w:val="nil"/>
            </w:tcBorders>
            <w:shd w:val="clear" w:color="auto" w:fill="auto"/>
            <w:noWrap/>
            <w:vAlign w:val="bottom"/>
            <w:hideMark/>
          </w:tcPr>
          <w:p w14:paraId="06557A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1.0133</w:t>
            </w:r>
          </w:p>
        </w:tc>
        <w:tc>
          <w:tcPr>
            <w:tcW w:w="967" w:type="dxa"/>
            <w:tcBorders>
              <w:top w:val="nil"/>
              <w:left w:val="nil"/>
              <w:bottom w:val="nil"/>
              <w:right w:val="nil"/>
            </w:tcBorders>
            <w:shd w:val="clear" w:color="auto" w:fill="auto"/>
            <w:noWrap/>
            <w:vAlign w:val="bottom"/>
            <w:hideMark/>
          </w:tcPr>
          <w:p w14:paraId="18505C5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0.2716</w:t>
            </w:r>
          </w:p>
        </w:tc>
        <w:tc>
          <w:tcPr>
            <w:tcW w:w="860" w:type="dxa"/>
            <w:tcBorders>
              <w:top w:val="nil"/>
              <w:left w:val="nil"/>
              <w:bottom w:val="nil"/>
              <w:right w:val="nil"/>
            </w:tcBorders>
            <w:shd w:val="clear" w:color="auto" w:fill="auto"/>
            <w:noWrap/>
            <w:vAlign w:val="bottom"/>
            <w:hideMark/>
          </w:tcPr>
          <w:p w14:paraId="5DF394D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0.6502</w:t>
            </w:r>
          </w:p>
        </w:tc>
        <w:tc>
          <w:tcPr>
            <w:tcW w:w="860" w:type="dxa"/>
            <w:tcBorders>
              <w:top w:val="nil"/>
              <w:left w:val="nil"/>
              <w:bottom w:val="nil"/>
              <w:right w:val="single" w:sz="4" w:space="0" w:color="auto"/>
            </w:tcBorders>
            <w:shd w:val="clear" w:color="auto" w:fill="auto"/>
            <w:noWrap/>
            <w:vAlign w:val="bottom"/>
            <w:hideMark/>
          </w:tcPr>
          <w:p w14:paraId="64A162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0.0068</w:t>
            </w:r>
          </w:p>
        </w:tc>
        <w:tc>
          <w:tcPr>
            <w:tcW w:w="127" w:type="dxa"/>
            <w:tcBorders>
              <w:top w:val="nil"/>
              <w:left w:val="single" w:sz="4" w:space="0" w:color="auto"/>
              <w:bottom w:val="nil"/>
              <w:right w:val="nil"/>
            </w:tcBorders>
            <w:shd w:val="clear" w:color="auto" w:fill="auto"/>
            <w:noWrap/>
            <w:vAlign w:val="bottom"/>
            <w:hideMark/>
          </w:tcPr>
          <w:p w14:paraId="1E461E23" w14:textId="77777777" w:rsidR="005A4EA3" w:rsidRPr="00B43597" w:rsidRDefault="005A4EA3" w:rsidP="005A4EA3">
            <w:pPr>
              <w:rPr>
                <w:rFonts w:eastAsia="Times New Roman" w:cs="Times New Roman"/>
                <w:color w:val="000000"/>
                <w:sz w:val="18"/>
                <w:szCs w:val="18"/>
              </w:rPr>
            </w:pPr>
          </w:p>
        </w:tc>
      </w:tr>
      <w:tr w:rsidR="005A4EA3" w:rsidRPr="008A78D0" w14:paraId="5D29E75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9FA107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01.1.107</w:t>
            </w:r>
          </w:p>
        </w:tc>
        <w:tc>
          <w:tcPr>
            <w:tcW w:w="2074" w:type="dxa"/>
            <w:tcBorders>
              <w:top w:val="nil"/>
              <w:left w:val="single" w:sz="4" w:space="0" w:color="auto"/>
              <w:bottom w:val="nil"/>
              <w:right w:val="single" w:sz="4" w:space="0" w:color="auto"/>
            </w:tcBorders>
            <w:shd w:val="clear" w:color="auto" w:fill="auto"/>
            <w:noWrap/>
            <w:vAlign w:val="bottom"/>
            <w:hideMark/>
          </w:tcPr>
          <w:p w14:paraId="59563CE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Chow Mein</w:t>
            </w:r>
          </w:p>
        </w:tc>
        <w:tc>
          <w:tcPr>
            <w:tcW w:w="1153" w:type="dxa"/>
            <w:tcBorders>
              <w:top w:val="nil"/>
              <w:left w:val="single" w:sz="4" w:space="0" w:color="auto"/>
              <w:bottom w:val="nil"/>
              <w:right w:val="nil"/>
            </w:tcBorders>
            <w:shd w:val="clear" w:color="auto" w:fill="auto"/>
            <w:noWrap/>
            <w:vAlign w:val="bottom"/>
            <w:hideMark/>
          </w:tcPr>
          <w:p w14:paraId="5C6B906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1.370</w:t>
            </w:r>
          </w:p>
        </w:tc>
        <w:tc>
          <w:tcPr>
            <w:tcW w:w="1289" w:type="dxa"/>
            <w:tcBorders>
              <w:top w:val="nil"/>
              <w:left w:val="nil"/>
              <w:bottom w:val="nil"/>
              <w:right w:val="nil"/>
            </w:tcBorders>
            <w:shd w:val="clear" w:color="auto" w:fill="auto"/>
            <w:noWrap/>
            <w:vAlign w:val="bottom"/>
            <w:hideMark/>
          </w:tcPr>
          <w:p w14:paraId="258F7AD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1.716</w:t>
            </w:r>
          </w:p>
        </w:tc>
        <w:tc>
          <w:tcPr>
            <w:tcW w:w="967" w:type="dxa"/>
            <w:tcBorders>
              <w:top w:val="nil"/>
              <w:left w:val="nil"/>
              <w:bottom w:val="nil"/>
            </w:tcBorders>
            <w:shd w:val="clear" w:color="auto" w:fill="auto"/>
            <w:noWrap/>
            <w:vAlign w:val="bottom"/>
            <w:hideMark/>
          </w:tcPr>
          <w:p w14:paraId="0C683F2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1.2513</w:t>
            </w:r>
          </w:p>
        </w:tc>
        <w:tc>
          <w:tcPr>
            <w:tcW w:w="860" w:type="dxa"/>
            <w:tcBorders>
              <w:top w:val="nil"/>
              <w:bottom w:val="nil"/>
              <w:right w:val="single" w:sz="4" w:space="0" w:color="auto"/>
            </w:tcBorders>
            <w:shd w:val="clear" w:color="auto" w:fill="auto"/>
            <w:noWrap/>
            <w:vAlign w:val="bottom"/>
            <w:hideMark/>
          </w:tcPr>
          <w:p w14:paraId="164BAC1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0.346</w:t>
            </w:r>
          </w:p>
        </w:tc>
        <w:tc>
          <w:tcPr>
            <w:tcW w:w="967" w:type="dxa"/>
            <w:tcBorders>
              <w:top w:val="nil"/>
              <w:left w:val="single" w:sz="4" w:space="0" w:color="auto"/>
              <w:bottom w:val="nil"/>
              <w:right w:val="nil"/>
            </w:tcBorders>
            <w:shd w:val="clear" w:color="auto" w:fill="auto"/>
            <w:noWrap/>
            <w:vAlign w:val="bottom"/>
            <w:hideMark/>
          </w:tcPr>
          <w:p w14:paraId="7015979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0.3148</w:t>
            </w:r>
          </w:p>
        </w:tc>
        <w:tc>
          <w:tcPr>
            <w:tcW w:w="860" w:type="dxa"/>
            <w:tcBorders>
              <w:top w:val="nil"/>
              <w:left w:val="nil"/>
              <w:bottom w:val="nil"/>
              <w:right w:val="nil"/>
            </w:tcBorders>
            <w:shd w:val="clear" w:color="auto" w:fill="auto"/>
            <w:noWrap/>
            <w:vAlign w:val="bottom"/>
            <w:hideMark/>
          </w:tcPr>
          <w:p w14:paraId="07646BC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0.5397</w:t>
            </w:r>
          </w:p>
        </w:tc>
        <w:tc>
          <w:tcPr>
            <w:tcW w:w="860" w:type="dxa"/>
            <w:tcBorders>
              <w:top w:val="nil"/>
              <w:left w:val="nil"/>
              <w:bottom w:val="nil"/>
              <w:right w:val="nil"/>
            </w:tcBorders>
            <w:shd w:val="clear" w:color="auto" w:fill="auto"/>
            <w:noWrap/>
            <w:vAlign w:val="bottom"/>
            <w:hideMark/>
          </w:tcPr>
          <w:p w14:paraId="3287332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0.2249</w:t>
            </w:r>
          </w:p>
        </w:tc>
        <w:tc>
          <w:tcPr>
            <w:tcW w:w="967" w:type="dxa"/>
            <w:tcBorders>
              <w:top w:val="nil"/>
              <w:left w:val="nil"/>
              <w:bottom w:val="nil"/>
              <w:right w:val="nil"/>
            </w:tcBorders>
            <w:shd w:val="clear" w:color="auto" w:fill="auto"/>
            <w:noWrap/>
            <w:vAlign w:val="bottom"/>
            <w:hideMark/>
          </w:tcPr>
          <w:p w14:paraId="07C2C0D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0.2242</w:t>
            </w:r>
          </w:p>
        </w:tc>
        <w:tc>
          <w:tcPr>
            <w:tcW w:w="860" w:type="dxa"/>
            <w:tcBorders>
              <w:top w:val="nil"/>
              <w:left w:val="nil"/>
              <w:bottom w:val="nil"/>
              <w:right w:val="nil"/>
            </w:tcBorders>
            <w:shd w:val="clear" w:color="auto" w:fill="auto"/>
            <w:noWrap/>
            <w:vAlign w:val="bottom"/>
            <w:hideMark/>
          </w:tcPr>
          <w:p w14:paraId="556D48E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1.5363</w:t>
            </w:r>
          </w:p>
        </w:tc>
        <w:tc>
          <w:tcPr>
            <w:tcW w:w="860" w:type="dxa"/>
            <w:tcBorders>
              <w:top w:val="nil"/>
              <w:left w:val="nil"/>
              <w:bottom w:val="nil"/>
              <w:right w:val="single" w:sz="4" w:space="0" w:color="auto"/>
            </w:tcBorders>
            <w:shd w:val="clear" w:color="auto" w:fill="auto"/>
            <w:noWrap/>
            <w:vAlign w:val="bottom"/>
            <w:hideMark/>
          </w:tcPr>
          <w:p w14:paraId="5C93B53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0.0160</w:t>
            </w:r>
          </w:p>
        </w:tc>
        <w:tc>
          <w:tcPr>
            <w:tcW w:w="127" w:type="dxa"/>
            <w:tcBorders>
              <w:top w:val="nil"/>
              <w:left w:val="single" w:sz="4" w:space="0" w:color="auto"/>
              <w:bottom w:val="nil"/>
              <w:right w:val="nil"/>
            </w:tcBorders>
            <w:shd w:val="clear" w:color="auto" w:fill="auto"/>
            <w:noWrap/>
            <w:vAlign w:val="bottom"/>
            <w:hideMark/>
          </w:tcPr>
          <w:p w14:paraId="299BE842" w14:textId="77777777" w:rsidR="005A4EA3" w:rsidRPr="00B43597" w:rsidRDefault="005A4EA3" w:rsidP="005A4EA3">
            <w:pPr>
              <w:rPr>
                <w:rFonts w:eastAsia="Times New Roman" w:cs="Times New Roman"/>
                <w:color w:val="000000"/>
                <w:sz w:val="18"/>
                <w:szCs w:val="18"/>
              </w:rPr>
            </w:pPr>
          </w:p>
        </w:tc>
      </w:tr>
      <w:tr w:rsidR="005A4EA3" w:rsidRPr="008A78D0" w14:paraId="5E70C81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B9C093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01.1.109</w:t>
            </w:r>
          </w:p>
        </w:tc>
        <w:tc>
          <w:tcPr>
            <w:tcW w:w="2074" w:type="dxa"/>
            <w:tcBorders>
              <w:top w:val="nil"/>
              <w:left w:val="single" w:sz="4" w:space="0" w:color="auto"/>
              <w:bottom w:val="nil"/>
              <w:right w:val="single" w:sz="4" w:space="0" w:color="auto"/>
            </w:tcBorders>
            <w:shd w:val="clear" w:color="auto" w:fill="auto"/>
            <w:noWrap/>
            <w:vAlign w:val="bottom"/>
            <w:hideMark/>
          </w:tcPr>
          <w:p w14:paraId="1C1B117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Macaroni</w:t>
            </w:r>
          </w:p>
        </w:tc>
        <w:tc>
          <w:tcPr>
            <w:tcW w:w="1153" w:type="dxa"/>
            <w:tcBorders>
              <w:top w:val="nil"/>
              <w:left w:val="single" w:sz="4" w:space="0" w:color="auto"/>
              <w:bottom w:val="nil"/>
              <w:right w:val="nil"/>
            </w:tcBorders>
            <w:shd w:val="clear" w:color="auto" w:fill="auto"/>
            <w:noWrap/>
            <w:vAlign w:val="bottom"/>
            <w:hideMark/>
          </w:tcPr>
          <w:p w14:paraId="557A1E2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0.426</w:t>
            </w:r>
          </w:p>
        </w:tc>
        <w:tc>
          <w:tcPr>
            <w:tcW w:w="1289" w:type="dxa"/>
            <w:tcBorders>
              <w:top w:val="nil"/>
              <w:left w:val="nil"/>
              <w:bottom w:val="nil"/>
              <w:right w:val="nil"/>
            </w:tcBorders>
            <w:shd w:val="clear" w:color="auto" w:fill="auto"/>
            <w:noWrap/>
            <w:vAlign w:val="bottom"/>
            <w:hideMark/>
          </w:tcPr>
          <w:p w14:paraId="48E3BE2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1.284</w:t>
            </w:r>
          </w:p>
        </w:tc>
        <w:tc>
          <w:tcPr>
            <w:tcW w:w="967" w:type="dxa"/>
            <w:tcBorders>
              <w:top w:val="nil"/>
              <w:left w:val="nil"/>
              <w:bottom w:val="nil"/>
            </w:tcBorders>
            <w:shd w:val="clear" w:color="auto" w:fill="auto"/>
            <w:noWrap/>
            <w:vAlign w:val="bottom"/>
            <w:hideMark/>
          </w:tcPr>
          <w:p w14:paraId="6402749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1.0585</w:t>
            </w:r>
          </w:p>
        </w:tc>
        <w:tc>
          <w:tcPr>
            <w:tcW w:w="860" w:type="dxa"/>
            <w:tcBorders>
              <w:top w:val="nil"/>
              <w:bottom w:val="nil"/>
              <w:right w:val="single" w:sz="4" w:space="0" w:color="auto"/>
            </w:tcBorders>
            <w:shd w:val="clear" w:color="auto" w:fill="auto"/>
            <w:noWrap/>
            <w:vAlign w:val="bottom"/>
            <w:hideMark/>
          </w:tcPr>
          <w:p w14:paraId="4D3EEAC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0.857</w:t>
            </w:r>
          </w:p>
        </w:tc>
        <w:tc>
          <w:tcPr>
            <w:tcW w:w="967" w:type="dxa"/>
            <w:tcBorders>
              <w:top w:val="nil"/>
              <w:left w:val="single" w:sz="4" w:space="0" w:color="auto"/>
              <w:bottom w:val="nil"/>
              <w:right w:val="nil"/>
            </w:tcBorders>
            <w:shd w:val="clear" w:color="auto" w:fill="auto"/>
            <w:noWrap/>
            <w:vAlign w:val="bottom"/>
            <w:hideMark/>
          </w:tcPr>
          <w:p w14:paraId="01C23AD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-0.8528</w:t>
            </w:r>
          </w:p>
        </w:tc>
        <w:tc>
          <w:tcPr>
            <w:tcW w:w="860" w:type="dxa"/>
            <w:tcBorders>
              <w:top w:val="nil"/>
              <w:left w:val="nil"/>
              <w:bottom w:val="nil"/>
              <w:right w:val="nil"/>
            </w:tcBorders>
            <w:shd w:val="clear" w:color="auto" w:fill="auto"/>
            <w:noWrap/>
            <w:vAlign w:val="bottom"/>
            <w:hideMark/>
          </w:tcPr>
          <w:p w14:paraId="13586D2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0.2496</w:t>
            </w:r>
          </w:p>
        </w:tc>
        <w:tc>
          <w:tcPr>
            <w:tcW w:w="860" w:type="dxa"/>
            <w:tcBorders>
              <w:top w:val="nil"/>
              <w:left w:val="nil"/>
              <w:bottom w:val="nil"/>
              <w:right w:val="nil"/>
            </w:tcBorders>
            <w:shd w:val="clear" w:color="auto" w:fill="auto"/>
            <w:noWrap/>
            <w:vAlign w:val="bottom"/>
            <w:hideMark/>
          </w:tcPr>
          <w:p w14:paraId="42602E3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1.1025</w:t>
            </w:r>
          </w:p>
        </w:tc>
        <w:tc>
          <w:tcPr>
            <w:tcW w:w="967" w:type="dxa"/>
            <w:tcBorders>
              <w:top w:val="nil"/>
              <w:left w:val="nil"/>
              <w:bottom w:val="nil"/>
              <w:right w:val="nil"/>
            </w:tcBorders>
            <w:shd w:val="clear" w:color="auto" w:fill="auto"/>
            <w:noWrap/>
            <w:vAlign w:val="bottom"/>
            <w:hideMark/>
          </w:tcPr>
          <w:p w14:paraId="7EDAA60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0.0568</w:t>
            </w:r>
          </w:p>
        </w:tc>
        <w:tc>
          <w:tcPr>
            <w:tcW w:w="860" w:type="dxa"/>
            <w:tcBorders>
              <w:top w:val="nil"/>
              <w:left w:val="nil"/>
              <w:bottom w:val="nil"/>
              <w:right w:val="nil"/>
            </w:tcBorders>
            <w:shd w:val="clear" w:color="auto" w:fill="auto"/>
            <w:noWrap/>
            <w:vAlign w:val="bottom"/>
            <w:hideMark/>
          </w:tcPr>
          <w:p w14:paraId="25218DB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0.7777</w:t>
            </w:r>
          </w:p>
        </w:tc>
        <w:tc>
          <w:tcPr>
            <w:tcW w:w="860" w:type="dxa"/>
            <w:tcBorders>
              <w:top w:val="nil"/>
              <w:left w:val="nil"/>
              <w:bottom w:val="nil"/>
              <w:right w:val="single" w:sz="4" w:space="0" w:color="auto"/>
            </w:tcBorders>
            <w:shd w:val="clear" w:color="auto" w:fill="auto"/>
            <w:noWrap/>
            <w:vAlign w:val="bottom"/>
            <w:hideMark/>
          </w:tcPr>
          <w:p w14:paraId="1346F13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0.0081</w:t>
            </w:r>
          </w:p>
        </w:tc>
        <w:tc>
          <w:tcPr>
            <w:tcW w:w="127" w:type="dxa"/>
            <w:tcBorders>
              <w:top w:val="nil"/>
              <w:left w:val="single" w:sz="4" w:space="0" w:color="auto"/>
              <w:bottom w:val="nil"/>
              <w:right w:val="nil"/>
            </w:tcBorders>
            <w:shd w:val="clear" w:color="auto" w:fill="auto"/>
            <w:noWrap/>
            <w:vAlign w:val="bottom"/>
            <w:hideMark/>
          </w:tcPr>
          <w:p w14:paraId="23A079E3" w14:textId="77777777" w:rsidR="005A4EA3" w:rsidRPr="00B43597" w:rsidRDefault="005A4EA3" w:rsidP="005A4EA3">
            <w:pPr>
              <w:rPr>
                <w:rFonts w:eastAsia="Times New Roman" w:cs="Times New Roman"/>
                <w:color w:val="000000"/>
                <w:sz w:val="18"/>
                <w:szCs w:val="18"/>
              </w:rPr>
            </w:pPr>
          </w:p>
        </w:tc>
      </w:tr>
      <w:tr w:rsidR="005A4EA3" w:rsidRPr="008A78D0" w14:paraId="2951866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7B7FC6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01.1.110</w:t>
            </w:r>
          </w:p>
        </w:tc>
        <w:tc>
          <w:tcPr>
            <w:tcW w:w="2074" w:type="dxa"/>
            <w:tcBorders>
              <w:top w:val="nil"/>
              <w:left w:val="single" w:sz="4" w:space="0" w:color="auto"/>
              <w:bottom w:val="nil"/>
              <w:right w:val="single" w:sz="4" w:space="0" w:color="auto"/>
            </w:tcBorders>
            <w:shd w:val="clear" w:color="auto" w:fill="auto"/>
            <w:noWrap/>
            <w:vAlign w:val="bottom"/>
            <w:hideMark/>
          </w:tcPr>
          <w:p w14:paraId="585AFF8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Oat flakes</w:t>
            </w:r>
          </w:p>
        </w:tc>
        <w:tc>
          <w:tcPr>
            <w:tcW w:w="1153" w:type="dxa"/>
            <w:tcBorders>
              <w:top w:val="nil"/>
              <w:left w:val="single" w:sz="4" w:space="0" w:color="auto"/>
              <w:bottom w:val="nil"/>
              <w:right w:val="nil"/>
            </w:tcBorders>
            <w:shd w:val="clear" w:color="auto" w:fill="auto"/>
            <w:noWrap/>
            <w:vAlign w:val="bottom"/>
            <w:hideMark/>
          </w:tcPr>
          <w:p w14:paraId="36094D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0.751</w:t>
            </w:r>
          </w:p>
        </w:tc>
        <w:tc>
          <w:tcPr>
            <w:tcW w:w="1289" w:type="dxa"/>
            <w:tcBorders>
              <w:top w:val="nil"/>
              <w:left w:val="nil"/>
              <w:bottom w:val="nil"/>
              <w:right w:val="nil"/>
            </w:tcBorders>
            <w:shd w:val="clear" w:color="auto" w:fill="auto"/>
            <w:noWrap/>
            <w:vAlign w:val="bottom"/>
            <w:hideMark/>
          </w:tcPr>
          <w:p w14:paraId="1DF702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0.450</w:t>
            </w:r>
          </w:p>
        </w:tc>
        <w:tc>
          <w:tcPr>
            <w:tcW w:w="967" w:type="dxa"/>
            <w:tcBorders>
              <w:top w:val="nil"/>
              <w:left w:val="nil"/>
              <w:bottom w:val="nil"/>
            </w:tcBorders>
            <w:shd w:val="clear" w:color="auto" w:fill="auto"/>
            <w:noWrap/>
            <w:vAlign w:val="bottom"/>
            <w:hideMark/>
          </w:tcPr>
          <w:p w14:paraId="2815A8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1.0056</w:t>
            </w:r>
          </w:p>
        </w:tc>
        <w:tc>
          <w:tcPr>
            <w:tcW w:w="860" w:type="dxa"/>
            <w:tcBorders>
              <w:top w:val="nil"/>
              <w:bottom w:val="nil"/>
              <w:right w:val="single" w:sz="4" w:space="0" w:color="auto"/>
            </w:tcBorders>
            <w:shd w:val="clear" w:color="auto" w:fill="auto"/>
            <w:noWrap/>
            <w:vAlign w:val="bottom"/>
            <w:hideMark/>
          </w:tcPr>
          <w:p w14:paraId="61E473B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-0.301</w:t>
            </w:r>
          </w:p>
        </w:tc>
        <w:tc>
          <w:tcPr>
            <w:tcW w:w="967" w:type="dxa"/>
            <w:tcBorders>
              <w:top w:val="nil"/>
              <w:left w:val="single" w:sz="4" w:space="0" w:color="auto"/>
              <w:bottom w:val="nil"/>
              <w:right w:val="nil"/>
            </w:tcBorders>
            <w:shd w:val="clear" w:color="auto" w:fill="auto"/>
            <w:noWrap/>
            <w:vAlign w:val="bottom"/>
            <w:hideMark/>
          </w:tcPr>
          <w:p w14:paraId="1437425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-0.2864</w:t>
            </w:r>
          </w:p>
        </w:tc>
        <w:tc>
          <w:tcPr>
            <w:tcW w:w="860" w:type="dxa"/>
            <w:tcBorders>
              <w:top w:val="nil"/>
              <w:left w:val="nil"/>
              <w:bottom w:val="nil"/>
              <w:right w:val="nil"/>
            </w:tcBorders>
            <w:shd w:val="clear" w:color="auto" w:fill="auto"/>
            <w:noWrap/>
            <w:vAlign w:val="bottom"/>
            <w:hideMark/>
          </w:tcPr>
          <w:p w14:paraId="26F8D2C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-0.7987</w:t>
            </w:r>
          </w:p>
        </w:tc>
        <w:tc>
          <w:tcPr>
            <w:tcW w:w="860" w:type="dxa"/>
            <w:tcBorders>
              <w:top w:val="nil"/>
              <w:left w:val="nil"/>
              <w:bottom w:val="nil"/>
              <w:right w:val="nil"/>
            </w:tcBorders>
            <w:shd w:val="clear" w:color="auto" w:fill="auto"/>
            <w:noWrap/>
            <w:vAlign w:val="bottom"/>
            <w:hideMark/>
          </w:tcPr>
          <w:p w14:paraId="32BC027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-0.5122</w:t>
            </w:r>
          </w:p>
        </w:tc>
        <w:tc>
          <w:tcPr>
            <w:tcW w:w="967" w:type="dxa"/>
            <w:tcBorders>
              <w:top w:val="nil"/>
              <w:left w:val="nil"/>
              <w:bottom w:val="nil"/>
              <w:right w:val="nil"/>
            </w:tcBorders>
            <w:shd w:val="clear" w:color="auto" w:fill="auto"/>
            <w:noWrap/>
            <w:vAlign w:val="bottom"/>
            <w:hideMark/>
          </w:tcPr>
          <w:p w14:paraId="71B6D8E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0.0055</w:t>
            </w:r>
          </w:p>
        </w:tc>
        <w:tc>
          <w:tcPr>
            <w:tcW w:w="860" w:type="dxa"/>
            <w:tcBorders>
              <w:top w:val="nil"/>
              <w:left w:val="nil"/>
              <w:bottom w:val="nil"/>
              <w:right w:val="nil"/>
            </w:tcBorders>
            <w:shd w:val="clear" w:color="auto" w:fill="auto"/>
            <w:noWrap/>
            <w:vAlign w:val="bottom"/>
            <w:hideMark/>
          </w:tcPr>
          <w:p w14:paraId="0EAC220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0.5876</w:t>
            </w:r>
          </w:p>
        </w:tc>
        <w:tc>
          <w:tcPr>
            <w:tcW w:w="860" w:type="dxa"/>
            <w:tcBorders>
              <w:top w:val="nil"/>
              <w:left w:val="nil"/>
              <w:bottom w:val="nil"/>
              <w:right w:val="single" w:sz="4" w:space="0" w:color="auto"/>
            </w:tcBorders>
            <w:shd w:val="clear" w:color="auto" w:fill="auto"/>
            <w:noWrap/>
            <w:vAlign w:val="bottom"/>
            <w:hideMark/>
          </w:tcPr>
          <w:p w14:paraId="7CA2808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0.0061</w:t>
            </w:r>
          </w:p>
        </w:tc>
        <w:tc>
          <w:tcPr>
            <w:tcW w:w="127" w:type="dxa"/>
            <w:tcBorders>
              <w:top w:val="nil"/>
              <w:left w:val="single" w:sz="4" w:space="0" w:color="auto"/>
              <w:bottom w:val="nil"/>
              <w:right w:val="nil"/>
            </w:tcBorders>
            <w:shd w:val="clear" w:color="auto" w:fill="auto"/>
            <w:noWrap/>
            <w:vAlign w:val="bottom"/>
            <w:hideMark/>
          </w:tcPr>
          <w:p w14:paraId="01295293" w14:textId="77777777" w:rsidR="005A4EA3" w:rsidRPr="00B43597" w:rsidRDefault="005A4EA3" w:rsidP="005A4EA3">
            <w:pPr>
              <w:rPr>
                <w:rFonts w:eastAsia="Times New Roman" w:cs="Times New Roman"/>
                <w:color w:val="000000"/>
                <w:sz w:val="18"/>
                <w:szCs w:val="18"/>
              </w:rPr>
            </w:pPr>
          </w:p>
        </w:tc>
      </w:tr>
      <w:tr w:rsidR="005A4EA3" w:rsidRPr="008A78D0" w14:paraId="54803A8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79CFAD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01.1.111</w:t>
            </w:r>
          </w:p>
        </w:tc>
        <w:tc>
          <w:tcPr>
            <w:tcW w:w="2074" w:type="dxa"/>
            <w:tcBorders>
              <w:top w:val="nil"/>
              <w:left w:val="single" w:sz="4" w:space="0" w:color="auto"/>
              <w:bottom w:val="nil"/>
              <w:right w:val="single" w:sz="4" w:space="0" w:color="auto"/>
            </w:tcBorders>
            <w:shd w:val="clear" w:color="auto" w:fill="auto"/>
            <w:noWrap/>
            <w:vAlign w:val="bottom"/>
            <w:hideMark/>
          </w:tcPr>
          <w:p w14:paraId="1C4F4FD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Sago</w:t>
            </w:r>
          </w:p>
        </w:tc>
        <w:tc>
          <w:tcPr>
            <w:tcW w:w="1153" w:type="dxa"/>
            <w:tcBorders>
              <w:top w:val="nil"/>
              <w:left w:val="single" w:sz="4" w:space="0" w:color="auto"/>
              <w:bottom w:val="nil"/>
              <w:right w:val="nil"/>
            </w:tcBorders>
            <w:shd w:val="clear" w:color="auto" w:fill="auto"/>
            <w:noWrap/>
            <w:vAlign w:val="bottom"/>
            <w:hideMark/>
          </w:tcPr>
          <w:p w14:paraId="29B71C3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0.535</w:t>
            </w:r>
          </w:p>
        </w:tc>
        <w:tc>
          <w:tcPr>
            <w:tcW w:w="1289" w:type="dxa"/>
            <w:tcBorders>
              <w:top w:val="nil"/>
              <w:left w:val="nil"/>
              <w:bottom w:val="nil"/>
              <w:right w:val="nil"/>
            </w:tcBorders>
            <w:shd w:val="clear" w:color="auto" w:fill="auto"/>
            <w:noWrap/>
            <w:vAlign w:val="bottom"/>
            <w:hideMark/>
          </w:tcPr>
          <w:p w14:paraId="70C312E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0.341</w:t>
            </w:r>
          </w:p>
        </w:tc>
        <w:tc>
          <w:tcPr>
            <w:tcW w:w="967" w:type="dxa"/>
            <w:tcBorders>
              <w:top w:val="nil"/>
              <w:left w:val="nil"/>
              <w:bottom w:val="nil"/>
            </w:tcBorders>
            <w:shd w:val="clear" w:color="auto" w:fill="auto"/>
            <w:noWrap/>
            <w:vAlign w:val="bottom"/>
            <w:hideMark/>
          </w:tcPr>
          <w:p w14:paraId="06B9BB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1.0347</w:t>
            </w:r>
          </w:p>
        </w:tc>
        <w:tc>
          <w:tcPr>
            <w:tcW w:w="860" w:type="dxa"/>
            <w:tcBorders>
              <w:top w:val="nil"/>
              <w:bottom w:val="nil"/>
              <w:right w:val="single" w:sz="4" w:space="0" w:color="auto"/>
            </w:tcBorders>
            <w:shd w:val="clear" w:color="auto" w:fill="auto"/>
            <w:noWrap/>
            <w:vAlign w:val="bottom"/>
            <w:hideMark/>
          </w:tcPr>
          <w:p w14:paraId="1E5B20B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-0.194</w:t>
            </w:r>
          </w:p>
        </w:tc>
        <w:tc>
          <w:tcPr>
            <w:tcW w:w="967" w:type="dxa"/>
            <w:tcBorders>
              <w:top w:val="nil"/>
              <w:left w:val="single" w:sz="4" w:space="0" w:color="auto"/>
              <w:bottom w:val="nil"/>
              <w:right w:val="nil"/>
            </w:tcBorders>
            <w:shd w:val="clear" w:color="auto" w:fill="auto"/>
            <w:noWrap/>
            <w:vAlign w:val="bottom"/>
            <w:hideMark/>
          </w:tcPr>
          <w:p w14:paraId="29024EE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-0.6249</w:t>
            </w:r>
          </w:p>
        </w:tc>
        <w:tc>
          <w:tcPr>
            <w:tcW w:w="860" w:type="dxa"/>
            <w:tcBorders>
              <w:top w:val="nil"/>
              <w:left w:val="nil"/>
              <w:bottom w:val="nil"/>
              <w:right w:val="nil"/>
            </w:tcBorders>
            <w:shd w:val="clear" w:color="auto" w:fill="auto"/>
            <w:noWrap/>
            <w:vAlign w:val="bottom"/>
            <w:hideMark/>
          </w:tcPr>
          <w:p w14:paraId="58994ED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-1.0761</w:t>
            </w:r>
          </w:p>
        </w:tc>
        <w:tc>
          <w:tcPr>
            <w:tcW w:w="860" w:type="dxa"/>
            <w:tcBorders>
              <w:top w:val="nil"/>
              <w:left w:val="nil"/>
              <w:bottom w:val="nil"/>
              <w:right w:val="nil"/>
            </w:tcBorders>
            <w:shd w:val="clear" w:color="auto" w:fill="auto"/>
            <w:noWrap/>
            <w:vAlign w:val="bottom"/>
            <w:hideMark/>
          </w:tcPr>
          <w:p w14:paraId="0C71F8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-0.4512</w:t>
            </w:r>
          </w:p>
        </w:tc>
        <w:tc>
          <w:tcPr>
            <w:tcW w:w="967" w:type="dxa"/>
            <w:tcBorders>
              <w:top w:val="nil"/>
              <w:left w:val="nil"/>
              <w:bottom w:val="nil"/>
              <w:right w:val="nil"/>
            </w:tcBorders>
            <w:shd w:val="clear" w:color="auto" w:fill="auto"/>
            <w:noWrap/>
            <w:vAlign w:val="bottom"/>
            <w:hideMark/>
          </w:tcPr>
          <w:p w14:paraId="0B4CA16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0.0341</w:t>
            </w:r>
          </w:p>
        </w:tc>
        <w:tc>
          <w:tcPr>
            <w:tcW w:w="860" w:type="dxa"/>
            <w:tcBorders>
              <w:top w:val="nil"/>
              <w:left w:val="nil"/>
              <w:bottom w:val="nil"/>
              <w:right w:val="nil"/>
            </w:tcBorders>
            <w:shd w:val="clear" w:color="auto" w:fill="auto"/>
            <w:noWrap/>
            <w:vAlign w:val="bottom"/>
            <w:hideMark/>
          </w:tcPr>
          <w:p w14:paraId="15D918E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0.4308</w:t>
            </w:r>
          </w:p>
        </w:tc>
        <w:tc>
          <w:tcPr>
            <w:tcW w:w="860" w:type="dxa"/>
            <w:tcBorders>
              <w:top w:val="nil"/>
              <w:left w:val="nil"/>
              <w:bottom w:val="nil"/>
              <w:right w:val="single" w:sz="4" w:space="0" w:color="auto"/>
            </w:tcBorders>
            <w:shd w:val="clear" w:color="auto" w:fill="auto"/>
            <w:noWrap/>
            <w:vAlign w:val="bottom"/>
            <w:hideMark/>
          </w:tcPr>
          <w:p w14:paraId="449D350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0.0045</w:t>
            </w:r>
          </w:p>
        </w:tc>
        <w:tc>
          <w:tcPr>
            <w:tcW w:w="127" w:type="dxa"/>
            <w:tcBorders>
              <w:top w:val="nil"/>
              <w:left w:val="single" w:sz="4" w:space="0" w:color="auto"/>
              <w:bottom w:val="nil"/>
              <w:right w:val="nil"/>
            </w:tcBorders>
            <w:shd w:val="clear" w:color="auto" w:fill="auto"/>
            <w:noWrap/>
            <w:vAlign w:val="bottom"/>
            <w:hideMark/>
          </w:tcPr>
          <w:p w14:paraId="5E072E18" w14:textId="77777777" w:rsidR="005A4EA3" w:rsidRPr="00B43597" w:rsidRDefault="005A4EA3" w:rsidP="005A4EA3">
            <w:pPr>
              <w:rPr>
                <w:rFonts w:eastAsia="Times New Roman" w:cs="Times New Roman"/>
                <w:color w:val="000000"/>
                <w:sz w:val="18"/>
                <w:szCs w:val="18"/>
              </w:rPr>
            </w:pPr>
          </w:p>
        </w:tc>
      </w:tr>
      <w:tr w:rsidR="005A4EA3" w:rsidRPr="008A78D0" w14:paraId="236AD2E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52A89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01.1.112</w:t>
            </w:r>
          </w:p>
        </w:tc>
        <w:tc>
          <w:tcPr>
            <w:tcW w:w="2074" w:type="dxa"/>
            <w:tcBorders>
              <w:top w:val="nil"/>
              <w:left w:val="single" w:sz="4" w:space="0" w:color="auto"/>
              <w:bottom w:val="nil"/>
              <w:right w:val="single" w:sz="4" w:space="0" w:color="auto"/>
            </w:tcBorders>
            <w:shd w:val="clear" w:color="auto" w:fill="auto"/>
            <w:noWrap/>
            <w:vAlign w:val="bottom"/>
            <w:hideMark/>
          </w:tcPr>
          <w:p w14:paraId="3C1A3DE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Tennis Rolls</w:t>
            </w:r>
          </w:p>
        </w:tc>
        <w:tc>
          <w:tcPr>
            <w:tcW w:w="1153" w:type="dxa"/>
            <w:tcBorders>
              <w:top w:val="nil"/>
              <w:left w:val="single" w:sz="4" w:space="0" w:color="auto"/>
              <w:bottom w:val="nil"/>
              <w:right w:val="nil"/>
            </w:tcBorders>
            <w:shd w:val="clear" w:color="auto" w:fill="auto"/>
            <w:noWrap/>
            <w:vAlign w:val="bottom"/>
            <w:hideMark/>
          </w:tcPr>
          <w:p w14:paraId="55C5EF0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0.589</w:t>
            </w:r>
          </w:p>
        </w:tc>
        <w:tc>
          <w:tcPr>
            <w:tcW w:w="1289" w:type="dxa"/>
            <w:tcBorders>
              <w:top w:val="nil"/>
              <w:left w:val="nil"/>
              <w:bottom w:val="nil"/>
              <w:right w:val="nil"/>
            </w:tcBorders>
            <w:shd w:val="clear" w:color="auto" w:fill="auto"/>
            <w:noWrap/>
            <w:vAlign w:val="bottom"/>
            <w:hideMark/>
          </w:tcPr>
          <w:p w14:paraId="2570DD0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1.392</w:t>
            </w:r>
          </w:p>
        </w:tc>
        <w:tc>
          <w:tcPr>
            <w:tcW w:w="967" w:type="dxa"/>
            <w:tcBorders>
              <w:top w:val="nil"/>
              <w:left w:val="nil"/>
              <w:bottom w:val="nil"/>
            </w:tcBorders>
            <w:shd w:val="clear" w:color="auto" w:fill="auto"/>
            <w:noWrap/>
            <w:vAlign w:val="bottom"/>
            <w:hideMark/>
          </w:tcPr>
          <w:p w14:paraId="75DB3EE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1.2598</w:t>
            </w:r>
          </w:p>
        </w:tc>
        <w:tc>
          <w:tcPr>
            <w:tcW w:w="860" w:type="dxa"/>
            <w:tcBorders>
              <w:top w:val="nil"/>
              <w:bottom w:val="nil"/>
              <w:right w:val="single" w:sz="4" w:space="0" w:color="auto"/>
            </w:tcBorders>
            <w:shd w:val="clear" w:color="auto" w:fill="auto"/>
            <w:noWrap/>
            <w:vAlign w:val="bottom"/>
            <w:hideMark/>
          </w:tcPr>
          <w:p w14:paraId="770A53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0.803</w:t>
            </w:r>
          </w:p>
        </w:tc>
        <w:tc>
          <w:tcPr>
            <w:tcW w:w="967" w:type="dxa"/>
            <w:tcBorders>
              <w:top w:val="nil"/>
              <w:left w:val="single" w:sz="4" w:space="0" w:color="auto"/>
              <w:bottom w:val="nil"/>
              <w:right w:val="nil"/>
            </w:tcBorders>
            <w:shd w:val="clear" w:color="auto" w:fill="auto"/>
            <w:noWrap/>
            <w:vAlign w:val="bottom"/>
            <w:hideMark/>
          </w:tcPr>
          <w:p w14:paraId="6229BF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-0.5300</w:t>
            </w:r>
          </w:p>
        </w:tc>
        <w:tc>
          <w:tcPr>
            <w:tcW w:w="860" w:type="dxa"/>
            <w:tcBorders>
              <w:top w:val="nil"/>
              <w:left w:val="nil"/>
              <w:bottom w:val="nil"/>
              <w:right w:val="nil"/>
            </w:tcBorders>
            <w:shd w:val="clear" w:color="auto" w:fill="auto"/>
            <w:noWrap/>
            <w:vAlign w:val="bottom"/>
            <w:hideMark/>
          </w:tcPr>
          <w:p w14:paraId="76AE3DC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0.3307</w:t>
            </w:r>
          </w:p>
        </w:tc>
        <w:tc>
          <w:tcPr>
            <w:tcW w:w="860" w:type="dxa"/>
            <w:tcBorders>
              <w:top w:val="nil"/>
              <w:left w:val="nil"/>
              <w:bottom w:val="nil"/>
              <w:right w:val="nil"/>
            </w:tcBorders>
            <w:shd w:val="clear" w:color="auto" w:fill="auto"/>
            <w:noWrap/>
            <w:vAlign w:val="bottom"/>
            <w:hideMark/>
          </w:tcPr>
          <w:p w14:paraId="1585065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0.8607</w:t>
            </w:r>
          </w:p>
        </w:tc>
        <w:tc>
          <w:tcPr>
            <w:tcW w:w="967" w:type="dxa"/>
            <w:tcBorders>
              <w:top w:val="nil"/>
              <w:left w:val="nil"/>
              <w:bottom w:val="nil"/>
              <w:right w:val="nil"/>
            </w:tcBorders>
            <w:shd w:val="clear" w:color="auto" w:fill="auto"/>
            <w:noWrap/>
            <w:vAlign w:val="bottom"/>
            <w:hideMark/>
          </w:tcPr>
          <w:p w14:paraId="2B51D60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0.2310</w:t>
            </w:r>
          </w:p>
        </w:tc>
        <w:tc>
          <w:tcPr>
            <w:tcW w:w="860" w:type="dxa"/>
            <w:tcBorders>
              <w:top w:val="nil"/>
              <w:left w:val="nil"/>
              <w:bottom w:val="nil"/>
              <w:right w:val="nil"/>
            </w:tcBorders>
            <w:shd w:val="clear" w:color="auto" w:fill="auto"/>
            <w:noWrap/>
            <w:vAlign w:val="bottom"/>
            <w:hideMark/>
          </w:tcPr>
          <w:p w14:paraId="7D8DC0B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0.9333</w:t>
            </w:r>
          </w:p>
        </w:tc>
        <w:tc>
          <w:tcPr>
            <w:tcW w:w="860" w:type="dxa"/>
            <w:tcBorders>
              <w:top w:val="nil"/>
              <w:left w:val="nil"/>
              <w:bottom w:val="nil"/>
              <w:right w:val="single" w:sz="4" w:space="0" w:color="auto"/>
            </w:tcBorders>
            <w:shd w:val="clear" w:color="auto" w:fill="auto"/>
            <w:noWrap/>
            <w:vAlign w:val="bottom"/>
            <w:hideMark/>
          </w:tcPr>
          <w:p w14:paraId="4227CA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0.0097</w:t>
            </w:r>
          </w:p>
        </w:tc>
        <w:tc>
          <w:tcPr>
            <w:tcW w:w="127" w:type="dxa"/>
            <w:tcBorders>
              <w:top w:val="nil"/>
              <w:left w:val="single" w:sz="4" w:space="0" w:color="auto"/>
              <w:bottom w:val="nil"/>
              <w:right w:val="nil"/>
            </w:tcBorders>
            <w:shd w:val="clear" w:color="auto" w:fill="auto"/>
            <w:noWrap/>
            <w:vAlign w:val="bottom"/>
            <w:hideMark/>
          </w:tcPr>
          <w:p w14:paraId="0B8FB6F7" w14:textId="77777777" w:rsidR="005A4EA3" w:rsidRPr="00B43597" w:rsidRDefault="005A4EA3" w:rsidP="005A4EA3">
            <w:pPr>
              <w:rPr>
                <w:rFonts w:eastAsia="Times New Roman" w:cs="Times New Roman"/>
                <w:color w:val="000000"/>
                <w:sz w:val="18"/>
                <w:szCs w:val="18"/>
              </w:rPr>
            </w:pPr>
          </w:p>
        </w:tc>
      </w:tr>
      <w:tr w:rsidR="005A4EA3" w:rsidRPr="008A78D0" w14:paraId="246E8864"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42907E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01.1.113</w:t>
            </w:r>
          </w:p>
        </w:tc>
        <w:tc>
          <w:tcPr>
            <w:tcW w:w="2074" w:type="dxa"/>
            <w:tcBorders>
              <w:top w:val="nil"/>
              <w:left w:val="single" w:sz="4" w:space="0" w:color="auto"/>
              <w:bottom w:val="nil"/>
              <w:right w:val="single" w:sz="4" w:space="0" w:color="auto"/>
            </w:tcBorders>
            <w:shd w:val="clear" w:color="auto" w:fill="auto"/>
            <w:noWrap/>
            <w:vAlign w:val="bottom"/>
            <w:hideMark/>
          </w:tcPr>
          <w:p w14:paraId="452241E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Whole Wheat Bread*</w:t>
            </w:r>
          </w:p>
        </w:tc>
        <w:tc>
          <w:tcPr>
            <w:tcW w:w="1153" w:type="dxa"/>
            <w:tcBorders>
              <w:top w:val="nil"/>
              <w:left w:val="single" w:sz="4" w:space="0" w:color="auto"/>
              <w:bottom w:val="nil"/>
              <w:right w:val="nil"/>
            </w:tcBorders>
            <w:shd w:val="clear" w:color="auto" w:fill="auto"/>
            <w:noWrap/>
            <w:vAlign w:val="bottom"/>
            <w:hideMark/>
          </w:tcPr>
          <w:p w14:paraId="4E46175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0.622</w:t>
            </w:r>
          </w:p>
        </w:tc>
        <w:tc>
          <w:tcPr>
            <w:tcW w:w="1289" w:type="dxa"/>
            <w:tcBorders>
              <w:top w:val="nil"/>
              <w:left w:val="nil"/>
              <w:bottom w:val="nil"/>
              <w:right w:val="nil"/>
            </w:tcBorders>
            <w:shd w:val="clear" w:color="auto" w:fill="auto"/>
            <w:noWrap/>
            <w:vAlign w:val="bottom"/>
            <w:hideMark/>
          </w:tcPr>
          <w:p w14:paraId="71FA9D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0.180</w:t>
            </w:r>
          </w:p>
        </w:tc>
        <w:tc>
          <w:tcPr>
            <w:tcW w:w="967" w:type="dxa"/>
            <w:tcBorders>
              <w:top w:val="nil"/>
              <w:left w:val="nil"/>
              <w:bottom w:val="nil"/>
            </w:tcBorders>
            <w:shd w:val="clear" w:color="auto" w:fill="auto"/>
            <w:noWrap/>
            <w:vAlign w:val="bottom"/>
            <w:hideMark/>
          </w:tcPr>
          <w:p w14:paraId="367A28F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1.2718</w:t>
            </w:r>
          </w:p>
        </w:tc>
        <w:tc>
          <w:tcPr>
            <w:tcW w:w="860" w:type="dxa"/>
            <w:tcBorders>
              <w:top w:val="nil"/>
              <w:bottom w:val="nil"/>
              <w:right w:val="single" w:sz="4" w:space="0" w:color="auto"/>
            </w:tcBorders>
            <w:shd w:val="clear" w:color="auto" w:fill="auto"/>
            <w:noWrap/>
            <w:vAlign w:val="bottom"/>
            <w:hideMark/>
          </w:tcPr>
          <w:p w14:paraId="0782A5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-0.442</w:t>
            </w:r>
          </w:p>
        </w:tc>
        <w:tc>
          <w:tcPr>
            <w:tcW w:w="967" w:type="dxa"/>
            <w:tcBorders>
              <w:top w:val="nil"/>
              <w:left w:val="single" w:sz="4" w:space="0" w:color="auto"/>
              <w:bottom w:val="nil"/>
              <w:right w:val="nil"/>
            </w:tcBorders>
            <w:shd w:val="clear" w:color="auto" w:fill="auto"/>
            <w:noWrap/>
            <w:vAlign w:val="bottom"/>
            <w:hideMark/>
          </w:tcPr>
          <w:p w14:paraId="3A1BF50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-0.4755</w:t>
            </w:r>
          </w:p>
        </w:tc>
        <w:tc>
          <w:tcPr>
            <w:tcW w:w="860" w:type="dxa"/>
            <w:tcBorders>
              <w:top w:val="nil"/>
              <w:left w:val="nil"/>
              <w:bottom w:val="nil"/>
              <w:right w:val="nil"/>
            </w:tcBorders>
            <w:shd w:val="clear" w:color="auto" w:fill="auto"/>
            <w:noWrap/>
            <w:vAlign w:val="bottom"/>
            <w:hideMark/>
          </w:tcPr>
          <w:p w14:paraId="5D9328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-1.7150</w:t>
            </w:r>
          </w:p>
        </w:tc>
        <w:tc>
          <w:tcPr>
            <w:tcW w:w="860" w:type="dxa"/>
            <w:tcBorders>
              <w:top w:val="nil"/>
              <w:left w:val="nil"/>
              <w:bottom w:val="nil"/>
              <w:right w:val="nil"/>
            </w:tcBorders>
            <w:shd w:val="clear" w:color="auto" w:fill="auto"/>
            <w:noWrap/>
            <w:vAlign w:val="bottom"/>
            <w:hideMark/>
          </w:tcPr>
          <w:p w14:paraId="7195750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-1.2394</w:t>
            </w:r>
          </w:p>
        </w:tc>
        <w:tc>
          <w:tcPr>
            <w:tcW w:w="967" w:type="dxa"/>
            <w:tcBorders>
              <w:top w:val="nil"/>
              <w:left w:val="nil"/>
              <w:bottom w:val="nil"/>
              <w:right w:val="nil"/>
            </w:tcBorders>
            <w:shd w:val="clear" w:color="auto" w:fill="auto"/>
            <w:noWrap/>
            <w:vAlign w:val="bottom"/>
            <w:hideMark/>
          </w:tcPr>
          <w:p w14:paraId="0DB71CC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0.2405</w:t>
            </w:r>
          </w:p>
        </w:tc>
        <w:tc>
          <w:tcPr>
            <w:tcW w:w="860" w:type="dxa"/>
            <w:tcBorders>
              <w:top w:val="nil"/>
              <w:left w:val="nil"/>
              <w:bottom w:val="nil"/>
              <w:right w:val="nil"/>
            </w:tcBorders>
            <w:shd w:val="clear" w:color="auto" w:fill="auto"/>
            <w:noWrap/>
            <w:vAlign w:val="bottom"/>
            <w:hideMark/>
          </w:tcPr>
          <w:p w14:paraId="44D6ED2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0.3563</w:t>
            </w:r>
          </w:p>
        </w:tc>
        <w:tc>
          <w:tcPr>
            <w:tcW w:w="860" w:type="dxa"/>
            <w:tcBorders>
              <w:top w:val="nil"/>
              <w:left w:val="nil"/>
              <w:bottom w:val="nil"/>
              <w:right w:val="single" w:sz="4" w:space="0" w:color="auto"/>
            </w:tcBorders>
            <w:shd w:val="clear" w:color="auto" w:fill="auto"/>
            <w:noWrap/>
            <w:vAlign w:val="bottom"/>
            <w:hideMark/>
          </w:tcPr>
          <w:p w14:paraId="0454F79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0.0037</w:t>
            </w:r>
          </w:p>
        </w:tc>
        <w:tc>
          <w:tcPr>
            <w:tcW w:w="127" w:type="dxa"/>
            <w:tcBorders>
              <w:top w:val="nil"/>
              <w:left w:val="single" w:sz="4" w:space="0" w:color="auto"/>
              <w:bottom w:val="nil"/>
              <w:right w:val="nil"/>
            </w:tcBorders>
            <w:shd w:val="clear" w:color="auto" w:fill="auto"/>
            <w:noWrap/>
            <w:vAlign w:val="bottom"/>
            <w:hideMark/>
          </w:tcPr>
          <w:p w14:paraId="4AAB3073" w14:textId="77777777" w:rsidR="005A4EA3" w:rsidRPr="00B43597" w:rsidRDefault="005A4EA3" w:rsidP="005A4EA3">
            <w:pPr>
              <w:rPr>
                <w:rFonts w:eastAsia="Times New Roman" w:cs="Times New Roman"/>
                <w:color w:val="000000"/>
                <w:sz w:val="18"/>
                <w:szCs w:val="18"/>
              </w:rPr>
            </w:pPr>
          </w:p>
        </w:tc>
      </w:tr>
      <w:tr w:rsidR="005A4EA3" w:rsidRPr="008A78D0" w14:paraId="7EDC9CC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F732B4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01.1.201</w:t>
            </w:r>
          </w:p>
        </w:tc>
        <w:tc>
          <w:tcPr>
            <w:tcW w:w="2074" w:type="dxa"/>
            <w:tcBorders>
              <w:top w:val="nil"/>
              <w:left w:val="single" w:sz="4" w:space="0" w:color="auto"/>
              <w:bottom w:val="nil"/>
              <w:right w:val="single" w:sz="4" w:space="0" w:color="auto"/>
            </w:tcBorders>
            <w:shd w:val="clear" w:color="auto" w:fill="auto"/>
            <w:noWrap/>
            <w:vAlign w:val="bottom"/>
            <w:hideMark/>
          </w:tcPr>
          <w:p w14:paraId="405069E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Stew Beef</w:t>
            </w:r>
          </w:p>
        </w:tc>
        <w:tc>
          <w:tcPr>
            <w:tcW w:w="1153" w:type="dxa"/>
            <w:tcBorders>
              <w:top w:val="nil"/>
              <w:left w:val="single" w:sz="4" w:space="0" w:color="auto"/>
              <w:bottom w:val="nil"/>
              <w:right w:val="nil"/>
            </w:tcBorders>
            <w:shd w:val="clear" w:color="auto" w:fill="auto"/>
            <w:noWrap/>
            <w:vAlign w:val="bottom"/>
            <w:hideMark/>
          </w:tcPr>
          <w:p w14:paraId="67FADF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4.499</w:t>
            </w:r>
          </w:p>
        </w:tc>
        <w:tc>
          <w:tcPr>
            <w:tcW w:w="1289" w:type="dxa"/>
            <w:tcBorders>
              <w:top w:val="nil"/>
              <w:left w:val="nil"/>
              <w:bottom w:val="nil"/>
              <w:right w:val="nil"/>
            </w:tcBorders>
            <w:shd w:val="clear" w:color="auto" w:fill="auto"/>
            <w:noWrap/>
            <w:vAlign w:val="bottom"/>
            <w:hideMark/>
          </w:tcPr>
          <w:p w14:paraId="1E51175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1.940</w:t>
            </w:r>
          </w:p>
        </w:tc>
        <w:tc>
          <w:tcPr>
            <w:tcW w:w="967" w:type="dxa"/>
            <w:tcBorders>
              <w:top w:val="nil"/>
              <w:left w:val="nil"/>
              <w:bottom w:val="nil"/>
            </w:tcBorders>
            <w:shd w:val="clear" w:color="auto" w:fill="auto"/>
            <w:noWrap/>
            <w:vAlign w:val="bottom"/>
            <w:hideMark/>
          </w:tcPr>
          <w:p w14:paraId="27F95BD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1.1052</w:t>
            </w:r>
          </w:p>
        </w:tc>
        <w:tc>
          <w:tcPr>
            <w:tcW w:w="860" w:type="dxa"/>
            <w:tcBorders>
              <w:top w:val="nil"/>
              <w:bottom w:val="nil"/>
              <w:right w:val="single" w:sz="4" w:space="0" w:color="auto"/>
            </w:tcBorders>
            <w:shd w:val="clear" w:color="auto" w:fill="auto"/>
            <w:noWrap/>
            <w:vAlign w:val="bottom"/>
            <w:hideMark/>
          </w:tcPr>
          <w:p w14:paraId="24443A6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-2.559</w:t>
            </w:r>
          </w:p>
        </w:tc>
        <w:tc>
          <w:tcPr>
            <w:tcW w:w="967" w:type="dxa"/>
            <w:tcBorders>
              <w:top w:val="nil"/>
              <w:left w:val="single" w:sz="4" w:space="0" w:color="auto"/>
              <w:bottom w:val="nil"/>
              <w:right w:val="nil"/>
            </w:tcBorders>
            <w:shd w:val="clear" w:color="auto" w:fill="auto"/>
            <w:noWrap/>
            <w:vAlign w:val="bottom"/>
            <w:hideMark/>
          </w:tcPr>
          <w:p w14:paraId="6880E38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1.5039</w:t>
            </w:r>
          </w:p>
        </w:tc>
        <w:tc>
          <w:tcPr>
            <w:tcW w:w="860" w:type="dxa"/>
            <w:tcBorders>
              <w:top w:val="nil"/>
              <w:left w:val="nil"/>
              <w:bottom w:val="nil"/>
              <w:right w:val="nil"/>
            </w:tcBorders>
            <w:shd w:val="clear" w:color="auto" w:fill="auto"/>
            <w:noWrap/>
            <w:vAlign w:val="bottom"/>
            <w:hideMark/>
          </w:tcPr>
          <w:p w14:paraId="33A553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0.6628</w:t>
            </w:r>
          </w:p>
        </w:tc>
        <w:tc>
          <w:tcPr>
            <w:tcW w:w="860" w:type="dxa"/>
            <w:tcBorders>
              <w:top w:val="nil"/>
              <w:left w:val="nil"/>
              <w:bottom w:val="nil"/>
              <w:right w:val="nil"/>
            </w:tcBorders>
            <w:shd w:val="clear" w:color="auto" w:fill="auto"/>
            <w:noWrap/>
            <w:vAlign w:val="bottom"/>
            <w:hideMark/>
          </w:tcPr>
          <w:p w14:paraId="6879F06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-0.8411</w:t>
            </w:r>
          </w:p>
        </w:tc>
        <w:tc>
          <w:tcPr>
            <w:tcW w:w="967" w:type="dxa"/>
            <w:tcBorders>
              <w:top w:val="nil"/>
              <w:left w:val="nil"/>
              <w:bottom w:val="nil"/>
              <w:right w:val="nil"/>
            </w:tcBorders>
            <w:shd w:val="clear" w:color="auto" w:fill="auto"/>
            <w:noWrap/>
            <w:vAlign w:val="bottom"/>
            <w:hideMark/>
          </w:tcPr>
          <w:p w14:paraId="2908EFD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0.1000</w:t>
            </w:r>
          </w:p>
        </w:tc>
        <w:tc>
          <w:tcPr>
            <w:tcW w:w="860" w:type="dxa"/>
            <w:tcBorders>
              <w:top w:val="nil"/>
              <w:left w:val="nil"/>
              <w:bottom w:val="nil"/>
              <w:right w:val="nil"/>
            </w:tcBorders>
            <w:shd w:val="clear" w:color="auto" w:fill="auto"/>
            <w:noWrap/>
            <w:vAlign w:val="bottom"/>
            <w:hideMark/>
          </w:tcPr>
          <w:p w14:paraId="56E6FDE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3.0425</w:t>
            </w:r>
          </w:p>
        </w:tc>
        <w:tc>
          <w:tcPr>
            <w:tcW w:w="860" w:type="dxa"/>
            <w:tcBorders>
              <w:top w:val="nil"/>
              <w:left w:val="nil"/>
              <w:bottom w:val="nil"/>
              <w:right w:val="single" w:sz="4" w:space="0" w:color="auto"/>
            </w:tcBorders>
            <w:shd w:val="clear" w:color="auto" w:fill="auto"/>
            <w:noWrap/>
            <w:vAlign w:val="bottom"/>
            <w:hideMark/>
          </w:tcPr>
          <w:p w14:paraId="76A8449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0.0317</w:t>
            </w:r>
          </w:p>
        </w:tc>
        <w:tc>
          <w:tcPr>
            <w:tcW w:w="127" w:type="dxa"/>
            <w:tcBorders>
              <w:top w:val="nil"/>
              <w:left w:val="single" w:sz="4" w:space="0" w:color="auto"/>
              <w:bottom w:val="nil"/>
              <w:right w:val="nil"/>
            </w:tcBorders>
            <w:shd w:val="clear" w:color="auto" w:fill="auto"/>
            <w:noWrap/>
            <w:vAlign w:val="bottom"/>
            <w:hideMark/>
          </w:tcPr>
          <w:p w14:paraId="305D1ADF" w14:textId="77777777" w:rsidR="005A4EA3" w:rsidRPr="00B43597" w:rsidRDefault="005A4EA3" w:rsidP="005A4EA3">
            <w:pPr>
              <w:rPr>
                <w:rFonts w:eastAsia="Times New Roman" w:cs="Times New Roman"/>
                <w:color w:val="000000"/>
                <w:sz w:val="18"/>
                <w:szCs w:val="18"/>
              </w:rPr>
            </w:pPr>
          </w:p>
        </w:tc>
      </w:tr>
      <w:tr w:rsidR="005A4EA3" w:rsidRPr="008A78D0" w14:paraId="2EB2540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07747D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01.1.205</w:t>
            </w:r>
          </w:p>
        </w:tc>
        <w:tc>
          <w:tcPr>
            <w:tcW w:w="2074" w:type="dxa"/>
            <w:tcBorders>
              <w:top w:val="nil"/>
              <w:left w:val="single" w:sz="4" w:space="0" w:color="auto"/>
              <w:bottom w:val="nil"/>
              <w:right w:val="single" w:sz="4" w:space="0" w:color="auto"/>
            </w:tcBorders>
            <w:shd w:val="clear" w:color="auto" w:fill="auto"/>
            <w:noWrap/>
            <w:vAlign w:val="bottom"/>
            <w:hideMark/>
          </w:tcPr>
          <w:p w14:paraId="2B0D1E3D" w14:textId="77777777" w:rsidR="005A4EA3" w:rsidRPr="00B43597" w:rsidRDefault="005A4EA3" w:rsidP="005A4EA3">
            <w:pPr>
              <w:rPr>
                <w:rFonts w:eastAsia="Times New Roman" w:cs="Times New Roman"/>
                <w:color w:val="000000"/>
                <w:sz w:val="18"/>
                <w:szCs w:val="18"/>
              </w:rPr>
            </w:pPr>
            <w:proofErr w:type="gramStart"/>
            <w:r w:rsidRPr="00B43597">
              <w:rPr>
                <w:rFonts w:eastAsia="Times New Roman" w:cs="Times New Roman"/>
                <w:color w:val="000000"/>
                <w:sz w:val="18"/>
                <w:szCs w:val="18"/>
              </w:rPr>
              <w:t>Chicken  (</w:t>
            </w:r>
            <w:proofErr w:type="gramEnd"/>
            <w:r w:rsidRPr="00B43597">
              <w:rPr>
                <w:rFonts w:eastAsia="Times New Roman" w:cs="Times New Roman"/>
                <w:color w:val="000000"/>
                <w:sz w:val="18"/>
                <w:szCs w:val="18"/>
              </w:rPr>
              <w:t>live)</w:t>
            </w:r>
          </w:p>
        </w:tc>
        <w:tc>
          <w:tcPr>
            <w:tcW w:w="1153" w:type="dxa"/>
            <w:tcBorders>
              <w:top w:val="nil"/>
              <w:left w:val="single" w:sz="4" w:space="0" w:color="auto"/>
              <w:bottom w:val="nil"/>
              <w:right w:val="nil"/>
            </w:tcBorders>
            <w:shd w:val="clear" w:color="auto" w:fill="auto"/>
            <w:noWrap/>
            <w:vAlign w:val="bottom"/>
            <w:hideMark/>
          </w:tcPr>
          <w:p w14:paraId="314DD71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1.577</w:t>
            </w:r>
          </w:p>
        </w:tc>
        <w:tc>
          <w:tcPr>
            <w:tcW w:w="1289" w:type="dxa"/>
            <w:tcBorders>
              <w:top w:val="nil"/>
              <w:left w:val="nil"/>
              <w:bottom w:val="nil"/>
              <w:right w:val="nil"/>
            </w:tcBorders>
            <w:shd w:val="clear" w:color="auto" w:fill="auto"/>
            <w:noWrap/>
            <w:vAlign w:val="bottom"/>
            <w:hideMark/>
          </w:tcPr>
          <w:p w14:paraId="12423BE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1.038</w:t>
            </w:r>
          </w:p>
        </w:tc>
        <w:tc>
          <w:tcPr>
            <w:tcW w:w="967" w:type="dxa"/>
            <w:tcBorders>
              <w:top w:val="nil"/>
              <w:left w:val="nil"/>
              <w:bottom w:val="nil"/>
            </w:tcBorders>
            <w:shd w:val="clear" w:color="auto" w:fill="auto"/>
            <w:noWrap/>
            <w:vAlign w:val="bottom"/>
            <w:hideMark/>
          </w:tcPr>
          <w:p w14:paraId="12016BA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1.1258</w:t>
            </w:r>
          </w:p>
        </w:tc>
        <w:tc>
          <w:tcPr>
            <w:tcW w:w="860" w:type="dxa"/>
            <w:tcBorders>
              <w:top w:val="nil"/>
              <w:bottom w:val="nil"/>
              <w:right w:val="single" w:sz="4" w:space="0" w:color="auto"/>
            </w:tcBorders>
            <w:shd w:val="clear" w:color="auto" w:fill="auto"/>
            <w:noWrap/>
            <w:vAlign w:val="bottom"/>
            <w:hideMark/>
          </w:tcPr>
          <w:p w14:paraId="5B8CCCB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-0.539</w:t>
            </w:r>
          </w:p>
        </w:tc>
        <w:tc>
          <w:tcPr>
            <w:tcW w:w="967" w:type="dxa"/>
            <w:tcBorders>
              <w:top w:val="nil"/>
              <w:left w:val="single" w:sz="4" w:space="0" w:color="auto"/>
              <w:bottom w:val="nil"/>
              <w:right w:val="nil"/>
            </w:tcBorders>
            <w:shd w:val="clear" w:color="auto" w:fill="auto"/>
            <w:noWrap/>
            <w:vAlign w:val="bottom"/>
            <w:hideMark/>
          </w:tcPr>
          <w:p w14:paraId="4396BF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0.4553</w:t>
            </w:r>
          </w:p>
        </w:tc>
        <w:tc>
          <w:tcPr>
            <w:tcW w:w="860" w:type="dxa"/>
            <w:tcBorders>
              <w:top w:val="nil"/>
              <w:left w:val="nil"/>
              <w:bottom w:val="nil"/>
              <w:right w:val="nil"/>
            </w:tcBorders>
            <w:shd w:val="clear" w:color="auto" w:fill="auto"/>
            <w:noWrap/>
            <w:vAlign w:val="bottom"/>
            <w:hideMark/>
          </w:tcPr>
          <w:p w14:paraId="0933151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0.0369</w:t>
            </w:r>
          </w:p>
        </w:tc>
        <w:tc>
          <w:tcPr>
            <w:tcW w:w="860" w:type="dxa"/>
            <w:tcBorders>
              <w:top w:val="nil"/>
              <w:left w:val="nil"/>
              <w:bottom w:val="nil"/>
              <w:right w:val="nil"/>
            </w:tcBorders>
            <w:shd w:val="clear" w:color="auto" w:fill="auto"/>
            <w:noWrap/>
            <w:vAlign w:val="bottom"/>
            <w:hideMark/>
          </w:tcPr>
          <w:p w14:paraId="07BD31A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-0.4184</w:t>
            </w:r>
          </w:p>
        </w:tc>
        <w:tc>
          <w:tcPr>
            <w:tcW w:w="967" w:type="dxa"/>
            <w:tcBorders>
              <w:top w:val="nil"/>
              <w:left w:val="nil"/>
              <w:bottom w:val="nil"/>
              <w:right w:val="nil"/>
            </w:tcBorders>
            <w:shd w:val="clear" w:color="auto" w:fill="auto"/>
            <w:noWrap/>
            <w:vAlign w:val="bottom"/>
            <w:hideMark/>
          </w:tcPr>
          <w:p w14:paraId="0027B2A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0.1185</w:t>
            </w:r>
          </w:p>
        </w:tc>
        <w:tc>
          <w:tcPr>
            <w:tcW w:w="860" w:type="dxa"/>
            <w:tcBorders>
              <w:top w:val="nil"/>
              <w:left w:val="nil"/>
              <w:bottom w:val="nil"/>
              <w:right w:val="nil"/>
            </w:tcBorders>
            <w:shd w:val="clear" w:color="auto" w:fill="auto"/>
            <w:noWrap/>
            <w:vAlign w:val="bottom"/>
            <w:hideMark/>
          </w:tcPr>
          <w:p w14:paraId="0DFCC33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1.2884</w:t>
            </w:r>
          </w:p>
        </w:tc>
        <w:tc>
          <w:tcPr>
            <w:tcW w:w="860" w:type="dxa"/>
            <w:tcBorders>
              <w:top w:val="nil"/>
              <w:left w:val="nil"/>
              <w:bottom w:val="nil"/>
              <w:right w:val="single" w:sz="4" w:space="0" w:color="auto"/>
            </w:tcBorders>
            <w:shd w:val="clear" w:color="auto" w:fill="auto"/>
            <w:noWrap/>
            <w:vAlign w:val="bottom"/>
            <w:hideMark/>
          </w:tcPr>
          <w:p w14:paraId="34D946E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0.0134</w:t>
            </w:r>
          </w:p>
        </w:tc>
        <w:tc>
          <w:tcPr>
            <w:tcW w:w="127" w:type="dxa"/>
            <w:tcBorders>
              <w:top w:val="nil"/>
              <w:left w:val="single" w:sz="4" w:space="0" w:color="auto"/>
              <w:bottom w:val="nil"/>
              <w:right w:val="nil"/>
            </w:tcBorders>
            <w:shd w:val="clear" w:color="auto" w:fill="auto"/>
            <w:noWrap/>
            <w:vAlign w:val="bottom"/>
            <w:hideMark/>
          </w:tcPr>
          <w:p w14:paraId="0E821027" w14:textId="77777777" w:rsidR="005A4EA3" w:rsidRPr="00B43597" w:rsidRDefault="005A4EA3" w:rsidP="005A4EA3">
            <w:pPr>
              <w:rPr>
                <w:rFonts w:eastAsia="Times New Roman" w:cs="Times New Roman"/>
                <w:color w:val="000000"/>
                <w:sz w:val="18"/>
                <w:szCs w:val="18"/>
              </w:rPr>
            </w:pPr>
          </w:p>
        </w:tc>
      </w:tr>
      <w:tr w:rsidR="005A4EA3" w:rsidRPr="008A78D0" w14:paraId="557A635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A4D67C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01.1.206</w:t>
            </w:r>
          </w:p>
        </w:tc>
        <w:tc>
          <w:tcPr>
            <w:tcW w:w="2074" w:type="dxa"/>
            <w:tcBorders>
              <w:top w:val="nil"/>
              <w:left w:val="single" w:sz="4" w:space="0" w:color="auto"/>
              <w:bottom w:val="nil"/>
              <w:right w:val="single" w:sz="4" w:space="0" w:color="auto"/>
            </w:tcBorders>
            <w:shd w:val="clear" w:color="auto" w:fill="auto"/>
            <w:noWrap/>
            <w:vAlign w:val="bottom"/>
            <w:hideMark/>
          </w:tcPr>
          <w:p w14:paraId="5694219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Chicken (frozen)</w:t>
            </w:r>
          </w:p>
        </w:tc>
        <w:tc>
          <w:tcPr>
            <w:tcW w:w="1153" w:type="dxa"/>
            <w:tcBorders>
              <w:top w:val="nil"/>
              <w:left w:val="single" w:sz="4" w:space="0" w:color="auto"/>
              <w:bottom w:val="nil"/>
              <w:right w:val="nil"/>
            </w:tcBorders>
            <w:shd w:val="clear" w:color="auto" w:fill="auto"/>
            <w:noWrap/>
            <w:vAlign w:val="bottom"/>
            <w:hideMark/>
          </w:tcPr>
          <w:p w14:paraId="0BD8F92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8.904</w:t>
            </w:r>
          </w:p>
        </w:tc>
        <w:tc>
          <w:tcPr>
            <w:tcW w:w="1289" w:type="dxa"/>
            <w:tcBorders>
              <w:top w:val="nil"/>
              <w:left w:val="nil"/>
              <w:bottom w:val="nil"/>
              <w:right w:val="nil"/>
            </w:tcBorders>
            <w:shd w:val="clear" w:color="auto" w:fill="auto"/>
            <w:noWrap/>
            <w:vAlign w:val="bottom"/>
            <w:hideMark/>
          </w:tcPr>
          <w:p w14:paraId="1DDAB3C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10.202</w:t>
            </w:r>
          </w:p>
        </w:tc>
        <w:tc>
          <w:tcPr>
            <w:tcW w:w="967" w:type="dxa"/>
            <w:tcBorders>
              <w:top w:val="nil"/>
              <w:left w:val="nil"/>
              <w:bottom w:val="nil"/>
            </w:tcBorders>
            <w:shd w:val="clear" w:color="auto" w:fill="auto"/>
            <w:noWrap/>
            <w:vAlign w:val="bottom"/>
            <w:hideMark/>
          </w:tcPr>
          <w:p w14:paraId="6A2F50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1.1023</w:t>
            </w:r>
          </w:p>
        </w:tc>
        <w:tc>
          <w:tcPr>
            <w:tcW w:w="860" w:type="dxa"/>
            <w:tcBorders>
              <w:top w:val="nil"/>
              <w:bottom w:val="nil"/>
              <w:right w:val="single" w:sz="4" w:space="0" w:color="auto"/>
            </w:tcBorders>
            <w:shd w:val="clear" w:color="auto" w:fill="auto"/>
            <w:noWrap/>
            <w:vAlign w:val="bottom"/>
            <w:hideMark/>
          </w:tcPr>
          <w:p w14:paraId="34287B9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1.298</w:t>
            </w:r>
          </w:p>
        </w:tc>
        <w:tc>
          <w:tcPr>
            <w:tcW w:w="967" w:type="dxa"/>
            <w:tcBorders>
              <w:top w:val="nil"/>
              <w:left w:val="single" w:sz="4" w:space="0" w:color="auto"/>
              <w:bottom w:val="nil"/>
              <w:right w:val="nil"/>
            </w:tcBorders>
            <w:shd w:val="clear" w:color="auto" w:fill="auto"/>
            <w:noWrap/>
            <w:vAlign w:val="bottom"/>
            <w:hideMark/>
          </w:tcPr>
          <w:p w14:paraId="101AB6C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2.1865</w:t>
            </w:r>
          </w:p>
        </w:tc>
        <w:tc>
          <w:tcPr>
            <w:tcW w:w="860" w:type="dxa"/>
            <w:tcBorders>
              <w:top w:val="nil"/>
              <w:left w:val="nil"/>
              <w:bottom w:val="nil"/>
              <w:right w:val="nil"/>
            </w:tcBorders>
            <w:shd w:val="clear" w:color="auto" w:fill="auto"/>
            <w:noWrap/>
            <w:vAlign w:val="bottom"/>
            <w:hideMark/>
          </w:tcPr>
          <w:p w14:paraId="6BE30FD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2.3226</w:t>
            </w:r>
          </w:p>
        </w:tc>
        <w:tc>
          <w:tcPr>
            <w:tcW w:w="860" w:type="dxa"/>
            <w:tcBorders>
              <w:top w:val="nil"/>
              <w:left w:val="nil"/>
              <w:bottom w:val="nil"/>
              <w:right w:val="nil"/>
            </w:tcBorders>
            <w:shd w:val="clear" w:color="auto" w:fill="auto"/>
            <w:noWrap/>
            <w:vAlign w:val="bottom"/>
            <w:hideMark/>
          </w:tcPr>
          <w:p w14:paraId="00E293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0.1361</w:t>
            </w:r>
          </w:p>
        </w:tc>
        <w:tc>
          <w:tcPr>
            <w:tcW w:w="967" w:type="dxa"/>
            <w:tcBorders>
              <w:top w:val="nil"/>
              <w:left w:val="nil"/>
              <w:bottom w:val="nil"/>
              <w:right w:val="nil"/>
            </w:tcBorders>
            <w:shd w:val="clear" w:color="auto" w:fill="auto"/>
            <w:noWrap/>
            <w:vAlign w:val="bottom"/>
            <w:hideMark/>
          </w:tcPr>
          <w:p w14:paraId="0F4B09E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0.0974</w:t>
            </w:r>
          </w:p>
        </w:tc>
        <w:tc>
          <w:tcPr>
            <w:tcW w:w="860" w:type="dxa"/>
            <w:tcBorders>
              <w:top w:val="nil"/>
              <w:left w:val="nil"/>
              <w:bottom w:val="nil"/>
              <w:right w:val="nil"/>
            </w:tcBorders>
            <w:shd w:val="clear" w:color="auto" w:fill="auto"/>
            <w:noWrap/>
            <w:vAlign w:val="bottom"/>
            <w:hideMark/>
          </w:tcPr>
          <w:p w14:paraId="4CC71AD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9.5386</w:t>
            </w:r>
          </w:p>
        </w:tc>
        <w:tc>
          <w:tcPr>
            <w:tcW w:w="860" w:type="dxa"/>
            <w:tcBorders>
              <w:top w:val="nil"/>
              <w:left w:val="nil"/>
              <w:bottom w:val="nil"/>
              <w:right w:val="single" w:sz="4" w:space="0" w:color="auto"/>
            </w:tcBorders>
            <w:shd w:val="clear" w:color="auto" w:fill="auto"/>
            <w:noWrap/>
            <w:vAlign w:val="bottom"/>
            <w:hideMark/>
          </w:tcPr>
          <w:p w14:paraId="0D5D732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0.0995</w:t>
            </w:r>
          </w:p>
        </w:tc>
        <w:tc>
          <w:tcPr>
            <w:tcW w:w="127" w:type="dxa"/>
            <w:tcBorders>
              <w:top w:val="nil"/>
              <w:left w:val="single" w:sz="4" w:space="0" w:color="auto"/>
              <w:bottom w:val="nil"/>
              <w:right w:val="nil"/>
            </w:tcBorders>
            <w:shd w:val="clear" w:color="auto" w:fill="auto"/>
            <w:noWrap/>
            <w:vAlign w:val="bottom"/>
            <w:hideMark/>
          </w:tcPr>
          <w:p w14:paraId="551659A8" w14:textId="77777777" w:rsidR="005A4EA3" w:rsidRPr="00B43597" w:rsidRDefault="005A4EA3" w:rsidP="005A4EA3">
            <w:pPr>
              <w:rPr>
                <w:rFonts w:eastAsia="Times New Roman" w:cs="Times New Roman"/>
                <w:color w:val="000000"/>
                <w:sz w:val="18"/>
                <w:szCs w:val="18"/>
              </w:rPr>
            </w:pPr>
          </w:p>
        </w:tc>
      </w:tr>
      <w:tr w:rsidR="005A4EA3" w:rsidRPr="008A78D0" w14:paraId="40D45B1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342BEC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01.1.207</w:t>
            </w:r>
          </w:p>
        </w:tc>
        <w:tc>
          <w:tcPr>
            <w:tcW w:w="2074" w:type="dxa"/>
            <w:tcBorders>
              <w:top w:val="nil"/>
              <w:left w:val="single" w:sz="4" w:space="0" w:color="auto"/>
              <w:bottom w:val="nil"/>
              <w:right w:val="single" w:sz="4" w:space="0" w:color="auto"/>
            </w:tcBorders>
            <w:shd w:val="clear" w:color="auto" w:fill="auto"/>
            <w:noWrap/>
            <w:vAlign w:val="bottom"/>
            <w:hideMark/>
          </w:tcPr>
          <w:p w14:paraId="429CAF0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Pork Leg</w:t>
            </w:r>
          </w:p>
        </w:tc>
        <w:tc>
          <w:tcPr>
            <w:tcW w:w="1153" w:type="dxa"/>
            <w:tcBorders>
              <w:top w:val="nil"/>
              <w:left w:val="single" w:sz="4" w:space="0" w:color="auto"/>
              <w:bottom w:val="nil"/>
              <w:right w:val="nil"/>
            </w:tcBorders>
            <w:shd w:val="clear" w:color="auto" w:fill="auto"/>
            <w:noWrap/>
            <w:vAlign w:val="bottom"/>
            <w:hideMark/>
          </w:tcPr>
          <w:p w14:paraId="0FF393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0.473</w:t>
            </w:r>
          </w:p>
        </w:tc>
        <w:tc>
          <w:tcPr>
            <w:tcW w:w="1289" w:type="dxa"/>
            <w:tcBorders>
              <w:top w:val="nil"/>
              <w:left w:val="nil"/>
              <w:bottom w:val="nil"/>
              <w:right w:val="nil"/>
            </w:tcBorders>
            <w:shd w:val="clear" w:color="auto" w:fill="auto"/>
            <w:noWrap/>
            <w:vAlign w:val="bottom"/>
            <w:hideMark/>
          </w:tcPr>
          <w:p w14:paraId="0E6429A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0.610</w:t>
            </w:r>
          </w:p>
        </w:tc>
        <w:tc>
          <w:tcPr>
            <w:tcW w:w="967" w:type="dxa"/>
            <w:tcBorders>
              <w:top w:val="nil"/>
              <w:left w:val="nil"/>
              <w:bottom w:val="nil"/>
            </w:tcBorders>
            <w:shd w:val="clear" w:color="auto" w:fill="auto"/>
            <w:noWrap/>
            <w:vAlign w:val="bottom"/>
            <w:hideMark/>
          </w:tcPr>
          <w:p w14:paraId="339EE91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1.3878</w:t>
            </w:r>
          </w:p>
        </w:tc>
        <w:tc>
          <w:tcPr>
            <w:tcW w:w="860" w:type="dxa"/>
            <w:tcBorders>
              <w:top w:val="nil"/>
              <w:bottom w:val="nil"/>
              <w:right w:val="single" w:sz="4" w:space="0" w:color="auto"/>
            </w:tcBorders>
            <w:shd w:val="clear" w:color="auto" w:fill="auto"/>
            <w:noWrap/>
            <w:vAlign w:val="bottom"/>
            <w:hideMark/>
          </w:tcPr>
          <w:p w14:paraId="7261407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0.136</w:t>
            </w:r>
          </w:p>
        </w:tc>
        <w:tc>
          <w:tcPr>
            <w:tcW w:w="967" w:type="dxa"/>
            <w:tcBorders>
              <w:top w:val="nil"/>
              <w:left w:val="single" w:sz="4" w:space="0" w:color="auto"/>
              <w:bottom w:val="nil"/>
              <w:right w:val="nil"/>
            </w:tcBorders>
            <w:shd w:val="clear" w:color="auto" w:fill="auto"/>
            <w:noWrap/>
            <w:vAlign w:val="bottom"/>
            <w:hideMark/>
          </w:tcPr>
          <w:p w14:paraId="17F3140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-0.7480</w:t>
            </w:r>
          </w:p>
        </w:tc>
        <w:tc>
          <w:tcPr>
            <w:tcW w:w="860" w:type="dxa"/>
            <w:tcBorders>
              <w:top w:val="nil"/>
              <w:left w:val="nil"/>
              <w:bottom w:val="nil"/>
              <w:right w:val="nil"/>
            </w:tcBorders>
            <w:shd w:val="clear" w:color="auto" w:fill="auto"/>
            <w:noWrap/>
            <w:vAlign w:val="bottom"/>
            <w:hideMark/>
          </w:tcPr>
          <w:p w14:paraId="6353777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-0.4951</w:t>
            </w:r>
          </w:p>
        </w:tc>
        <w:tc>
          <w:tcPr>
            <w:tcW w:w="860" w:type="dxa"/>
            <w:tcBorders>
              <w:top w:val="nil"/>
              <w:left w:val="nil"/>
              <w:bottom w:val="nil"/>
              <w:right w:val="nil"/>
            </w:tcBorders>
            <w:shd w:val="clear" w:color="auto" w:fill="auto"/>
            <w:noWrap/>
            <w:vAlign w:val="bottom"/>
            <w:hideMark/>
          </w:tcPr>
          <w:p w14:paraId="141A781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0.2530</w:t>
            </w:r>
          </w:p>
        </w:tc>
        <w:tc>
          <w:tcPr>
            <w:tcW w:w="967" w:type="dxa"/>
            <w:tcBorders>
              <w:top w:val="nil"/>
              <w:left w:val="nil"/>
              <w:bottom w:val="nil"/>
              <w:right w:val="nil"/>
            </w:tcBorders>
            <w:shd w:val="clear" w:color="auto" w:fill="auto"/>
            <w:noWrap/>
            <w:vAlign w:val="bottom"/>
            <w:hideMark/>
          </w:tcPr>
          <w:p w14:paraId="567E6A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0.3277</w:t>
            </w:r>
          </w:p>
        </w:tc>
        <w:tc>
          <w:tcPr>
            <w:tcW w:w="860" w:type="dxa"/>
            <w:tcBorders>
              <w:top w:val="nil"/>
              <w:left w:val="nil"/>
              <w:bottom w:val="nil"/>
              <w:right w:val="nil"/>
            </w:tcBorders>
            <w:shd w:val="clear" w:color="auto" w:fill="auto"/>
            <w:noWrap/>
            <w:vAlign w:val="bottom"/>
            <w:hideMark/>
          </w:tcPr>
          <w:p w14:paraId="4AD87B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0.5385</w:t>
            </w:r>
          </w:p>
        </w:tc>
        <w:tc>
          <w:tcPr>
            <w:tcW w:w="860" w:type="dxa"/>
            <w:tcBorders>
              <w:top w:val="nil"/>
              <w:left w:val="nil"/>
              <w:bottom w:val="nil"/>
              <w:right w:val="single" w:sz="4" w:space="0" w:color="auto"/>
            </w:tcBorders>
            <w:shd w:val="clear" w:color="auto" w:fill="auto"/>
            <w:noWrap/>
            <w:vAlign w:val="bottom"/>
            <w:hideMark/>
          </w:tcPr>
          <w:p w14:paraId="6DFF598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0.0056</w:t>
            </w:r>
          </w:p>
        </w:tc>
        <w:tc>
          <w:tcPr>
            <w:tcW w:w="127" w:type="dxa"/>
            <w:tcBorders>
              <w:top w:val="nil"/>
              <w:left w:val="single" w:sz="4" w:space="0" w:color="auto"/>
              <w:bottom w:val="nil"/>
              <w:right w:val="nil"/>
            </w:tcBorders>
            <w:shd w:val="clear" w:color="auto" w:fill="auto"/>
            <w:noWrap/>
            <w:vAlign w:val="bottom"/>
            <w:hideMark/>
          </w:tcPr>
          <w:p w14:paraId="781B0D26" w14:textId="77777777" w:rsidR="005A4EA3" w:rsidRPr="00B43597" w:rsidRDefault="005A4EA3" w:rsidP="005A4EA3">
            <w:pPr>
              <w:rPr>
                <w:rFonts w:eastAsia="Times New Roman" w:cs="Times New Roman"/>
                <w:color w:val="000000"/>
                <w:sz w:val="18"/>
                <w:szCs w:val="18"/>
              </w:rPr>
            </w:pPr>
          </w:p>
        </w:tc>
      </w:tr>
      <w:tr w:rsidR="005A4EA3" w:rsidRPr="008A78D0" w14:paraId="2D0337C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DB898E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01.1.211</w:t>
            </w:r>
          </w:p>
        </w:tc>
        <w:tc>
          <w:tcPr>
            <w:tcW w:w="2074" w:type="dxa"/>
            <w:tcBorders>
              <w:top w:val="nil"/>
              <w:left w:val="single" w:sz="4" w:space="0" w:color="auto"/>
              <w:bottom w:val="nil"/>
              <w:right w:val="single" w:sz="4" w:space="0" w:color="auto"/>
            </w:tcBorders>
            <w:shd w:val="clear" w:color="auto" w:fill="auto"/>
            <w:noWrap/>
            <w:vAlign w:val="bottom"/>
            <w:hideMark/>
          </w:tcPr>
          <w:p w14:paraId="1DCE3A7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Duck</w:t>
            </w:r>
          </w:p>
        </w:tc>
        <w:tc>
          <w:tcPr>
            <w:tcW w:w="1153" w:type="dxa"/>
            <w:tcBorders>
              <w:top w:val="nil"/>
              <w:left w:val="single" w:sz="4" w:space="0" w:color="auto"/>
              <w:bottom w:val="nil"/>
              <w:right w:val="nil"/>
            </w:tcBorders>
            <w:shd w:val="clear" w:color="auto" w:fill="auto"/>
            <w:noWrap/>
            <w:vAlign w:val="bottom"/>
            <w:hideMark/>
          </w:tcPr>
          <w:p w14:paraId="0BA6E1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0.291</w:t>
            </w:r>
          </w:p>
        </w:tc>
        <w:tc>
          <w:tcPr>
            <w:tcW w:w="1289" w:type="dxa"/>
            <w:tcBorders>
              <w:top w:val="nil"/>
              <w:left w:val="nil"/>
              <w:bottom w:val="nil"/>
              <w:right w:val="nil"/>
            </w:tcBorders>
            <w:shd w:val="clear" w:color="auto" w:fill="auto"/>
            <w:noWrap/>
            <w:vAlign w:val="bottom"/>
            <w:hideMark/>
          </w:tcPr>
          <w:p w14:paraId="1C276F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0.217</w:t>
            </w:r>
          </w:p>
        </w:tc>
        <w:tc>
          <w:tcPr>
            <w:tcW w:w="967" w:type="dxa"/>
            <w:tcBorders>
              <w:top w:val="nil"/>
              <w:left w:val="nil"/>
              <w:bottom w:val="nil"/>
            </w:tcBorders>
            <w:shd w:val="clear" w:color="auto" w:fill="auto"/>
            <w:noWrap/>
            <w:vAlign w:val="bottom"/>
            <w:hideMark/>
          </w:tcPr>
          <w:p w14:paraId="2FE5ED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1.0730</w:t>
            </w:r>
          </w:p>
        </w:tc>
        <w:tc>
          <w:tcPr>
            <w:tcW w:w="860" w:type="dxa"/>
            <w:tcBorders>
              <w:top w:val="nil"/>
              <w:bottom w:val="nil"/>
              <w:right w:val="single" w:sz="4" w:space="0" w:color="auto"/>
            </w:tcBorders>
            <w:shd w:val="clear" w:color="auto" w:fill="auto"/>
            <w:noWrap/>
            <w:vAlign w:val="bottom"/>
            <w:hideMark/>
          </w:tcPr>
          <w:p w14:paraId="22C43D9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-0.074</w:t>
            </w:r>
          </w:p>
        </w:tc>
        <w:tc>
          <w:tcPr>
            <w:tcW w:w="967" w:type="dxa"/>
            <w:tcBorders>
              <w:top w:val="nil"/>
              <w:left w:val="single" w:sz="4" w:space="0" w:color="auto"/>
              <w:bottom w:val="nil"/>
              <w:right w:val="nil"/>
            </w:tcBorders>
            <w:shd w:val="clear" w:color="auto" w:fill="auto"/>
            <w:noWrap/>
            <w:vAlign w:val="bottom"/>
            <w:hideMark/>
          </w:tcPr>
          <w:p w14:paraId="5D7C1F0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-1.2350</w:t>
            </w:r>
          </w:p>
        </w:tc>
        <w:tc>
          <w:tcPr>
            <w:tcW w:w="860" w:type="dxa"/>
            <w:tcBorders>
              <w:top w:val="nil"/>
              <w:left w:val="nil"/>
              <w:bottom w:val="nil"/>
              <w:right w:val="nil"/>
            </w:tcBorders>
            <w:shd w:val="clear" w:color="auto" w:fill="auto"/>
            <w:noWrap/>
            <w:vAlign w:val="bottom"/>
            <w:hideMark/>
          </w:tcPr>
          <w:p w14:paraId="7DBF207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-1.5268</w:t>
            </w:r>
          </w:p>
        </w:tc>
        <w:tc>
          <w:tcPr>
            <w:tcW w:w="860" w:type="dxa"/>
            <w:tcBorders>
              <w:top w:val="nil"/>
              <w:left w:val="nil"/>
              <w:bottom w:val="nil"/>
              <w:right w:val="nil"/>
            </w:tcBorders>
            <w:shd w:val="clear" w:color="auto" w:fill="auto"/>
            <w:noWrap/>
            <w:vAlign w:val="bottom"/>
            <w:hideMark/>
          </w:tcPr>
          <w:p w14:paraId="284D55A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-0.2917</w:t>
            </w:r>
          </w:p>
        </w:tc>
        <w:tc>
          <w:tcPr>
            <w:tcW w:w="967" w:type="dxa"/>
            <w:tcBorders>
              <w:top w:val="nil"/>
              <w:left w:val="nil"/>
              <w:bottom w:val="nil"/>
              <w:right w:val="nil"/>
            </w:tcBorders>
            <w:shd w:val="clear" w:color="auto" w:fill="auto"/>
            <w:noWrap/>
            <w:vAlign w:val="bottom"/>
            <w:hideMark/>
          </w:tcPr>
          <w:p w14:paraId="39DC2BE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0.0705</w:t>
            </w:r>
          </w:p>
        </w:tc>
        <w:tc>
          <w:tcPr>
            <w:tcW w:w="860" w:type="dxa"/>
            <w:tcBorders>
              <w:top w:val="nil"/>
              <w:left w:val="nil"/>
              <w:bottom w:val="nil"/>
              <w:right w:val="nil"/>
            </w:tcBorders>
            <w:shd w:val="clear" w:color="auto" w:fill="auto"/>
            <w:noWrap/>
            <w:vAlign w:val="bottom"/>
            <w:hideMark/>
          </w:tcPr>
          <w:p w14:paraId="4E8D324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0.2522</w:t>
            </w:r>
          </w:p>
        </w:tc>
        <w:tc>
          <w:tcPr>
            <w:tcW w:w="860" w:type="dxa"/>
            <w:tcBorders>
              <w:top w:val="nil"/>
              <w:left w:val="nil"/>
              <w:bottom w:val="nil"/>
              <w:right w:val="single" w:sz="4" w:space="0" w:color="auto"/>
            </w:tcBorders>
            <w:shd w:val="clear" w:color="auto" w:fill="auto"/>
            <w:noWrap/>
            <w:vAlign w:val="bottom"/>
            <w:hideMark/>
          </w:tcPr>
          <w:p w14:paraId="19CDD2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0.0026</w:t>
            </w:r>
          </w:p>
        </w:tc>
        <w:tc>
          <w:tcPr>
            <w:tcW w:w="127" w:type="dxa"/>
            <w:tcBorders>
              <w:top w:val="nil"/>
              <w:left w:val="single" w:sz="4" w:space="0" w:color="auto"/>
              <w:bottom w:val="nil"/>
              <w:right w:val="nil"/>
            </w:tcBorders>
            <w:shd w:val="clear" w:color="auto" w:fill="auto"/>
            <w:noWrap/>
            <w:vAlign w:val="bottom"/>
            <w:hideMark/>
          </w:tcPr>
          <w:p w14:paraId="08187312" w14:textId="77777777" w:rsidR="005A4EA3" w:rsidRPr="00B43597" w:rsidRDefault="005A4EA3" w:rsidP="005A4EA3">
            <w:pPr>
              <w:rPr>
                <w:rFonts w:eastAsia="Times New Roman" w:cs="Times New Roman"/>
                <w:color w:val="000000"/>
                <w:sz w:val="18"/>
                <w:szCs w:val="18"/>
              </w:rPr>
            </w:pPr>
          </w:p>
        </w:tc>
      </w:tr>
      <w:tr w:rsidR="005A4EA3" w:rsidRPr="008A78D0" w14:paraId="1355A014"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F80B18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01.1.212</w:t>
            </w:r>
          </w:p>
        </w:tc>
        <w:tc>
          <w:tcPr>
            <w:tcW w:w="2074" w:type="dxa"/>
            <w:tcBorders>
              <w:top w:val="nil"/>
              <w:left w:val="single" w:sz="4" w:space="0" w:color="auto"/>
              <w:bottom w:val="nil"/>
              <w:right w:val="single" w:sz="4" w:space="0" w:color="auto"/>
            </w:tcBorders>
            <w:shd w:val="clear" w:color="auto" w:fill="auto"/>
            <w:noWrap/>
            <w:vAlign w:val="bottom"/>
            <w:hideMark/>
          </w:tcPr>
          <w:p w14:paraId="3726694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Liver</w:t>
            </w:r>
          </w:p>
        </w:tc>
        <w:tc>
          <w:tcPr>
            <w:tcW w:w="1153" w:type="dxa"/>
            <w:tcBorders>
              <w:top w:val="nil"/>
              <w:left w:val="single" w:sz="4" w:space="0" w:color="auto"/>
              <w:bottom w:val="nil"/>
              <w:right w:val="nil"/>
            </w:tcBorders>
            <w:shd w:val="clear" w:color="auto" w:fill="auto"/>
            <w:noWrap/>
            <w:vAlign w:val="bottom"/>
            <w:hideMark/>
          </w:tcPr>
          <w:p w14:paraId="57A159F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0.245</w:t>
            </w:r>
          </w:p>
        </w:tc>
        <w:tc>
          <w:tcPr>
            <w:tcW w:w="1289" w:type="dxa"/>
            <w:tcBorders>
              <w:top w:val="nil"/>
              <w:left w:val="nil"/>
              <w:bottom w:val="nil"/>
              <w:right w:val="nil"/>
            </w:tcBorders>
            <w:shd w:val="clear" w:color="auto" w:fill="auto"/>
            <w:noWrap/>
            <w:vAlign w:val="bottom"/>
            <w:hideMark/>
          </w:tcPr>
          <w:p w14:paraId="6404AFF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0.207</w:t>
            </w:r>
          </w:p>
        </w:tc>
        <w:tc>
          <w:tcPr>
            <w:tcW w:w="967" w:type="dxa"/>
            <w:tcBorders>
              <w:top w:val="nil"/>
              <w:left w:val="nil"/>
              <w:bottom w:val="nil"/>
            </w:tcBorders>
            <w:shd w:val="clear" w:color="auto" w:fill="auto"/>
            <w:noWrap/>
            <w:vAlign w:val="bottom"/>
            <w:hideMark/>
          </w:tcPr>
          <w:p w14:paraId="22DF9E2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1.1544</w:t>
            </w:r>
          </w:p>
        </w:tc>
        <w:tc>
          <w:tcPr>
            <w:tcW w:w="860" w:type="dxa"/>
            <w:tcBorders>
              <w:top w:val="nil"/>
              <w:bottom w:val="nil"/>
              <w:right w:val="single" w:sz="4" w:space="0" w:color="auto"/>
            </w:tcBorders>
            <w:shd w:val="clear" w:color="auto" w:fill="auto"/>
            <w:noWrap/>
            <w:vAlign w:val="bottom"/>
            <w:hideMark/>
          </w:tcPr>
          <w:p w14:paraId="77C2141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-0.038</w:t>
            </w:r>
          </w:p>
        </w:tc>
        <w:tc>
          <w:tcPr>
            <w:tcW w:w="967" w:type="dxa"/>
            <w:tcBorders>
              <w:top w:val="nil"/>
              <w:left w:val="single" w:sz="4" w:space="0" w:color="auto"/>
              <w:bottom w:val="nil"/>
              <w:right w:val="nil"/>
            </w:tcBorders>
            <w:shd w:val="clear" w:color="auto" w:fill="auto"/>
            <w:noWrap/>
            <w:vAlign w:val="bottom"/>
            <w:hideMark/>
          </w:tcPr>
          <w:p w14:paraId="6B89370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-1.4057</w:t>
            </w:r>
          </w:p>
        </w:tc>
        <w:tc>
          <w:tcPr>
            <w:tcW w:w="860" w:type="dxa"/>
            <w:tcBorders>
              <w:top w:val="nil"/>
              <w:left w:val="nil"/>
              <w:bottom w:val="nil"/>
              <w:right w:val="nil"/>
            </w:tcBorders>
            <w:shd w:val="clear" w:color="auto" w:fill="auto"/>
            <w:noWrap/>
            <w:vAlign w:val="bottom"/>
            <w:hideMark/>
          </w:tcPr>
          <w:p w14:paraId="0A10F9D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-1.5754</w:t>
            </w:r>
          </w:p>
        </w:tc>
        <w:tc>
          <w:tcPr>
            <w:tcW w:w="860" w:type="dxa"/>
            <w:tcBorders>
              <w:top w:val="nil"/>
              <w:left w:val="nil"/>
              <w:bottom w:val="nil"/>
              <w:right w:val="nil"/>
            </w:tcBorders>
            <w:shd w:val="clear" w:color="auto" w:fill="auto"/>
            <w:noWrap/>
            <w:vAlign w:val="bottom"/>
            <w:hideMark/>
          </w:tcPr>
          <w:p w14:paraId="484C54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-0.1697</w:t>
            </w:r>
          </w:p>
        </w:tc>
        <w:tc>
          <w:tcPr>
            <w:tcW w:w="967" w:type="dxa"/>
            <w:tcBorders>
              <w:top w:val="nil"/>
              <w:left w:val="nil"/>
              <w:bottom w:val="nil"/>
              <w:right w:val="nil"/>
            </w:tcBorders>
            <w:shd w:val="clear" w:color="auto" w:fill="auto"/>
            <w:noWrap/>
            <w:vAlign w:val="bottom"/>
            <w:hideMark/>
          </w:tcPr>
          <w:p w14:paraId="3346950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0.1436</w:t>
            </w:r>
          </w:p>
        </w:tc>
        <w:tc>
          <w:tcPr>
            <w:tcW w:w="860" w:type="dxa"/>
            <w:tcBorders>
              <w:top w:val="nil"/>
              <w:left w:val="nil"/>
              <w:bottom w:val="nil"/>
              <w:right w:val="nil"/>
            </w:tcBorders>
            <w:shd w:val="clear" w:color="auto" w:fill="auto"/>
            <w:noWrap/>
            <w:vAlign w:val="bottom"/>
            <w:hideMark/>
          </w:tcPr>
          <w:p w14:paraId="35D0BE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0.2255</w:t>
            </w:r>
          </w:p>
        </w:tc>
        <w:tc>
          <w:tcPr>
            <w:tcW w:w="860" w:type="dxa"/>
            <w:tcBorders>
              <w:top w:val="nil"/>
              <w:left w:val="nil"/>
              <w:bottom w:val="nil"/>
              <w:right w:val="single" w:sz="4" w:space="0" w:color="auto"/>
            </w:tcBorders>
            <w:shd w:val="clear" w:color="auto" w:fill="auto"/>
            <w:noWrap/>
            <w:vAlign w:val="bottom"/>
            <w:hideMark/>
          </w:tcPr>
          <w:p w14:paraId="2429503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0.0024</w:t>
            </w:r>
          </w:p>
        </w:tc>
        <w:tc>
          <w:tcPr>
            <w:tcW w:w="127" w:type="dxa"/>
            <w:tcBorders>
              <w:top w:val="nil"/>
              <w:left w:val="single" w:sz="4" w:space="0" w:color="auto"/>
              <w:bottom w:val="nil"/>
              <w:right w:val="nil"/>
            </w:tcBorders>
            <w:shd w:val="clear" w:color="auto" w:fill="auto"/>
            <w:noWrap/>
            <w:vAlign w:val="bottom"/>
            <w:hideMark/>
          </w:tcPr>
          <w:p w14:paraId="5FF69F99" w14:textId="77777777" w:rsidR="005A4EA3" w:rsidRPr="00B43597" w:rsidRDefault="005A4EA3" w:rsidP="005A4EA3">
            <w:pPr>
              <w:rPr>
                <w:rFonts w:eastAsia="Times New Roman" w:cs="Times New Roman"/>
                <w:color w:val="000000"/>
                <w:sz w:val="18"/>
                <w:szCs w:val="18"/>
              </w:rPr>
            </w:pPr>
          </w:p>
        </w:tc>
      </w:tr>
      <w:tr w:rsidR="005A4EA3" w:rsidRPr="008A78D0" w14:paraId="15BF06E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EADD8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01.1.213</w:t>
            </w:r>
          </w:p>
        </w:tc>
        <w:tc>
          <w:tcPr>
            <w:tcW w:w="2074" w:type="dxa"/>
            <w:tcBorders>
              <w:top w:val="nil"/>
              <w:left w:val="single" w:sz="4" w:space="0" w:color="auto"/>
              <w:bottom w:val="nil"/>
              <w:right w:val="single" w:sz="4" w:space="0" w:color="auto"/>
            </w:tcBorders>
            <w:shd w:val="clear" w:color="auto" w:fill="auto"/>
            <w:noWrap/>
            <w:vAlign w:val="bottom"/>
            <w:hideMark/>
          </w:tcPr>
          <w:p w14:paraId="0B41821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Mutton</w:t>
            </w:r>
          </w:p>
        </w:tc>
        <w:tc>
          <w:tcPr>
            <w:tcW w:w="1153" w:type="dxa"/>
            <w:tcBorders>
              <w:top w:val="nil"/>
              <w:left w:val="single" w:sz="4" w:space="0" w:color="auto"/>
              <w:bottom w:val="nil"/>
              <w:right w:val="nil"/>
            </w:tcBorders>
            <w:shd w:val="clear" w:color="auto" w:fill="auto"/>
            <w:noWrap/>
            <w:vAlign w:val="bottom"/>
            <w:hideMark/>
          </w:tcPr>
          <w:p w14:paraId="6B27DA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0.319</w:t>
            </w:r>
          </w:p>
        </w:tc>
        <w:tc>
          <w:tcPr>
            <w:tcW w:w="1289" w:type="dxa"/>
            <w:tcBorders>
              <w:top w:val="nil"/>
              <w:left w:val="nil"/>
              <w:bottom w:val="nil"/>
              <w:right w:val="nil"/>
            </w:tcBorders>
            <w:shd w:val="clear" w:color="auto" w:fill="auto"/>
            <w:noWrap/>
            <w:vAlign w:val="bottom"/>
            <w:hideMark/>
          </w:tcPr>
          <w:p w14:paraId="72EEE6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0.271</w:t>
            </w:r>
          </w:p>
        </w:tc>
        <w:tc>
          <w:tcPr>
            <w:tcW w:w="967" w:type="dxa"/>
            <w:tcBorders>
              <w:top w:val="nil"/>
              <w:left w:val="nil"/>
              <w:bottom w:val="nil"/>
            </w:tcBorders>
            <w:shd w:val="clear" w:color="auto" w:fill="auto"/>
            <w:noWrap/>
            <w:vAlign w:val="bottom"/>
            <w:hideMark/>
          </w:tcPr>
          <w:p w14:paraId="520DF2F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1.0680</w:t>
            </w:r>
          </w:p>
        </w:tc>
        <w:tc>
          <w:tcPr>
            <w:tcW w:w="860" w:type="dxa"/>
            <w:tcBorders>
              <w:top w:val="nil"/>
              <w:bottom w:val="nil"/>
              <w:right w:val="single" w:sz="4" w:space="0" w:color="auto"/>
            </w:tcBorders>
            <w:shd w:val="clear" w:color="auto" w:fill="auto"/>
            <w:noWrap/>
            <w:vAlign w:val="bottom"/>
            <w:hideMark/>
          </w:tcPr>
          <w:p w14:paraId="7C2E39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-0.048</w:t>
            </w:r>
          </w:p>
        </w:tc>
        <w:tc>
          <w:tcPr>
            <w:tcW w:w="967" w:type="dxa"/>
            <w:tcBorders>
              <w:top w:val="nil"/>
              <w:left w:val="single" w:sz="4" w:space="0" w:color="auto"/>
              <w:bottom w:val="nil"/>
              <w:right w:val="nil"/>
            </w:tcBorders>
            <w:shd w:val="clear" w:color="auto" w:fill="auto"/>
            <w:noWrap/>
            <w:vAlign w:val="bottom"/>
            <w:hideMark/>
          </w:tcPr>
          <w:p w14:paraId="1460F2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-1.1415</w:t>
            </w:r>
          </w:p>
        </w:tc>
        <w:tc>
          <w:tcPr>
            <w:tcW w:w="860" w:type="dxa"/>
            <w:tcBorders>
              <w:top w:val="nil"/>
              <w:left w:val="nil"/>
              <w:bottom w:val="nil"/>
              <w:right w:val="nil"/>
            </w:tcBorders>
            <w:shd w:val="clear" w:color="auto" w:fill="auto"/>
            <w:noWrap/>
            <w:vAlign w:val="bottom"/>
            <w:hideMark/>
          </w:tcPr>
          <w:p w14:paraId="6653C7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-1.3060</w:t>
            </w:r>
          </w:p>
        </w:tc>
        <w:tc>
          <w:tcPr>
            <w:tcW w:w="860" w:type="dxa"/>
            <w:tcBorders>
              <w:top w:val="nil"/>
              <w:left w:val="nil"/>
              <w:bottom w:val="nil"/>
              <w:right w:val="nil"/>
            </w:tcBorders>
            <w:shd w:val="clear" w:color="auto" w:fill="auto"/>
            <w:noWrap/>
            <w:vAlign w:val="bottom"/>
            <w:hideMark/>
          </w:tcPr>
          <w:p w14:paraId="372AF0C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-0.1645</w:t>
            </w:r>
          </w:p>
        </w:tc>
        <w:tc>
          <w:tcPr>
            <w:tcW w:w="967" w:type="dxa"/>
            <w:tcBorders>
              <w:top w:val="nil"/>
              <w:left w:val="nil"/>
              <w:bottom w:val="nil"/>
              <w:right w:val="nil"/>
            </w:tcBorders>
            <w:shd w:val="clear" w:color="auto" w:fill="auto"/>
            <w:noWrap/>
            <w:vAlign w:val="bottom"/>
            <w:hideMark/>
          </w:tcPr>
          <w:p w14:paraId="0562BB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0.0658</w:t>
            </w:r>
          </w:p>
        </w:tc>
        <w:tc>
          <w:tcPr>
            <w:tcW w:w="860" w:type="dxa"/>
            <w:tcBorders>
              <w:top w:val="nil"/>
              <w:left w:val="nil"/>
              <w:bottom w:val="nil"/>
              <w:right w:val="nil"/>
            </w:tcBorders>
            <w:shd w:val="clear" w:color="auto" w:fill="auto"/>
            <w:noWrap/>
            <w:vAlign w:val="bottom"/>
            <w:hideMark/>
          </w:tcPr>
          <w:p w14:paraId="37AF08F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0.2944</w:t>
            </w:r>
          </w:p>
        </w:tc>
        <w:tc>
          <w:tcPr>
            <w:tcW w:w="860" w:type="dxa"/>
            <w:tcBorders>
              <w:top w:val="nil"/>
              <w:left w:val="nil"/>
              <w:bottom w:val="nil"/>
              <w:right w:val="single" w:sz="4" w:space="0" w:color="auto"/>
            </w:tcBorders>
            <w:shd w:val="clear" w:color="auto" w:fill="auto"/>
            <w:noWrap/>
            <w:vAlign w:val="bottom"/>
            <w:hideMark/>
          </w:tcPr>
          <w:p w14:paraId="50F7AF6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0.0031</w:t>
            </w:r>
          </w:p>
        </w:tc>
        <w:tc>
          <w:tcPr>
            <w:tcW w:w="127" w:type="dxa"/>
            <w:tcBorders>
              <w:top w:val="nil"/>
              <w:left w:val="single" w:sz="4" w:space="0" w:color="auto"/>
              <w:bottom w:val="nil"/>
              <w:right w:val="nil"/>
            </w:tcBorders>
            <w:shd w:val="clear" w:color="auto" w:fill="auto"/>
            <w:noWrap/>
            <w:vAlign w:val="bottom"/>
            <w:hideMark/>
          </w:tcPr>
          <w:p w14:paraId="491069FE" w14:textId="77777777" w:rsidR="005A4EA3" w:rsidRPr="00B43597" w:rsidRDefault="005A4EA3" w:rsidP="005A4EA3">
            <w:pPr>
              <w:rPr>
                <w:rFonts w:eastAsia="Times New Roman" w:cs="Times New Roman"/>
                <w:color w:val="000000"/>
                <w:sz w:val="18"/>
                <w:szCs w:val="18"/>
              </w:rPr>
            </w:pPr>
          </w:p>
        </w:tc>
      </w:tr>
      <w:tr w:rsidR="005A4EA3" w:rsidRPr="008A78D0" w14:paraId="11D58EA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C776B6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01.1.214</w:t>
            </w:r>
          </w:p>
        </w:tc>
        <w:tc>
          <w:tcPr>
            <w:tcW w:w="2074" w:type="dxa"/>
            <w:tcBorders>
              <w:top w:val="nil"/>
              <w:left w:val="single" w:sz="4" w:space="0" w:color="auto"/>
              <w:bottom w:val="nil"/>
              <w:right w:val="single" w:sz="4" w:space="0" w:color="auto"/>
            </w:tcBorders>
            <w:shd w:val="clear" w:color="auto" w:fill="auto"/>
            <w:noWrap/>
            <w:vAlign w:val="bottom"/>
            <w:hideMark/>
          </w:tcPr>
          <w:p w14:paraId="6C6153A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Sausages (pork &amp; chicken)</w:t>
            </w:r>
          </w:p>
        </w:tc>
        <w:tc>
          <w:tcPr>
            <w:tcW w:w="1153" w:type="dxa"/>
            <w:tcBorders>
              <w:top w:val="nil"/>
              <w:left w:val="single" w:sz="4" w:space="0" w:color="auto"/>
              <w:bottom w:val="nil"/>
              <w:right w:val="nil"/>
            </w:tcBorders>
            <w:shd w:val="clear" w:color="auto" w:fill="auto"/>
            <w:noWrap/>
            <w:vAlign w:val="bottom"/>
            <w:hideMark/>
          </w:tcPr>
          <w:p w14:paraId="6CD3B8D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1.049</w:t>
            </w:r>
          </w:p>
        </w:tc>
        <w:tc>
          <w:tcPr>
            <w:tcW w:w="1289" w:type="dxa"/>
            <w:tcBorders>
              <w:top w:val="nil"/>
              <w:left w:val="nil"/>
              <w:bottom w:val="nil"/>
              <w:right w:val="nil"/>
            </w:tcBorders>
            <w:shd w:val="clear" w:color="auto" w:fill="auto"/>
            <w:noWrap/>
            <w:vAlign w:val="bottom"/>
            <w:hideMark/>
          </w:tcPr>
          <w:p w14:paraId="1167C5F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1.823</w:t>
            </w:r>
          </w:p>
        </w:tc>
        <w:tc>
          <w:tcPr>
            <w:tcW w:w="967" w:type="dxa"/>
            <w:tcBorders>
              <w:top w:val="nil"/>
              <w:left w:val="nil"/>
              <w:bottom w:val="nil"/>
            </w:tcBorders>
            <w:shd w:val="clear" w:color="auto" w:fill="auto"/>
            <w:noWrap/>
            <w:vAlign w:val="bottom"/>
            <w:hideMark/>
          </w:tcPr>
          <w:p w14:paraId="55213EF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1.2027</w:t>
            </w:r>
          </w:p>
        </w:tc>
        <w:tc>
          <w:tcPr>
            <w:tcW w:w="860" w:type="dxa"/>
            <w:tcBorders>
              <w:top w:val="nil"/>
              <w:bottom w:val="nil"/>
              <w:right w:val="single" w:sz="4" w:space="0" w:color="auto"/>
            </w:tcBorders>
            <w:shd w:val="clear" w:color="auto" w:fill="auto"/>
            <w:noWrap/>
            <w:vAlign w:val="bottom"/>
            <w:hideMark/>
          </w:tcPr>
          <w:p w14:paraId="777934B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0.774</w:t>
            </w:r>
          </w:p>
        </w:tc>
        <w:tc>
          <w:tcPr>
            <w:tcW w:w="967" w:type="dxa"/>
            <w:tcBorders>
              <w:top w:val="nil"/>
              <w:left w:val="single" w:sz="4" w:space="0" w:color="auto"/>
              <w:bottom w:val="nil"/>
              <w:right w:val="nil"/>
            </w:tcBorders>
            <w:shd w:val="clear" w:color="auto" w:fill="auto"/>
            <w:noWrap/>
            <w:vAlign w:val="bottom"/>
            <w:hideMark/>
          </w:tcPr>
          <w:p w14:paraId="7FE91A8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0.0481</w:t>
            </w:r>
          </w:p>
        </w:tc>
        <w:tc>
          <w:tcPr>
            <w:tcW w:w="860" w:type="dxa"/>
            <w:tcBorders>
              <w:top w:val="nil"/>
              <w:left w:val="nil"/>
              <w:bottom w:val="nil"/>
              <w:right w:val="nil"/>
            </w:tcBorders>
            <w:shd w:val="clear" w:color="auto" w:fill="auto"/>
            <w:noWrap/>
            <w:vAlign w:val="bottom"/>
            <w:hideMark/>
          </w:tcPr>
          <w:p w14:paraId="2CABFEE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0.6005</w:t>
            </w:r>
          </w:p>
        </w:tc>
        <w:tc>
          <w:tcPr>
            <w:tcW w:w="860" w:type="dxa"/>
            <w:tcBorders>
              <w:top w:val="nil"/>
              <w:left w:val="nil"/>
              <w:bottom w:val="nil"/>
              <w:right w:val="nil"/>
            </w:tcBorders>
            <w:shd w:val="clear" w:color="auto" w:fill="auto"/>
            <w:noWrap/>
            <w:vAlign w:val="bottom"/>
            <w:hideMark/>
          </w:tcPr>
          <w:p w14:paraId="5D5F4EA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0.5524</w:t>
            </w:r>
          </w:p>
        </w:tc>
        <w:tc>
          <w:tcPr>
            <w:tcW w:w="967" w:type="dxa"/>
            <w:tcBorders>
              <w:top w:val="nil"/>
              <w:left w:val="nil"/>
              <w:bottom w:val="nil"/>
              <w:right w:val="nil"/>
            </w:tcBorders>
            <w:shd w:val="clear" w:color="auto" w:fill="auto"/>
            <w:noWrap/>
            <w:vAlign w:val="bottom"/>
            <w:hideMark/>
          </w:tcPr>
          <w:p w14:paraId="2C59D30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0.1846</w:t>
            </w:r>
          </w:p>
        </w:tc>
        <w:tc>
          <w:tcPr>
            <w:tcW w:w="860" w:type="dxa"/>
            <w:tcBorders>
              <w:top w:val="nil"/>
              <w:left w:val="nil"/>
              <w:bottom w:val="nil"/>
              <w:right w:val="nil"/>
            </w:tcBorders>
            <w:shd w:val="clear" w:color="auto" w:fill="auto"/>
            <w:noWrap/>
            <w:vAlign w:val="bottom"/>
            <w:hideMark/>
          </w:tcPr>
          <w:p w14:paraId="0D01BC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1.4007</w:t>
            </w:r>
          </w:p>
        </w:tc>
        <w:tc>
          <w:tcPr>
            <w:tcW w:w="860" w:type="dxa"/>
            <w:tcBorders>
              <w:top w:val="nil"/>
              <w:left w:val="nil"/>
              <w:bottom w:val="nil"/>
              <w:right w:val="single" w:sz="4" w:space="0" w:color="auto"/>
            </w:tcBorders>
            <w:shd w:val="clear" w:color="auto" w:fill="auto"/>
            <w:noWrap/>
            <w:vAlign w:val="bottom"/>
            <w:hideMark/>
          </w:tcPr>
          <w:p w14:paraId="16B2688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0.0146</w:t>
            </w:r>
          </w:p>
        </w:tc>
        <w:tc>
          <w:tcPr>
            <w:tcW w:w="127" w:type="dxa"/>
            <w:tcBorders>
              <w:top w:val="nil"/>
              <w:left w:val="single" w:sz="4" w:space="0" w:color="auto"/>
              <w:bottom w:val="nil"/>
              <w:right w:val="nil"/>
            </w:tcBorders>
            <w:shd w:val="clear" w:color="auto" w:fill="auto"/>
            <w:noWrap/>
            <w:vAlign w:val="bottom"/>
            <w:hideMark/>
          </w:tcPr>
          <w:p w14:paraId="556153B8" w14:textId="77777777" w:rsidR="005A4EA3" w:rsidRPr="00B43597" w:rsidRDefault="005A4EA3" w:rsidP="005A4EA3">
            <w:pPr>
              <w:rPr>
                <w:rFonts w:eastAsia="Times New Roman" w:cs="Times New Roman"/>
                <w:color w:val="000000"/>
                <w:sz w:val="18"/>
                <w:szCs w:val="18"/>
              </w:rPr>
            </w:pPr>
          </w:p>
        </w:tc>
      </w:tr>
      <w:tr w:rsidR="005A4EA3" w:rsidRPr="008A78D0" w14:paraId="3CFFE4A2"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8CEDAE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01.1.301</w:t>
            </w:r>
          </w:p>
        </w:tc>
        <w:tc>
          <w:tcPr>
            <w:tcW w:w="2074" w:type="dxa"/>
            <w:tcBorders>
              <w:top w:val="nil"/>
              <w:left w:val="single" w:sz="4" w:space="0" w:color="auto"/>
              <w:bottom w:val="nil"/>
              <w:right w:val="single" w:sz="4" w:space="0" w:color="auto"/>
            </w:tcBorders>
            <w:shd w:val="clear" w:color="auto" w:fill="auto"/>
            <w:noWrap/>
            <w:vAlign w:val="bottom"/>
            <w:hideMark/>
          </w:tcPr>
          <w:p w14:paraId="42B0FD9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Grouper</w:t>
            </w:r>
          </w:p>
        </w:tc>
        <w:tc>
          <w:tcPr>
            <w:tcW w:w="1153" w:type="dxa"/>
            <w:tcBorders>
              <w:top w:val="nil"/>
              <w:left w:val="single" w:sz="4" w:space="0" w:color="auto"/>
              <w:bottom w:val="nil"/>
              <w:right w:val="nil"/>
            </w:tcBorders>
            <w:shd w:val="clear" w:color="auto" w:fill="auto"/>
            <w:noWrap/>
            <w:vAlign w:val="bottom"/>
            <w:hideMark/>
          </w:tcPr>
          <w:p w14:paraId="1AFDD86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1.142</w:t>
            </w:r>
          </w:p>
        </w:tc>
        <w:tc>
          <w:tcPr>
            <w:tcW w:w="1289" w:type="dxa"/>
            <w:tcBorders>
              <w:top w:val="nil"/>
              <w:left w:val="nil"/>
              <w:bottom w:val="nil"/>
              <w:right w:val="nil"/>
            </w:tcBorders>
            <w:shd w:val="clear" w:color="auto" w:fill="auto"/>
            <w:noWrap/>
            <w:vAlign w:val="bottom"/>
            <w:hideMark/>
          </w:tcPr>
          <w:p w14:paraId="1764EBD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1.822</w:t>
            </w:r>
          </w:p>
        </w:tc>
        <w:tc>
          <w:tcPr>
            <w:tcW w:w="967" w:type="dxa"/>
            <w:tcBorders>
              <w:top w:val="nil"/>
              <w:left w:val="nil"/>
              <w:bottom w:val="nil"/>
            </w:tcBorders>
            <w:shd w:val="clear" w:color="auto" w:fill="auto"/>
            <w:noWrap/>
            <w:vAlign w:val="bottom"/>
            <w:hideMark/>
          </w:tcPr>
          <w:p w14:paraId="15B8AF4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0.9454</w:t>
            </w:r>
          </w:p>
        </w:tc>
        <w:tc>
          <w:tcPr>
            <w:tcW w:w="860" w:type="dxa"/>
            <w:tcBorders>
              <w:top w:val="nil"/>
              <w:bottom w:val="nil"/>
              <w:right w:val="single" w:sz="4" w:space="0" w:color="auto"/>
            </w:tcBorders>
            <w:shd w:val="clear" w:color="auto" w:fill="auto"/>
            <w:noWrap/>
            <w:vAlign w:val="bottom"/>
            <w:hideMark/>
          </w:tcPr>
          <w:p w14:paraId="692959F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0.679</w:t>
            </w:r>
          </w:p>
        </w:tc>
        <w:tc>
          <w:tcPr>
            <w:tcW w:w="967" w:type="dxa"/>
            <w:tcBorders>
              <w:top w:val="nil"/>
              <w:left w:val="single" w:sz="4" w:space="0" w:color="auto"/>
              <w:bottom w:val="nil"/>
              <w:right w:val="nil"/>
            </w:tcBorders>
            <w:shd w:val="clear" w:color="auto" w:fill="auto"/>
            <w:noWrap/>
            <w:vAlign w:val="bottom"/>
            <w:hideMark/>
          </w:tcPr>
          <w:p w14:paraId="726E09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0.1329</w:t>
            </w:r>
          </w:p>
        </w:tc>
        <w:tc>
          <w:tcPr>
            <w:tcW w:w="860" w:type="dxa"/>
            <w:tcBorders>
              <w:top w:val="nil"/>
              <w:left w:val="nil"/>
              <w:bottom w:val="nil"/>
              <w:right w:val="nil"/>
            </w:tcBorders>
            <w:shd w:val="clear" w:color="auto" w:fill="auto"/>
            <w:noWrap/>
            <w:vAlign w:val="bottom"/>
            <w:hideMark/>
          </w:tcPr>
          <w:p w14:paraId="027F29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0.5997</w:t>
            </w:r>
          </w:p>
        </w:tc>
        <w:tc>
          <w:tcPr>
            <w:tcW w:w="860" w:type="dxa"/>
            <w:tcBorders>
              <w:top w:val="nil"/>
              <w:left w:val="nil"/>
              <w:bottom w:val="nil"/>
              <w:right w:val="nil"/>
            </w:tcBorders>
            <w:shd w:val="clear" w:color="auto" w:fill="auto"/>
            <w:noWrap/>
            <w:vAlign w:val="bottom"/>
            <w:hideMark/>
          </w:tcPr>
          <w:p w14:paraId="6355D54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0.4668</w:t>
            </w:r>
          </w:p>
        </w:tc>
        <w:tc>
          <w:tcPr>
            <w:tcW w:w="967" w:type="dxa"/>
            <w:tcBorders>
              <w:top w:val="nil"/>
              <w:left w:val="nil"/>
              <w:bottom w:val="nil"/>
              <w:right w:val="nil"/>
            </w:tcBorders>
            <w:shd w:val="clear" w:color="auto" w:fill="auto"/>
            <w:noWrap/>
            <w:vAlign w:val="bottom"/>
            <w:hideMark/>
          </w:tcPr>
          <w:p w14:paraId="6EE3AF3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-0.0561</w:t>
            </w:r>
          </w:p>
        </w:tc>
        <w:tc>
          <w:tcPr>
            <w:tcW w:w="860" w:type="dxa"/>
            <w:tcBorders>
              <w:top w:val="nil"/>
              <w:left w:val="nil"/>
              <w:bottom w:val="nil"/>
              <w:right w:val="nil"/>
            </w:tcBorders>
            <w:shd w:val="clear" w:color="auto" w:fill="auto"/>
            <w:noWrap/>
            <w:vAlign w:val="bottom"/>
            <w:hideMark/>
          </w:tcPr>
          <w:p w14:paraId="2FC5476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1.4555</w:t>
            </w:r>
          </w:p>
        </w:tc>
        <w:tc>
          <w:tcPr>
            <w:tcW w:w="860" w:type="dxa"/>
            <w:tcBorders>
              <w:top w:val="nil"/>
              <w:left w:val="nil"/>
              <w:bottom w:val="nil"/>
              <w:right w:val="single" w:sz="4" w:space="0" w:color="auto"/>
            </w:tcBorders>
            <w:shd w:val="clear" w:color="auto" w:fill="auto"/>
            <w:noWrap/>
            <w:vAlign w:val="bottom"/>
            <w:hideMark/>
          </w:tcPr>
          <w:p w14:paraId="3E50979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0.0152</w:t>
            </w:r>
          </w:p>
        </w:tc>
        <w:tc>
          <w:tcPr>
            <w:tcW w:w="127" w:type="dxa"/>
            <w:tcBorders>
              <w:top w:val="nil"/>
              <w:left w:val="single" w:sz="4" w:space="0" w:color="auto"/>
              <w:bottom w:val="nil"/>
              <w:right w:val="nil"/>
            </w:tcBorders>
            <w:shd w:val="clear" w:color="auto" w:fill="auto"/>
            <w:noWrap/>
            <w:vAlign w:val="bottom"/>
            <w:hideMark/>
          </w:tcPr>
          <w:p w14:paraId="34D3D0D9" w14:textId="77777777" w:rsidR="005A4EA3" w:rsidRPr="00B43597" w:rsidRDefault="005A4EA3" w:rsidP="005A4EA3">
            <w:pPr>
              <w:rPr>
                <w:rFonts w:eastAsia="Times New Roman" w:cs="Times New Roman"/>
                <w:color w:val="000000"/>
                <w:sz w:val="18"/>
                <w:szCs w:val="18"/>
              </w:rPr>
            </w:pPr>
          </w:p>
        </w:tc>
      </w:tr>
      <w:tr w:rsidR="005A4EA3" w:rsidRPr="008A78D0" w14:paraId="70779BC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FF2DF7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lastRenderedPageBreak/>
              <w:t>01.1.302</w:t>
            </w:r>
          </w:p>
        </w:tc>
        <w:tc>
          <w:tcPr>
            <w:tcW w:w="2074" w:type="dxa"/>
            <w:tcBorders>
              <w:top w:val="nil"/>
              <w:left w:val="single" w:sz="4" w:space="0" w:color="auto"/>
              <w:bottom w:val="nil"/>
              <w:right w:val="single" w:sz="4" w:space="0" w:color="auto"/>
            </w:tcBorders>
            <w:shd w:val="clear" w:color="auto" w:fill="auto"/>
            <w:noWrap/>
            <w:vAlign w:val="bottom"/>
            <w:hideMark/>
          </w:tcPr>
          <w:p w14:paraId="6374809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Sea Trout</w:t>
            </w:r>
          </w:p>
        </w:tc>
        <w:tc>
          <w:tcPr>
            <w:tcW w:w="1153" w:type="dxa"/>
            <w:tcBorders>
              <w:top w:val="nil"/>
              <w:left w:val="single" w:sz="4" w:space="0" w:color="auto"/>
              <w:bottom w:val="nil"/>
              <w:right w:val="nil"/>
            </w:tcBorders>
            <w:shd w:val="clear" w:color="auto" w:fill="auto"/>
            <w:noWrap/>
            <w:vAlign w:val="bottom"/>
            <w:hideMark/>
          </w:tcPr>
          <w:p w14:paraId="077549C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0.785</w:t>
            </w:r>
          </w:p>
        </w:tc>
        <w:tc>
          <w:tcPr>
            <w:tcW w:w="1289" w:type="dxa"/>
            <w:tcBorders>
              <w:top w:val="nil"/>
              <w:left w:val="nil"/>
              <w:bottom w:val="nil"/>
              <w:right w:val="nil"/>
            </w:tcBorders>
            <w:shd w:val="clear" w:color="auto" w:fill="auto"/>
            <w:noWrap/>
            <w:vAlign w:val="bottom"/>
            <w:hideMark/>
          </w:tcPr>
          <w:p w14:paraId="399CA1A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0.989</w:t>
            </w:r>
          </w:p>
        </w:tc>
        <w:tc>
          <w:tcPr>
            <w:tcW w:w="967" w:type="dxa"/>
            <w:tcBorders>
              <w:top w:val="nil"/>
              <w:left w:val="nil"/>
              <w:bottom w:val="nil"/>
            </w:tcBorders>
            <w:shd w:val="clear" w:color="auto" w:fill="auto"/>
            <w:noWrap/>
            <w:vAlign w:val="bottom"/>
            <w:hideMark/>
          </w:tcPr>
          <w:p w14:paraId="48F334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1.0978</w:t>
            </w:r>
          </w:p>
        </w:tc>
        <w:tc>
          <w:tcPr>
            <w:tcW w:w="860" w:type="dxa"/>
            <w:tcBorders>
              <w:top w:val="nil"/>
              <w:bottom w:val="nil"/>
              <w:right w:val="single" w:sz="4" w:space="0" w:color="auto"/>
            </w:tcBorders>
            <w:shd w:val="clear" w:color="auto" w:fill="auto"/>
            <w:noWrap/>
            <w:vAlign w:val="bottom"/>
            <w:hideMark/>
          </w:tcPr>
          <w:p w14:paraId="353C825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0.203</w:t>
            </w:r>
          </w:p>
        </w:tc>
        <w:tc>
          <w:tcPr>
            <w:tcW w:w="967" w:type="dxa"/>
            <w:tcBorders>
              <w:top w:val="nil"/>
              <w:left w:val="single" w:sz="4" w:space="0" w:color="auto"/>
              <w:bottom w:val="nil"/>
              <w:right w:val="nil"/>
            </w:tcBorders>
            <w:shd w:val="clear" w:color="auto" w:fill="auto"/>
            <w:noWrap/>
            <w:vAlign w:val="bottom"/>
            <w:hideMark/>
          </w:tcPr>
          <w:p w14:paraId="6D6151D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-0.2416</w:t>
            </w:r>
          </w:p>
        </w:tc>
        <w:tc>
          <w:tcPr>
            <w:tcW w:w="860" w:type="dxa"/>
            <w:tcBorders>
              <w:top w:val="nil"/>
              <w:left w:val="nil"/>
              <w:bottom w:val="nil"/>
              <w:right w:val="nil"/>
            </w:tcBorders>
            <w:shd w:val="clear" w:color="auto" w:fill="auto"/>
            <w:noWrap/>
            <w:vAlign w:val="bottom"/>
            <w:hideMark/>
          </w:tcPr>
          <w:p w14:paraId="498CB5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-0.0115</w:t>
            </w:r>
          </w:p>
        </w:tc>
        <w:tc>
          <w:tcPr>
            <w:tcW w:w="860" w:type="dxa"/>
            <w:tcBorders>
              <w:top w:val="nil"/>
              <w:left w:val="nil"/>
              <w:bottom w:val="nil"/>
              <w:right w:val="nil"/>
            </w:tcBorders>
            <w:shd w:val="clear" w:color="auto" w:fill="auto"/>
            <w:noWrap/>
            <w:vAlign w:val="bottom"/>
            <w:hideMark/>
          </w:tcPr>
          <w:p w14:paraId="3622F7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0.2300</w:t>
            </w:r>
          </w:p>
        </w:tc>
        <w:tc>
          <w:tcPr>
            <w:tcW w:w="967" w:type="dxa"/>
            <w:tcBorders>
              <w:top w:val="nil"/>
              <w:left w:val="nil"/>
              <w:bottom w:val="nil"/>
              <w:right w:val="nil"/>
            </w:tcBorders>
            <w:shd w:val="clear" w:color="auto" w:fill="auto"/>
            <w:noWrap/>
            <w:vAlign w:val="bottom"/>
            <w:hideMark/>
          </w:tcPr>
          <w:p w14:paraId="766BBC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0.0933</w:t>
            </w:r>
          </w:p>
        </w:tc>
        <w:tc>
          <w:tcPr>
            <w:tcW w:w="860" w:type="dxa"/>
            <w:tcBorders>
              <w:top w:val="nil"/>
              <w:left w:val="nil"/>
              <w:bottom w:val="nil"/>
              <w:right w:val="nil"/>
            </w:tcBorders>
            <w:shd w:val="clear" w:color="auto" w:fill="auto"/>
            <w:noWrap/>
            <w:vAlign w:val="bottom"/>
            <w:hideMark/>
          </w:tcPr>
          <w:p w14:paraId="1E28AF9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0.8831</w:t>
            </w:r>
          </w:p>
        </w:tc>
        <w:tc>
          <w:tcPr>
            <w:tcW w:w="860" w:type="dxa"/>
            <w:tcBorders>
              <w:top w:val="nil"/>
              <w:left w:val="nil"/>
              <w:bottom w:val="nil"/>
              <w:right w:val="single" w:sz="4" w:space="0" w:color="auto"/>
            </w:tcBorders>
            <w:shd w:val="clear" w:color="auto" w:fill="auto"/>
            <w:noWrap/>
            <w:vAlign w:val="bottom"/>
            <w:hideMark/>
          </w:tcPr>
          <w:p w14:paraId="19E4EF6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0.0092</w:t>
            </w:r>
          </w:p>
        </w:tc>
        <w:tc>
          <w:tcPr>
            <w:tcW w:w="127" w:type="dxa"/>
            <w:tcBorders>
              <w:top w:val="nil"/>
              <w:left w:val="single" w:sz="4" w:space="0" w:color="auto"/>
              <w:bottom w:val="nil"/>
              <w:right w:val="nil"/>
            </w:tcBorders>
            <w:shd w:val="clear" w:color="auto" w:fill="auto"/>
            <w:noWrap/>
            <w:vAlign w:val="bottom"/>
            <w:hideMark/>
          </w:tcPr>
          <w:p w14:paraId="7EC1EB94" w14:textId="77777777" w:rsidR="005A4EA3" w:rsidRPr="00B43597" w:rsidRDefault="005A4EA3" w:rsidP="005A4EA3">
            <w:pPr>
              <w:rPr>
                <w:rFonts w:eastAsia="Times New Roman" w:cs="Times New Roman"/>
                <w:color w:val="000000"/>
                <w:sz w:val="18"/>
                <w:szCs w:val="18"/>
              </w:rPr>
            </w:pPr>
          </w:p>
        </w:tc>
      </w:tr>
      <w:tr w:rsidR="005A4EA3" w:rsidRPr="008A78D0" w14:paraId="306CE1A9"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7A0FE3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01.1.303</w:t>
            </w:r>
          </w:p>
        </w:tc>
        <w:tc>
          <w:tcPr>
            <w:tcW w:w="2074" w:type="dxa"/>
            <w:tcBorders>
              <w:top w:val="nil"/>
              <w:left w:val="single" w:sz="4" w:space="0" w:color="auto"/>
              <w:bottom w:val="nil"/>
              <w:right w:val="single" w:sz="4" w:space="0" w:color="auto"/>
            </w:tcBorders>
            <w:shd w:val="clear" w:color="auto" w:fill="auto"/>
            <w:noWrap/>
            <w:vAlign w:val="bottom"/>
            <w:hideMark/>
          </w:tcPr>
          <w:p w14:paraId="364619E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Salted fish</w:t>
            </w:r>
          </w:p>
        </w:tc>
        <w:tc>
          <w:tcPr>
            <w:tcW w:w="1153" w:type="dxa"/>
            <w:tcBorders>
              <w:top w:val="nil"/>
              <w:left w:val="single" w:sz="4" w:space="0" w:color="auto"/>
              <w:bottom w:val="nil"/>
              <w:right w:val="nil"/>
            </w:tcBorders>
            <w:shd w:val="clear" w:color="auto" w:fill="auto"/>
            <w:noWrap/>
            <w:vAlign w:val="bottom"/>
            <w:hideMark/>
          </w:tcPr>
          <w:p w14:paraId="3A5C0E5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0.431</w:t>
            </w:r>
          </w:p>
        </w:tc>
        <w:tc>
          <w:tcPr>
            <w:tcW w:w="1289" w:type="dxa"/>
            <w:tcBorders>
              <w:top w:val="nil"/>
              <w:left w:val="nil"/>
              <w:bottom w:val="nil"/>
              <w:right w:val="nil"/>
            </w:tcBorders>
            <w:shd w:val="clear" w:color="auto" w:fill="auto"/>
            <w:noWrap/>
            <w:vAlign w:val="bottom"/>
            <w:hideMark/>
          </w:tcPr>
          <w:p w14:paraId="789F7A5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0.986</w:t>
            </w:r>
          </w:p>
        </w:tc>
        <w:tc>
          <w:tcPr>
            <w:tcW w:w="967" w:type="dxa"/>
            <w:tcBorders>
              <w:top w:val="nil"/>
              <w:left w:val="nil"/>
              <w:bottom w:val="nil"/>
            </w:tcBorders>
            <w:shd w:val="clear" w:color="auto" w:fill="auto"/>
            <w:noWrap/>
            <w:vAlign w:val="bottom"/>
            <w:hideMark/>
          </w:tcPr>
          <w:p w14:paraId="19247D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1.1624</w:t>
            </w:r>
          </w:p>
        </w:tc>
        <w:tc>
          <w:tcPr>
            <w:tcW w:w="860" w:type="dxa"/>
            <w:tcBorders>
              <w:top w:val="nil"/>
              <w:bottom w:val="nil"/>
              <w:right w:val="single" w:sz="4" w:space="0" w:color="auto"/>
            </w:tcBorders>
            <w:shd w:val="clear" w:color="auto" w:fill="auto"/>
            <w:noWrap/>
            <w:vAlign w:val="bottom"/>
            <w:hideMark/>
          </w:tcPr>
          <w:p w14:paraId="27F5057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0.555</w:t>
            </w:r>
          </w:p>
        </w:tc>
        <w:tc>
          <w:tcPr>
            <w:tcW w:w="967" w:type="dxa"/>
            <w:tcBorders>
              <w:top w:val="nil"/>
              <w:left w:val="single" w:sz="4" w:space="0" w:color="auto"/>
              <w:bottom w:val="nil"/>
              <w:right w:val="nil"/>
            </w:tcBorders>
            <w:shd w:val="clear" w:color="auto" w:fill="auto"/>
            <w:noWrap/>
            <w:vAlign w:val="bottom"/>
            <w:hideMark/>
          </w:tcPr>
          <w:p w14:paraId="7DDFC75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-0.8407</w:t>
            </w:r>
          </w:p>
        </w:tc>
        <w:tc>
          <w:tcPr>
            <w:tcW w:w="860" w:type="dxa"/>
            <w:tcBorders>
              <w:top w:val="nil"/>
              <w:left w:val="nil"/>
              <w:bottom w:val="nil"/>
              <w:right w:val="nil"/>
            </w:tcBorders>
            <w:shd w:val="clear" w:color="auto" w:fill="auto"/>
            <w:noWrap/>
            <w:vAlign w:val="bottom"/>
            <w:hideMark/>
          </w:tcPr>
          <w:p w14:paraId="0CEEA93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-0.0140</w:t>
            </w:r>
          </w:p>
        </w:tc>
        <w:tc>
          <w:tcPr>
            <w:tcW w:w="860" w:type="dxa"/>
            <w:tcBorders>
              <w:top w:val="nil"/>
              <w:left w:val="nil"/>
              <w:bottom w:val="nil"/>
              <w:right w:val="nil"/>
            </w:tcBorders>
            <w:shd w:val="clear" w:color="auto" w:fill="auto"/>
            <w:noWrap/>
            <w:vAlign w:val="bottom"/>
            <w:hideMark/>
          </w:tcPr>
          <w:p w14:paraId="3ADEC31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0.8267</w:t>
            </w:r>
          </w:p>
        </w:tc>
        <w:tc>
          <w:tcPr>
            <w:tcW w:w="967" w:type="dxa"/>
            <w:tcBorders>
              <w:top w:val="nil"/>
              <w:left w:val="nil"/>
              <w:bottom w:val="nil"/>
              <w:right w:val="nil"/>
            </w:tcBorders>
            <w:shd w:val="clear" w:color="auto" w:fill="auto"/>
            <w:noWrap/>
            <w:vAlign w:val="bottom"/>
            <w:hideMark/>
          </w:tcPr>
          <w:p w14:paraId="0EEF9C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0.1505</w:t>
            </w:r>
          </w:p>
        </w:tc>
        <w:tc>
          <w:tcPr>
            <w:tcW w:w="860" w:type="dxa"/>
            <w:tcBorders>
              <w:top w:val="nil"/>
              <w:left w:val="nil"/>
              <w:bottom w:val="nil"/>
              <w:right w:val="nil"/>
            </w:tcBorders>
            <w:shd w:val="clear" w:color="auto" w:fill="auto"/>
            <w:noWrap/>
            <w:vAlign w:val="bottom"/>
            <w:hideMark/>
          </w:tcPr>
          <w:p w14:paraId="1959953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0.6710</w:t>
            </w:r>
          </w:p>
        </w:tc>
        <w:tc>
          <w:tcPr>
            <w:tcW w:w="860" w:type="dxa"/>
            <w:tcBorders>
              <w:top w:val="nil"/>
              <w:left w:val="nil"/>
              <w:bottom w:val="nil"/>
              <w:right w:val="single" w:sz="4" w:space="0" w:color="auto"/>
            </w:tcBorders>
            <w:shd w:val="clear" w:color="auto" w:fill="auto"/>
            <w:noWrap/>
            <w:vAlign w:val="bottom"/>
            <w:hideMark/>
          </w:tcPr>
          <w:p w14:paraId="1CBD99E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0.0070</w:t>
            </w:r>
          </w:p>
        </w:tc>
        <w:tc>
          <w:tcPr>
            <w:tcW w:w="127" w:type="dxa"/>
            <w:tcBorders>
              <w:top w:val="nil"/>
              <w:left w:val="single" w:sz="4" w:space="0" w:color="auto"/>
              <w:bottom w:val="nil"/>
              <w:right w:val="nil"/>
            </w:tcBorders>
            <w:shd w:val="clear" w:color="auto" w:fill="auto"/>
            <w:noWrap/>
            <w:vAlign w:val="bottom"/>
            <w:hideMark/>
          </w:tcPr>
          <w:p w14:paraId="30C5D443" w14:textId="77777777" w:rsidR="005A4EA3" w:rsidRPr="00B43597" w:rsidRDefault="005A4EA3" w:rsidP="005A4EA3">
            <w:pPr>
              <w:rPr>
                <w:rFonts w:eastAsia="Times New Roman" w:cs="Times New Roman"/>
                <w:color w:val="000000"/>
                <w:sz w:val="18"/>
                <w:szCs w:val="18"/>
              </w:rPr>
            </w:pPr>
          </w:p>
        </w:tc>
      </w:tr>
      <w:tr w:rsidR="005A4EA3" w:rsidRPr="008A78D0" w14:paraId="4B781AB2"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C19E9A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01.1.304</w:t>
            </w:r>
          </w:p>
        </w:tc>
        <w:tc>
          <w:tcPr>
            <w:tcW w:w="2074" w:type="dxa"/>
            <w:tcBorders>
              <w:top w:val="nil"/>
              <w:left w:val="single" w:sz="4" w:space="0" w:color="auto"/>
              <w:bottom w:val="nil"/>
              <w:right w:val="single" w:sz="4" w:space="0" w:color="auto"/>
            </w:tcBorders>
            <w:shd w:val="clear" w:color="auto" w:fill="auto"/>
            <w:noWrap/>
            <w:vAlign w:val="bottom"/>
            <w:hideMark/>
          </w:tcPr>
          <w:p w14:paraId="6924D28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Butter fish</w:t>
            </w:r>
          </w:p>
        </w:tc>
        <w:tc>
          <w:tcPr>
            <w:tcW w:w="1153" w:type="dxa"/>
            <w:tcBorders>
              <w:top w:val="nil"/>
              <w:left w:val="single" w:sz="4" w:space="0" w:color="auto"/>
              <w:bottom w:val="nil"/>
              <w:right w:val="nil"/>
            </w:tcBorders>
            <w:shd w:val="clear" w:color="auto" w:fill="auto"/>
            <w:noWrap/>
            <w:vAlign w:val="bottom"/>
            <w:hideMark/>
          </w:tcPr>
          <w:p w14:paraId="44AC72D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0.503</w:t>
            </w:r>
          </w:p>
        </w:tc>
        <w:tc>
          <w:tcPr>
            <w:tcW w:w="1289" w:type="dxa"/>
            <w:tcBorders>
              <w:top w:val="nil"/>
              <w:left w:val="nil"/>
              <w:bottom w:val="nil"/>
              <w:right w:val="nil"/>
            </w:tcBorders>
            <w:shd w:val="clear" w:color="auto" w:fill="auto"/>
            <w:noWrap/>
            <w:vAlign w:val="bottom"/>
            <w:hideMark/>
          </w:tcPr>
          <w:p w14:paraId="26BF2D2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0.256</w:t>
            </w:r>
          </w:p>
        </w:tc>
        <w:tc>
          <w:tcPr>
            <w:tcW w:w="967" w:type="dxa"/>
            <w:tcBorders>
              <w:top w:val="nil"/>
              <w:left w:val="nil"/>
              <w:bottom w:val="nil"/>
            </w:tcBorders>
            <w:shd w:val="clear" w:color="auto" w:fill="auto"/>
            <w:noWrap/>
            <w:vAlign w:val="bottom"/>
            <w:hideMark/>
          </w:tcPr>
          <w:p w14:paraId="0F33F2B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0.9882</w:t>
            </w:r>
          </w:p>
        </w:tc>
        <w:tc>
          <w:tcPr>
            <w:tcW w:w="860" w:type="dxa"/>
            <w:tcBorders>
              <w:top w:val="nil"/>
              <w:bottom w:val="nil"/>
              <w:right w:val="single" w:sz="4" w:space="0" w:color="auto"/>
            </w:tcBorders>
            <w:shd w:val="clear" w:color="auto" w:fill="auto"/>
            <w:noWrap/>
            <w:vAlign w:val="bottom"/>
            <w:hideMark/>
          </w:tcPr>
          <w:p w14:paraId="56F3C7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-0.248</w:t>
            </w:r>
          </w:p>
        </w:tc>
        <w:tc>
          <w:tcPr>
            <w:tcW w:w="967" w:type="dxa"/>
            <w:tcBorders>
              <w:top w:val="nil"/>
              <w:left w:val="single" w:sz="4" w:space="0" w:color="auto"/>
              <w:bottom w:val="nil"/>
              <w:right w:val="nil"/>
            </w:tcBorders>
            <w:shd w:val="clear" w:color="auto" w:fill="auto"/>
            <w:noWrap/>
            <w:vAlign w:val="bottom"/>
            <w:hideMark/>
          </w:tcPr>
          <w:p w14:paraId="6131A6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-0.6865</w:t>
            </w:r>
          </w:p>
        </w:tc>
        <w:tc>
          <w:tcPr>
            <w:tcW w:w="860" w:type="dxa"/>
            <w:tcBorders>
              <w:top w:val="nil"/>
              <w:left w:val="nil"/>
              <w:bottom w:val="nil"/>
              <w:right w:val="nil"/>
            </w:tcBorders>
            <w:shd w:val="clear" w:color="auto" w:fill="auto"/>
            <w:noWrap/>
            <w:vAlign w:val="bottom"/>
            <w:hideMark/>
          </w:tcPr>
          <w:p w14:paraId="48DB80F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-1.3637</w:t>
            </w:r>
          </w:p>
        </w:tc>
        <w:tc>
          <w:tcPr>
            <w:tcW w:w="860" w:type="dxa"/>
            <w:tcBorders>
              <w:top w:val="nil"/>
              <w:left w:val="nil"/>
              <w:bottom w:val="nil"/>
              <w:right w:val="nil"/>
            </w:tcBorders>
            <w:shd w:val="clear" w:color="auto" w:fill="auto"/>
            <w:noWrap/>
            <w:vAlign w:val="bottom"/>
            <w:hideMark/>
          </w:tcPr>
          <w:p w14:paraId="27EE85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-0.6771</w:t>
            </w:r>
          </w:p>
        </w:tc>
        <w:tc>
          <w:tcPr>
            <w:tcW w:w="967" w:type="dxa"/>
            <w:tcBorders>
              <w:top w:val="nil"/>
              <w:left w:val="nil"/>
              <w:bottom w:val="nil"/>
              <w:right w:val="nil"/>
            </w:tcBorders>
            <w:shd w:val="clear" w:color="auto" w:fill="auto"/>
            <w:noWrap/>
            <w:vAlign w:val="bottom"/>
            <w:hideMark/>
          </w:tcPr>
          <w:p w14:paraId="048EF02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-0.0119</w:t>
            </w:r>
          </w:p>
        </w:tc>
        <w:tc>
          <w:tcPr>
            <w:tcW w:w="860" w:type="dxa"/>
            <w:tcBorders>
              <w:top w:val="nil"/>
              <w:left w:val="nil"/>
              <w:bottom w:val="nil"/>
              <w:right w:val="nil"/>
            </w:tcBorders>
            <w:shd w:val="clear" w:color="auto" w:fill="auto"/>
            <w:noWrap/>
            <w:vAlign w:val="bottom"/>
            <w:hideMark/>
          </w:tcPr>
          <w:p w14:paraId="7AA0896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0.3657</w:t>
            </w:r>
          </w:p>
        </w:tc>
        <w:tc>
          <w:tcPr>
            <w:tcW w:w="860" w:type="dxa"/>
            <w:tcBorders>
              <w:top w:val="nil"/>
              <w:left w:val="nil"/>
              <w:bottom w:val="nil"/>
              <w:right w:val="single" w:sz="4" w:space="0" w:color="auto"/>
            </w:tcBorders>
            <w:shd w:val="clear" w:color="auto" w:fill="auto"/>
            <w:noWrap/>
            <w:vAlign w:val="bottom"/>
            <w:hideMark/>
          </w:tcPr>
          <w:p w14:paraId="7BC3D7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0.0038</w:t>
            </w:r>
          </w:p>
        </w:tc>
        <w:tc>
          <w:tcPr>
            <w:tcW w:w="127" w:type="dxa"/>
            <w:tcBorders>
              <w:top w:val="nil"/>
              <w:left w:val="single" w:sz="4" w:space="0" w:color="auto"/>
              <w:bottom w:val="nil"/>
              <w:right w:val="nil"/>
            </w:tcBorders>
            <w:shd w:val="clear" w:color="auto" w:fill="auto"/>
            <w:noWrap/>
            <w:vAlign w:val="bottom"/>
            <w:hideMark/>
          </w:tcPr>
          <w:p w14:paraId="232E8A30" w14:textId="77777777" w:rsidR="005A4EA3" w:rsidRPr="00B43597" w:rsidRDefault="005A4EA3" w:rsidP="005A4EA3">
            <w:pPr>
              <w:rPr>
                <w:rFonts w:eastAsia="Times New Roman" w:cs="Times New Roman"/>
                <w:color w:val="000000"/>
                <w:sz w:val="18"/>
                <w:szCs w:val="18"/>
              </w:rPr>
            </w:pPr>
          </w:p>
        </w:tc>
      </w:tr>
      <w:tr w:rsidR="005A4EA3" w:rsidRPr="008A78D0" w14:paraId="60D6EB0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9A4EE8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01.1.305</w:t>
            </w:r>
          </w:p>
        </w:tc>
        <w:tc>
          <w:tcPr>
            <w:tcW w:w="2074" w:type="dxa"/>
            <w:tcBorders>
              <w:top w:val="nil"/>
              <w:left w:val="single" w:sz="4" w:space="0" w:color="auto"/>
              <w:bottom w:val="nil"/>
              <w:right w:val="single" w:sz="4" w:space="0" w:color="auto"/>
            </w:tcBorders>
            <w:shd w:val="clear" w:color="auto" w:fill="auto"/>
            <w:noWrap/>
            <w:vAlign w:val="bottom"/>
            <w:hideMark/>
          </w:tcPr>
          <w:p w14:paraId="275FEFBD"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Shrimp, fresh</w:t>
            </w:r>
          </w:p>
        </w:tc>
        <w:tc>
          <w:tcPr>
            <w:tcW w:w="1153" w:type="dxa"/>
            <w:tcBorders>
              <w:top w:val="nil"/>
              <w:left w:val="single" w:sz="4" w:space="0" w:color="auto"/>
              <w:bottom w:val="nil"/>
              <w:right w:val="nil"/>
            </w:tcBorders>
            <w:shd w:val="clear" w:color="auto" w:fill="auto"/>
            <w:noWrap/>
            <w:vAlign w:val="bottom"/>
            <w:hideMark/>
          </w:tcPr>
          <w:p w14:paraId="267CE3B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0.426</w:t>
            </w:r>
          </w:p>
        </w:tc>
        <w:tc>
          <w:tcPr>
            <w:tcW w:w="1289" w:type="dxa"/>
            <w:tcBorders>
              <w:top w:val="nil"/>
              <w:left w:val="nil"/>
              <w:bottom w:val="nil"/>
              <w:right w:val="nil"/>
            </w:tcBorders>
            <w:shd w:val="clear" w:color="auto" w:fill="auto"/>
            <w:noWrap/>
            <w:vAlign w:val="bottom"/>
            <w:hideMark/>
          </w:tcPr>
          <w:p w14:paraId="2038332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0.454</w:t>
            </w:r>
          </w:p>
        </w:tc>
        <w:tc>
          <w:tcPr>
            <w:tcW w:w="967" w:type="dxa"/>
            <w:tcBorders>
              <w:top w:val="nil"/>
              <w:left w:val="nil"/>
              <w:bottom w:val="nil"/>
            </w:tcBorders>
            <w:shd w:val="clear" w:color="auto" w:fill="auto"/>
            <w:noWrap/>
            <w:vAlign w:val="bottom"/>
            <w:hideMark/>
          </w:tcPr>
          <w:p w14:paraId="270F32F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1.4015</w:t>
            </w:r>
          </w:p>
        </w:tc>
        <w:tc>
          <w:tcPr>
            <w:tcW w:w="860" w:type="dxa"/>
            <w:tcBorders>
              <w:top w:val="nil"/>
              <w:bottom w:val="nil"/>
              <w:right w:val="single" w:sz="4" w:space="0" w:color="auto"/>
            </w:tcBorders>
            <w:shd w:val="clear" w:color="auto" w:fill="auto"/>
            <w:noWrap/>
            <w:vAlign w:val="bottom"/>
            <w:hideMark/>
          </w:tcPr>
          <w:p w14:paraId="0D21FDE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0.028</w:t>
            </w:r>
          </w:p>
        </w:tc>
        <w:tc>
          <w:tcPr>
            <w:tcW w:w="967" w:type="dxa"/>
            <w:tcBorders>
              <w:top w:val="nil"/>
              <w:left w:val="single" w:sz="4" w:space="0" w:color="auto"/>
              <w:bottom w:val="nil"/>
              <w:right w:val="nil"/>
            </w:tcBorders>
            <w:shd w:val="clear" w:color="auto" w:fill="auto"/>
            <w:noWrap/>
            <w:vAlign w:val="bottom"/>
            <w:hideMark/>
          </w:tcPr>
          <w:p w14:paraId="6C1548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-0.8536</w:t>
            </w:r>
          </w:p>
        </w:tc>
        <w:tc>
          <w:tcPr>
            <w:tcW w:w="860" w:type="dxa"/>
            <w:tcBorders>
              <w:top w:val="nil"/>
              <w:left w:val="nil"/>
              <w:bottom w:val="nil"/>
              <w:right w:val="nil"/>
            </w:tcBorders>
            <w:shd w:val="clear" w:color="auto" w:fill="auto"/>
            <w:noWrap/>
            <w:vAlign w:val="bottom"/>
            <w:hideMark/>
          </w:tcPr>
          <w:p w14:paraId="0783883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-0.7907</w:t>
            </w:r>
          </w:p>
        </w:tc>
        <w:tc>
          <w:tcPr>
            <w:tcW w:w="860" w:type="dxa"/>
            <w:tcBorders>
              <w:top w:val="nil"/>
              <w:left w:val="nil"/>
              <w:bottom w:val="nil"/>
              <w:right w:val="nil"/>
            </w:tcBorders>
            <w:shd w:val="clear" w:color="auto" w:fill="auto"/>
            <w:noWrap/>
            <w:vAlign w:val="bottom"/>
            <w:hideMark/>
          </w:tcPr>
          <w:p w14:paraId="5C0D828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0.0629</w:t>
            </w:r>
          </w:p>
        </w:tc>
        <w:tc>
          <w:tcPr>
            <w:tcW w:w="967" w:type="dxa"/>
            <w:tcBorders>
              <w:top w:val="nil"/>
              <w:left w:val="nil"/>
              <w:bottom w:val="nil"/>
              <w:right w:val="nil"/>
            </w:tcBorders>
            <w:shd w:val="clear" w:color="auto" w:fill="auto"/>
            <w:noWrap/>
            <w:vAlign w:val="bottom"/>
            <w:hideMark/>
          </w:tcPr>
          <w:p w14:paraId="0D54E8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0.3375</w:t>
            </w:r>
          </w:p>
        </w:tc>
        <w:tc>
          <w:tcPr>
            <w:tcW w:w="860" w:type="dxa"/>
            <w:tcBorders>
              <w:top w:val="nil"/>
              <w:left w:val="nil"/>
              <w:bottom w:val="nil"/>
              <w:right w:val="nil"/>
            </w:tcBorders>
            <w:shd w:val="clear" w:color="auto" w:fill="auto"/>
            <w:noWrap/>
            <w:vAlign w:val="bottom"/>
            <w:hideMark/>
          </w:tcPr>
          <w:p w14:paraId="0D60D6D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0.4396</w:t>
            </w:r>
          </w:p>
        </w:tc>
        <w:tc>
          <w:tcPr>
            <w:tcW w:w="860" w:type="dxa"/>
            <w:tcBorders>
              <w:top w:val="nil"/>
              <w:left w:val="nil"/>
              <w:bottom w:val="nil"/>
              <w:right w:val="single" w:sz="4" w:space="0" w:color="auto"/>
            </w:tcBorders>
            <w:shd w:val="clear" w:color="auto" w:fill="auto"/>
            <w:noWrap/>
            <w:vAlign w:val="bottom"/>
            <w:hideMark/>
          </w:tcPr>
          <w:p w14:paraId="571E120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0.0046</w:t>
            </w:r>
          </w:p>
        </w:tc>
        <w:tc>
          <w:tcPr>
            <w:tcW w:w="127" w:type="dxa"/>
            <w:tcBorders>
              <w:top w:val="nil"/>
              <w:left w:val="single" w:sz="4" w:space="0" w:color="auto"/>
              <w:bottom w:val="nil"/>
              <w:right w:val="nil"/>
            </w:tcBorders>
            <w:shd w:val="clear" w:color="auto" w:fill="auto"/>
            <w:noWrap/>
            <w:vAlign w:val="bottom"/>
            <w:hideMark/>
          </w:tcPr>
          <w:p w14:paraId="37A5706E" w14:textId="77777777" w:rsidR="005A4EA3" w:rsidRPr="00B43597" w:rsidRDefault="005A4EA3" w:rsidP="005A4EA3">
            <w:pPr>
              <w:rPr>
                <w:rFonts w:eastAsia="Times New Roman" w:cs="Times New Roman"/>
                <w:color w:val="000000"/>
                <w:sz w:val="18"/>
                <w:szCs w:val="18"/>
              </w:rPr>
            </w:pPr>
          </w:p>
        </w:tc>
      </w:tr>
      <w:tr w:rsidR="005A4EA3" w:rsidRPr="008A78D0" w14:paraId="1CA6142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004295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01.1.307</w:t>
            </w:r>
          </w:p>
        </w:tc>
        <w:tc>
          <w:tcPr>
            <w:tcW w:w="2074" w:type="dxa"/>
            <w:tcBorders>
              <w:top w:val="nil"/>
              <w:left w:val="single" w:sz="4" w:space="0" w:color="auto"/>
              <w:bottom w:val="nil"/>
              <w:right w:val="single" w:sz="4" w:space="0" w:color="auto"/>
            </w:tcBorders>
            <w:shd w:val="clear" w:color="auto" w:fill="auto"/>
            <w:noWrap/>
            <w:vAlign w:val="bottom"/>
            <w:hideMark/>
          </w:tcPr>
          <w:p w14:paraId="2AB1C8D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Grey snapper</w:t>
            </w:r>
          </w:p>
        </w:tc>
        <w:tc>
          <w:tcPr>
            <w:tcW w:w="1153" w:type="dxa"/>
            <w:tcBorders>
              <w:top w:val="nil"/>
              <w:left w:val="single" w:sz="4" w:space="0" w:color="auto"/>
              <w:bottom w:val="nil"/>
              <w:right w:val="nil"/>
            </w:tcBorders>
            <w:shd w:val="clear" w:color="auto" w:fill="auto"/>
            <w:noWrap/>
            <w:vAlign w:val="bottom"/>
            <w:hideMark/>
          </w:tcPr>
          <w:p w14:paraId="0173A83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0.581</w:t>
            </w:r>
          </w:p>
        </w:tc>
        <w:tc>
          <w:tcPr>
            <w:tcW w:w="1289" w:type="dxa"/>
            <w:tcBorders>
              <w:top w:val="nil"/>
              <w:left w:val="nil"/>
              <w:bottom w:val="nil"/>
              <w:right w:val="nil"/>
            </w:tcBorders>
            <w:shd w:val="clear" w:color="auto" w:fill="auto"/>
            <w:noWrap/>
            <w:vAlign w:val="bottom"/>
            <w:hideMark/>
          </w:tcPr>
          <w:p w14:paraId="4D092F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0.366</w:t>
            </w:r>
          </w:p>
        </w:tc>
        <w:tc>
          <w:tcPr>
            <w:tcW w:w="967" w:type="dxa"/>
            <w:tcBorders>
              <w:top w:val="nil"/>
              <w:left w:val="nil"/>
              <w:bottom w:val="nil"/>
            </w:tcBorders>
            <w:shd w:val="clear" w:color="auto" w:fill="auto"/>
            <w:noWrap/>
            <w:vAlign w:val="bottom"/>
            <w:hideMark/>
          </w:tcPr>
          <w:p w14:paraId="746992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1.0085</w:t>
            </w:r>
          </w:p>
        </w:tc>
        <w:tc>
          <w:tcPr>
            <w:tcW w:w="860" w:type="dxa"/>
            <w:tcBorders>
              <w:top w:val="nil"/>
              <w:bottom w:val="nil"/>
              <w:right w:val="single" w:sz="4" w:space="0" w:color="auto"/>
            </w:tcBorders>
            <w:shd w:val="clear" w:color="auto" w:fill="auto"/>
            <w:noWrap/>
            <w:vAlign w:val="bottom"/>
            <w:hideMark/>
          </w:tcPr>
          <w:p w14:paraId="111A3D9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-0.215</w:t>
            </w:r>
          </w:p>
        </w:tc>
        <w:tc>
          <w:tcPr>
            <w:tcW w:w="967" w:type="dxa"/>
            <w:tcBorders>
              <w:top w:val="nil"/>
              <w:left w:val="single" w:sz="4" w:space="0" w:color="auto"/>
              <w:bottom w:val="nil"/>
              <w:right w:val="nil"/>
            </w:tcBorders>
            <w:shd w:val="clear" w:color="auto" w:fill="auto"/>
            <w:noWrap/>
            <w:vAlign w:val="bottom"/>
            <w:hideMark/>
          </w:tcPr>
          <w:p w14:paraId="36B990F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-0.5434</w:t>
            </w:r>
          </w:p>
        </w:tc>
        <w:tc>
          <w:tcPr>
            <w:tcW w:w="860" w:type="dxa"/>
            <w:tcBorders>
              <w:top w:val="nil"/>
              <w:left w:val="nil"/>
              <w:bottom w:val="nil"/>
              <w:right w:val="nil"/>
            </w:tcBorders>
            <w:shd w:val="clear" w:color="auto" w:fill="auto"/>
            <w:noWrap/>
            <w:vAlign w:val="bottom"/>
            <w:hideMark/>
          </w:tcPr>
          <w:p w14:paraId="07FB15A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-1.0051</w:t>
            </w:r>
          </w:p>
        </w:tc>
        <w:tc>
          <w:tcPr>
            <w:tcW w:w="860" w:type="dxa"/>
            <w:tcBorders>
              <w:top w:val="nil"/>
              <w:left w:val="nil"/>
              <w:bottom w:val="nil"/>
              <w:right w:val="nil"/>
            </w:tcBorders>
            <w:shd w:val="clear" w:color="auto" w:fill="auto"/>
            <w:noWrap/>
            <w:vAlign w:val="bottom"/>
            <w:hideMark/>
          </w:tcPr>
          <w:p w14:paraId="467B14F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-0.4617</w:t>
            </w:r>
          </w:p>
        </w:tc>
        <w:tc>
          <w:tcPr>
            <w:tcW w:w="967" w:type="dxa"/>
            <w:tcBorders>
              <w:top w:val="nil"/>
              <w:left w:val="nil"/>
              <w:bottom w:val="nil"/>
              <w:right w:val="nil"/>
            </w:tcBorders>
            <w:shd w:val="clear" w:color="auto" w:fill="auto"/>
            <w:noWrap/>
            <w:vAlign w:val="bottom"/>
            <w:hideMark/>
          </w:tcPr>
          <w:p w14:paraId="7AE02B6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0.0085</w:t>
            </w:r>
          </w:p>
        </w:tc>
        <w:tc>
          <w:tcPr>
            <w:tcW w:w="860" w:type="dxa"/>
            <w:tcBorders>
              <w:top w:val="nil"/>
              <w:left w:val="nil"/>
              <w:bottom w:val="nil"/>
              <w:right w:val="nil"/>
            </w:tcBorders>
            <w:shd w:val="clear" w:color="auto" w:fill="auto"/>
            <w:noWrap/>
            <w:vAlign w:val="bottom"/>
            <w:hideMark/>
          </w:tcPr>
          <w:p w14:paraId="04ED3EC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0.4651</w:t>
            </w:r>
          </w:p>
        </w:tc>
        <w:tc>
          <w:tcPr>
            <w:tcW w:w="860" w:type="dxa"/>
            <w:tcBorders>
              <w:top w:val="nil"/>
              <w:left w:val="nil"/>
              <w:bottom w:val="nil"/>
              <w:right w:val="single" w:sz="4" w:space="0" w:color="auto"/>
            </w:tcBorders>
            <w:shd w:val="clear" w:color="auto" w:fill="auto"/>
            <w:noWrap/>
            <w:vAlign w:val="bottom"/>
            <w:hideMark/>
          </w:tcPr>
          <w:p w14:paraId="1C8DE2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0.0049</w:t>
            </w:r>
          </w:p>
        </w:tc>
        <w:tc>
          <w:tcPr>
            <w:tcW w:w="127" w:type="dxa"/>
            <w:tcBorders>
              <w:top w:val="nil"/>
              <w:left w:val="single" w:sz="4" w:space="0" w:color="auto"/>
              <w:bottom w:val="nil"/>
              <w:right w:val="nil"/>
            </w:tcBorders>
            <w:shd w:val="clear" w:color="auto" w:fill="auto"/>
            <w:noWrap/>
            <w:vAlign w:val="bottom"/>
            <w:hideMark/>
          </w:tcPr>
          <w:p w14:paraId="0A2DDDE3" w14:textId="77777777" w:rsidR="005A4EA3" w:rsidRPr="00B43597" w:rsidRDefault="005A4EA3" w:rsidP="005A4EA3">
            <w:pPr>
              <w:rPr>
                <w:rFonts w:eastAsia="Times New Roman" w:cs="Times New Roman"/>
                <w:color w:val="000000"/>
                <w:sz w:val="18"/>
                <w:szCs w:val="18"/>
              </w:rPr>
            </w:pPr>
          </w:p>
        </w:tc>
      </w:tr>
      <w:tr w:rsidR="005A4EA3" w:rsidRPr="008A78D0" w14:paraId="74E86FD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A5ECE1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01.1.308</w:t>
            </w:r>
          </w:p>
        </w:tc>
        <w:tc>
          <w:tcPr>
            <w:tcW w:w="2074" w:type="dxa"/>
            <w:tcBorders>
              <w:top w:val="nil"/>
              <w:left w:val="single" w:sz="4" w:space="0" w:color="auto"/>
              <w:right w:val="single" w:sz="4" w:space="0" w:color="auto"/>
            </w:tcBorders>
            <w:shd w:val="clear" w:color="auto" w:fill="auto"/>
            <w:noWrap/>
            <w:vAlign w:val="bottom"/>
            <w:hideMark/>
          </w:tcPr>
          <w:p w14:paraId="12161B1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Red snapper</w:t>
            </w:r>
          </w:p>
        </w:tc>
        <w:tc>
          <w:tcPr>
            <w:tcW w:w="1153" w:type="dxa"/>
            <w:tcBorders>
              <w:top w:val="nil"/>
              <w:left w:val="single" w:sz="4" w:space="0" w:color="auto"/>
              <w:bottom w:val="nil"/>
              <w:right w:val="nil"/>
            </w:tcBorders>
            <w:shd w:val="clear" w:color="auto" w:fill="auto"/>
            <w:noWrap/>
            <w:vAlign w:val="bottom"/>
            <w:hideMark/>
          </w:tcPr>
          <w:p w14:paraId="751ABC3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0.393</w:t>
            </w:r>
          </w:p>
        </w:tc>
        <w:tc>
          <w:tcPr>
            <w:tcW w:w="1289" w:type="dxa"/>
            <w:tcBorders>
              <w:top w:val="nil"/>
              <w:left w:val="nil"/>
              <w:bottom w:val="nil"/>
              <w:right w:val="nil"/>
            </w:tcBorders>
            <w:shd w:val="clear" w:color="auto" w:fill="auto"/>
            <w:noWrap/>
            <w:vAlign w:val="bottom"/>
            <w:hideMark/>
          </w:tcPr>
          <w:p w14:paraId="1DB368E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0.259</w:t>
            </w:r>
          </w:p>
        </w:tc>
        <w:tc>
          <w:tcPr>
            <w:tcW w:w="967" w:type="dxa"/>
            <w:tcBorders>
              <w:top w:val="nil"/>
              <w:left w:val="nil"/>
              <w:bottom w:val="nil"/>
            </w:tcBorders>
            <w:shd w:val="clear" w:color="auto" w:fill="auto"/>
            <w:noWrap/>
            <w:vAlign w:val="bottom"/>
            <w:hideMark/>
          </w:tcPr>
          <w:p w14:paraId="06CCB83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1.0085</w:t>
            </w:r>
          </w:p>
        </w:tc>
        <w:tc>
          <w:tcPr>
            <w:tcW w:w="860" w:type="dxa"/>
            <w:tcBorders>
              <w:top w:val="nil"/>
              <w:bottom w:val="nil"/>
              <w:right w:val="single" w:sz="4" w:space="0" w:color="auto"/>
            </w:tcBorders>
            <w:shd w:val="clear" w:color="auto" w:fill="auto"/>
            <w:noWrap/>
            <w:vAlign w:val="bottom"/>
            <w:hideMark/>
          </w:tcPr>
          <w:p w14:paraId="76C4F7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-0.134</w:t>
            </w:r>
          </w:p>
        </w:tc>
        <w:tc>
          <w:tcPr>
            <w:tcW w:w="967" w:type="dxa"/>
            <w:tcBorders>
              <w:top w:val="nil"/>
              <w:left w:val="single" w:sz="4" w:space="0" w:color="auto"/>
              <w:bottom w:val="nil"/>
              <w:right w:val="nil"/>
            </w:tcBorders>
            <w:shd w:val="clear" w:color="auto" w:fill="auto"/>
            <w:noWrap/>
            <w:vAlign w:val="bottom"/>
            <w:hideMark/>
          </w:tcPr>
          <w:p w14:paraId="7D4BF66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-0.9347</w:t>
            </w:r>
          </w:p>
        </w:tc>
        <w:tc>
          <w:tcPr>
            <w:tcW w:w="860" w:type="dxa"/>
            <w:tcBorders>
              <w:top w:val="nil"/>
              <w:left w:val="nil"/>
              <w:bottom w:val="nil"/>
              <w:right w:val="nil"/>
            </w:tcBorders>
            <w:shd w:val="clear" w:color="auto" w:fill="auto"/>
            <w:noWrap/>
            <w:vAlign w:val="bottom"/>
            <w:hideMark/>
          </w:tcPr>
          <w:p w14:paraId="6637D08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-1.3513</w:t>
            </w:r>
          </w:p>
        </w:tc>
        <w:tc>
          <w:tcPr>
            <w:tcW w:w="860" w:type="dxa"/>
            <w:tcBorders>
              <w:top w:val="nil"/>
              <w:left w:val="nil"/>
              <w:bottom w:val="nil"/>
              <w:right w:val="nil"/>
            </w:tcBorders>
            <w:shd w:val="clear" w:color="auto" w:fill="auto"/>
            <w:noWrap/>
            <w:vAlign w:val="bottom"/>
            <w:hideMark/>
          </w:tcPr>
          <w:p w14:paraId="064713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-0.4165</w:t>
            </w:r>
          </w:p>
        </w:tc>
        <w:tc>
          <w:tcPr>
            <w:tcW w:w="967" w:type="dxa"/>
            <w:tcBorders>
              <w:top w:val="nil"/>
              <w:left w:val="nil"/>
              <w:bottom w:val="nil"/>
              <w:right w:val="nil"/>
            </w:tcBorders>
            <w:shd w:val="clear" w:color="auto" w:fill="auto"/>
            <w:noWrap/>
            <w:vAlign w:val="bottom"/>
            <w:hideMark/>
          </w:tcPr>
          <w:p w14:paraId="6FBEFEE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0.0085</w:t>
            </w:r>
          </w:p>
        </w:tc>
        <w:tc>
          <w:tcPr>
            <w:tcW w:w="860" w:type="dxa"/>
            <w:tcBorders>
              <w:top w:val="nil"/>
              <w:left w:val="nil"/>
              <w:bottom w:val="nil"/>
              <w:right w:val="nil"/>
            </w:tcBorders>
            <w:shd w:val="clear" w:color="auto" w:fill="auto"/>
            <w:noWrap/>
            <w:vAlign w:val="bottom"/>
            <w:hideMark/>
          </w:tcPr>
          <w:p w14:paraId="0D4694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0.3212</w:t>
            </w:r>
          </w:p>
        </w:tc>
        <w:tc>
          <w:tcPr>
            <w:tcW w:w="860" w:type="dxa"/>
            <w:tcBorders>
              <w:top w:val="nil"/>
              <w:left w:val="nil"/>
              <w:bottom w:val="nil"/>
              <w:right w:val="single" w:sz="4" w:space="0" w:color="auto"/>
            </w:tcBorders>
            <w:shd w:val="clear" w:color="auto" w:fill="auto"/>
            <w:noWrap/>
            <w:vAlign w:val="bottom"/>
            <w:hideMark/>
          </w:tcPr>
          <w:p w14:paraId="67C19A5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0.0034</w:t>
            </w:r>
          </w:p>
        </w:tc>
        <w:tc>
          <w:tcPr>
            <w:tcW w:w="127" w:type="dxa"/>
            <w:tcBorders>
              <w:top w:val="nil"/>
              <w:left w:val="single" w:sz="4" w:space="0" w:color="auto"/>
              <w:bottom w:val="nil"/>
              <w:right w:val="nil"/>
            </w:tcBorders>
            <w:shd w:val="clear" w:color="auto" w:fill="auto"/>
            <w:noWrap/>
            <w:vAlign w:val="bottom"/>
            <w:hideMark/>
          </w:tcPr>
          <w:p w14:paraId="0949F27E" w14:textId="77777777" w:rsidR="005A4EA3" w:rsidRPr="00B43597" w:rsidRDefault="005A4EA3" w:rsidP="005A4EA3">
            <w:pPr>
              <w:rPr>
                <w:rFonts w:eastAsia="Times New Roman" w:cs="Times New Roman"/>
                <w:color w:val="000000"/>
                <w:sz w:val="18"/>
                <w:szCs w:val="18"/>
              </w:rPr>
            </w:pPr>
          </w:p>
        </w:tc>
      </w:tr>
      <w:tr w:rsidR="005A4EA3" w:rsidRPr="008A78D0" w14:paraId="50EC1218"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416669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01.1.309</w:t>
            </w:r>
          </w:p>
        </w:tc>
        <w:tc>
          <w:tcPr>
            <w:tcW w:w="2074" w:type="dxa"/>
            <w:tcBorders>
              <w:top w:val="nil"/>
              <w:left w:val="single" w:sz="4" w:space="0" w:color="auto"/>
              <w:right w:val="single" w:sz="4" w:space="0" w:color="auto"/>
            </w:tcBorders>
            <w:shd w:val="clear" w:color="auto" w:fill="auto"/>
            <w:noWrap/>
            <w:vAlign w:val="bottom"/>
            <w:hideMark/>
          </w:tcPr>
          <w:p w14:paraId="3A6980A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Sardines</w:t>
            </w:r>
          </w:p>
        </w:tc>
        <w:tc>
          <w:tcPr>
            <w:tcW w:w="1153" w:type="dxa"/>
            <w:tcBorders>
              <w:top w:val="nil"/>
              <w:left w:val="single" w:sz="4" w:space="0" w:color="auto"/>
              <w:bottom w:val="nil"/>
              <w:right w:val="nil"/>
            </w:tcBorders>
            <w:shd w:val="clear" w:color="auto" w:fill="auto"/>
            <w:noWrap/>
            <w:vAlign w:val="bottom"/>
            <w:hideMark/>
          </w:tcPr>
          <w:p w14:paraId="7C792E1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0.221</w:t>
            </w:r>
          </w:p>
        </w:tc>
        <w:tc>
          <w:tcPr>
            <w:tcW w:w="1289" w:type="dxa"/>
            <w:tcBorders>
              <w:top w:val="nil"/>
              <w:left w:val="nil"/>
              <w:bottom w:val="nil"/>
              <w:right w:val="nil"/>
            </w:tcBorders>
            <w:shd w:val="clear" w:color="auto" w:fill="auto"/>
            <w:noWrap/>
            <w:vAlign w:val="bottom"/>
            <w:hideMark/>
          </w:tcPr>
          <w:p w14:paraId="4FE9A3E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0.851</w:t>
            </w:r>
          </w:p>
        </w:tc>
        <w:tc>
          <w:tcPr>
            <w:tcW w:w="967" w:type="dxa"/>
            <w:tcBorders>
              <w:top w:val="nil"/>
              <w:left w:val="nil"/>
              <w:bottom w:val="nil"/>
            </w:tcBorders>
            <w:shd w:val="clear" w:color="auto" w:fill="auto"/>
            <w:noWrap/>
            <w:vAlign w:val="bottom"/>
            <w:hideMark/>
          </w:tcPr>
          <w:p w14:paraId="5142EC9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1.1772</w:t>
            </w:r>
          </w:p>
        </w:tc>
        <w:tc>
          <w:tcPr>
            <w:tcW w:w="860" w:type="dxa"/>
            <w:tcBorders>
              <w:top w:val="nil"/>
              <w:bottom w:val="nil"/>
              <w:right w:val="single" w:sz="4" w:space="0" w:color="auto"/>
            </w:tcBorders>
            <w:shd w:val="clear" w:color="auto" w:fill="auto"/>
            <w:noWrap/>
            <w:vAlign w:val="bottom"/>
            <w:hideMark/>
          </w:tcPr>
          <w:p w14:paraId="0F7BB58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0.630</w:t>
            </w:r>
          </w:p>
        </w:tc>
        <w:tc>
          <w:tcPr>
            <w:tcW w:w="967" w:type="dxa"/>
            <w:tcBorders>
              <w:top w:val="nil"/>
              <w:left w:val="single" w:sz="4" w:space="0" w:color="auto"/>
              <w:bottom w:val="nil"/>
              <w:right w:val="nil"/>
            </w:tcBorders>
            <w:shd w:val="clear" w:color="auto" w:fill="auto"/>
            <w:noWrap/>
            <w:vAlign w:val="bottom"/>
            <w:hideMark/>
          </w:tcPr>
          <w:p w14:paraId="17F0A16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-1.5085</w:t>
            </w:r>
          </w:p>
        </w:tc>
        <w:tc>
          <w:tcPr>
            <w:tcW w:w="860" w:type="dxa"/>
            <w:tcBorders>
              <w:top w:val="nil"/>
              <w:left w:val="nil"/>
              <w:bottom w:val="nil"/>
              <w:right w:val="nil"/>
            </w:tcBorders>
            <w:shd w:val="clear" w:color="auto" w:fill="auto"/>
            <w:noWrap/>
            <w:vAlign w:val="bottom"/>
            <w:hideMark/>
          </w:tcPr>
          <w:p w14:paraId="056C31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-0.1608</w:t>
            </w:r>
          </w:p>
        </w:tc>
        <w:tc>
          <w:tcPr>
            <w:tcW w:w="860" w:type="dxa"/>
            <w:tcBorders>
              <w:top w:val="nil"/>
              <w:left w:val="nil"/>
              <w:bottom w:val="nil"/>
              <w:right w:val="nil"/>
            </w:tcBorders>
            <w:shd w:val="clear" w:color="auto" w:fill="auto"/>
            <w:noWrap/>
            <w:vAlign w:val="bottom"/>
            <w:hideMark/>
          </w:tcPr>
          <w:p w14:paraId="22B4C45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1.3477</w:t>
            </w:r>
          </w:p>
        </w:tc>
        <w:tc>
          <w:tcPr>
            <w:tcW w:w="967" w:type="dxa"/>
            <w:tcBorders>
              <w:top w:val="nil"/>
              <w:left w:val="nil"/>
              <w:bottom w:val="nil"/>
              <w:right w:val="nil"/>
            </w:tcBorders>
            <w:shd w:val="clear" w:color="auto" w:fill="auto"/>
            <w:noWrap/>
            <w:vAlign w:val="bottom"/>
            <w:hideMark/>
          </w:tcPr>
          <w:p w14:paraId="0BDDDFB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0.1631</w:t>
            </w:r>
          </w:p>
        </w:tc>
        <w:tc>
          <w:tcPr>
            <w:tcW w:w="860" w:type="dxa"/>
            <w:tcBorders>
              <w:top w:val="nil"/>
              <w:left w:val="nil"/>
              <w:bottom w:val="nil"/>
              <w:right w:val="nil"/>
            </w:tcBorders>
            <w:shd w:val="clear" w:color="auto" w:fill="auto"/>
            <w:noWrap/>
            <w:vAlign w:val="bottom"/>
            <w:hideMark/>
          </w:tcPr>
          <w:p w14:paraId="59DCC86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0.4676</w:t>
            </w:r>
          </w:p>
        </w:tc>
        <w:tc>
          <w:tcPr>
            <w:tcW w:w="860" w:type="dxa"/>
            <w:tcBorders>
              <w:top w:val="nil"/>
              <w:left w:val="nil"/>
              <w:right w:val="single" w:sz="4" w:space="0" w:color="auto"/>
            </w:tcBorders>
            <w:shd w:val="clear" w:color="auto" w:fill="auto"/>
            <w:noWrap/>
            <w:vAlign w:val="bottom"/>
            <w:hideMark/>
          </w:tcPr>
          <w:p w14:paraId="0600C52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0.0049</w:t>
            </w:r>
          </w:p>
        </w:tc>
        <w:tc>
          <w:tcPr>
            <w:tcW w:w="127" w:type="dxa"/>
            <w:tcBorders>
              <w:top w:val="nil"/>
              <w:left w:val="single" w:sz="4" w:space="0" w:color="auto"/>
              <w:bottom w:val="nil"/>
              <w:right w:val="nil"/>
            </w:tcBorders>
            <w:shd w:val="clear" w:color="auto" w:fill="auto"/>
            <w:noWrap/>
            <w:vAlign w:val="bottom"/>
            <w:hideMark/>
          </w:tcPr>
          <w:p w14:paraId="66972ED2" w14:textId="77777777" w:rsidR="005A4EA3" w:rsidRPr="00B43597" w:rsidRDefault="005A4EA3" w:rsidP="005A4EA3">
            <w:pPr>
              <w:rPr>
                <w:rFonts w:eastAsia="Times New Roman" w:cs="Times New Roman"/>
                <w:color w:val="000000"/>
                <w:sz w:val="18"/>
                <w:szCs w:val="18"/>
              </w:rPr>
            </w:pPr>
          </w:p>
        </w:tc>
      </w:tr>
      <w:tr w:rsidR="005A4EA3" w:rsidRPr="008A78D0" w14:paraId="4EF6D68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B7EFA7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01.1.401</w:t>
            </w:r>
          </w:p>
        </w:tc>
        <w:tc>
          <w:tcPr>
            <w:tcW w:w="2074" w:type="dxa"/>
            <w:tcBorders>
              <w:left w:val="single" w:sz="4" w:space="0" w:color="auto"/>
              <w:bottom w:val="nil"/>
              <w:right w:val="single" w:sz="4" w:space="0" w:color="auto"/>
            </w:tcBorders>
            <w:shd w:val="clear" w:color="auto" w:fill="auto"/>
            <w:noWrap/>
            <w:vAlign w:val="bottom"/>
            <w:hideMark/>
          </w:tcPr>
          <w:p w14:paraId="215B4F3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Eggs</w:t>
            </w:r>
          </w:p>
        </w:tc>
        <w:tc>
          <w:tcPr>
            <w:tcW w:w="1153" w:type="dxa"/>
            <w:tcBorders>
              <w:top w:val="nil"/>
              <w:left w:val="single" w:sz="4" w:space="0" w:color="auto"/>
              <w:bottom w:val="nil"/>
              <w:right w:val="nil"/>
            </w:tcBorders>
            <w:shd w:val="clear" w:color="auto" w:fill="auto"/>
            <w:noWrap/>
            <w:vAlign w:val="bottom"/>
            <w:hideMark/>
          </w:tcPr>
          <w:p w14:paraId="46FBD73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2.442</w:t>
            </w:r>
          </w:p>
        </w:tc>
        <w:tc>
          <w:tcPr>
            <w:tcW w:w="1289" w:type="dxa"/>
            <w:tcBorders>
              <w:top w:val="nil"/>
              <w:left w:val="nil"/>
              <w:bottom w:val="nil"/>
              <w:right w:val="nil"/>
            </w:tcBorders>
            <w:shd w:val="clear" w:color="auto" w:fill="auto"/>
            <w:noWrap/>
            <w:vAlign w:val="bottom"/>
            <w:hideMark/>
          </w:tcPr>
          <w:p w14:paraId="467C1C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1.618</w:t>
            </w:r>
          </w:p>
        </w:tc>
        <w:tc>
          <w:tcPr>
            <w:tcW w:w="967" w:type="dxa"/>
            <w:tcBorders>
              <w:top w:val="nil"/>
              <w:left w:val="nil"/>
              <w:bottom w:val="nil"/>
            </w:tcBorders>
            <w:shd w:val="clear" w:color="auto" w:fill="auto"/>
            <w:noWrap/>
            <w:vAlign w:val="bottom"/>
            <w:hideMark/>
          </w:tcPr>
          <w:p w14:paraId="22667A1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1.1654</w:t>
            </w:r>
          </w:p>
        </w:tc>
        <w:tc>
          <w:tcPr>
            <w:tcW w:w="860" w:type="dxa"/>
            <w:tcBorders>
              <w:top w:val="nil"/>
              <w:bottom w:val="nil"/>
              <w:right w:val="single" w:sz="4" w:space="0" w:color="auto"/>
            </w:tcBorders>
            <w:shd w:val="clear" w:color="auto" w:fill="auto"/>
            <w:noWrap/>
            <w:vAlign w:val="bottom"/>
            <w:hideMark/>
          </w:tcPr>
          <w:p w14:paraId="5067780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-0.824</w:t>
            </w:r>
          </w:p>
        </w:tc>
        <w:tc>
          <w:tcPr>
            <w:tcW w:w="967" w:type="dxa"/>
            <w:tcBorders>
              <w:top w:val="nil"/>
              <w:left w:val="single" w:sz="4" w:space="0" w:color="auto"/>
              <w:bottom w:val="nil"/>
              <w:right w:val="nil"/>
            </w:tcBorders>
            <w:shd w:val="clear" w:color="auto" w:fill="auto"/>
            <w:noWrap/>
            <w:vAlign w:val="bottom"/>
            <w:hideMark/>
          </w:tcPr>
          <w:p w14:paraId="2C73DDE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0.8926</w:t>
            </w:r>
          </w:p>
        </w:tc>
        <w:tc>
          <w:tcPr>
            <w:tcW w:w="860" w:type="dxa"/>
            <w:tcBorders>
              <w:top w:val="nil"/>
              <w:left w:val="nil"/>
              <w:bottom w:val="nil"/>
              <w:right w:val="nil"/>
            </w:tcBorders>
            <w:shd w:val="clear" w:color="auto" w:fill="auto"/>
            <w:noWrap/>
            <w:vAlign w:val="bottom"/>
            <w:hideMark/>
          </w:tcPr>
          <w:p w14:paraId="74141C4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0.4812</w:t>
            </w:r>
          </w:p>
        </w:tc>
        <w:tc>
          <w:tcPr>
            <w:tcW w:w="860" w:type="dxa"/>
            <w:tcBorders>
              <w:top w:val="nil"/>
              <w:left w:val="nil"/>
              <w:bottom w:val="nil"/>
              <w:right w:val="nil"/>
            </w:tcBorders>
            <w:shd w:val="clear" w:color="auto" w:fill="auto"/>
            <w:noWrap/>
            <w:vAlign w:val="bottom"/>
            <w:hideMark/>
          </w:tcPr>
          <w:p w14:paraId="428E200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-0.4114</w:t>
            </w:r>
          </w:p>
        </w:tc>
        <w:tc>
          <w:tcPr>
            <w:tcW w:w="967" w:type="dxa"/>
            <w:tcBorders>
              <w:top w:val="nil"/>
              <w:left w:val="nil"/>
              <w:bottom w:val="nil"/>
              <w:right w:val="nil"/>
            </w:tcBorders>
            <w:shd w:val="clear" w:color="auto" w:fill="auto"/>
            <w:noWrap/>
            <w:vAlign w:val="bottom"/>
            <w:hideMark/>
          </w:tcPr>
          <w:p w14:paraId="616F31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0.1530</w:t>
            </w:r>
          </w:p>
        </w:tc>
        <w:tc>
          <w:tcPr>
            <w:tcW w:w="860" w:type="dxa"/>
            <w:tcBorders>
              <w:top w:val="nil"/>
              <w:left w:val="nil"/>
              <w:bottom w:val="nil"/>
              <w:right w:val="nil"/>
            </w:tcBorders>
            <w:shd w:val="clear" w:color="auto" w:fill="auto"/>
            <w:noWrap/>
            <w:vAlign w:val="bottom"/>
            <w:hideMark/>
          </w:tcPr>
          <w:p w14:paraId="01C1C23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2.0016</w:t>
            </w:r>
          </w:p>
        </w:tc>
        <w:tc>
          <w:tcPr>
            <w:tcW w:w="860" w:type="dxa"/>
            <w:tcBorders>
              <w:top w:val="nil"/>
              <w:left w:val="nil"/>
              <w:bottom w:val="nil"/>
              <w:right w:val="single" w:sz="4" w:space="0" w:color="auto"/>
            </w:tcBorders>
            <w:shd w:val="clear" w:color="auto" w:fill="auto"/>
            <w:noWrap/>
            <w:vAlign w:val="bottom"/>
            <w:hideMark/>
          </w:tcPr>
          <w:p w14:paraId="014386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0.0209</w:t>
            </w:r>
          </w:p>
        </w:tc>
        <w:tc>
          <w:tcPr>
            <w:tcW w:w="127" w:type="dxa"/>
            <w:tcBorders>
              <w:top w:val="nil"/>
              <w:left w:val="single" w:sz="4" w:space="0" w:color="auto"/>
              <w:bottom w:val="nil"/>
              <w:right w:val="nil"/>
            </w:tcBorders>
            <w:shd w:val="clear" w:color="auto" w:fill="auto"/>
            <w:noWrap/>
            <w:vAlign w:val="bottom"/>
            <w:hideMark/>
          </w:tcPr>
          <w:p w14:paraId="1679852D" w14:textId="77777777" w:rsidR="005A4EA3" w:rsidRPr="00B43597" w:rsidRDefault="005A4EA3" w:rsidP="005A4EA3">
            <w:pPr>
              <w:rPr>
                <w:rFonts w:eastAsia="Times New Roman" w:cs="Times New Roman"/>
                <w:color w:val="000000"/>
                <w:sz w:val="18"/>
                <w:szCs w:val="18"/>
              </w:rPr>
            </w:pPr>
          </w:p>
        </w:tc>
      </w:tr>
      <w:tr w:rsidR="005A4EA3" w:rsidRPr="008A78D0" w14:paraId="6C082C2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E90AED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01.1.402</w:t>
            </w:r>
          </w:p>
        </w:tc>
        <w:tc>
          <w:tcPr>
            <w:tcW w:w="2074" w:type="dxa"/>
            <w:tcBorders>
              <w:top w:val="nil"/>
              <w:left w:val="single" w:sz="4" w:space="0" w:color="auto"/>
              <w:bottom w:val="nil"/>
              <w:right w:val="single" w:sz="4" w:space="0" w:color="auto"/>
            </w:tcBorders>
            <w:shd w:val="clear" w:color="auto" w:fill="auto"/>
            <w:noWrap/>
            <w:vAlign w:val="bottom"/>
            <w:hideMark/>
          </w:tcPr>
          <w:p w14:paraId="3F8FA00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Fresh milk</w:t>
            </w:r>
          </w:p>
        </w:tc>
        <w:tc>
          <w:tcPr>
            <w:tcW w:w="1153" w:type="dxa"/>
            <w:tcBorders>
              <w:top w:val="nil"/>
              <w:left w:val="single" w:sz="4" w:space="0" w:color="auto"/>
              <w:bottom w:val="nil"/>
              <w:right w:val="nil"/>
            </w:tcBorders>
            <w:shd w:val="clear" w:color="auto" w:fill="auto"/>
            <w:noWrap/>
            <w:vAlign w:val="bottom"/>
            <w:hideMark/>
          </w:tcPr>
          <w:p w14:paraId="03FB228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1.209</w:t>
            </w:r>
          </w:p>
        </w:tc>
        <w:tc>
          <w:tcPr>
            <w:tcW w:w="1289" w:type="dxa"/>
            <w:tcBorders>
              <w:top w:val="nil"/>
              <w:left w:val="nil"/>
              <w:bottom w:val="nil"/>
              <w:right w:val="nil"/>
            </w:tcBorders>
            <w:shd w:val="clear" w:color="auto" w:fill="auto"/>
            <w:noWrap/>
            <w:vAlign w:val="bottom"/>
            <w:hideMark/>
          </w:tcPr>
          <w:p w14:paraId="54697EA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0.331</w:t>
            </w:r>
          </w:p>
        </w:tc>
        <w:tc>
          <w:tcPr>
            <w:tcW w:w="967" w:type="dxa"/>
            <w:tcBorders>
              <w:top w:val="nil"/>
              <w:left w:val="nil"/>
              <w:bottom w:val="nil"/>
            </w:tcBorders>
            <w:shd w:val="clear" w:color="auto" w:fill="auto"/>
            <w:noWrap/>
            <w:vAlign w:val="bottom"/>
            <w:hideMark/>
          </w:tcPr>
          <w:p w14:paraId="6E2C70B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1.1143</w:t>
            </w:r>
          </w:p>
        </w:tc>
        <w:tc>
          <w:tcPr>
            <w:tcW w:w="860" w:type="dxa"/>
            <w:tcBorders>
              <w:top w:val="nil"/>
              <w:bottom w:val="nil"/>
              <w:right w:val="single" w:sz="4" w:space="0" w:color="auto"/>
            </w:tcBorders>
            <w:shd w:val="clear" w:color="auto" w:fill="auto"/>
            <w:noWrap/>
            <w:vAlign w:val="bottom"/>
            <w:hideMark/>
          </w:tcPr>
          <w:p w14:paraId="39ECB7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-0.878</w:t>
            </w:r>
          </w:p>
        </w:tc>
        <w:tc>
          <w:tcPr>
            <w:tcW w:w="967" w:type="dxa"/>
            <w:tcBorders>
              <w:top w:val="nil"/>
              <w:left w:val="single" w:sz="4" w:space="0" w:color="auto"/>
              <w:bottom w:val="nil"/>
              <w:right w:val="nil"/>
            </w:tcBorders>
            <w:shd w:val="clear" w:color="auto" w:fill="auto"/>
            <w:noWrap/>
            <w:vAlign w:val="bottom"/>
            <w:hideMark/>
          </w:tcPr>
          <w:p w14:paraId="4952457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0.1898</w:t>
            </w:r>
          </w:p>
        </w:tc>
        <w:tc>
          <w:tcPr>
            <w:tcW w:w="860" w:type="dxa"/>
            <w:tcBorders>
              <w:top w:val="nil"/>
              <w:left w:val="nil"/>
              <w:bottom w:val="nil"/>
              <w:right w:val="nil"/>
            </w:tcBorders>
            <w:shd w:val="clear" w:color="auto" w:fill="auto"/>
            <w:noWrap/>
            <w:vAlign w:val="bottom"/>
            <w:hideMark/>
          </w:tcPr>
          <w:p w14:paraId="743F1A8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-1.1064</w:t>
            </w:r>
          </w:p>
        </w:tc>
        <w:tc>
          <w:tcPr>
            <w:tcW w:w="860" w:type="dxa"/>
            <w:tcBorders>
              <w:top w:val="nil"/>
              <w:left w:val="nil"/>
              <w:bottom w:val="nil"/>
              <w:right w:val="nil"/>
            </w:tcBorders>
            <w:shd w:val="clear" w:color="auto" w:fill="auto"/>
            <w:noWrap/>
            <w:vAlign w:val="bottom"/>
            <w:hideMark/>
          </w:tcPr>
          <w:p w14:paraId="33EA81E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-1.2962</w:t>
            </w:r>
          </w:p>
        </w:tc>
        <w:tc>
          <w:tcPr>
            <w:tcW w:w="967" w:type="dxa"/>
            <w:tcBorders>
              <w:top w:val="nil"/>
              <w:left w:val="nil"/>
              <w:bottom w:val="nil"/>
              <w:right w:val="nil"/>
            </w:tcBorders>
            <w:shd w:val="clear" w:color="auto" w:fill="auto"/>
            <w:noWrap/>
            <w:vAlign w:val="bottom"/>
            <w:hideMark/>
          </w:tcPr>
          <w:p w14:paraId="4685EC9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0.1082</w:t>
            </w:r>
          </w:p>
        </w:tc>
        <w:tc>
          <w:tcPr>
            <w:tcW w:w="860" w:type="dxa"/>
            <w:tcBorders>
              <w:top w:val="nil"/>
              <w:left w:val="nil"/>
              <w:bottom w:val="nil"/>
              <w:right w:val="nil"/>
            </w:tcBorders>
            <w:shd w:val="clear" w:color="auto" w:fill="auto"/>
            <w:noWrap/>
            <w:vAlign w:val="bottom"/>
            <w:hideMark/>
          </w:tcPr>
          <w:p w14:paraId="1AD2DB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0.6775</w:t>
            </w:r>
          </w:p>
        </w:tc>
        <w:tc>
          <w:tcPr>
            <w:tcW w:w="860" w:type="dxa"/>
            <w:tcBorders>
              <w:top w:val="nil"/>
              <w:left w:val="nil"/>
              <w:bottom w:val="nil"/>
              <w:right w:val="single" w:sz="4" w:space="0" w:color="auto"/>
            </w:tcBorders>
            <w:shd w:val="clear" w:color="auto" w:fill="auto"/>
            <w:noWrap/>
            <w:vAlign w:val="bottom"/>
            <w:hideMark/>
          </w:tcPr>
          <w:p w14:paraId="264B5F2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0.0071</w:t>
            </w:r>
          </w:p>
        </w:tc>
        <w:tc>
          <w:tcPr>
            <w:tcW w:w="127" w:type="dxa"/>
            <w:tcBorders>
              <w:top w:val="nil"/>
              <w:left w:val="single" w:sz="4" w:space="0" w:color="auto"/>
              <w:bottom w:val="nil"/>
              <w:right w:val="nil"/>
            </w:tcBorders>
            <w:shd w:val="clear" w:color="auto" w:fill="auto"/>
            <w:noWrap/>
            <w:vAlign w:val="bottom"/>
            <w:hideMark/>
          </w:tcPr>
          <w:p w14:paraId="348EF98B" w14:textId="77777777" w:rsidR="005A4EA3" w:rsidRPr="00B43597" w:rsidRDefault="005A4EA3" w:rsidP="005A4EA3">
            <w:pPr>
              <w:rPr>
                <w:rFonts w:eastAsia="Times New Roman" w:cs="Times New Roman"/>
                <w:color w:val="000000"/>
                <w:sz w:val="18"/>
                <w:szCs w:val="18"/>
              </w:rPr>
            </w:pPr>
          </w:p>
        </w:tc>
      </w:tr>
      <w:tr w:rsidR="005A4EA3" w:rsidRPr="008A78D0" w14:paraId="2638A9E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0939CA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01.1.404</w:t>
            </w:r>
          </w:p>
        </w:tc>
        <w:tc>
          <w:tcPr>
            <w:tcW w:w="2074" w:type="dxa"/>
            <w:tcBorders>
              <w:top w:val="nil"/>
              <w:left w:val="single" w:sz="4" w:space="0" w:color="auto"/>
              <w:bottom w:val="nil"/>
              <w:right w:val="single" w:sz="4" w:space="0" w:color="auto"/>
            </w:tcBorders>
            <w:shd w:val="clear" w:color="auto" w:fill="auto"/>
            <w:noWrap/>
            <w:vAlign w:val="bottom"/>
            <w:hideMark/>
          </w:tcPr>
          <w:p w14:paraId="09ED988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Evaporated milk</w:t>
            </w:r>
          </w:p>
        </w:tc>
        <w:tc>
          <w:tcPr>
            <w:tcW w:w="1153" w:type="dxa"/>
            <w:tcBorders>
              <w:top w:val="nil"/>
              <w:left w:val="single" w:sz="4" w:space="0" w:color="auto"/>
              <w:bottom w:val="nil"/>
              <w:right w:val="nil"/>
            </w:tcBorders>
            <w:shd w:val="clear" w:color="auto" w:fill="auto"/>
            <w:noWrap/>
            <w:vAlign w:val="bottom"/>
            <w:hideMark/>
          </w:tcPr>
          <w:p w14:paraId="7B00143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0.622</w:t>
            </w:r>
          </w:p>
        </w:tc>
        <w:tc>
          <w:tcPr>
            <w:tcW w:w="1289" w:type="dxa"/>
            <w:tcBorders>
              <w:top w:val="nil"/>
              <w:left w:val="nil"/>
              <w:bottom w:val="nil"/>
              <w:right w:val="nil"/>
            </w:tcBorders>
            <w:shd w:val="clear" w:color="auto" w:fill="auto"/>
            <w:noWrap/>
            <w:vAlign w:val="bottom"/>
            <w:hideMark/>
          </w:tcPr>
          <w:p w14:paraId="4D14077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0.445</w:t>
            </w:r>
          </w:p>
        </w:tc>
        <w:tc>
          <w:tcPr>
            <w:tcW w:w="967" w:type="dxa"/>
            <w:tcBorders>
              <w:top w:val="nil"/>
              <w:left w:val="nil"/>
              <w:bottom w:val="nil"/>
            </w:tcBorders>
            <w:shd w:val="clear" w:color="auto" w:fill="auto"/>
            <w:noWrap/>
            <w:vAlign w:val="bottom"/>
            <w:hideMark/>
          </w:tcPr>
          <w:p w14:paraId="146EAAA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1.0578</w:t>
            </w:r>
          </w:p>
        </w:tc>
        <w:tc>
          <w:tcPr>
            <w:tcW w:w="860" w:type="dxa"/>
            <w:tcBorders>
              <w:top w:val="nil"/>
              <w:bottom w:val="nil"/>
              <w:right w:val="single" w:sz="4" w:space="0" w:color="auto"/>
            </w:tcBorders>
            <w:shd w:val="clear" w:color="auto" w:fill="auto"/>
            <w:noWrap/>
            <w:vAlign w:val="bottom"/>
            <w:hideMark/>
          </w:tcPr>
          <w:p w14:paraId="7495CD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-0.176</w:t>
            </w:r>
          </w:p>
        </w:tc>
        <w:tc>
          <w:tcPr>
            <w:tcW w:w="967" w:type="dxa"/>
            <w:tcBorders>
              <w:top w:val="nil"/>
              <w:left w:val="single" w:sz="4" w:space="0" w:color="auto"/>
              <w:bottom w:val="nil"/>
              <w:right w:val="nil"/>
            </w:tcBorders>
            <w:shd w:val="clear" w:color="auto" w:fill="auto"/>
            <w:noWrap/>
            <w:vAlign w:val="bottom"/>
            <w:hideMark/>
          </w:tcPr>
          <w:p w14:paraId="3202BC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-0.4756</w:t>
            </w:r>
          </w:p>
        </w:tc>
        <w:tc>
          <w:tcPr>
            <w:tcW w:w="860" w:type="dxa"/>
            <w:tcBorders>
              <w:top w:val="nil"/>
              <w:left w:val="nil"/>
              <w:bottom w:val="nil"/>
              <w:right w:val="nil"/>
            </w:tcBorders>
            <w:shd w:val="clear" w:color="auto" w:fill="auto"/>
            <w:noWrap/>
            <w:vAlign w:val="bottom"/>
            <w:hideMark/>
          </w:tcPr>
          <w:p w14:paraId="2DFDC9E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-0.8093</w:t>
            </w:r>
          </w:p>
        </w:tc>
        <w:tc>
          <w:tcPr>
            <w:tcW w:w="860" w:type="dxa"/>
            <w:tcBorders>
              <w:top w:val="nil"/>
              <w:left w:val="nil"/>
              <w:bottom w:val="nil"/>
              <w:right w:val="nil"/>
            </w:tcBorders>
            <w:shd w:val="clear" w:color="auto" w:fill="auto"/>
            <w:noWrap/>
            <w:vAlign w:val="bottom"/>
            <w:hideMark/>
          </w:tcPr>
          <w:p w14:paraId="7C389D0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-0.3337</w:t>
            </w:r>
          </w:p>
        </w:tc>
        <w:tc>
          <w:tcPr>
            <w:tcW w:w="967" w:type="dxa"/>
            <w:tcBorders>
              <w:top w:val="nil"/>
              <w:left w:val="nil"/>
              <w:bottom w:val="nil"/>
              <w:right w:val="nil"/>
            </w:tcBorders>
            <w:shd w:val="clear" w:color="auto" w:fill="auto"/>
            <w:noWrap/>
            <w:vAlign w:val="bottom"/>
            <w:hideMark/>
          </w:tcPr>
          <w:p w14:paraId="22EC1EA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0.0562</w:t>
            </w:r>
          </w:p>
        </w:tc>
        <w:tc>
          <w:tcPr>
            <w:tcW w:w="860" w:type="dxa"/>
            <w:tcBorders>
              <w:top w:val="nil"/>
              <w:left w:val="nil"/>
              <w:bottom w:val="nil"/>
              <w:right w:val="nil"/>
            </w:tcBorders>
            <w:shd w:val="clear" w:color="auto" w:fill="auto"/>
            <w:noWrap/>
            <w:vAlign w:val="bottom"/>
            <w:hideMark/>
          </w:tcPr>
          <w:p w14:paraId="575FFC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0.5285</w:t>
            </w:r>
          </w:p>
        </w:tc>
        <w:tc>
          <w:tcPr>
            <w:tcW w:w="860" w:type="dxa"/>
            <w:tcBorders>
              <w:top w:val="nil"/>
              <w:left w:val="nil"/>
              <w:bottom w:val="nil"/>
              <w:right w:val="single" w:sz="4" w:space="0" w:color="auto"/>
            </w:tcBorders>
            <w:shd w:val="clear" w:color="auto" w:fill="auto"/>
            <w:noWrap/>
            <w:vAlign w:val="bottom"/>
            <w:hideMark/>
          </w:tcPr>
          <w:p w14:paraId="186C574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0.0055</w:t>
            </w:r>
          </w:p>
        </w:tc>
        <w:tc>
          <w:tcPr>
            <w:tcW w:w="127" w:type="dxa"/>
            <w:tcBorders>
              <w:top w:val="nil"/>
              <w:left w:val="single" w:sz="4" w:space="0" w:color="auto"/>
              <w:bottom w:val="nil"/>
              <w:right w:val="nil"/>
            </w:tcBorders>
            <w:shd w:val="clear" w:color="auto" w:fill="auto"/>
            <w:noWrap/>
            <w:vAlign w:val="bottom"/>
            <w:hideMark/>
          </w:tcPr>
          <w:p w14:paraId="0F5E0D80" w14:textId="77777777" w:rsidR="005A4EA3" w:rsidRPr="00B43597" w:rsidRDefault="005A4EA3" w:rsidP="005A4EA3">
            <w:pPr>
              <w:rPr>
                <w:rFonts w:eastAsia="Times New Roman" w:cs="Times New Roman"/>
                <w:color w:val="000000"/>
                <w:sz w:val="18"/>
                <w:szCs w:val="18"/>
              </w:rPr>
            </w:pPr>
          </w:p>
        </w:tc>
      </w:tr>
      <w:tr w:rsidR="005A4EA3" w:rsidRPr="008A78D0" w14:paraId="102396F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6DA40C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01.1.405</w:t>
            </w:r>
          </w:p>
        </w:tc>
        <w:tc>
          <w:tcPr>
            <w:tcW w:w="2074" w:type="dxa"/>
            <w:tcBorders>
              <w:top w:val="nil"/>
              <w:left w:val="single" w:sz="4" w:space="0" w:color="auto"/>
              <w:bottom w:val="nil"/>
              <w:right w:val="single" w:sz="4" w:space="0" w:color="auto"/>
            </w:tcBorders>
            <w:shd w:val="clear" w:color="auto" w:fill="auto"/>
            <w:noWrap/>
            <w:vAlign w:val="bottom"/>
            <w:hideMark/>
          </w:tcPr>
          <w:p w14:paraId="5DF31D6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Powdered milk</w:t>
            </w:r>
          </w:p>
        </w:tc>
        <w:tc>
          <w:tcPr>
            <w:tcW w:w="1153" w:type="dxa"/>
            <w:tcBorders>
              <w:top w:val="nil"/>
              <w:left w:val="single" w:sz="4" w:space="0" w:color="auto"/>
              <w:bottom w:val="nil"/>
              <w:right w:val="nil"/>
            </w:tcBorders>
            <w:shd w:val="clear" w:color="auto" w:fill="auto"/>
            <w:noWrap/>
            <w:vAlign w:val="bottom"/>
            <w:hideMark/>
          </w:tcPr>
          <w:p w14:paraId="52BBEAD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6.603</w:t>
            </w:r>
          </w:p>
        </w:tc>
        <w:tc>
          <w:tcPr>
            <w:tcW w:w="1289" w:type="dxa"/>
            <w:tcBorders>
              <w:top w:val="nil"/>
              <w:left w:val="nil"/>
              <w:bottom w:val="nil"/>
              <w:right w:val="nil"/>
            </w:tcBorders>
            <w:shd w:val="clear" w:color="auto" w:fill="auto"/>
            <w:noWrap/>
            <w:vAlign w:val="bottom"/>
            <w:hideMark/>
          </w:tcPr>
          <w:p w14:paraId="0E2CD5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6.348</w:t>
            </w:r>
          </w:p>
        </w:tc>
        <w:tc>
          <w:tcPr>
            <w:tcW w:w="967" w:type="dxa"/>
            <w:tcBorders>
              <w:top w:val="nil"/>
              <w:left w:val="nil"/>
              <w:bottom w:val="nil"/>
            </w:tcBorders>
            <w:shd w:val="clear" w:color="auto" w:fill="auto"/>
            <w:noWrap/>
            <w:vAlign w:val="bottom"/>
            <w:hideMark/>
          </w:tcPr>
          <w:p w14:paraId="68FD08D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1.0152</w:t>
            </w:r>
          </w:p>
        </w:tc>
        <w:tc>
          <w:tcPr>
            <w:tcW w:w="860" w:type="dxa"/>
            <w:tcBorders>
              <w:top w:val="nil"/>
              <w:bottom w:val="nil"/>
              <w:right w:val="single" w:sz="4" w:space="0" w:color="auto"/>
            </w:tcBorders>
            <w:shd w:val="clear" w:color="auto" w:fill="auto"/>
            <w:noWrap/>
            <w:vAlign w:val="bottom"/>
            <w:hideMark/>
          </w:tcPr>
          <w:p w14:paraId="4E48A96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-0.255</w:t>
            </w:r>
          </w:p>
        </w:tc>
        <w:tc>
          <w:tcPr>
            <w:tcW w:w="967" w:type="dxa"/>
            <w:tcBorders>
              <w:top w:val="nil"/>
              <w:left w:val="single" w:sz="4" w:space="0" w:color="auto"/>
              <w:bottom w:val="nil"/>
              <w:right w:val="nil"/>
            </w:tcBorders>
            <w:shd w:val="clear" w:color="auto" w:fill="auto"/>
            <w:noWrap/>
            <w:vAlign w:val="bottom"/>
            <w:hideMark/>
          </w:tcPr>
          <w:p w14:paraId="5497759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1.8876</w:t>
            </w:r>
          </w:p>
        </w:tc>
        <w:tc>
          <w:tcPr>
            <w:tcW w:w="860" w:type="dxa"/>
            <w:tcBorders>
              <w:top w:val="nil"/>
              <w:left w:val="nil"/>
              <w:bottom w:val="nil"/>
              <w:right w:val="nil"/>
            </w:tcBorders>
            <w:shd w:val="clear" w:color="auto" w:fill="auto"/>
            <w:noWrap/>
            <w:vAlign w:val="bottom"/>
            <w:hideMark/>
          </w:tcPr>
          <w:p w14:paraId="5187CD6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1.8482</w:t>
            </w:r>
          </w:p>
        </w:tc>
        <w:tc>
          <w:tcPr>
            <w:tcW w:w="860" w:type="dxa"/>
            <w:tcBorders>
              <w:top w:val="nil"/>
              <w:left w:val="nil"/>
              <w:bottom w:val="nil"/>
              <w:right w:val="nil"/>
            </w:tcBorders>
            <w:shd w:val="clear" w:color="auto" w:fill="auto"/>
            <w:noWrap/>
            <w:vAlign w:val="bottom"/>
            <w:hideMark/>
          </w:tcPr>
          <w:p w14:paraId="61E0635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-0.0394</w:t>
            </w:r>
          </w:p>
        </w:tc>
        <w:tc>
          <w:tcPr>
            <w:tcW w:w="967" w:type="dxa"/>
            <w:tcBorders>
              <w:top w:val="nil"/>
              <w:left w:val="nil"/>
              <w:bottom w:val="nil"/>
              <w:right w:val="nil"/>
            </w:tcBorders>
            <w:shd w:val="clear" w:color="auto" w:fill="auto"/>
            <w:noWrap/>
            <w:vAlign w:val="bottom"/>
            <w:hideMark/>
          </w:tcPr>
          <w:p w14:paraId="7850599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0.0150</w:t>
            </w:r>
          </w:p>
        </w:tc>
        <w:tc>
          <w:tcPr>
            <w:tcW w:w="860" w:type="dxa"/>
            <w:tcBorders>
              <w:top w:val="nil"/>
              <w:left w:val="nil"/>
              <w:bottom w:val="nil"/>
              <w:right w:val="nil"/>
            </w:tcBorders>
            <w:shd w:val="clear" w:color="auto" w:fill="auto"/>
            <w:noWrap/>
            <w:vAlign w:val="bottom"/>
            <w:hideMark/>
          </w:tcPr>
          <w:p w14:paraId="3D8A1D9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6.4749</w:t>
            </w:r>
          </w:p>
        </w:tc>
        <w:tc>
          <w:tcPr>
            <w:tcW w:w="860" w:type="dxa"/>
            <w:tcBorders>
              <w:top w:val="nil"/>
              <w:left w:val="nil"/>
              <w:bottom w:val="nil"/>
              <w:right w:val="single" w:sz="4" w:space="0" w:color="auto"/>
            </w:tcBorders>
            <w:shd w:val="clear" w:color="auto" w:fill="auto"/>
            <w:noWrap/>
            <w:vAlign w:val="bottom"/>
            <w:hideMark/>
          </w:tcPr>
          <w:p w14:paraId="769F2A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0.0675</w:t>
            </w:r>
          </w:p>
        </w:tc>
        <w:tc>
          <w:tcPr>
            <w:tcW w:w="127" w:type="dxa"/>
            <w:tcBorders>
              <w:top w:val="nil"/>
              <w:left w:val="single" w:sz="4" w:space="0" w:color="auto"/>
              <w:bottom w:val="nil"/>
              <w:right w:val="nil"/>
            </w:tcBorders>
            <w:shd w:val="clear" w:color="auto" w:fill="auto"/>
            <w:noWrap/>
            <w:vAlign w:val="bottom"/>
            <w:hideMark/>
          </w:tcPr>
          <w:p w14:paraId="533E17CB" w14:textId="77777777" w:rsidR="005A4EA3" w:rsidRPr="00B43597" w:rsidRDefault="005A4EA3" w:rsidP="005A4EA3">
            <w:pPr>
              <w:rPr>
                <w:rFonts w:eastAsia="Times New Roman" w:cs="Times New Roman"/>
                <w:color w:val="000000"/>
                <w:sz w:val="18"/>
                <w:szCs w:val="18"/>
              </w:rPr>
            </w:pPr>
          </w:p>
        </w:tc>
      </w:tr>
      <w:tr w:rsidR="005A4EA3" w:rsidRPr="008A78D0" w14:paraId="5A3DE3E8"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0647CB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01.1.406</w:t>
            </w:r>
          </w:p>
        </w:tc>
        <w:tc>
          <w:tcPr>
            <w:tcW w:w="2074" w:type="dxa"/>
            <w:tcBorders>
              <w:top w:val="nil"/>
              <w:left w:val="single" w:sz="4" w:space="0" w:color="auto"/>
              <w:bottom w:val="nil"/>
              <w:right w:val="single" w:sz="4" w:space="0" w:color="auto"/>
            </w:tcBorders>
            <w:shd w:val="clear" w:color="auto" w:fill="auto"/>
            <w:noWrap/>
            <w:vAlign w:val="bottom"/>
            <w:hideMark/>
          </w:tcPr>
          <w:p w14:paraId="6A116EA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Cheese</w:t>
            </w:r>
          </w:p>
        </w:tc>
        <w:tc>
          <w:tcPr>
            <w:tcW w:w="1153" w:type="dxa"/>
            <w:tcBorders>
              <w:top w:val="nil"/>
              <w:left w:val="single" w:sz="4" w:space="0" w:color="auto"/>
              <w:bottom w:val="nil"/>
              <w:right w:val="nil"/>
            </w:tcBorders>
            <w:shd w:val="clear" w:color="auto" w:fill="auto"/>
            <w:noWrap/>
            <w:vAlign w:val="bottom"/>
            <w:hideMark/>
          </w:tcPr>
          <w:p w14:paraId="39CE749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2.507</w:t>
            </w:r>
          </w:p>
        </w:tc>
        <w:tc>
          <w:tcPr>
            <w:tcW w:w="1289" w:type="dxa"/>
            <w:tcBorders>
              <w:top w:val="nil"/>
              <w:left w:val="nil"/>
              <w:bottom w:val="nil"/>
              <w:right w:val="nil"/>
            </w:tcBorders>
            <w:shd w:val="clear" w:color="auto" w:fill="auto"/>
            <w:noWrap/>
            <w:vAlign w:val="bottom"/>
            <w:hideMark/>
          </w:tcPr>
          <w:p w14:paraId="405B13E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2.223</w:t>
            </w:r>
          </w:p>
        </w:tc>
        <w:tc>
          <w:tcPr>
            <w:tcW w:w="967" w:type="dxa"/>
            <w:tcBorders>
              <w:top w:val="nil"/>
              <w:left w:val="nil"/>
              <w:bottom w:val="nil"/>
            </w:tcBorders>
            <w:shd w:val="clear" w:color="auto" w:fill="auto"/>
            <w:noWrap/>
            <w:vAlign w:val="bottom"/>
            <w:hideMark/>
          </w:tcPr>
          <w:p w14:paraId="011853D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1.0570</w:t>
            </w:r>
          </w:p>
        </w:tc>
        <w:tc>
          <w:tcPr>
            <w:tcW w:w="860" w:type="dxa"/>
            <w:tcBorders>
              <w:top w:val="nil"/>
              <w:bottom w:val="nil"/>
              <w:right w:val="single" w:sz="4" w:space="0" w:color="auto"/>
            </w:tcBorders>
            <w:shd w:val="clear" w:color="auto" w:fill="auto"/>
            <w:noWrap/>
            <w:vAlign w:val="bottom"/>
            <w:hideMark/>
          </w:tcPr>
          <w:p w14:paraId="1D55832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-0.284</w:t>
            </w:r>
          </w:p>
        </w:tc>
        <w:tc>
          <w:tcPr>
            <w:tcW w:w="967" w:type="dxa"/>
            <w:tcBorders>
              <w:top w:val="nil"/>
              <w:left w:val="single" w:sz="4" w:space="0" w:color="auto"/>
              <w:bottom w:val="nil"/>
              <w:right w:val="nil"/>
            </w:tcBorders>
            <w:shd w:val="clear" w:color="auto" w:fill="auto"/>
            <w:noWrap/>
            <w:vAlign w:val="bottom"/>
            <w:hideMark/>
          </w:tcPr>
          <w:p w14:paraId="74942D8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0.9191</w:t>
            </w:r>
          </w:p>
        </w:tc>
        <w:tc>
          <w:tcPr>
            <w:tcW w:w="860" w:type="dxa"/>
            <w:tcBorders>
              <w:top w:val="nil"/>
              <w:left w:val="nil"/>
              <w:bottom w:val="nil"/>
              <w:right w:val="nil"/>
            </w:tcBorders>
            <w:shd w:val="clear" w:color="auto" w:fill="auto"/>
            <w:noWrap/>
            <w:vAlign w:val="bottom"/>
            <w:hideMark/>
          </w:tcPr>
          <w:p w14:paraId="73A478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0.7988</w:t>
            </w:r>
          </w:p>
        </w:tc>
        <w:tc>
          <w:tcPr>
            <w:tcW w:w="860" w:type="dxa"/>
            <w:tcBorders>
              <w:top w:val="nil"/>
              <w:left w:val="nil"/>
              <w:bottom w:val="nil"/>
              <w:right w:val="nil"/>
            </w:tcBorders>
            <w:shd w:val="clear" w:color="auto" w:fill="auto"/>
            <w:noWrap/>
            <w:vAlign w:val="bottom"/>
            <w:hideMark/>
          </w:tcPr>
          <w:p w14:paraId="07A1CD5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-0.1203</w:t>
            </w:r>
          </w:p>
        </w:tc>
        <w:tc>
          <w:tcPr>
            <w:tcW w:w="967" w:type="dxa"/>
            <w:tcBorders>
              <w:top w:val="nil"/>
              <w:left w:val="nil"/>
              <w:bottom w:val="nil"/>
              <w:right w:val="nil"/>
            </w:tcBorders>
            <w:shd w:val="clear" w:color="auto" w:fill="auto"/>
            <w:noWrap/>
            <w:vAlign w:val="bottom"/>
            <w:hideMark/>
          </w:tcPr>
          <w:p w14:paraId="654ED7A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0.0554</w:t>
            </w:r>
          </w:p>
        </w:tc>
        <w:tc>
          <w:tcPr>
            <w:tcW w:w="860" w:type="dxa"/>
            <w:tcBorders>
              <w:top w:val="nil"/>
              <w:left w:val="nil"/>
              <w:bottom w:val="nil"/>
              <w:right w:val="nil"/>
            </w:tcBorders>
            <w:shd w:val="clear" w:color="auto" w:fill="auto"/>
            <w:noWrap/>
            <w:vAlign w:val="bottom"/>
            <w:hideMark/>
          </w:tcPr>
          <w:p w14:paraId="1CB4B84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2.3621</w:t>
            </w:r>
          </w:p>
        </w:tc>
        <w:tc>
          <w:tcPr>
            <w:tcW w:w="860" w:type="dxa"/>
            <w:tcBorders>
              <w:top w:val="nil"/>
              <w:left w:val="nil"/>
              <w:bottom w:val="nil"/>
              <w:right w:val="single" w:sz="4" w:space="0" w:color="auto"/>
            </w:tcBorders>
            <w:shd w:val="clear" w:color="auto" w:fill="auto"/>
            <w:noWrap/>
            <w:vAlign w:val="bottom"/>
            <w:hideMark/>
          </w:tcPr>
          <w:p w14:paraId="5C0D562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0.0246</w:t>
            </w:r>
          </w:p>
        </w:tc>
        <w:tc>
          <w:tcPr>
            <w:tcW w:w="127" w:type="dxa"/>
            <w:tcBorders>
              <w:top w:val="nil"/>
              <w:left w:val="single" w:sz="4" w:space="0" w:color="auto"/>
              <w:bottom w:val="nil"/>
              <w:right w:val="nil"/>
            </w:tcBorders>
            <w:shd w:val="clear" w:color="auto" w:fill="auto"/>
            <w:noWrap/>
            <w:vAlign w:val="bottom"/>
            <w:hideMark/>
          </w:tcPr>
          <w:p w14:paraId="06ADF287" w14:textId="77777777" w:rsidR="005A4EA3" w:rsidRPr="00B43597" w:rsidRDefault="005A4EA3" w:rsidP="005A4EA3">
            <w:pPr>
              <w:rPr>
                <w:rFonts w:eastAsia="Times New Roman" w:cs="Times New Roman"/>
                <w:color w:val="000000"/>
                <w:sz w:val="18"/>
                <w:szCs w:val="18"/>
              </w:rPr>
            </w:pPr>
          </w:p>
        </w:tc>
      </w:tr>
      <w:tr w:rsidR="005A4EA3" w:rsidRPr="008A78D0" w14:paraId="270D0189"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35D245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01.1.501</w:t>
            </w:r>
          </w:p>
        </w:tc>
        <w:tc>
          <w:tcPr>
            <w:tcW w:w="2074" w:type="dxa"/>
            <w:tcBorders>
              <w:top w:val="nil"/>
              <w:left w:val="single" w:sz="4" w:space="0" w:color="auto"/>
              <w:bottom w:val="nil"/>
              <w:right w:val="single" w:sz="4" w:space="0" w:color="auto"/>
            </w:tcBorders>
            <w:shd w:val="clear" w:color="auto" w:fill="auto"/>
            <w:noWrap/>
            <w:vAlign w:val="bottom"/>
            <w:hideMark/>
          </w:tcPr>
          <w:p w14:paraId="77479DAD"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Butter, fresh</w:t>
            </w:r>
          </w:p>
        </w:tc>
        <w:tc>
          <w:tcPr>
            <w:tcW w:w="1153" w:type="dxa"/>
            <w:tcBorders>
              <w:top w:val="nil"/>
              <w:left w:val="single" w:sz="4" w:space="0" w:color="auto"/>
              <w:bottom w:val="nil"/>
              <w:right w:val="nil"/>
            </w:tcBorders>
            <w:shd w:val="clear" w:color="auto" w:fill="auto"/>
            <w:noWrap/>
            <w:vAlign w:val="bottom"/>
            <w:hideMark/>
          </w:tcPr>
          <w:p w14:paraId="1178FD0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0.307</w:t>
            </w:r>
          </w:p>
        </w:tc>
        <w:tc>
          <w:tcPr>
            <w:tcW w:w="1289" w:type="dxa"/>
            <w:tcBorders>
              <w:top w:val="nil"/>
              <w:left w:val="nil"/>
              <w:bottom w:val="nil"/>
              <w:right w:val="nil"/>
            </w:tcBorders>
            <w:shd w:val="clear" w:color="auto" w:fill="auto"/>
            <w:noWrap/>
            <w:vAlign w:val="bottom"/>
            <w:hideMark/>
          </w:tcPr>
          <w:p w14:paraId="698F765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0.269</w:t>
            </w:r>
          </w:p>
        </w:tc>
        <w:tc>
          <w:tcPr>
            <w:tcW w:w="967" w:type="dxa"/>
            <w:tcBorders>
              <w:top w:val="nil"/>
              <w:left w:val="nil"/>
              <w:bottom w:val="nil"/>
            </w:tcBorders>
            <w:shd w:val="clear" w:color="auto" w:fill="auto"/>
            <w:noWrap/>
            <w:vAlign w:val="bottom"/>
            <w:hideMark/>
          </w:tcPr>
          <w:p w14:paraId="3FBCCD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1.1394</w:t>
            </w:r>
          </w:p>
        </w:tc>
        <w:tc>
          <w:tcPr>
            <w:tcW w:w="860" w:type="dxa"/>
            <w:tcBorders>
              <w:top w:val="nil"/>
              <w:bottom w:val="nil"/>
              <w:right w:val="single" w:sz="4" w:space="0" w:color="auto"/>
            </w:tcBorders>
            <w:shd w:val="clear" w:color="auto" w:fill="auto"/>
            <w:noWrap/>
            <w:vAlign w:val="bottom"/>
            <w:hideMark/>
          </w:tcPr>
          <w:p w14:paraId="493454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-0.038</w:t>
            </w:r>
          </w:p>
        </w:tc>
        <w:tc>
          <w:tcPr>
            <w:tcW w:w="967" w:type="dxa"/>
            <w:tcBorders>
              <w:top w:val="nil"/>
              <w:left w:val="single" w:sz="4" w:space="0" w:color="auto"/>
              <w:bottom w:val="nil"/>
              <w:right w:val="nil"/>
            </w:tcBorders>
            <w:shd w:val="clear" w:color="auto" w:fill="auto"/>
            <w:noWrap/>
            <w:vAlign w:val="bottom"/>
            <w:hideMark/>
          </w:tcPr>
          <w:p w14:paraId="77A2A7A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-1.1813</w:t>
            </w:r>
          </w:p>
        </w:tc>
        <w:tc>
          <w:tcPr>
            <w:tcW w:w="860" w:type="dxa"/>
            <w:tcBorders>
              <w:top w:val="nil"/>
              <w:left w:val="nil"/>
              <w:bottom w:val="nil"/>
              <w:right w:val="nil"/>
            </w:tcBorders>
            <w:shd w:val="clear" w:color="auto" w:fill="auto"/>
            <w:noWrap/>
            <w:vAlign w:val="bottom"/>
            <w:hideMark/>
          </w:tcPr>
          <w:p w14:paraId="3605995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-1.3120</w:t>
            </w:r>
          </w:p>
        </w:tc>
        <w:tc>
          <w:tcPr>
            <w:tcW w:w="860" w:type="dxa"/>
            <w:tcBorders>
              <w:top w:val="nil"/>
              <w:left w:val="nil"/>
              <w:bottom w:val="nil"/>
              <w:right w:val="nil"/>
            </w:tcBorders>
            <w:shd w:val="clear" w:color="auto" w:fill="auto"/>
            <w:noWrap/>
            <w:vAlign w:val="bottom"/>
            <w:hideMark/>
          </w:tcPr>
          <w:p w14:paraId="0FD86D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-0.1308</w:t>
            </w:r>
          </w:p>
        </w:tc>
        <w:tc>
          <w:tcPr>
            <w:tcW w:w="967" w:type="dxa"/>
            <w:tcBorders>
              <w:top w:val="nil"/>
              <w:left w:val="nil"/>
              <w:bottom w:val="nil"/>
              <w:right w:val="nil"/>
            </w:tcBorders>
            <w:shd w:val="clear" w:color="auto" w:fill="auto"/>
            <w:noWrap/>
            <w:vAlign w:val="bottom"/>
            <w:hideMark/>
          </w:tcPr>
          <w:p w14:paraId="7CFF11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0.1305</w:t>
            </w:r>
          </w:p>
        </w:tc>
        <w:tc>
          <w:tcPr>
            <w:tcW w:w="860" w:type="dxa"/>
            <w:tcBorders>
              <w:top w:val="nil"/>
              <w:left w:val="nil"/>
              <w:bottom w:val="nil"/>
              <w:right w:val="nil"/>
            </w:tcBorders>
            <w:shd w:val="clear" w:color="auto" w:fill="auto"/>
            <w:noWrap/>
            <w:vAlign w:val="bottom"/>
            <w:hideMark/>
          </w:tcPr>
          <w:p w14:paraId="60435F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0.2877</w:t>
            </w:r>
          </w:p>
        </w:tc>
        <w:tc>
          <w:tcPr>
            <w:tcW w:w="860" w:type="dxa"/>
            <w:tcBorders>
              <w:top w:val="nil"/>
              <w:left w:val="nil"/>
              <w:bottom w:val="nil"/>
              <w:right w:val="single" w:sz="4" w:space="0" w:color="auto"/>
            </w:tcBorders>
            <w:shd w:val="clear" w:color="auto" w:fill="auto"/>
            <w:noWrap/>
            <w:vAlign w:val="bottom"/>
            <w:hideMark/>
          </w:tcPr>
          <w:p w14:paraId="13BAC98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0.0030</w:t>
            </w:r>
          </w:p>
        </w:tc>
        <w:tc>
          <w:tcPr>
            <w:tcW w:w="127" w:type="dxa"/>
            <w:tcBorders>
              <w:top w:val="nil"/>
              <w:left w:val="single" w:sz="4" w:space="0" w:color="auto"/>
              <w:bottom w:val="nil"/>
              <w:right w:val="nil"/>
            </w:tcBorders>
            <w:shd w:val="clear" w:color="auto" w:fill="auto"/>
            <w:noWrap/>
            <w:vAlign w:val="bottom"/>
            <w:hideMark/>
          </w:tcPr>
          <w:p w14:paraId="7FD199FA" w14:textId="77777777" w:rsidR="005A4EA3" w:rsidRPr="00B43597" w:rsidRDefault="005A4EA3" w:rsidP="005A4EA3">
            <w:pPr>
              <w:rPr>
                <w:rFonts w:eastAsia="Times New Roman" w:cs="Times New Roman"/>
                <w:color w:val="000000"/>
                <w:sz w:val="18"/>
                <w:szCs w:val="18"/>
              </w:rPr>
            </w:pPr>
          </w:p>
        </w:tc>
      </w:tr>
      <w:tr w:rsidR="005A4EA3" w:rsidRPr="008A78D0" w14:paraId="45AB88B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900A60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01.1.503</w:t>
            </w:r>
          </w:p>
        </w:tc>
        <w:tc>
          <w:tcPr>
            <w:tcW w:w="2074" w:type="dxa"/>
            <w:tcBorders>
              <w:top w:val="nil"/>
              <w:left w:val="single" w:sz="4" w:space="0" w:color="auto"/>
              <w:bottom w:val="nil"/>
              <w:right w:val="single" w:sz="4" w:space="0" w:color="auto"/>
            </w:tcBorders>
            <w:shd w:val="clear" w:color="auto" w:fill="auto"/>
            <w:noWrap/>
            <w:vAlign w:val="bottom"/>
            <w:hideMark/>
          </w:tcPr>
          <w:p w14:paraId="68EE62C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Margarine</w:t>
            </w:r>
          </w:p>
        </w:tc>
        <w:tc>
          <w:tcPr>
            <w:tcW w:w="1153" w:type="dxa"/>
            <w:tcBorders>
              <w:top w:val="nil"/>
              <w:left w:val="single" w:sz="4" w:space="0" w:color="auto"/>
              <w:bottom w:val="nil"/>
              <w:right w:val="nil"/>
            </w:tcBorders>
            <w:shd w:val="clear" w:color="auto" w:fill="auto"/>
            <w:noWrap/>
            <w:vAlign w:val="bottom"/>
            <w:hideMark/>
          </w:tcPr>
          <w:p w14:paraId="1C4FB53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2.669</w:t>
            </w:r>
          </w:p>
        </w:tc>
        <w:tc>
          <w:tcPr>
            <w:tcW w:w="1289" w:type="dxa"/>
            <w:tcBorders>
              <w:top w:val="nil"/>
              <w:left w:val="nil"/>
              <w:bottom w:val="nil"/>
              <w:right w:val="nil"/>
            </w:tcBorders>
            <w:shd w:val="clear" w:color="auto" w:fill="auto"/>
            <w:noWrap/>
            <w:vAlign w:val="bottom"/>
            <w:hideMark/>
          </w:tcPr>
          <w:p w14:paraId="38E8122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1.435</w:t>
            </w:r>
          </w:p>
        </w:tc>
        <w:tc>
          <w:tcPr>
            <w:tcW w:w="967" w:type="dxa"/>
            <w:tcBorders>
              <w:top w:val="nil"/>
              <w:left w:val="nil"/>
              <w:bottom w:val="nil"/>
            </w:tcBorders>
            <w:shd w:val="clear" w:color="auto" w:fill="auto"/>
            <w:noWrap/>
            <w:vAlign w:val="bottom"/>
            <w:hideMark/>
          </w:tcPr>
          <w:p w14:paraId="3A0CBF0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1.0683</w:t>
            </w:r>
          </w:p>
        </w:tc>
        <w:tc>
          <w:tcPr>
            <w:tcW w:w="860" w:type="dxa"/>
            <w:tcBorders>
              <w:top w:val="nil"/>
              <w:bottom w:val="nil"/>
              <w:right w:val="single" w:sz="4" w:space="0" w:color="auto"/>
            </w:tcBorders>
            <w:shd w:val="clear" w:color="auto" w:fill="auto"/>
            <w:noWrap/>
            <w:vAlign w:val="bottom"/>
            <w:hideMark/>
          </w:tcPr>
          <w:p w14:paraId="1609421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-1.233</w:t>
            </w:r>
          </w:p>
        </w:tc>
        <w:tc>
          <w:tcPr>
            <w:tcW w:w="967" w:type="dxa"/>
            <w:tcBorders>
              <w:top w:val="nil"/>
              <w:left w:val="single" w:sz="4" w:space="0" w:color="auto"/>
              <w:bottom w:val="nil"/>
              <w:right w:val="nil"/>
            </w:tcBorders>
            <w:shd w:val="clear" w:color="auto" w:fill="auto"/>
            <w:noWrap/>
            <w:vAlign w:val="bottom"/>
            <w:hideMark/>
          </w:tcPr>
          <w:p w14:paraId="7C3A32D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0.9816</w:t>
            </w:r>
          </w:p>
        </w:tc>
        <w:tc>
          <w:tcPr>
            <w:tcW w:w="860" w:type="dxa"/>
            <w:tcBorders>
              <w:top w:val="nil"/>
              <w:left w:val="nil"/>
              <w:bottom w:val="nil"/>
              <w:right w:val="nil"/>
            </w:tcBorders>
            <w:shd w:val="clear" w:color="auto" w:fill="auto"/>
            <w:noWrap/>
            <w:vAlign w:val="bottom"/>
            <w:hideMark/>
          </w:tcPr>
          <w:p w14:paraId="5FBC656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0.3614</w:t>
            </w:r>
          </w:p>
        </w:tc>
        <w:tc>
          <w:tcPr>
            <w:tcW w:w="860" w:type="dxa"/>
            <w:tcBorders>
              <w:top w:val="nil"/>
              <w:left w:val="nil"/>
              <w:bottom w:val="nil"/>
              <w:right w:val="nil"/>
            </w:tcBorders>
            <w:shd w:val="clear" w:color="auto" w:fill="auto"/>
            <w:noWrap/>
            <w:vAlign w:val="bottom"/>
            <w:hideMark/>
          </w:tcPr>
          <w:p w14:paraId="598BD6D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-0.6202</w:t>
            </w:r>
          </w:p>
        </w:tc>
        <w:tc>
          <w:tcPr>
            <w:tcW w:w="967" w:type="dxa"/>
            <w:tcBorders>
              <w:top w:val="nil"/>
              <w:left w:val="nil"/>
              <w:bottom w:val="nil"/>
              <w:right w:val="nil"/>
            </w:tcBorders>
            <w:shd w:val="clear" w:color="auto" w:fill="auto"/>
            <w:noWrap/>
            <w:vAlign w:val="bottom"/>
            <w:hideMark/>
          </w:tcPr>
          <w:p w14:paraId="64BE0A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0.0661</w:t>
            </w:r>
          </w:p>
        </w:tc>
        <w:tc>
          <w:tcPr>
            <w:tcW w:w="860" w:type="dxa"/>
            <w:tcBorders>
              <w:top w:val="nil"/>
              <w:left w:val="nil"/>
              <w:bottom w:val="nil"/>
              <w:right w:val="nil"/>
            </w:tcBorders>
            <w:shd w:val="clear" w:color="auto" w:fill="auto"/>
            <w:noWrap/>
            <w:vAlign w:val="bottom"/>
            <w:hideMark/>
          </w:tcPr>
          <w:p w14:paraId="69B582C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1.9887</w:t>
            </w:r>
          </w:p>
        </w:tc>
        <w:tc>
          <w:tcPr>
            <w:tcW w:w="860" w:type="dxa"/>
            <w:tcBorders>
              <w:top w:val="nil"/>
              <w:left w:val="nil"/>
              <w:bottom w:val="nil"/>
              <w:right w:val="single" w:sz="4" w:space="0" w:color="auto"/>
            </w:tcBorders>
            <w:shd w:val="clear" w:color="auto" w:fill="auto"/>
            <w:noWrap/>
            <w:vAlign w:val="bottom"/>
            <w:hideMark/>
          </w:tcPr>
          <w:p w14:paraId="736803D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0.0207</w:t>
            </w:r>
          </w:p>
        </w:tc>
        <w:tc>
          <w:tcPr>
            <w:tcW w:w="127" w:type="dxa"/>
            <w:tcBorders>
              <w:top w:val="nil"/>
              <w:left w:val="single" w:sz="4" w:space="0" w:color="auto"/>
              <w:bottom w:val="nil"/>
              <w:right w:val="nil"/>
            </w:tcBorders>
            <w:shd w:val="clear" w:color="auto" w:fill="auto"/>
            <w:noWrap/>
            <w:vAlign w:val="bottom"/>
            <w:hideMark/>
          </w:tcPr>
          <w:p w14:paraId="7867EAE7" w14:textId="77777777" w:rsidR="005A4EA3" w:rsidRPr="00B43597" w:rsidRDefault="005A4EA3" w:rsidP="005A4EA3">
            <w:pPr>
              <w:rPr>
                <w:rFonts w:eastAsia="Times New Roman" w:cs="Times New Roman"/>
                <w:color w:val="000000"/>
                <w:sz w:val="18"/>
                <w:szCs w:val="18"/>
              </w:rPr>
            </w:pPr>
          </w:p>
        </w:tc>
      </w:tr>
      <w:tr w:rsidR="005A4EA3" w:rsidRPr="008A78D0" w14:paraId="3061E37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0A9BF5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01.1.504</w:t>
            </w:r>
          </w:p>
        </w:tc>
        <w:tc>
          <w:tcPr>
            <w:tcW w:w="2074" w:type="dxa"/>
            <w:tcBorders>
              <w:top w:val="nil"/>
              <w:left w:val="single" w:sz="4" w:space="0" w:color="auto"/>
              <w:bottom w:val="nil"/>
              <w:right w:val="single" w:sz="4" w:space="0" w:color="auto"/>
            </w:tcBorders>
            <w:shd w:val="clear" w:color="auto" w:fill="auto"/>
            <w:noWrap/>
            <w:vAlign w:val="bottom"/>
            <w:hideMark/>
          </w:tcPr>
          <w:p w14:paraId="6B1EFA3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Peanut butter</w:t>
            </w:r>
          </w:p>
        </w:tc>
        <w:tc>
          <w:tcPr>
            <w:tcW w:w="1153" w:type="dxa"/>
            <w:tcBorders>
              <w:top w:val="nil"/>
              <w:left w:val="single" w:sz="4" w:space="0" w:color="auto"/>
              <w:bottom w:val="nil"/>
              <w:right w:val="nil"/>
            </w:tcBorders>
            <w:shd w:val="clear" w:color="auto" w:fill="auto"/>
            <w:noWrap/>
            <w:vAlign w:val="bottom"/>
            <w:hideMark/>
          </w:tcPr>
          <w:p w14:paraId="1E713ED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1.155</w:t>
            </w:r>
          </w:p>
        </w:tc>
        <w:tc>
          <w:tcPr>
            <w:tcW w:w="1289" w:type="dxa"/>
            <w:tcBorders>
              <w:top w:val="nil"/>
              <w:left w:val="nil"/>
              <w:bottom w:val="nil"/>
              <w:right w:val="nil"/>
            </w:tcBorders>
            <w:shd w:val="clear" w:color="auto" w:fill="auto"/>
            <w:noWrap/>
            <w:vAlign w:val="bottom"/>
            <w:hideMark/>
          </w:tcPr>
          <w:p w14:paraId="7984562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1.194</w:t>
            </w:r>
          </w:p>
        </w:tc>
        <w:tc>
          <w:tcPr>
            <w:tcW w:w="967" w:type="dxa"/>
            <w:tcBorders>
              <w:top w:val="nil"/>
              <w:left w:val="nil"/>
              <w:bottom w:val="nil"/>
            </w:tcBorders>
            <w:shd w:val="clear" w:color="auto" w:fill="auto"/>
            <w:noWrap/>
            <w:vAlign w:val="bottom"/>
            <w:hideMark/>
          </w:tcPr>
          <w:p w14:paraId="64EA222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1.0318</w:t>
            </w:r>
          </w:p>
        </w:tc>
        <w:tc>
          <w:tcPr>
            <w:tcW w:w="860" w:type="dxa"/>
            <w:tcBorders>
              <w:top w:val="nil"/>
              <w:bottom w:val="nil"/>
              <w:right w:val="single" w:sz="4" w:space="0" w:color="auto"/>
            </w:tcBorders>
            <w:shd w:val="clear" w:color="auto" w:fill="auto"/>
            <w:noWrap/>
            <w:vAlign w:val="bottom"/>
            <w:hideMark/>
          </w:tcPr>
          <w:p w14:paraId="052C57E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0.039</w:t>
            </w:r>
          </w:p>
        </w:tc>
        <w:tc>
          <w:tcPr>
            <w:tcW w:w="967" w:type="dxa"/>
            <w:tcBorders>
              <w:top w:val="nil"/>
              <w:left w:val="single" w:sz="4" w:space="0" w:color="auto"/>
              <w:bottom w:val="nil"/>
              <w:right w:val="nil"/>
            </w:tcBorders>
            <w:shd w:val="clear" w:color="auto" w:fill="auto"/>
            <w:noWrap/>
            <w:vAlign w:val="bottom"/>
            <w:hideMark/>
          </w:tcPr>
          <w:p w14:paraId="113431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0.1444</w:t>
            </w:r>
          </w:p>
        </w:tc>
        <w:tc>
          <w:tcPr>
            <w:tcW w:w="860" w:type="dxa"/>
            <w:tcBorders>
              <w:top w:val="nil"/>
              <w:left w:val="nil"/>
              <w:bottom w:val="nil"/>
              <w:right w:val="nil"/>
            </w:tcBorders>
            <w:shd w:val="clear" w:color="auto" w:fill="auto"/>
            <w:noWrap/>
            <w:vAlign w:val="bottom"/>
            <w:hideMark/>
          </w:tcPr>
          <w:p w14:paraId="1A54134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0.1772</w:t>
            </w:r>
          </w:p>
        </w:tc>
        <w:tc>
          <w:tcPr>
            <w:tcW w:w="860" w:type="dxa"/>
            <w:tcBorders>
              <w:top w:val="nil"/>
              <w:left w:val="nil"/>
              <w:bottom w:val="nil"/>
              <w:right w:val="nil"/>
            </w:tcBorders>
            <w:shd w:val="clear" w:color="auto" w:fill="auto"/>
            <w:noWrap/>
            <w:vAlign w:val="bottom"/>
            <w:hideMark/>
          </w:tcPr>
          <w:p w14:paraId="2674E03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0.0328</w:t>
            </w:r>
          </w:p>
        </w:tc>
        <w:tc>
          <w:tcPr>
            <w:tcW w:w="967" w:type="dxa"/>
            <w:tcBorders>
              <w:top w:val="nil"/>
              <w:left w:val="nil"/>
              <w:bottom w:val="nil"/>
              <w:right w:val="nil"/>
            </w:tcBorders>
            <w:shd w:val="clear" w:color="auto" w:fill="auto"/>
            <w:noWrap/>
            <w:vAlign w:val="bottom"/>
            <w:hideMark/>
          </w:tcPr>
          <w:p w14:paraId="6CC977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0.0313</w:t>
            </w:r>
          </w:p>
        </w:tc>
        <w:tc>
          <w:tcPr>
            <w:tcW w:w="860" w:type="dxa"/>
            <w:tcBorders>
              <w:top w:val="nil"/>
              <w:left w:val="nil"/>
              <w:bottom w:val="nil"/>
              <w:right w:val="nil"/>
            </w:tcBorders>
            <w:shd w:val="clear" w:color="auto" w:fill="auto"/>
            <w:noWrap/>
            <w:vAlign w:val="bottom"/>
            <w:hideMark/>
          </w:tcPr>
          <w:p w14:paraId="07F13F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1.1745</w:t>
            </w:r>
          </w:p>
        </w:tc>
        <w:tc>
          <w:tcPr>
            <w:tcW w:w="860" w:type="dxa"/>
            <w:tcBorders>
              <w:top w:val="nil"/>
              <w:left w:val="nil"/>
              <w:bottom w:val="nil"/>
              <w:right w:val="single" w:sz="4" w:space="0" w:color="auto"/>
            </w:tcBorders>
            <w:shd w:val="clear" w:color="auto" w:fill="auto"/>
            <w:noWrap/>
            <w:vAlign w:val="bottom"/>
            <w:hideMark/>
          </w:tcPr>
          <w:p w14:paraId="4D2861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0.0123</w:t>
            </w:r>
          </w:p>
        </w:tc>
        <w:tc>
          <w:tcPr>
            <w:tcW w:w="127" w:type="dxa"/>
            <w:tcBorders>
              <w:top w:val="nil"/>
              <w:left w:val="single" w:sz="4" w:space="0" w:color="auto"/>
              <w:bottom w:val="nil"/>
              <w:right w:val="nil"/>
            </w:tcBorders>
            <w:shd w:val="clear" w:color="auto" w:fill="auto"/>
            <w:noWrap/>
            <w:vAlign w:val="bottom"/>
            <w:hideMark/>
          </w:tcPr>
          <w:p w14:paraId="2128AC2C" w14:textId="77777777" w:rsidR="005A4EA3" w:rsidRPr="00B43597" w:rsidRDefault="005A4EA3" w:rsidP="005A4EA3">
            <w:pPr>
              <w:rPr>
                <w:rFonts w:eastAsia="Times New Roman" w:cs="Times New Roman"/>
                <w:color w:val="000000"/>
                <w:sz w:val="18"/>
                <w:szCs w:val="18"/>
              </w:rPr>
            </w:pPr>
          </w:p>
        </w:tc>
      </w:tr>
      <w:tr w:rsidR="005A4EA3" w:rsidRPr="008A78D0" w14:paraId="7E7C0E7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660DB2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01.1.506</w:t>
            </w:r>
          </w:p>
        </w:tc>
        <w:tc>
          <w:tcPr>
            <w:tcW w:w="2074" w:type="dxa"/>
            <w:tcBorders>
              <w:top w:val="nil"/>
              <w:left w:val="single" w:sz="4" w:space="0" w:color="auto"/>
              <w:bottom w:val="nil"/>
              <w:right w:val="single" w:sz="4" w:space="0" w:color="auto"/>
            </w:tcBorders>
            <w:shd w:val="clear" w:color="auto" w:fill="auto"/>
            <w:noWrap/>
            <w:vAlign w:val="bottom"/>
            <w:hideMark/>
          </w:tcPr>
          <w:p w14:paraId="3CC4F9A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Fry Oil/Vegetable Oil</w:t>
            </w:r>
          </w:p>
        </w:tc>
        <w:tc>
          <w:tcPr>
            <w:tcW w:w="1153" w:type="dxa"/>
            <w:tcBorders>
              <w:top w:val="nil"/>
              <w:left w:val="single" w:sz="4" w:space="0" w:color="auto"/>
              <w:bottom w:val="nil"/>
              <w:right w:val="nil"/>
            </w:tcBorders>
            <w:shd w:val="clear" w:color="auto" w:fill="auto"/>
            <w:noWrap/>
            <w:vAlign w:val="bottom"/>
            <w:hideMark/>
          </w:tcPr>
          <w:p w14:paraId="6BA97C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2.600</w:t>
            </w:r>
          </w:p>
        </w:tc>
        <w:tc>
          <w:tcPr>
            <w:tcW w:w="1289" w:type="dxa"/>
            <w:tcBorders>
              <w:top w:val="nil"/>
              <w:left w:val="nil"/>
              <w:bottom w:val="nil"/>
              <w:right w:val="nil"/>
            </w:tcBorders>
            <w:shd w:val="clear" w:color="auto" w:fill="auto"/>
            <w:noWrap/>
            <w:vAlign w:val="bottom"/>
            <w:hideMark/>
          </w:tcPr>
          <w:p w14:paraId="6023440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2.674</w:t>
            </w:r>
          </w:p>
        </w:tc>
        <w:tc>
          <w:tcPr>
            <w:tcW w:w="967" w:type="dxa"/>
            <w:tcBorders>
              <w:top w:val="nil"/>
              <w:left w:val="nil"/>
              <w:bottom w:val="nil"/>
            </w:tcBorders>
            <w:shd w:val="clear" w:color="auto" w:fill="auto"/>
            <w:noWrap/>
            <w:vAlign w:val="bottom"/>
            <w:hideMark/>
          </w:tcPr>
          <w:p w14:paraId="43F6045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1.2056</w:t>
            </w:r>
          </w:p>
        </w:tc>
        <w:tc>
          <w:tcPr>
            <w:tcW w:w="860" w:type="dxa"/>
            <w:tcBorders>
              <w:top w:val="nil"/>
              <w:bottom w:val="nil"/>
              <w:right w:val="single" w:sz="4" w:space="0" w:color="auto"/>
            </w:tcBorders>
            <w:shd w:val="clear" w:color="auto" w:fill="auto"/>
            <w:noWrap/>
            <w:vAlign w:val="bottom"/>
            <w:hideMark/>
          </w:tcPr>
          <w:p w14:paraId="5010FC6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0.075</w:t>
            </w:r>
          </w:p>
        </w:tc>
        <w:tc>
          <w:tcPr>
            <w:tcW w:w="967" w:type="dxa"/>
            <w:tcBorders>
              <w:top w:val="nil"/>
              <w:left w:val="single" w:sz="4" w:space="0" w:color="auto"/>
              <w:bottom w:val="nil"/>
              <w:right w:val="nil"/>
            </w:tcBorders>
            <w:shd w:val="clear" w:color="auto" w:fill="auto"/>
            <w:noWrap/>
            <w:vAlign w:val="bottom"/>
            <w:hideMark/>
          </w:tcPr>
          <w:p w14:paraId="36AFFF3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0.9553</w:t>
            </w:r>
          </w:p>
        </w:tc>
        <w:tc>
          <w:tcPr>
            <w:tcW w:w="860" w:type="dxa"/>
            <w:tcBorders>
              <w:top w:val="nil"/>
              <w:left w:val="nil"/>
              <w:bottom w:val="nil"/>
              <w:right w:val="nil"/>
            </w:tcBorders>
            <w:shd w:val="clear" w:color="auto" w:fill="auto"/>
            <w:noWrap/>
            <w:vAlign w:val="bottom"/>
            <w:hideMark/>
          </w:tcPr>
          <w:p w14:paraId="18DECE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0.9836</w:t>
            </w:r>
          </w:p>
        </w:tc>
        <w:tc>
          <w:tcPr>
            <w:tcW w:w="860" w:type="dxa"/>
            <w:tcBorders>
              <w:top w:val="nil"/>
              <w:left w:val="nil"/>
              <w:bottom w:val="nil"/>
              <w:right w:val="nil"/>
            </w:tcBorders>
            <w:shd w:val="clear" w:color="auto" w:fill="auto"/>
            <w:noWrap/>
            <w:vAlign w:val="bottom"/>
            <w:hideMark/>
          </w:tcPr>
          <w:p w14:paraId="369A5A7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0.0283</w:t>
            </w:r>
          </w:p>
        </w:tc>
        <w:tc>
          <w:tcPr>
            <w:tcW w:w="967" w:type="dxa"/>
            <w:tcBorders>
              <w:top w:val="nil"/>
              <w:left w:val="nil"/>
              <w:bottom w:val="nil"/>
              <w:right w:val="nil"/>
            </w:tcBorders>
            <w:shd w:val="clear" w:color="auto" w:fill="auto"/>
            <w:noWrap/>
            <w:vAlign w:val="bottom"/>
            <w:hideMark/>
          </w:tcPr>
          <w:p w14:paraId="5A8D677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0.1870</w:t>
            </w:r>
          </w:p>
        </w:tc>
        <w:tc>
          <w:tcPr>
            <w:tcW w:w="860" w:type="dxa"/>
            <w:tcBorders>
              <w:top w:val="nil"/>
              <w:left w:val="nil"/>
              <w:bottom w:val="nil"/>
              <w:right w:val="nil"/>
            </w:tcBorders>
            <w:shd w:val="clear" w:color="auto" w:fill="auto"/>
            <w:noWrap/>
            <w:vAlign w:val="bottom"/>
            <w:hideMark/>
          </w:tcPr>
          <w:p w14:paraId="7DC6163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2.6367</w:t>
            </w:r>
          </w:p>
        </w:tc>
        <w:tc>
          <w:tcPr>
            <w:tcW w:w="860" w:type="dxa"/>
            <w:tcBorders>
              <w:top w:val="nil"/>
              <w:left w:val="nil"/>
              <w:bottom w:val="nil"/>
              <w:right w:val="single" w:sz="4" w:space="0" w:color="auto"/>
            </w:tcBorders>
            <w:shd w:val="clear" w:color="auto" w:fill="auto"/>
            <w:noWrap/>
            <w:vAlign w:val="bottom"/>
            <w:hideMark/>
          </w:tcPr>
          <w:p w14:paraId="334F36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0.0275</w:t>
            </w:r>
          </w:p>
        </w:tc>
        <w:tc>
          <w:tcPr>
            <w:tcW w:w="127" w:type="dxa"/>
            <w:tcBorders>
              <w:top w:val="nil"/>
              <w:left w:val="single" w:sz="4" w:space="0" w:color="auto"/>
              <w:bottom w:val="nil"/>
              <w:right w:val="nil"/>
            </w:tcBorders>
            <w:shd w:val="clear" w:color="auto" w:fill="auto"/>
            <w:noWrap/>
            <w:vAlign w:val="bottom"/>
            <w:hideMark/>
          </w:tcPr>
          <w:p w14:paraId="00F2D257" w14:textId="77777777" w:rsidR="005A4EA3" w:rsidRPr="00B43597" w:rsidRDefault="005A4EA3" w:rsidP="005A4EA3">
            <w:pPr>
              <w:rPr>
                <w:rFonts w:eastAsia="Times New Roman" w:cs="Times New Roman"/>
                <w:color w:val="000000"/>
                <w:sz w:val="18"/>
                <w:szCs w:val="18"/>
              </w:rPr>
            </w:pPr>
          </w:p>
        </w:tc>
      </w:tr>
      <w:tr w:rsidR="005A4EA3" w:rsidRPr="008A78D0" w14:paraId="3CFB3674"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845157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01.1.601</w:t>
            </w:r>
          </w:p>
        </w:tc>
        <w:tc>
          <w:tcPr>
            <w:tcW w:w="2074" w:type="dxa"/>
            <w:tcBorders>
              <w:top w:val="nil"/>
              <w:left w:val="single" w:sz="4" w:space="0" w:color="auto"/>
              <w:bottom w:val="nil"/>
              <w:right w:val="single" w:sz="4" w:space="0" w:color="auto"/>
            </w:tcBorders>
            <w:shd w:val="clear" w:color="auto" w:fill="auto"/>
            <w:noWrap/>
            <w:vAlign w:val="bottom"/>
            <w:hideMark/>
          </w:tcPr>
          <w:p w14:paraId="0D569C2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Oranges</w:t>
            </w:r>
          </w:p>
        </w:tc>
        <w:tc>
          <w:tcPr>
            <w:tcW w:w="1153" w:type="dxa"/>
            <w:tcBorders>
              <w:top w:val="nil"/>
              <w:left w:val="single" w:sz="4" w:space="0" w:color="auto"/>
              <w:bottom w:val="nil"/>
              <w:right w:val="nil"/>
            </w:tcBorders>
            <w:shd w:val="clear" w:color="auto" w:fill="auto"/>
            <w:noWrap/>
            <w:vAlign w:val="bottom"/>
            <w:hideMark/>
          </w:tcPr>
          <w:p w14:paraId="4EB1571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1.398</w:t>
            </w:r>
          </w:p>
        </w:tc>
        <w:tc>
          <w:tcPr>
            <w:tcW w:w="1289" w:type="dxa"/>
            <w:tcBorders>
              <w:top w:val="nil"/>
              <w:left w:val="nil"/>
              <w:bottom w:val="nil"/>
              <w:right w:val="nil"/>
            </w:tcBorders>
            <w:shd w:val="clear" w:color="auto" w:fill="auto"/>
            <w:noWrap/>
            <w:vAlign w:val="bottom"/>
            <w:hideMark/>
          </w:tcPr>
          <w:p w14:paraId="0467D0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0.990</w:t>
            </w:r>
          </w:p>
        </w:tc>
        <w:tc>
          <w:tcPr>
            <w:tcW w:w="967" w:type="dxa"/>
            <w:tcBorders>
              <w:top w:val="nil"/>
              <w:left w:val="nil"/>
              <w:bottom w:val="nil"/>
            </w:tcBorders>
            <w:shd w:val="clear" w:color="auto" w:fill="auto"/>
            <w:noWrap/>
            <w:vAlign w:val="bottom"/>
            <w:hideMark/>
          </w:tcPr>
          <w:p w14:paraId="1DAEC8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0.6827</w:t>
            </w:r>
          </w:p>
        </w:tc>
        <w:tc>
          <w:tcPr>
            <w:tcW w:w="860" w:type="dxa"/>
            <w:tcBorders>
              <w:top w:val="nil"/>
              <w:bottom w:val="nil"/>
              <w:right w:val="single" w:sz="4" w:space="0" w:color="auto"/>
            </w:tcBorders>
            <w:shd w:val="clear" w:color="auto" w:fill="auto"/>
            <w:noWrap/>
            <w:vAlign w:val="bottom"/>
            <w:hideMark/>
          </w:tcPr>
          <w:p w14:paraId="554ECEF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-0.408</w:t>
            </w:r>
          </w:p>
        </w:tc>
        <w:tc>
          <w:tcPr>
            <w:tcW w:w="967" w:type="dxa"/>
            <w:tcBorders>
              <w:top w:val="nil"/>
              <w:left w:val="single" w:sz="4" w:space="0" w:color="auto"/>
              <w:bottom w:val="nil"/>
              <w:right w:val="nil"/>
            </w:tcBorders>
            <w:shd w:val="clear" w:color="auto" w:fill="auto"/>
            <w:noWrap/>
            <w:vAlign w:val="bottom"/>
            <w:hideMark/>
          </w:tcPr>
          <w:p w14:paraId="4B67766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0.3350</w:t>
            </w:r>
          </w:p>
        </w:tc>
        <w:tc>
          <w:tcPr>
            <w:tcW w:w="860" w:type="dxa"/>
            <w:tcBorders>
              <w:top w:val="nil"/>
              <w:left w:val="nil"/>
              <w:bottom w:val="nil"/>
              <w:right w:val="nil"/>
            </w:tcBorders>
            <w:shd w:val="clear" w:color="auto" w:fill="auto"/>
            <w:noWrap/>
            <w:vAlign w:val="bottom"/>
            <w:hideMark/>
          </w:tcPr>
          <w:p w14:paraId="5B35697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-0.0099</w:t>
            </w:r>
          </w:p>
        </w:tc>
        <w:tc>
          <w:tcPr>
            <w:tcW w:w="860" w:type="dxa"/>
            <w:tcBorders>
              <w:top w:val="nil"/>
              <w:left w:val="nil"/>
              <w:bottom w:val="nil"/>
              <w:right w:val="nil"/>
            </w:tcBorders>
            <w:shd w:val="clear" w:color="auto" w:fill="auto"/>
            <w:noWrap/>
            <w:vAlign w:val="bottom"/>
            <w:hideMark/>
          </w:tcPr>
          <w:p w14:paraId="2B1BC8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-0.3448</w:t>
            </w:r>
          </w:p>
        </w:tc>
        <w:tc>
          <w:tcPr>
            <w:tcW w:w="967" w:type="dxa"/>
            <w:tcBorders>
              <w:top w:val="nil"/>
              <w:left w:val="nil"/>
              <w:bottom w:val="nil"/>
              <w:right w:val="nil"/>
            </w:tcBorders>
            <w:shd w:val="clear" w:color="auto" w:fill="auto"/>
            <w:noWrap/>
            <w:vAlign w:val="bottom"/>
            <w:hideMark/>
          </w:tcPr>
          <w:p w14:paraId="63DD5CA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-0.3817</w:t>
            </w:r>
          </w:p>
        </w:tc>
        <w:tc>
          <w:tcPr>
            <w:tcW w:w="860" w:type="dxa"/>
            <w:tcBorders>
              <w:top w:val="nil"/>
              <w:left w:val="nil"/>
              <w:bottom w:val="nil"/>
              <w:right w:val="nil"/>
            </w:tcBorders>
            <w:shd w:val="clear" w:color="auto" w:fill="auto"/>
            <w:noWrap/>
            <w:vAlign w:val="bottom"/>
            <w:hideMark/>
          </w:tcPr>
          <w:p w14:paraId="3E37FE4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1.1823</w:t>
            </w:r>
          </w:p>
        </w:tc>
        <w:tc>
          <w:tcPr>
            <w:tcW w:w="860" w:type="dxa"/>
            <w:tcBorders>
              <w:top w:val="nil"/>
              <w:left w:val="nil"/>
              <w:bottom w:val="nil"/>
              <w:right w:val="single" w:sz="4" w:space="0" w:color="auto"/>
            </w:tcBorders>
            <w:shd w:val="clear" w:color="auto" w:fill="auto"/>
            <w:noWrap/>
            <w:vAlign w:val="bottom"/>
            <w:hideMark/>
          </w:tcPr>
          <w:p w14:paraId="0522EFE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0.0123</w:t>
            </w:r>
          </w:p>
        </w:tc>
        <w:tc>
          <w:tcPr>
            <w:tcW w:w="127" w:type="dxa"/>
            <w:tcBorders>
              <w:top w:val="nil"/>
              <w:left w:val="single" w:sz="4" w:space="0" w:color="auto"/>
              <w:bottom w:val="nil"/>
              <w:right w:val="nil"/>
            </w:tcBorders>
            <w:shd w:val="clear" w:color="auto" w:fill="auto"/>
            <w:noWrap/>
            <w:vAlign w:val="bottom"/>
            <w:hideMark/>
          </w:tcPr>
          <w:p w14:paraId="285AC318" w14:textId="77777777" w:rsidR="005A4EA3" w:rsidRPr="00B43597" w:rsidRDefault="005A4EA3" w:rsidP="005A4EA3">
            <w:pPr>
              <w:rPr>
                <w:rFonts w:eastAsia="Times New Roman" w:cs="Times New Roman"/>
                <w:color w:val="000000"/>
                <w:sz w:val="18"/>
                <w:szCs w:val="18"/>
              </w:rPr>
            </w:pPr>
          </w:p>
        </w:tc>
      </w:tr>
      <w:tr w:rsidR="005A4EA3" w:rsidRPr="008A78D0" w14:paraId="0CDE61F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C64C59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01.1.602</w:t>
            </w:r>
          </w:p>
        </w:tc>
        <w:tc>
          <w:tcPr>
            <w:tcW w:w="2074" w:type="dxa"/>
            <w:tcBorders>
              <w:top w:val="nil"/>
              <w:left w:val="single" w:sz="4" w:space="0" w:color="auto"/>
              <w:bottom w:val="nil"/>
              <w:right w:val="single" w:sz="4" w:space="0" w:color="auto"/>
            </w:tcBorders>
            <w:shd w:val="clear" w:color="auto" w:fill="auto"/>
            <w:noWrap/>
            <w:vAlign w:val="bottom"/>
            <w:hideMark/>
          </w:tcPr>
          <w:p w14:paraId="10FD670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Pineapple</w:t>
            </w:r>
          </w:p>
        </w:tc>
        <w:tc>
          <w:tcPr>
            <w:tcW w:w="1153" w:type="dxa"/>
            <w:tcBorders>
              <w:top w:val="nil"/>
              <w:left w:val="single" w:sz="4" w:space="0" w:color="auto"/>
              <w:bottom w:val="nil"/>
              <w:right w:val="nil"/>
            </w:tcBorders>
            <w:shd w:val="clear" w:color="auto" w:fill="auto"/>
            <w:noWrap/>
            <w:vAlign w:val="bottom"/>
            <w:hideMark/>
          </w:tcPr>
          <w:p w14:paraId="64667F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0.304</w:t>
            </w:r>
          </w:p>
        </w:tc>
        <w:tc>
          <w:tcPr>
            <w:tcW w:w="1289" w:type="dxa"/>
            <w:tcBorders>
              <w:top w:val="nil"/>
              <w:left w:val="nil"/>
              <w:bottom w:val="nil"/>
              <w:right w:val="nil"/>
            </w:tcBorders>
            <w:shd w:val="clear" w:color="auto" w:fill="auto"/>
            <w:noWrap/>
            <w:vAlign w:val="bottom"/>
            <w:hideMark/>
          </w:tcPr>
          <w:p w14:paraId="4B3D5E5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0.731</w:t>
            </w:r>
          </w:p>
        </w:tc>
        <w:tc>
          <w:tcPr>
            <w:tcW w:w="967" w:type="dxa"/>
            <w:tcBorders>
              <w:top w:val="nil"/>
              <w:left w:val="nil"/>
              <w:bottom w:val="nil"/>
            </w:tcBorders>
            <w:shd w:val="clear" w:color="auto" w:fill="auto"/>
            <w:noWrap/>
            <w:vAlign w:val="bottom"/>
            <w:hideMark/>
          </w:tcPr>
          <w:p w14:paraId="0C596D4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1.7028</w:t>
            </w:r>
          </w:p>
        </w:tc>
        <w:tc>
          <w:tcPr>
            <w:tcW w:w="860" w:type="dxa"/>
            <w:tcBorders>
              <w:top w:val="nil"/>
              <w:bottom w:val="nil"/>
              <w:right w:val="single" w:sz="4" w:space="0" w:color="auto"/>
            </w:tcBorders>
            <w:shd w:val="clear" w:color="auto" w:fill="auto"/>
            <w:noWrap/>
            <w:vAlign w:val="bottom"/>
            <w:hideMark/>
          </w:tcPr>
          <w:p w14:paraId="5DC0FFD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0.427</w:t>
            </w:r>
          </w:p>
        </w:tc>
        <w:tc>
          <w:tcPr>
            <w:tcW w:w="967" w:type="dxa"/>
            <w:tcBorders>
              <w:top w:val="nil"/>
              <w:left w:val="single" w:sz="4" w:space="0" w:color="auto"/>
              <w:bottom w:val="nil"/>
              <w:right w:val="nil"/>
            </w:tcBorders>
            <w:shd w:val="clear" w:color="auto" w:fill="auto"/>
            <w:noWrap/>
            <w:vAlign w:val="bottom"/>
            <w:hideMark/>
          </w:tcPr>
          <w:p w14:paraId="502317B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-1.1893</w:t>
            </w:r>
          </w:p>
        </w:tc>
        <w:tc>
          <w:tcPr>
            <w:tcW w:w="860" w:type="dxa"/>
            <w:tcBorders>
              <w:top w:val="nil"/>
              <w:left w:val="nil"/>
              <w:bottom w:val="nil"/>
              <w:right w:val="nil"/>
            </w:tcBorders>
            <w:shd w:val="clear" w:color="auto" w:fill="auto"/>
            <w:noWrap/>
            <w:vAlign w:val="bottom"/>
            <w:hideMark/>
          </w:tcPr>
          <w:p w14:paraId="6D52C8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-0.3132</w:t>
            </w:r>
          </w:p>
        </w:tc>
        <w:tc>
          <w:tcPr>
            <w:tcW w:w="860" w:type="dxa"/>
            <w:tcBorders>
              <w:top w:val="nil"/>
              <w:left w:val="nil"/>
              <w:bottom w:val="nil"/>
              <w:right w:val="nil"/>
            </w:tcBorders>
            <w:shd w:val="clear" w:color="auto" w:fill="auto"/>
            <w:noWrap/>
            <w:vAlign w:val="bottom"/>
            <w:hideMark/>
          </w:tcPr>
          <w:p w14:paraId="1BF27A4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0.8761</w:t>
            </w:r>
          </w:p>
        </w:tc>
        <w:tc>
          <w:tcPr>
            <w:tcW w:w="967" w:type="dxa"/>
            <w:tcBorders>
              <w:top w:val="nil"/>
              <w:left w:val="nil"/>
              <w:bottom w:val="nil"/>
              <w:right w:val="nil"/>
            </w:tcBorders>
            <w:shd w:val="clear" w:color="auto" w:fill="auto"/>
            <w:noWrap/>
            <w:vAlign w:val="bottom"/>
            <w:hideMark/>
          </w:tcPr>
          <w:p w14:paraId="40498AF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0.5323</w:t>
            </w:r>
          </w:p>
        </w:tc>
        <w:tc>
          <w:tcPr>
            <w:tcW w:w="860" w:type="dxa"/>
            <w:tcBorders>
              <w:top w:val="nil"/>
              <w:left w:val="nil"/>
              <w:bottom w:val="nil"/>
              <w:right w:val="nil"/>
            </w:tcBorders>
            <w:shd w:val="clear" w:color="auto" w:fill="auto"/>
            <w:noWrap/>
            <w:vAlign w:val="bottom"/>
            <w:hideMark/>
          </w:tcPr>
          <w:p w14:paraId="606641F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0.4870</w:t>
            </w:r>
          </w:p>
        </w:tc>
        <w:tc>
          <w:tcPr>
            <w:tcW w:w="860" w:type="dxa"/>
            <w:tcBorders>
              <w:top w:val="nil"/>
              <w:left w:val="nil"/>
              <w:bottom w:val="nil"/>
              <w:right w:val="single" w:sz="4" w:space="0" w:color="auto"/>
            </w:tcBorders>
            <w:shd w:val="clear" w:color="auto" w:fill="auto"/>
            <w:noWrap/>
            <w:vAlign w:val="bottom"/>
            <w:hideMark/>
          </w:tcPr>
          <w:p w14:paraId="4DFE493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0.0051</w:t>
            </w:r>
          </w:p>
        </w:tc>
        <w:tc>
          <w:tcPr>
            <w:tcW w:w="127" w:type="dxa"/>
            <w:tcBorders>
              <w:top w:val="nil"/>
              <w:left w:val="single" w:sz="4" w:space="0" w:color="auto"/>
              <w:bottom w:val="nil"/>
              <w:right w:val="nil"/>
            </w:tcBorders>
            <w:shd w:val="clear" w:color="auto" w:fill="auto"/>
            <w:noWrap/>
            <w:vAlign w:val="bottom"/>
            <w:hideMark/>
          </w:tcPr>
          <w:p w14:paraId="2F4BE008" w14:textId="77777777" w:rsidR="005A4EA3" w:rsidRPr="00B43597" w:rsidRDefault="005A4EA3" w:rsidP="005A4EA3">
            <w:pPr>
              <w:rPr>
                <w:rFonts w:eastAsia="Times New Roman" w:cs="Times New Roman"/>
                <w:color w:val="000000"/>
                <w:sz w:val="18"/>
                <w:szCs w:val="18"/>
              </w:rPr>
            </w:pPr>
          </w:p>
        </w:tc>
      </w:tr>
      <w:tr w:rsidR="005A4EA3" w:rsidRPr="008A78D0" w14:paraId="6697541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A60BFA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01.1.603</w:t>
            </w:r>
          </w:p>
        </w:tc>
        <w:tc>
          <w:tcPr>
            <w:tcW w:w="2074" w:type="dxa"/>
            <w:tcBorders>
              <w:top w:val="nil"/>
              <w:left w:val="single" w:sz="4" w:space="0" w:color="auto"/>
              <w:bottom w:val="nil"/>
              <w:right w:val="single" w:sz="4" w:space="0" w:color="auto"/>
            </w:tcBorders>
            <w:shd w:val="clear" w:color="auto" w:fill="auto"/>
            <w:noWrap/>
            <w:vAlign w:val="bottom"/>
            <w:hideMark/>
          </w:tcPr>
          <w:p w14:paraId="7CA6619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Bananas</w:t>
            </w:r>
          </w:p>
        </w:tc>
        <w:tc>
          <w:tcPr>
            <w:tcW w:w="1153" w:type="dxa"/>
            <w:tcBorders>
              <w:top w:val="nil"/>
              <w:left w:val="single" w:sz="4" w:space="0" w:color="auto"/>
              <w:bottom w:val="nil"/>
              <w:right w:val="nil"/>
            </w:tcBorders>
            <w:shd w:val="clear" w:color="auto" w:fill="auto"/>
            <w:noWrap/>
            <w:vAlign w:val="bottom"/>
            <w:hideMark/>
          </w:tcPr>
          <w:p w14:paraId="15FA76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1.284</w:t>
            </w:r>
          </w:p>
        </w:tc>
        <w:tc>
          <w:tcPr>
            <w:tcW w:w="1289" w:type="dxa"/>
            <w:tcBorders>
              <w:top w:val="nil"/>
              <w:left w:val="nil"/>
              <w:bottom w:val="nil"/>
              <w:right w:val="nil"/>
            </w:tcBorders>
            <w:shd w:val="clear" w:color="auto" w:fill="auto"/>
            <w:noWrap/>
            <w:vAlign w:val="bottom"/>
            <w:hideMark/>
          </w:tcPr>
          <w:p w14:paraId="4492CA7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1.370</w:t>
            </w:r>
          </w:p>
        </w:tc>
        <w:tc>
          <w:tcPr>
            <w:tcW w:w="967" w:type="dxa"/>
            <w:tcBorders>
              <w:top w:val="nil"/>
              <w:left w:val="nil"/>
              <w:bottom w:val="nil"/>
            </w:tcBorders>
            <w:shd w:val="clear" w:color="auto" w:fill="auto"/>
            <w:noWrap/>
            <w:vAlign w:val="bottom"/>
            <w:hideMark/>
          </w:tcPr>
          <w:p w14:paraId="4E6F43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1.3547</w:t>
            </w:r>
          </w:p>
        </w:tc>
        <w:tc>
          <w:tcPr>
            <w:tcW w:w="860" w:type="dxa"/>
            <w:tcBorders>
              <w:top w:val="nil"/>
              <w:bottom w:val="nil"/>
              <w:right w:val="single" w:sz="4" w:space="0" w:color="auto"/>
            </w:tcBorders>
            <w:shd w:val="clear" w:color="auto" w:fill="auto"/>
            <w:noWrap/>
            <w:vAlign w:val="bottom"/>
            <w:hideMark/>
          </w:tcPr>
          <w:p w14:paraId="1D75C0A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0.086</w:t>
            </w:r>
          </w:p>
        </w:tc>
        <w:tc>
          <w:tcPr>
            <w:tcW w:w="967" w:type="dxa"/>
            <w:tcBorders>
              <w:top w:val="nil"/>
              <w:left w:val="single" w:sz="4" w:space="0" w:color="auto"/>
              <w:bottom w:val="nil"/>
              <w:right w:val="nil"/>
            </w:tcBorders>
            <w:shd w:val="clear" w:color="auto" w:fill="auto"/>
            <w:noWrap/>
            <w:vAlign w:val="bottom"/>
            <w:hideMark/>
          </w:tcPr>
          <w:p w14:paraId="496CC52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0.2498</w:t>
            </w:r>
          </w:p>
        </w:tc>
        <w:tc>
          <w:tcPr>
            <w:tcW w:w="860" w:type="dxa"/>
            <w:tcBorders>
              <w:top w:val="nil"/>
              <w:left w:val="nil"/>
              <w:bottom w:val="nil"/>
              <w:right w:val="nil"/>
            </w:tcBorders>
            <w:shd w:val="clear" w:color="auto" w:fill="auto"/>
            <w:noWrap/>
            <w:vAlign w:val="bottom"/>
            <w:hideMark/>
          </w:tcPr>
          <w:p w14:paraId="6CD40D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0.3147</w:t>
            </w:r>
          </w:p>
        </w:tc>
        <w:tc>
          <w:tcPr>
            <w:tcW w:w="860" w:type="dxa"/>
            <w:tcBorders>
              <w:top w:val="nil"/>
              <w:left w:val="nil"/>
              <w:bottom w:val="nil"/>
              <w:right w:val="nil"/>
            </w:tcBorders>
            <w:shd w:val="clear" w:color="auto" w:fill="auto"/>
            <w:noWrap/>
            <w:vAlign w:val="bottom"/>
            <w:hideMark/>
          </w:tcPr>
          <w:p w14:paraId="1E1CD1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0.0649</w:t>
            </w:r>
          </w:p>
        </w:tc>
        <w:tc>
          <w:tcPr>
            <w:tcW w:w="967" w:type="dxa"/>
            <w:tcBorders>
              <w:top w:val="nil"/>
              <w:left w:val="nil"/>
              <w:bottom w:val="nil"/>
              <w:right w:val="nil"/>
            </w:tcBorders>
            <w:shd w:val="clear" w:color="auto" w:fill="auto"/>
            <w:noWrap/>
            <w:vAlign w:val="bottom"/>
            <w:hideMark/>
          </w:tcPr>
          <w:p w14:paraId="529D217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0.3036</w:t>
            </w:r>
          </w:p>
        </w:tc>
        <w:tc>
          <w:tcPr>
            <w:tcW w:w="860" w:type="dxa"/>
            <w:tcBorders>
              <w:top w:val="nil"/>
              <w:left w:val="nil"/>
              <w:bottom w:val="nil"/>
              <w:right w:val="nil"/>
            </w:tcBorders>
            <w:shd w:val="clear" w:color="auto" w:fill="auto"/>
            <w:noWrap/>
            <w:vAlign w:val="bottom"/>
            <w:hideMark/>
          </w:tcPr>
          <w:p w14:paraId="7118CA0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1.3263</w:t>
            </w:r>
          </w:p>
        </w:tc>
        <w:tc>
          <w:tcPr>
            <w:tcW w:w="860" w:type="dxa"/>
            <w:tcBorders>
              <w:top w:val="nil"/>
              <w:left w:val="nil"/>
              <w:bottom w:val="nil"/>
              <w:right w:val="single" w:sz="4" w:space="0" w:color="auto"/>
            </w:tcBorders>
            <w:shd w:val="clear" w:color="auto" w:fill="auto"/>
            <w:noWrap/>
            <w:vAlign w:val="bottom"/>
            <w:hideMark/>
          </w:tcPr>
          <w:p w14:paraId="5F0AA66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0.0138</w:t>
            </w:r>
          </w:p>
        </w:tc>
        <w:tc>
          <w:tcPr>
            <w:tcW w:w="127" w:type="dxa"/>
            <w:tcBorders>
              <w:top w:val="nil"/>
              <w:left w:val="single" w:sz="4" w:space="0" w:color="auto"/>
              <w:bottom w:val="nil"/>
              <w:right w:val="nil"/>
            </w:tcBorders>
            <w:shd w:val="clear" w:color="auto" w:fill="auto"/>
            <w:noWrap/>
            <w:vAlign w:val="bottom"/>
            <w:hideMark/>
          </w:tcPr>
          <w:p w14:paraId="369E00F4" w14:textId="77777777" w:rsidR="005A4EA3" w:rsidRPr="00B43597" w:rsidRDefault="005A4EA3" w:rsidP="005A4EA3">
            <w:pPr>
              <w:rPr>
                <w:rFonts w:eastAsia="Times New Roman" w:cs="Times New Roman"/>
                <w:color w:val="000000"/>
                <w:sz w:val="18"/>
                <w:szCs w:val="18"/>
              </w:rPr>
            </w:pPr>
          </w:p>
        </w:tc>
      </w:tr>
      <w:tr w:rsidR="005A4EA3" w:rsidRPr="008A78D0" w14:paraId="35932F2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81490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01.1.605</w:t>
            </w:r>
          </w:p>
        </w:tc>
        <w:tc>
          <w:tcPr>
            <w:tcW w:w="2074" w:type="dxa"/>
            <w:tcBorders>
              <w:top w:val="nil"/>
              <w:left w:val="single" w:sz="4" w:space="0" w:color="auto"/>
              <w:bottom w:val="nil"/>
              <w:right w:val="single" w:sz="4" w:space="0" w:color="auto"/>
            </w:tcBorders>
            <w:shd w:val="clear" w:color="auto" w:fill="auto"/>
            <w:noWrap/>
            <w:vAlign w:val="bottom"/>
            <w:hideMark/>
          </w:tcPr>
          <w:p w14:paraId="38DB492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Coconut-dry</w:t>
            </w:r>
          </w:p>
        </w:tc>
        <w:tc>
          <w:tcPr>
            <w:tcW w:w="1153" w:type="dxa"/>
            <w:tcBorders>
              <w:top w:val="nil"/>
              <w:left w:val="single" w:sz="4" w:space="0" w:color="auto"/>
              <w:bottom w:val="nil"/>
              <w:right w:val="nil"/>
            </w:tcBorders>
            <w:shd w:val="clear" w:color="auto" w:fill="auto"/>
            <w:noWrap/>
            <w:vAlign w:val="bottom"/>
            <w:hideMark/>
          </w:tcPr>
          <w:p w14:paraId="4F91BB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0.180</w:t>
            </w:r>
          </w:p>
        </w:tc>
        <w:tc>
          <w:tcPr>
            <w:tcW w:w="1289" w:type="dxa"/>
            <w:tcBorders>
              <w:top w:val="nil"/>
              <w:left w:val="nil"/>
              <w:bottom w:val="nil"/>
              <w:right w:val="nil"/>
            </w:tcBorders>
            <w:shd w:val="clear" w:color="auto" w:fill="auto"/>
            <w:noWrap/>
            <w:vAlign w:val="bottom"/>
            <w:hideMark/>
          </w:tcPr>
          <w:p w14:paraId="24CE2EC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0.317</w:t>
            </w:r>
          </w:p>
        </w:tc>
        <w:tc>
          <w:tcPr>
            <w:tcW w:w="967" w:type="dxa"/>
            <w:tcBorders>
              <w:top w:val="nil"/>
              <w:left w:val="nil"/>
              <w:bottom w:val="nil"/>
            </w:tcBorders>
            <w:shd w:val="clear" w:color="auto" w:fill="auto"/>
            <w:noWrap/>
            <w:vAlign w:val="bottom"/>
            <w:hideMark/>
          </w:tcPr>
          <w:p w14:paraId="14E5B7D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1.0853</w:t>
            </w:r>
          </w:p>
        </w:tc>
        <w:tc>
          <w:tcPr>
            <w:tcW w:w="860" w:type="dxa"/>
            <w:tcBorders>
              <w:top w:val="nil"/>
              <w:bottom w:val="nil"/>
              <w:right w:val="single" w:sz="4" w:space="0" w:color="auto"/>
            </w:tcBorders>
            <w:shd w:val="clear" w:color="auto" w:fill="auto"/>
            <w:noWrap/>
            <w:vAlign w:val="bottom"/>
            <w:hideMark/>
          </w:tcPr>
          <w:p w14:paraId="4BCAF01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0.137</w:t>
            </w:r>
          </w:p>
        </w:tc>
        <w:tc>
          <w:tcPr>
            <w:tcW w:w="967" w:type="dxa"/>
            <w:tcBorders>
              <w:top w:val="nil"/>
              <w:left w:val="single" w:sz="4" w:space="0" w:color="auto"/>
              <w:bottom w:val="nil"/>
              <w:right w:val="nil"/>
            </w:tcBorders>
            <w:shd w:val="clear" w:color="auto" w:fill="auto"/>
            <w:noWrap/>
            <w:vAlign w:val="bottom"/>
            <w:hideMark/>
          </w:tcPr>
          <w:p w14:paraId="4368E67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-1.7141</w:t>
            </w:r>
          </w:p>
        </w:tc>
        <w:tc>
          <w:tcPr>
            <w:tcW w:w="860" w:type="dxa"/>
            <w:tcBorders>
              <w:top w:val="nil"/>
              <w:left w:val="nil"/>
              <w:bottom w:val="nil"/>
              <w:right w:val="nil"/>
            </w:tcBorders>
            <w:shd w:val="clear" w:color="auto" w:fill="auto"/>
            <w:noWrap/>
            <w:vAlign w:val="bottom"/>
            <w:hideMark/>
          </w:tcPr>
          <w:p w14:paraId="2A5F1E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-1.1484</w:t>
            </w:r>
          </w:p>
        </w:tc>
        <w:tc>
          <w:tcPr>
            <w:tcW w:w="860" w:type="dxa"/>
            <w:tcBorders>
              <w:top w:val="nil"/>
              <w:left w:val="nil"/>
              <w:bottom w:val="nil"/>
              <w:right w:val="nil"/>
            </w:tcBorders>
            <w:shd w:val="clear" w:color="auto" w:fill="auto"/>
            <w:noWrap/>
            <w:vAlign w:val="bottom"/>
            <w:hideMark/>
          </w:tcPr>
          <w:p w14:paraId="1E17889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0.5657</w:t>
            </w:r>
          </w:p>
        </w:tc>
        <w:tc>
          <w:tcPr>
            <w:tcW w:w="967" w:type="dxa"/>
            <w:tcBorders>
              <w:top w:val="nil"/>
              <w:left w:val="nil"/>
              <w:bottom w:val="nil"/>
              <w:right w:val="nil"/>
            </w:tcBorders>
            <w:shd w:val="clear" w:color="auto" w:fill="auto"/>
            <w:noWrap/>
            <w:vAlign w:val="bottom"/>
            <w:hideMark/>
          </w:tcPr>
          <w:p w14:paraId="07DFC37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0.0818</w:t>
            </w:r>
          </w:p>
        </w:tc>
        <w:tc>
          <w:tcPr>
            <w:tcW w:w="860" w:type="dxa"/>
            <w:tcBorders>
              <w:top w:val="nil"/>
              <w:left w:val="nil"/>
              <w:bottom w:val="nil"/>
              <w:right w:val="nil"/>
            </w:tcBorders>
            <w:shd w:val="clear" w:color="auto" w:fill="auto"/>
            <w:noWrap/>
            <w:vAlign w:val="bottom"/>
            <w:hideMark/>
          </w:tcPr>
          <w:p w14:paraId="2E59EE4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0.2422</w:t>
            </w:r>
          </w:p>
        </w:tc>
        <w:tc>
          <w:tcPr>
            <w:tcW w:w="860" w:type="dxa"/>
            <w:tcBorders>
              <w:top w:val="nil"/>
              <w:left w:val="nil"/>
              <w:bottom w:val="nil"/>
              <w:right w:val="single" w:sz="4" w:space="0" w:color="auto"/>
            </w:tcBorders>
            <w:shd w:val="clear" w:color="auto" w:fill="auto"/>
            <w:noWrap/>
            <w:vAlign w:val="bottom"/>
            <w:hideMark/>
          </w:tcPr>
          <w:p w14:paraId="4B16783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0.0025</w:t>
            </w:r>
          </w:p>
        </w:tc>
        <w:tc>
          <w:tcPr>
            <w:tcW w:w="127" w:type="dxa"/>
            <w:tcBorders>
              <w:top w:val="nil"/>
              <w:left w:val="single" w:sz="4" w:space="0" w:color="auto"/>
              <w:bottom w:val="nil"/>
              <w:right w:val="nil"/>
            </w:tcBorders>
            <w:shd w:val="clear" w:color="auto" w:fill="auto"/>
            <w:noWrap/>
            <w:vAlign w:val="bottom"/>
            <w:hideMark/>
          </w:tcPr>
          <w:p w14:paraId="380F1486" w14:textId="77777777" w:rsidR="005A4EA3" w:rsidRPr="00B43597" w:rsidRDefault="005A4EA3" w:rsidP="005A4EA3">
            <w:pPr>
              <w:rPr>
                <w:rFonts w:eastAsia="Times New Roman" w:cs="Times New Roman"/>
                <w:color w:val="000000"/>
                <w:sz w:val="18"/>
                <w:szCs w:val="18"/>
              </w:rPr>
            </w:pPr>
          </w:p>
        </w:tc>
      </w:tr>
      <w:tr w:rsidR="005A4EA3" w:rsidRPr="008A78D0" w14:paraId="6E3DB78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A848FC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01.1.606</w:t>
            </w:r>
          </w:p>
        </w:tc>
        <w:tc>
          <w:tcPr>
            <w:tcW w:w="2074" w:type="dxa"/>
            <w:tcBorders>
              <w:top w:val="nil"/>
              <w:left w:val="single" w:sz="4" w:space="0" w:color="auto"/>
              <w:bottom w:val="nil"/>
              <w:right w:val="single" w:sz="4" w:space="0" w:color="auto"/>
            </w:tcBorders>
            <w:shd w:val="clear" w:color="auto" w:fill="auto"/>
            <w:noWrap/>
            <w:vAlign w:val="bottom"/>
            <w:hideMark/>
          </w:tcPr>
          <w:p w14:paraId="7A8DCB37" w14:textId="77777777" w:rsidR="005A4EA3" w:rsidRPr="00B43597" w:rsidRDefault="005A4EA3" w:rsidP="005A4EA3">
            <w:pPr>
              <w:rPr>
                <w:rFonts w:eastAsia="Times New Roman" w:cs="Times New Roman"/>
                <w:color w:val="000000"/>
                <w:sz w:val="18"/>
                <w:szCs w:val="18"/>
              </w:rPr>
            </w:pPr>
            <w:proofErr w:type="gramStart"/>
            <w:r w:rsidRPr="00B43597">
              <w:rPr>
                <w:rFonts w:eastAsia="Times New Roman" w:cs="Times New Roman"/>
                <w:color w:val="000000"/>
                <w:sz w:val="18"/>
                <w:szCs w:val="18"/>
              </w:rPr>
              <w:t>Water melon</w:t>
            </w:r>
            <w:proofErr w:type="gramEnd"/>
          </w:p>
        </w:tc>
        <w:tc>
          <w:tcPr>
            <w:tcW w:w="1153" w:type="dxa"/>
            <w:tcBorders>
              <w:top w:val="nil"/>
              <w:left w:val="single" w:sz="4" w:space="0" w:color="auto"/>
              <w:bottom w:val="nil"/>
              <w:right w:val="nil"/>
            </w:tcBorders>
            <w:shd w:val="clear" w:color="auto" w:fill="auto"/>
            <w:noWrap/>
            <w:vAlign w:val="bottom"/>
            <w:hideMark/>
          </w:tcPr>
          <w:p w14:paraId="2CBA071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0.644</w:t>
            </w:r>
          </w:p>
        </w:tc>
        <w:tc>
          <w:tcPr>
            <w:tcW w:w="1289" w:type="dxa"/>
            <w:tcBorders>
              <w:top w:val="nil"/>
              <w:left w:val="nil"/>
              <w:bottom w:val="nil"/>
              <w:right w:val="nil"/>
            </w:tcBorders>
            <w:shd w:val="clear" w:color="auto" w:fill="auto"/>
            <w:noWrap/>
            <w:vAlign w:val="bottom"/>
            <w:hideMark/>
          </w:tcPr>
          <w:p w14:paraId="77AE34B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0.555</w:t>
            </w:r>
          </w:p>
        </w:tc>
        <w:tc>
          <w:tcPr>
            <w:tcW w:w="967" w:type="dxa"/>
            <w:tcBorders>
              <w:top w:val="nil"/>
              <w:left w:val="nil"/>
              <w:bottom w:val="nil"/>
            </w:tcBorders>
            <w:shd w:val="clear" w:color="auto" w:fill="auto"/>
            <w:noWrap/>
            <w:vAlign w:val="bottom"/>
            <w:hideMark/>
          </w:tcPr>
          <w:p w14:paraId="712A833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1.1246</w:t>
            </w:r>
          </w:p>
        </w:tc>
        <w:tc>
          <w:tcPr>
            <w:tcW w:w="860" w:type="dxa"/>
            <w:tcBorders>
              <w:top w:val="nil"/>
              <w:bottom w:val="nil"/>
              <w:right w:val="single" w:sz="4" w:space="0" w:color="auto"/>
            </w:tcBorders>
            <w:shd w:val="clear" w:color="auto" w:fill="auto"/>
            <w:noWrap/>
            <w:vAlign w:val="bottom"/>
            <w:hideMark/>
          </w:tcPr>
          <w:p w14:paraId="06F8AA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-0.090</w:t>
            </w:r>
          </w:p>
        </w:tc>
        <w:tc>
          <w:tcPr>
            <w:tcW w:w="967" w:type="dxa"/>
            <w:tcBorders>
              <w:top w:val="nil"/>
              <w:left w:val="single" w:sz="4" w:space="0" w:color="auto"/>
              <w:bottom w:val="nil"/>
              <w:right w:val="nil"/>
            </w:tcBorders>
            <w:shd w:val="clear" w:color="auto" w:fill="auto"/>
            <w:noWrap/>
            <w:vAlign w:val="bottom"/>
            <w:hideMark/>
          </w:tcPr>
          <w:p w14:paraId="0CAB07C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-0.4394</w:t>
            </w:r>
          </w:p>
        </w:tc>
        <w:tc>
          <w:tcPr>
            <w:tcW w:w="860" w:type="dxa"/>
            <w:tcBorders>
              <w:top w:val="nil"/>
              <w:left w:val="nil"/>
              <w:bottom w:val="nil"/>
              <w:right w:val="nil"/>
            </w:tcBorders>
            <w:shd w:val="clear" w:color="auto" w:fill="auto"/>
            <w:noWrap/>
            <w:vAlign w:val="bottom"/>
            <w:hideMark/>
          </w:tcPr>
          <w:p w14:paraId="1856E83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-0.5890</w:t>
            </w:r>
          </w:p>
        </w:tc>
        <w:tc>
          <w:tcPr>
            <w:tcW w:w="860" w:type="dxa"/>
            <w:tcBorders>
              <w:top w:val="nil"/>
              <w:left w:val="nil"/>
              <w:bottom w:val="nil"/>
              <w:right w:val="nil"/>
            </w:tcBorders>
            <w:shd w:val="clear" w:color="auto" w:fill="auto"/>
            <w:noWrap/>
            <w:vAlign w:val="bottom"/>
            <w:hideMark/>
          </w:tcPr>
          <w:p w14:paraId="5916536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-0.1496</w:t>
            </w:r>
          </w:p>
        </w:tc>
        <w:tc>
          <w:tcPr>
            <w:tcW w:w="967" w:type="dxa"/>
            <w:tcBorders>
              <w:top w:val="nil"/>
              <w:left w:val="nil"/>
              <w:bottom w:val="nil"/>
              <w:right w:val="nil"/>
            </w:tcBorders>
            <w:shd w:val="clear" w:color="auto" w:fill="auto"/>
            <w:noWrap/>
            <w:vAlign w:val="bottom"/>
            <w:hideMark/>
          </w:tcPr>
          <w:p w14:paraId="488B5C3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0.1174</w:t>
            </w:r>
          </w:p>
        </w:tc>
        <w:tc>
          <w:tcPr>
            <w:tcW w:w="860" w:type="dxa"/>
            <w:tcBorders>
              <w:top w:val="nil"/>
              <w:left w:val="nil"/>
              <w:bottom w:val="nil"/>
              <w:right w:val="nil"/>
            </w:tcBorders>
            <w:shd w:val="clear" w:color="auto" w:fill="auto"/>
            <w:noWrap/>
            <w:vAlign w:val="bottom"/>
            <w:hideMark/>
          </w:tcPr>
          <w:p w14:paraId="255D2E6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0.5985</w:t>
            </w:r>
          </w:p>
        </w:tc>
        <w:tc>
          <w:tcPr>
            <w:tcW w:w="860" w:type="dxa"/>
            <w:tcBorders>
              <w:top w:val="nil"/>
              <w:left w:val="nil"/>
              <w:bottom w:val="nil"/>
              <w:right w:val="single" w:sz="4" w:space="0" w:color="auto"/>
            </w:tcBorders>
            <w:shd w:val="clear" w:color="auto" w:fill="auto"/>
            <w:noWrap/>
            <w:vAlign w:val="bottom"/>
            <w:hideMark/>
          </w:tcPr>
          <w:p w14:paraId="02C9F46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0.0062</w:t>
            </w:r>
          </w:p>
        </w:tc>
        <w:tc>
          <w:tcPr>
            <w:tcW w:w="127" w:type="dxa"/>
            <w:tcBorders>
              <w:top w:val="nil"/>
              <w:left w:val="single" w:sz="4" w:space="0" w:color="auto"/>
              <w:bottom w:val="nil"/>
              <w:right w:val="nil"/>
            </w:tcBorders>
            <w:shd w:val="clear" w:color="auto" w:fill="auto"/>
            <w:noWrap/>
            <w:vAlign w:val="bottom"/>
            <w:hideMark/>
          </w:tcPr>
          <w:p w14:paraId="18B18B67" w14:textId="77777777" w:rsidR="005A4EA3" w:rsidRPr="00B43597" w:rsidRDefault="005A4EA3" w:rsidP="005A4EA3">
            <w:pPr>
              <w:rPr>
                <w:rFonts w:eastAsia="Times New Roman" w:cs="Times New Roman"/>
                <w:color w:val="000000"/>
                <w:sz w:val="18"/>
                <w:szCs w:val="18"/>
              </w:rPr>
            </w:pPr>
          </w:p>
        </w:tc>
      </w:tr>
      <w:tr w:rsidR="005A4EA3" w:rsidRPr="008A78D0" w14:paraId="45103B3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0B7717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01.1.607</w:t>
            </w:r>
          </w:p>
        </w:tc>
        <w:tc>
          <w:tcPr>
            <w:tcW w:w="2074" w:type="dxa"/>
            <w:tcBorders>
              <w:top w:val="nil"/>
              <w:left w:val="single" w:sz="4" w:space="0" w:color="auto"/>
              <w:bottom w:val="nil"/>
              <w:right w:val="single" w:sz="4" w:space="0" w:color="auto"/>
            </w:tcBorders>
            <w:shd w:val="clear" w:color="auto" w:fill="auto"/>
            <w:noWrap/>
            <w:vAlign w:val="bottom"/>
            <w:hideMark/>
          </w:tcPr>
          <w:p w14:paraId="2889BD8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Apple</w:t>
            </w:r>
          </w:p>
        </w:tc>
        <w:tc>
          <w:tcPr>
            <w:tcW w:w="1153" w:type="dxa"/>
            <w:tcBorders>
              <w:top w:val="nil"/>
              <w:left w:val="single" w:sz="4" w:space="0" w:color="auto"/>
              <w:bottom w:val="nil"/>
              <w:right w:val="nil"/>
            </w:tcBorders>
            <w:shd w:val="clear" w:color="auto" w:fill="auto"/>
            <w:noWrap/>
            <w:vAlign w:val="bottom"/>
            <w:hideMark/>
          </w:tcPr>
          <w:p w14:paraId="473893D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0.195</w:t>
            </w:r>
          </w:p>
        </w:tc>
        <w:tc>
          <w:tcPr>
            <w:tcW w:w="1289" w:type="dxa"/>
            <w:tcBorders>
              <w:top w:val="nil"/>
              <w:left w:val="nil"/>
              <w:bottom w:val="nil"/>
              <w:right w:val="nil"/>
            </w:tcBorders>
            <w:shd w:val="clear" w:color="auto" w:fill="auto"/>
            <w:noWrap/>
            <w:vAlign w:val="bottom"/>
            <w:hideMark/>
          </w:tcPr>
          <w:p w14:paraId="608CC15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0.207</w:t>
            </w:r>
          </w:p>
        </w:tc>
        <w:tc>
          <w:tcPr>
            <w:tcW w:w="967" w:type="dxa"/>
            <w:tcBorders>
              <w:top w:val="nil"/>
              <w:left w:val="nil"/>
              <w:bottom w:val="nil"/>
            </w:tcBorders>
            <w:shd w:val="clear" w:color="auto" w:fill="auto"/>
            <w:noWrap/>
            <w:vAlign w:val="bottom"/>
            <w:hideMark/>
          </w:tcPr>
          <w:p w14:paraId="12E170A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1.4572</w:t>
            </w:r>
          </w:p>
        </w:tc>
        <w:tc>
          <w:tcPr>
            <w:tcW w:w="860" w:type="dxa"/>
            <w:tcBorders>
              <w:top w:val="nil"/>
              <w:bottom w:val="nil"/>
              <w:right w:val="single" w:sz="4" w:space="0" w:color="auto"/>
            </w:tcBorders>
            <w:shd w:val="clear" w:color="auto" w:fill="auto"/>
            <w:noWrap/>
            <w:vAlign w:val="bottom"/>
            <w:hideMark/>
          </w:tcPr>
          <w:p w14:paraId="6DABBF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w:t>
            </w:r>
          </w:p>
        </w:tc>
        <w:tc>
          <w:tcPr>
            <w:tcW w:w="967" w:type="dxa"/>
            <w:tcBorders>
              <w:top w:val="nil"/>
              <w:left w:val="single" w:sz="4" w:space="0" w:color="auto"/>
              <w:bottom w:val="nil"/>
              <w:right w:val="nil"/>
            </w:tcBorders>
            <w:shd w:val="clear" w:color="auto" w:fill="auto"/>
            <w:noWrap/>
            <w:vAlign w:val="bottom"/>
            <w:hideMark/>
          </w:tcPr>
          <w:p w14:paraId="70D54C3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-1.6330</w:t>
            </w:r>
          </w:p>
        </w:tc>
        <w:tc>
          <w:tcPr>
            <w:tcW w:w="860" w:type="dxa"/>
            <w:tcBorders>
              <w:top w:val="nil"/>
              <w:left w:val="nil"/>
              <w:bottom w:val="nil"/>
              <w:right w:val="nil"/>
            </w:tcBorders>
            <w:shd w:val="clear" w:color="auto" w:fill="auto"/>
            <w:noWrap/>
            <w:vAlign w:val="bottom"/>
            <w:hideMark/>
          </w:tcPr>
          <w:p w14:paraId="41D918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-1.5727</w:t>
            </w:r>
          </w:p>
        </w:tc>
        <w:tc>
          <w:tcPr>
            <w:tcW w:w="860" w:type="dxa"/>
            <w:tcBorders>
              <w:top w:val="nil"/>
              <w:left w:val="nil"/>
              <w:bottom w:val="nil"/>
              <w:right w:val="nil"/>
            </w:tcBorders>
            <w:shd w:val="clear" w:color="auto" w:fill="auto"/>
            <w:noWrap/>
            <w:vAlign w:val="bottom"/>
            <w:hideMark/>
          </w:tcPr>
          <w:p w14:paraId="409BDC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0.0602</w:t>
            </w:r>
          </w:p>
        </w:tc>
        <w:tc>
          <w:tcPr>
            <w:tcW w:w="967" w:type="dxa"/>
            <w:tcBorders>
              <w:top w:val="nil"/>
              <w:left w:val="nil"/>
              <w:bottom w:val="nil"/>
              <w:right w:val="nil"/>
            </w:tcBorders>
            <w:shd w:val="clear" w:color="auto" w:fill="auto"/>
            <w:noWrap/>
            <w:vAlign w:val="bottom"/>
            <w:hideMark/>
          </w:tcPr>
          <w:p w14:paraId="366640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0.3765</w:t>
            </w:r>
          </w:p>
        </w:tc>
        <w:tc>
          <w:tcPr>
            <w:tcW w:w="860" w:type="dxa"/>
            <w:tcBorders>
              <w:top w:val="nil"/>
              <w:left w:val="nil"/>
              <w:bottom w:val="nil"/>
              <w:right w:val="nil"/>
            </w:tcBorders>
            <w:shd w:val="clear" w:color="auto" w:fill="auto"/>
            <w:noWrap/>
            <w:vAlign w:val="bottom"/>
            <w:hideMark/>
          </w:tcPr>
          <w:p w14:paraId="0BCE554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0.2014</w:t>
            </w:r>
          </w:p>
        </w:tc>
        <w:tc>
          <w:tcPr>
            <w:tcW w:w="860" w:type="dxa"/>
            <w:tcBorders>
              <w:top w:val="nil"/>
              <w:left w:val="nil"/>
              <w:bottom w:val="nil"/>
              <w:right w:val="single" w:sz="4" w:space="0" w:color="auto"/>
            </w:tcBorders>
            <w:shd w:val="clear" w:color="auto" w:fill="auto"/>
            <w:noWrap/>
            <w:vAlign w:val="bottom"/>
            <w:hideMark/>
          </w:tcPr>
          <w:p w14:paraId="05AA244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0.0021</w:t>
            </w:r>
          </w:p>
        </w:tc>
        <w:tc>
          <w:tcPr>
            <w:tcW w:w="127" w:type="dxa"/>
            <w:tcBorders>
              <w:top w:val="nil"/>
              <w:left w:val="single" w:sz="4" w:space="0" w:color="auto"/>
              <w:bottom w:val="nil"/>
              <w:right w:val="nil"/>
            </w:tcBorders>
            <w:shd w:val="clear" w:color="auto" w:fill="auto"/>
            <w:noWrap/>
            <w:vAlign w:val="bottom"/>
            <w:hideMark/>
          </w:tcPr>
          <w:p w14:paraId="6B3E0344" w14:textId="77777777" w:rsidR="005A4EA3" w:rsidRPr="00B43597" w:rsidRDefault="005A4EA3" w:rsidP="005A4EA3">
            <w:pPr>
              <w:rPr>
                <w:rFonts w:eastAsia="Times New Roman" w:cs="Times New Roman"/>
                <w:color w:val="000000"/>
                <w:sz w:val="18"/>
                <w:szCs w:val="18"/>
              </w:rPr>
            </w:pPr>
          </w:p>
        </w:tc>
      </w:tr>
      <w:tr w:rsidR="005A4EA3" w:rsidRPr="008A78D0" w14:paraId="0CE6FA6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ABD96F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01.1.608</w:t>
            </w:r>
          </w:p>
        </w:tc>
        <w:tc>
          <w:tcPr>
            <w:tcW w:w="2074" w:type="dxa"/>
            <w:tcBorders>
              <w:top w:val="nil"/>
              <w:left w:val="single" w:sz="4" w:space="0" w:color="auto"/>
              <w:bottom w:val="nil"/>
              <w:right w:val="single" w:sz="4" w:space="0" w:color="auto"/>
            </w:tcBorders>
            <w:shd w:val="clear" w:color="auto" w:fill="auto"/>
            <w:noWrap/>
            <w:vAlign w:val="bottom"/>
            <w:hideMark/>
          </w:tcPr>
          <w:p w14:paraId="7655223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Cherry</w:t>
            </w:r>
          </w:p>
        </w:tc>
        <w:tc>
          <w:tcPr>
            <w:tcW w:w="1153" w:type="dxa"/>
            <w:tcBorders>
              <w:top w:val="nil"/>
              <w:left w:val="single" w:sz="4" w:space="0" w:color="auto"/>
              <w:bottom w:val="nil"/>
              <w:right w:val="nil"/>
            </w:tcBorders>
            <w:shd w:val="clear" w:color="auto" w:fill="auto"/>
            <w:noWrap/>
            <w:vAlign w:val="bottom"/>
            <w:hideMark/>
          </w:tcPr>
          <w:p w14:paraId="3B0FC4A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0.391</w:t>
            </w:r>
          </w:p>
        </w:tc>
        <w:tc>
          <w:tcPr>
            <w:tcW w:w="1289" w:type="dxa"/>
            <w:tcBorders>
              <w:top w:val="nil"/>
              <w:left w:val="nil"/>
              <w:bottom w:val="nil"/>
              <w:right w:val="nil"/>
            </w:tcBorders>
            <w:shd w:val="clear" w:color="auto" w:fill="auto"/>
            <w:noWrap/>
            <w:vAlign w:val="bottom"/>
            <w:hideMark/>
          </w:tcPr>
          <w:p w14:paraId="66F7CE3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0.257</w:t>
            </w:r>
          </w:p>
        </w:tc>
        <w:tc>
          <w:tcPr>
            <w:tcW w:w="967" w:type="dxa"/>
            <w:tcBorders>
              <w:top w:val="nil"/>
              <w:left w:val="nil"/>
              <w:bottom w:val="nil"/>
            </w:tcBorders>
            <w:shd w:val="clear" w:color="auto" w:fill="auto"/>
            <w:noWrap/>
            <w:vAlign w:val="bottom"/>
            <w:hideMark/>
          </w:tcPr>
          <w:p w14:paraId="4BAF4A3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0.7540</w:t>
            </w:r>
          </w:p>
        </w:tc>
        <w:tc>
          <w:tcPr>
            <w:tcW w:w="860" w:type="dxa"/>
            <w:tcBorders>
              <w:top w:val="nil"/>
              <w:bottom w:val="nil"/>
              <w:right w:val="single" w:sz="4" w:space="0" w:color="auto"/>
            </w:tcBorders>
            <w:shd w:val="clear" w:color="auto" w:fill="auto"/>
            <w:noWrap/>
            <w:vAlign w:val="bottom"/>
            <w:hideMark/>
          </w:tcPr>
          <w:p w14:paraId="1EBEA3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-0.134</w:t>
            </w:r>
          </w:p>
        </w:tc>
        <w:tc>
          <w:tcPr>
            <w:tcW w:w="967" w:type="dxa"/>
            <w:tcBorders>
              <w:top w:val="nil"/>
              <w:left w:val="single" w:sz="4" w:space="0" w:color="auto"/>
              <w:bottom w:val="nil"/>
              <w:right w:val="nil"/>
            </w:tcBorders>
            <w:shd w:val="clear" w:color="auto" w:fill="auto"/>
            <w:noWrap/>
            <w:vAlign w:val="bottom"/>
            <w:hideMark/>
          </w:tcPr>
          <w:p w14:paraId="129353F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-0.9398</w:t>
            </w:r>
          </w:p>
        </w:tc>
        <w:tc>
          <w:tcPr>
            <w:tcW w:w="860" w:type="dxa"/>
            <w:tcBorders>
              <w:top w:val="nil"/>
              <w:left w:val="nil"/>
              <w:bottom w:val="nil"/>
              <w:right w:val="nil"/>
            </w:tcBorders>
            <w:shd w:val="clear" w:color="auto" w:fill="auto"/>
            <w:noWrap/>
            <w:vAlign w:val="bottom"/>
            <w:hideMark/>
          </w:tcPr>
          <w:p w14:paraId="39083A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-1.3598</w:t>
            </w:r>
          </w:p>
        </w:tc>
        <w:tc>
          <w:tcPr>
            <w:tcW w:w="860" w:type="dxa"/>
            <w:tcBorders>
              <w:top w:val="nil"/>
              <w:left w:val="nil"/>
              <w:bottom w:val="nil"/>
              <w:right w:val="nil"/>
            </w:tcBorders>
            <w:shd w:val="clear" w:color="auto" w:fill="auto"/>
            <w:noWrap/>
            <w:vAlign w:val="bottom"/>
            <w:hideMark/>
          </w:tcPr>
          <w:p w14:paraId="0BC1431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-0.4200</w:t>
            </w:r>
          </w:p>
        </w:tc>
        <w:tc>
          <w:tcPr>
            <w:tcW w:w="967" w:type="dxa"/>
            <w:tcBorders>
              <w:top w:val="nil"/>
              <w:left w:val="nil"/>
              <w:bottom w:val="nil"/>
              <w:right w:val="nil"/>
            </w:tcBorders>
            <w:shd w:val="clear" w:color="auto" w:fill="auto"/>
            <w:noWrap/>
            <w:vAlign w:val="bottom"/>
            <w:hideMark/>
          </w:tcPr>
          <w:p w14:paraId="103898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-0.2824</w:t>
            </w:r>
          </w:p>
        </w:tc>
        <w:tc>
          <w:tcPr>
            <w:tcW w:w="860" w:type="dxa"/>
            <w:tcBorders>
              <w:top w:val="nil"/>
              <w:left w:val="nil"/>
              <w:bottom w:val="nil"/>
              <w:right w:val="nil"/>
            </w:tcBorders>
            <w:shd w:val="clear" w:color="auto" w:fill="auto"/>
            <w:noWrap/>
            <w:vAlign w:val="bottom"/>
            <w:hideMark/>
          </w:tcPr>
          <w:p w14:paraId="662E603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0.3190</w:t>
            </w:r>
          </w:p>
        </w:tc>
        <w:tc>
          <w:tcPr>
            <w:tcW w:w="860" w:type="dxa"/>
            <w:tcBorders>
              <w:top w:val="nil"/>
              <w:left w:val="nil"/>
              <w:bottom w:val="nil"/>
              <w:right w:val="single" w:sz="4" w:space="0" w:color="auto"/>
            </w:tcBorders>
            <w:shd w:val="clear" w:color="auto" w:fill="auto"/>
            <w:noWrap/>
            <w:vAlign w:val="bottom"/>
            <w:hideMark/>
          </w:tcPr>
          <w:p w14:paraId="1C2D5BD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0.0033</w:t>
            </w:r>
          </w:p>
        </w:tc>
        <w:tc>
          <w:tcPr>
            <w:tcW w:w="127" w:type="dxa"/>
            <w:tcBorders>
              <w:top w:val="nil"/>
              <w:left w:val="single" w:sz="4" w:space="0" w:color="auto"/>
              <w:bottom w:val="nil"/>
              <w:right w:val="nil"/>
            </w:tcBorders>
            <w:shd w:val="clear" w:color="auto" w:fill="auto"/>
            <w:noWrap/>
            <w:vAlign w:val="bottom"/>
            <w:hideMark/>
          </w:tcPr>
          <w:p w14:paraId="13285238" w14:textId="77777777" w:rsidR="005A4EA3" w:rsidRPr="00B43597" w:rsidRDefault="005A4EA3" w:rsidP="005A4EA3">
            <w:pPr>
              <w:rPr>
                <w:rFonts w:eastAsia="Times New Roman" w:cs="Times New Roman"/>
                <w:color w:val="000000"/>
                <w:sz w:val="18"/>
                <w:szCs w:val="18"/>
              </w:rPr>
            </w:pPr>
          </w:p>
        </w:tc>
      </w:tr>
      <w:tr w:rsidR="005A4EA3" w:rsidRPr="008A78D0" w14:paraId="53ED5C4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420DC8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01.1.609</w:t>
            </w:r>
          </w:p>
        </w:tc>
        <w:tc>
          <w:tcPr>
            <w:tcW w:w="2074" w:type="dxa"/>
            <w:tcBorders>
              <w:top w:val="nil"/>
              <w:left w:val="single" w:sz="4" w:space="0" w:color="auto"/>
              <w:bottom w:val="nil"/>
              <w:right w:val="single" w:sz="4" w:space="0" w:color="auto"/>
            </w:tcBorders>
            <w:shd w:val="clear" w:color="auto" w:fill="auto"/>
            <w:noWrap/>
            <w:vAlign w:val="bottom"/>
            <w:hideMark/>
          </w:tcPr>
          <w:p w14:paraId="4BB990E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Grapes</w:t>
            </w:r>
          </w:p>
        </w:tc>
        <w:tc>
          <w:tcPr>
            <w:tcW w:w="1153" w:type="dxa"/>
            <w:tcBorders>
              <w:top w:val="nil"/>
              <w:left w:val="single" w:sz="4" w:space="0" w:color="auto"/>
              <w:bottom w:val="nil"/>
              <w:right w:val="nil"/>
            </w:tcBorders>
            <w:shd w:val="clear" w:color="auto" w:fill="auto"/>
            <w:noWrap/>
            <w:vAlign w:val="bottom"/>
            <w:hideMark/>
          </w:tcPr>
          <w:p w14:paraId="28F8773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0.188</w:t>
            </w:r>
          </w:p>
        </w:tc>
        <w:tc>
          <w:tcPr>
            <w:tcW w:w="1289" w:type="dxa"/>
            <w:tcBorders>
              <w:top w:val="nil"/>
              <w:left w:val="nil"/>
              <w:bottom w:val="nil"/>
              <w:right w:val="nil"/>
            </w:tcBorders>
            <w:shd w:val="clear" w:color="auto" w:fill="auto"/>
            <w:noWrap/>
            <w:vAlign w:val="bottom"/>
            <w:hideMark/>
          </w:tcPr>
          <w:p w14:paraId="5F021A2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0.178</w:t>
            </w:r>
          </w:p>
        </w:tc>
        <w:tc>
          <w:tcPr>
            <w:tcW w:w="967" w:type="dxa"/>
            <w:tcBorders>
              <w:top w:val="nil"/>
              <w:left w:val="nil"/>
              <w:bottom w:val="nil"/>
            </w:tcBorders>
            <w:shd w:val="clear" w:color="auto" w:fill="auto"/>
            <w:noWrap/>
            <w:vAlign w:val="bottom"/>
            <w:hideMark/>
          </w:tcPr>
          <w:p w14:paraId="6EB2F5B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1.1904</w:t>
            </w:r>
          </w:p>
        </w:tc>
        <w:tc>
          <w:tcPr>
            <w:tcW w:w="860" w:type="dxa"/>
            <w:tcBorders>
              <w:top w:val="nil"/>
              <w:bottom w:val="nil"/>
              <w:right w:val="single" w:sz="4" w:space="0" w:color="auto"/>
            </w:tcBorders>
            <w:shd w:val="clear" w:color="auto" w:fill="auto"/>
            <w:noWrap/>
            <w:vAlign w:val="bottom"/>
            <w:hideMark/>
          </w:tcPr>
          <w:p w14:paraId="6289E86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-0.010</w:t>
            </w:r>
          </w:p>
        </w:tc>
        <w:tc>
          <w:tcPr>
            <w:tcW w:w="967" w:type="dxa"/>
            <w:tcBorders>
              <w:top w:val="nil"/>
              <w:left w:val="single" w:sz="4" w:space="0" w:color="auto"/>
              <w:bottom w:val="nil"/>
              <w:right w:val="nil"/>
            </w:tcBorders>
            <w:shd w:val="clear" w:color="auto" w:fill="auto"/>
            <w:noWrap/>
            <w:vAlign w:val="bottom"/>
            <w:hideMark/>
          </w:tcPr>
          <w:p w14:paraId="5FA6107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-1.6727</w:t>
            </w:r>
          </w:p>
        </w:tc>
        <w:tc>
          <w:tcPr>
            <w:tcW w:w="860" w:type="dxa"/>
            <w:tcBorders>
              <w:top w:val="nil"/>
              <w:left w:val="nil"/>
              <w:bottom w:val="nil"/>
              <w:right w:val="nil"/>
            </w:tcBorders>
            <w:shd w:val="clear" w:color="auto" w:fill="auto"/>
            <w:noWrap/>
            <w:vAlign w:val="bottom"/>
            <w:hideMark/>
          </w:tcPr>
          <w:p w14:paraId="00D3470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-1.7283</w:t>
            </w:r>
          </w:p>
        </w:tc>
        <w:tc>
          <w:tcPr>
            <w:tcW w:w="860" w:type="dxa"/>
            <w:tcBorders>
              <w:top w:val="nil"/>
              <w:left w:val="nil"/>
              <w:bottom w:val="nil"/>
              <w:right w:val="nil"/>
            </w:tcBorders>
            <w:shd w:val="clear" w:color="auto" w:fill="auto"/>
            <w:noWrap/>
            <w:vAlign w:val="bottom"/>
            <w:hideMark/>
          </w:tcPr>
          <w:p w14:paraId="4459AE0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-0.0555</w:t>
            </w:r>
          </w:p>
        </w:tc>
        <w:tc>
          <w:tcPr>
            <w:tcW w:w="967" w:type="dxa"/>
            <w:tcBorders>
              <w:top w:val="nil"/>
              <w:left w:val="nil"/>
              <w:bottom w:val="nil"/>
              <w:right w:val="nil"/>
            </w:tcBorders>
            <w:shd w:val="clear" w:color="auto" w:fill="auto"/>
            <w:noWrap/>
            <w:vAlign w:val="bottom"/>
            <w:hideMark/>
          </w:tcPr>
          <w:p w14:paraId="3F769A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0.1743</w:t>
            </w:r>
          </w:p>
        </w:tc>
        <w:tc>
          <w:tcPr>
            <w:tcW w:w="860" w:type="dxa"/>
            <w:tcBorders>
              <w:top w:val="nil"/>
              <w:left w:val="nil"/>
              <w:bottom w:val="nil"/>
              <w:right w:val="nil"/>
            </w:tcBorders>
            <w:shd w:val="clear" w:color="auto" w:fill="auto"/>
            <w:noWrap/>
            <w:vAlign w:val="bottom"/>
            <w:hideMark/>
          </w:tcPr>
          <w:p w14:paraId="4405FF9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0.1826</w:t>
            </w:r>
          </w:p>
        </w:tc>
        <w:tc>
          <w:tcPr>
            <w:tcW w:w="860" w:type="dxa"/>
            <w:tcBorders>
              <w:top w:val="nil"/>
              <w:left w:val="nil"/>
              <w:bottom w:val="nil"/>
              <w:right w:val="single" w:sz="4" w:space="0" w:color="auto"/>
            </w:tcBorders>
            <w:shd w:val="clear" w:color="auto" w:fill="auto"/>
            <w:noWrap/>
            <w:vAlign w:val="bottom"/>
            <w:hideMark/>
          </w:tcPr>
          <w:p w14:paraId="352B7A7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0.0019</w:t>
            </w:r>
          </w:p>
        </w:tc>
        <w:tc>
          <w:tcPr>
            <w:tcW w:w="127" w:type="dxa"/>
            <w:tcBorders>
              <w:top w:val="nil"/>
              <w:left w:val="single" w:sz="4" w:space="0" w:color="auto"/>
              <w:bottom w:val="nil"/>
              <w:right w:val="nil"/>
            </w:tcBorders>
            <w:shd w:val="clear" w:color="auto" w:fill="auto"/>
            <w:noWrap/>
            <w:vAlign w:val="bottom"/>
            <w:hideMark/>
          </w:tcPr>
          <w:p w14:paraId="6005A73B" w14:textId="77777777" w:rsidR="005A4EA3" w:rsidRPr="00B43597" w:rsidRDefault="005A4EA3" w:rsidP="005A4EA3">
            <w:pPr>
              <w:rPr>
                <w:rFonts w:eastAsia="Times New Roman" w:cs="Times New Roman"/>
                <w:color w:val="000000"/>
                <w:sz w:val="18"/>
                <w:szCs w:val="18"/>
              </w:rPr>
            </w:pPr>
          </w:p>
        </w:tc>
      </w:tr>
      <w:tr w:rsidR="005A4EA3" w:rsidRPr="008A78D0" w14:paraId="4E52DF94"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3F9BB1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01.1.610</w:t>
            </w:r>
          </w:p>
        </w:tc>
        <w:tc>
          <w:tcPr>
            <w:tcW w:w="2074" w:type="dxa"/>
            <w:tcBorders>
              <w:top w:val="nil"/>
              <w:left w:val="single" w:sz="4" w:space="0" w:color="auto"/>
              <w:bottom w:val="nil"/>
              <w:right w:val="single" w:sz="4" w:space="0" w:color="auto"/>
            </w:tcBorders>
            <w:shd w:val="clear" w:color="auto" w:fill="auto"/>
            <w:noWrap/>
            <w:vAlign w:val="bottom"/>
            <w:hideMark/>
          </w:tcPr>
          <w:p w14:paraId="2E8BADD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Limes</w:t>
            </w:r>
          </w:p>
        </w:tc>
        <w:tc>
          <w:tcPr>
            <w:tcW w:w="1153" w:type="dxa"/>
            <w:tcBorders>
              <w:top w:val="nil"/>
              <w:left w:val="single" w:sz="4" w:space="0" w:color="auto"/>
              <w:bottom w:val="nil"/>
              <w:right w:val="nil"/>
            </w:tcBorders>
            <w:shd w:val="clear" w:color="auto" w:fill="auto"/>
            <w:noWrap/>
            <w:vAlign w:val="bottom"/>
            <w:hideMark/>
          </w:tcPr>
          <w:p w14:paraId="3F98B8F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0.122</w:t>
            </w:r>
          </w:p>
        </w:tc>
        <w:tc>
          <w:tcPr>
            <w:tcW w:w="1289" w:type="dxa"/>
            <w:tcBorders>
              <w:top w:val="nil"/>
              <w:left w:val="nil"/>
              <w:bottom w:val="nil"/>
              <w:right w:val="nil"/>
            </w:tcBorders>
            <w:shd w:val="clear" w:color="auto" w:fill="auto"/>
            <w:noWrap/>
            <w:vAlign w:val="bottom"/>
            <w:hideMark/>
          </w:tcPr>
          <w:p w14:paraId="60FCCDD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0.480</w:t>
            </w:r>
          </w:p>
        </w:tc>
        <w:tc>
          <w:tcPr>
            <w:tcW w:w="967" w:type="dxa"/>
            <w:tcBorders>
              <w:top w:val="nil"/>
              <w:left w:val="nil"/>
              <w:bottom w:val="nil"/>
            </w:tcBorders>
            <w:shd w:val="clear" w:color="auto" w:fill="auto"/>
            <w:noWrap/>
            <w:vAlign w:val="bottom"/>
            <w:hideMark/>
          </w:tcPr>
          <w:p w14:paraId="5D71C9C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0.6362</w:t>
            </w:r>
          </w:p>
        </w:tc>
        <w:tc>
          <w:tcPr>
            <w:tcW w:w="860" w:type="dxa"/>
            <w:tcBorders>
              <w:top w:val="nil"/>
              <w:bottom w:val="nil"/>
              <w:right w:val="single" w:sz="4" w:space="0" w:color="auto"/>
            </w:tcBorders>
            <w:shd w:val="clear" w:color="auto" w:fill="auto"/>
            <w:noWrap/>
            <w:vAlign w:val="bottom"/>
            <w:hideMark/>
          </w:tcPr>
          <w:p w14:paraId="7157EB1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0.358</w:t>
            </w:r>
          </w:p>
        </w:tc>
        <w:tc>
          <w:tcPr>
            <w:tcW w:w="967" w:type="dxa"/>
            <w:tcBorders>
              <w:top w:val="nil"/>
              <w:left w:val="single" w:sz="4" w:space="0" w:color="auto"/>
              <w:bottom w:val="nil"/>
              <w:right w:val="nil"/>
            </w:tcBorders>
            <w:shd w:val="clear" w:color="auto" w:fill="auto"/>
            <w:noWrap/>
            <w:vAlign w:val="bottom"/>
            <w:hideMark/>
          </w:tcPr>
          <w:p w14:paraId="54E2592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-2.1056</w:t>
            </w:r>
          </w:p>
        </w:tc>
        <w:tc>
          <w:tcPr>
            <w:tcW w:w="860" w:type="dxa"/>
            <w:tcBorders>
              <w:top w:val="nil"/>
              <w:left w:val="nil"/>
              <w:bottom w:val="nil"/>
              <w:right w:val="nil"/>
            </w:tcBorders>
            <w:shd w:val="clear" w:color="auto" w:fill="auto"/>
            <w:noWrap/>
            <w:vAlign w:val="bottom"/>
            <w:hideMark/>
          </w:tcPr>
          <w:p w14:paraId="0A82DC7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-0.7337</w:t>
            </w:r>
          </w:p>
        </w:tc>
        <w:tc>
          <w:tcPr>
            <w:tcW w:w="860" w:type="dxa"/>
            <w:tcBorders>
              <w:top w:val="nil"/>
              <w:left w:val="nil"/>
              <w:bottom w:val="nil"/>
              <w:right w:val="nil"/>
            </w:tcBorders>
            <w:shd w:val="clear" w:color="auto" w:fill="auto"/>
            <w:noWrap/>
            <w:vAlign w:val="bottom"/>
            <w:hideMark/>
          </w:tcPr>
          <w:p w14:paraId="594FF2D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1.3719</w:t>
            </w:r>
          </w:p>
        </w:tc>
        <w:tc>
          <w:tcPr>
            <w:tcW w:w="967" w:type="dxa"/>
            <w:tcBorders>
              <w:top w:val="nil"/>
              <w:left w:val="nil"/>
              <w:bottom w:val="nil"/>
              <w:right w:val="nil"/>
            </w:tcBorders>
            <w:shd w:val="clear" w:color="auto" w:fill="auto"/>
            <w:noWrap/>
            <w:vAlign w:val="bottom"/>
            <w:hideMark/>
          </w:tcPr>
          <w:p w14:paraId="6B2495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-0.4522</w:t>
            </w:r>
          </w:p>
        </w:tc>
        <w:tc>
          <w:tcPr>
            <w:tcW w:w="860" w:type="dxa"/>
            <w:tcBorders>
              <w:top w:val="nil"/>
              <w:left w:val="nil"/>
              <w:bottom w:val="nil"/>
              <w:right w:val="nil"/>
            </w:tcBorders>
            <w:shd w:val="clear" w:color="auto" w:fill="auto"/>
            <w:noWrap/>
            <w:vAlign w:val="bottom"/>
            <w:hideMark/>
          </w:tcPr>
          <w:p w14:paraId="7589FB7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0.2612</w:t>
            </w:r>
          </w:p>
        </w:tc>
        <w:tc>
          <w:tcPr>
            <w:tcW w:w="860" w:type="dxa"/>
            <w:tcBorders>
              <w:top w:val="nil"/>
              <w:left w:val="nil"/>
              <w:bottom w:val="nil"/>
              <w:right w:val="single" w:sz="4" w:space="0" w:color="auto"/>
            </w:tcBorders>
            <w:shd w:val="clear" w:color="auto" w:fill="auto"/>
            <w:noWrap/>
            <w:vAlign w:val="bottom"/>
            <w:hideMark/>
          </w:tcPr>
          <w:p w14:paraId="4980FBB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0.0027</w:t>
            </w:r>
          </w:p>
        </w:tc>
        <w:tc>
          <w:tcPr>
            <w:tcW w:w="127" w:type="dxa"/>
            <w:tcBorders>
              <w:top w:val="nil"/>
              <w:left w:val="single" w:sz="4" w:space="0" w:color="auto"/>
              <w:bottom w:val="nil"/>
              <w:right w:val="nil"/>
            </w:tcBorders>
            <w:shd w:val="clear" w:color="auto" w:fill="auto"/>
            <w:noWrap/>
            <w:vAlign w:val="bottom"/>
            <w:hideMark/>
          </w:tcPr>
          <w:p w14:paraId="74467712" w14:textId="77777777" w:rsidR="005A4EA3" w:rsidRPr="00B43597" w:rsidRDefault="005A4EA3" w:rsidP="005A4EA3">
            <w:pPr>
              <w:rPr>
                <w:rFonts w:eastAsia="Times New Roman" w:cs="Times New Roman"/>
                <w:color w:val="000000"/>
                <w:sz w:val="18"/>
                <w:szCs w:val="18"/>
              </w:rPr>
            </w:pPr>
          </w:p>
        </w:tc>
      </w:tr>
      <w:tr w:rsidR="005A4EA3" w:rsidRPr="008A78D0" w14:paraId="0560A44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C581C4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01.1.611</w:t>
            </w:r>
          </w:p>
        </w:tc>
        <w:tc>
          <w:tcPr>
            <w:tcW w:w="2074" w:type="dxa"/>
            <w:tcBorders>
              <w:top w:val="nil"/>
              <w:left w:val="single" w:sz="4" w:space="0" w:color="auto"/>
              <w:bottom w:val="nil"/>
              <w:right w:val="single" w:sz="4" w:space="0" w:color="auto"/>
            </w:tcBorders>
            <w:shd w:val="clear" w:color="auto" w:fill="auto"/>
            <w:noWrap/>
            <w:vAlign w:val="bottom"/>
            <w:hideMark/>
          </w:tcPr>
          <w:p w14:paraId="3B420F7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Papaya</w:t>
            </w:r>
          </w:p>
        </w:tc>
        <w:tc>
          <w:tcPr>
            <w:tcW w:w="1153" w:type="dxa"/>
            <w:tcBorders>
              <w:top w:val="nil"/>
              <w:left w:val="single" w:sz="4" w:space="0" w:color="auto"/>
              <w:bottom w:val="nil"/>
              <w:right w:val="nil"/>
            </w:tcBorders>
            <w:shd w:val="clear" w:color="auto" w:fill="auto"/>
            <w:noWrap/>
            <w:vAlign w:val="bottom"/>
            <w:hideMark/>
          </w:tcPr>
          <w:p w14:paraId="7057EDC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0.393</w:t>
            </w:r>
          </w:p>
        </w:tc>
        <w:tc>
          <w:tcPr>
            <w:tcW w:w="1289" w:type="dxa"/>
            <w:tcBorders>
              <w:top w:val="nil"/>
              <w:left w:val="nil"/>
              <w:bottom w:val="nil"/>
              <w:right w:val="nil"/>
            </w:tcBorders>
            <w:shd w:val="clear" w:color="auto" w:fill="auto"/>
            <w:noWrap/>
            <w:vAlign w:val="bottom"/>
            <w:hideMark/>
          </w:tcPr>
          <w:p w14:paraId="7849787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0.176</w:t>
            </w:r>
          </w:p>
        </w:tc>
        <w:tc>
          <w:tcPr>
            <w:tcW w:w="967" w:type="dxa"/>
            <w:tcBorders>
              <w:top w:val="nil"/>
              <w:left w:val="nil"/>
              <w:bottom w:val="nil"/>
            </w:tcBorders>
            <w:shd w:val="clear" w:color="auto" w:fill="auto"/>
            <w:noWrap/>
            <w:vAlign w:val="bottom"/>
            <w:hideMark/>
          </w:tcPr>
          <w:p w14:paraId="359FDF5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0.6660</w:t>
            </w:r>
          </w:p>
        </w:tc>
        <w:tc>
          <w:tcPr>
            <w:tcW w:w="860" w:type="dxa"/>
            <w:tcBorders>
              <w:top w:val="nil"/>
              <w:bottom w:val="nil"/>
              <w:right w:val="single" w:sz="4" w:space="0" w:color="auto"/>
            </w:tcBorders>
            <w:shd w:val="clear" w:color="auto" w:fill="auto"/>
            <w:noWrap/>
            <w:vAlign w:val="bottom"/>
            <w:hideMark/>
          </w:tcPr>
          <w:p w14:paraId="5147487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-0.217</w:t>
            </w:r>
          </w:p>
        </w:tc>
        <w:tc>
          <w:tcPr>
            <w:tcW w:w="967" w:type="dxa"/>
            <w:tcBorders>
              <w:top w:val="nil"/>
              <w:left w:val="single" w:sz="4" w:space="0" w:color="auto"/>
              <w:bottom w:val="nil"/>
              <w:right w:val="nil"/>
            </w:tcBorders>
            <w:shd w:val="clear" w:color="auto" w:fill="auto"/>
            <w:noWrap/>
            <w:vAlign w:val="bottom"/>
            <w:hideMark/>
          </w:tcPr>
          <w:p w14:paraId="36B505B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-0.9334</w:t>
            </w:r>
          </w:p>
        </w:tc>
        <w:tc>
          <w:tcPr>
            <w:tcW w:w="860" w:type="dxa"/>
            <w:tcBorders>
              <w:top w:val="nil"/>
              <w:left w:val="nil"/>
              <w:bottom w:val="nil"/>
              <w:right w:val="nil"/>
            </w:tcBorders>
            <w:shd w:val="clear" w:color="auto" w:fill="auto"/>
            <w:noWrap/>
            <w:vAlign w:val="bottom"/>
            <w:hideMark/>
          </w:tcPr>
          <w:p w14:paraId="59A8B4D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-1.7359</w:t>
            </w:r>
          </w:p>
        </w:tc>
        <w:tc>
          <w:tcPr>
            <w:tcW w:w="860" w:type="dxa"/>
            <w:tcBorders>
              <w:top w:val="nil"/>
              <w:left w:val="nil"/>
              <w:bottom w:val="nil"/>
              <w:right w:val="nil"/>
            </w:tcBorders>
            <w:shd w:val="clear" w:color="auto" w:fill="auto"/>
            <w:noWrap/>
            <w:vAlign w:val="bottom"/>
            <w:hideMark/>
          </w:tcPr>
          <w:p w14:paraId="382F606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-0.8026</w:t>
            </w:r>
          </w:p>
        </w:tc>
        <w:tc>
          <w:tcPr>
            <w:tcW w:w="967" w:type="dxa"/>
            <w:tcBorders>
              <w:top w:val="nil"/>
              <w:left w:val="nil"/>
              <w:bottom w:val="nil"/>
              <w:right w:val="nil"/>
            </w:tcBorders>
            <w:shd w:val="clear" w:color="auto" w:fill="auto"/>
            <w:noWrap/>
            <w:vAlign w:val="bottom"/>
            <w:hideMark/>
          </w:tcPr>
          <w:p w14:paraId="0C91E1E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-0.4064</w:t>
            </w:r>
          </w:p>
        </w:tc>
        <w:tc>
          <w:tcPr>
            <w:tcW w:w="860" w:type="dxa"/>
            <w:tcBorders>
              <w:top w:val="nil"/>
              <w:left w:val="nil"/>
              <w:bottom w:val="nil"/>
              <w:right w:val="nil"/>
            </w:tcBorders>
            <w:shd w:val="clear" w:color="auto" w:fill="auto"/>
            <w:noWrap/>
            <w:vAlign w:val="bottom"/>
            <w:hideMark/>
          </w:tcPr>
          <w:p w14:paraId="539515C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0.2704</w:t>
            </w:r>
          </w:p>
        </w:tc>
        <w:tc>
          <w:tcPr>
            <w:tcW w:w="860" w:type="dxa"/>
            <w:tcBorders>
              <w:top w:val="nil"/>
              <w:left w:val="nil"/>
              <w:bottom w:val="nil"/>
              <w:right w:val="single" w:sz="4" w:space="0" w:color="auto"/>
            </w:tcBorders>
            <w:shd w:val="clear" w:color="auto" w:fill="auto"/>
            <w:noWrap/>
            <w:vAlign w:val="bottom"/>
            <w:hideMark/>
          </w:tcPr>
          <w:p w14:paraId="1970E3C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0.0028</w:t>
            </w:r>
          </w:p>
        </w:tc>
        <w:tc>
          <w:tcPr>
            <w:tcW w:w="127" w:type="dxa"/>
            <w:tcBorders>
              <w:top w:val="nil"/>
              <w:left w:val="single" w:sz="4" w:space="0" w:color="auto"/>
              <w:bottom w:val="nil"/>
              <w:right w:val="nil"/>
            </w:tcBorders>
            <w:shd w:val="clear" w:color="auto" w:fill="auto"/>
            <w:noWrap/>
            <w:vAlign w:val="bottom"/>
            <w:hideMark/>
          </w:tcPr>
          <w:p w14:paraId="1ADF58DC" w14:textId="77777777" w:rsidR="005A4EA3" w:rsidRPr="00B43597" w:rsidRDefault="005A4EA3" w:rsidP="005A4EA3">
            <w:pPr>
              <w:rPr>
                <w:rFonts w:eastAsia="Times New Roman" w:cs="Times New Roman"/>
                <w:color w:val="000000"/>
                <w:sz w:val="18"/>
                <w:szCs w:val="18"/>
              </w:rPr>
            </w:pPr>
          </w:p>
        </w:tc>
      </w:tr>
      <w:tr w:rsidR="005A4EA3" w:rsidRPr="008A78D0" w14:paraId="5540988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78BD02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01.1.612</w:t>
            </w:r>
          </w:p>
        </w:tc>
        <w:tc>
          <w:tcPr>
            <w:tcW w:w="2074" w:type="dxa"/>
            <w:tcBorders>
              <w:top w:val="nil"/>
              <w:left w:val="single" w:sz="4" w:space="0" w:color="auto"/>
              <w:bottom w:val="nil"/>
              <w:right w:val="single" w:sz="4" w:space="0" w:color="auto"/>
            </w:tcBorders>
            <w:shd w:val="clear" w:color="auto" w:fill="auto"/>
            <w:noWrap/>
            <w:vAlign w:val="bottom"/>
            <w:hideMark/>
          </w:tcPr>
          <w:p w14:paraId="79BE1CA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Mango*</w:t>
            </w:r>
          </w:p>
        </w:tc>
        <w:tc>
          <w:tcPr>
            <w:tcW w:w="1153" w:type="dxa"/>
            <w:tcBorders>
              <w:top w:val="nil"/>
              <w:left w:val="single" w:sz="4" w:space="0" w:color="auto"/>
              <w:bottom w:val="nil"/>
              <w:right w:val="nil"/>
            </w:tcBorders>
            <w:shd w:val="clear" w:color="auto" w:fill="auto"/>
            <w:noWrap/>
            <w:vAlign w:val="bottom"/>
            <w:hideMark/>
          </w:tcPr>
          <w:p w14:paraId="0D5DDF0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0.104</w:t>
            </w:r>
          </w:p>
        </w:tc>
        <w:tc>
          <w:tcPr>
            <w:tcW w:w="1289" w:type="dxa"/>
            <w:tcBorders>
              <w:top w:val="nil"/>
              <w:left w:val="nil"/>
              <w:bottom w:val="nil"/>
              <w:right w:val="nil"/>
            </w:tcBorders>
            <w:shd w:val="clear" w:color="auto" w:fill="auto"/>
            <w:noWrap/>
            <w:vAlign w:val="bottom"/>
            <w:hideMark/>
          </w:tcPr>
          <w:p w14:paraId="6541D76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0.445</w:t>
            </w:r>
          </w:p>
        </w:tc>
        <w:tc>
          <w:tcPr>
            <w:tcW w:w="967" w:type="dxa"/>
            <w:tcBorders>
              <w:top w:val="nil"/>
              <w:left w:val="nil"/>
              <w:bottom w:val="nil"/>
            </w:tcBorders>
            <w:shd w:val="clear" w:color="auto" w:fill="auto"/>
            <w:noWrap/>
            <w:vAlign w:val="bottom"/>
            <w:hideMark/>
          </w:tcPr>
          <w:p w14:paraId="29F145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0.6660</w:t>
            </w:r>
          </w:p>
        </w:tc>
        <w:tc>
          <w:tcPr>
            <w:tcW w:w="860" w:type="dxa"/>
            <w:tcBorders>
              <w:top w:val="nil"/>
              <w:bottom w:val="nil"/>
              <w:right w:val="single" w:sz="4" w:space="0" w:color="auto"/>
            </w:tcBorders>
            <w:shd w:val="clear" w:color="auto" w:fill="auto"/>
            <w:noWrap/>
            <w:vAlign w:val="bottom"/>
            <w:hideMark/>
          </w:tcPr>
          <w:p w14:paraId="27FCDF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0.341</w:t>
            </w:r>
          </w:p>
        </w:tc>
        <w:tc>
          <w:tcPr>
            <w:tcW w:w="967" w:type="dxa"/>
            <w:tcBorders>
              <w:top w:val="nil"/>
              <w:left w:val="single" w:sz="4" w:space="0" w:color="auto"/>
              <w:bottom w:val="nil"/>
              <w:right w:val="nil"/>
            </w:tcBorders>
            <w:shd w:val="clear" w:color="auto" w:fill="auto"/>
            <w:noWrap/>
            <w:vAlign w:val="bottom"/>
            <w:hideMark/>
          </w:tcPr>
          <w:p w14:paraId="2B0629D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-2.2632</w:t>
            </w:r>
          </w:p>
        </w:tc>
        <w:tc>
          <w:tcPr>
            <w:tcW w:w="860" w:type="dxa"/>
            <w:tcBorders>
              <w:top w:val="nil"/>
              <w:left w:val="nil"/>
              <w:bottom w:val="nil"/>
              <w:right w:val="nil"/>
            </w:tcBorders>
            <w:shd w:val="clear" w:color="auto" w:fill="auto"/>
            <w:noWrap/>
            <w:vAlign w:val="bottom"/>
            <w:hideMark/>
          </w:tcPr>
          <w:p w14:paraId="26805D2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-0.8101</w:t>
            </w:r>
          </w:p>
        </w:tc>
        <w:tc>
          <w:tcPr>
            <w:tcW w:w="860" w:type="dxa"/>
            <w:tcBorders>
              <w:top w:val="nil"/>
              <w:left w:val="nil"/>
              <w:bottom w:val="nil"/>
              <w:right w:val="nil"/>
            </w:tcBorders>
            <w:shd w:val="clear" w:color="auto" w:fill="auto"/>
            <w:noWrap/>
            <w:vAlign w:val="bottom"/>
            <w:hideMark/>
          </w:tcPr>
          <w:p w14:paraId="258243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1.4532</w:t>
            </w:r>
          </w:p>
        </w:tc>
        <w:tc>
          <w:tcPr>
            <w:tcW w:w="967" w:type="dxa"/>
            <w:tcBorders>
              <w:top w:val="nil"/>
              <w:left w:val="nil"/>
              <w:bottom w:val="nil"/>
              <w:right w:val="nil"/>
            </w:tcBorders>
            <w:shd w:val="clear" w:color="auto" w:fill="auto"/>
            <w:noWrap/>
            <w:vAlign w:val="bottom"/>
            <w:hideMark/>
          </w:tcPr>
          <w:p w14:paraId="11584DC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-0.4064</w:t>
            </w:r>
          </w:p>
        </w:tc>
        <w:tc>
          <w:tcPr>
            <w:tcW w:w="860" w:type="dxa"/>
            <w:tcBorders>
              <w:top w:val="nil"/>
              <w:left w:val="nil"/>
              <w:bottom w:val="nil"/>
              <w:right w:val="nil"/>
            </w:tcBorders>
            <w:shd w:val="clear" w:color="auto" w:fill="auto"/>
            <w:noWrap/>
            <w:vAlign w:val="bottom"/>
            <w:hideMark/>
          </w:tcPr>
          <w:p w14:paraId="03AB72E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0.2345</w:t>
            </w:r>
          </w:p>
        </w:tc>
        <w:tc>
          <w:tcPr>
            <w:tcW w:w="860" w:type="dxa"/>
            <w:tcBorders>
              <w:top w:val="nil"/>
              <w:left w:val="nil"/>
              <w:bottom w:val="nil"/>
              <w:right w:val="single" w:sz="4" w:space="0" w:color="auto"/>
            </w:tcBorders>
            <w:shd w:val="clear" w:color="auto" w:fill="auto"/>
            <w:noWrap/>
            <w:vAlign w:val="bottom"/>
            <w:hideMark/>
          </w:tcPr>
          <w:p w14:paraId="6363CB9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0.0024</w:t>
            </w:r>
          </w:p>
        </w:tc>
        <w:tc>
          <w:tcPr>
            <w:tcW w:w="127" w:type="dxa"/>
            <w:tcBorders>
              <w:top w:val="nil"/>
              <w:left w:val="single" w:sz="4" w:space="0" w:color="auto"/>
              <w:bottom w:val="nil"/>
              <w:right w:val="nil"/>
            </w:tcBorders>
            <w:shd w:val="clear" w:color="auto" w:fill="auto"/>
            <w:noWrap/>
            <w:vAlign w:val="bottom"/>
            <w:hideMark/>
          </w:tcPr>
          <w:p w14:paraId="0685C76F" w14:textId="77777777" w:rsidR="005A4EA3" w:rsidRPr="00B43597" w:rsidRDefault="005A4EA3" w:rsidP="005A4EA3">
            <w:pPr>
              <w:rPr>
                <w:rFonts w:eastAsia="Times New Roman" w:cs="Times New Roman"/>
                <w:color w:val="000000"/>
                <w:sz w:val="18"/>
                <w:szCs w:val="18"/>
              </w:rPr>
            </w:pPr>
          </w:p>
        </w:tc>
      </w:tr>
      <w:tr w:rsidR="005A4EA3" w:rsidRPr="008A78D0" w14:paraId="674AD239"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A29785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01.1.701</w:t>
            </w:r>
          </w:p>
        </w:tc>
        <w:tc>
          <w:tcPr>
            <w:tcW w:w="2074" w:type="dxa"/>
            <w:tcBorders>
              <w:top w:val="nil"/>
              <w:left w:val="single" w:sz="4" w:space="0" w:color="auto"/>
              <w:bottom w:val="nil"/>
              <w:right w:val="single" w:sz="4" w:space="0" w:color="auto"/>
            </w:tcBorders>
            <w:shd w:val="clear" w:color="auto" w:fill="auto"/>
            <w:noWrap/>
            <w:vAlign w:val="bottom"/>
            <w:hideMark/>
          </w:tcPr>
          <w:p w14:paraId="13FBA6D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Black-eyed peas</w:t>
            </w:r>
          </w:p>
        </w:tc>
        <w:tc>
          <w:tcPr>
            <w:tcW w:w="1153" w:type="dxa"/>
            <w:tcBorders>
              <w:top w:val="nil"/>
              <w:left w:val="single" w:sz="4" w:space="0" w:color="auto"/>
              <w:bottom w:val="nil"/>
              <w:right w:val="nil"/>
            </w:tcBorders>
            <w:shd w:val="clear" w:color="auto" w:fill="auto"/>
            <w:noWrap/>
            <w:vAlign w:val="bottom"/>
            <w:hideMark/>
          </w:tcPr>
          <w:p w14:paraId="383D11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1.111</w:t>
            </w:r>
          </w:p>
        </w:tc>
        <w:tc>
          <w:tcPr>
            <w:tcW w:w="1289" w:type="dxa"/>
            <w:tcBorders>
              <w:top w:val="nil"/>
              <w:left w:val="nil"/>
              <w:bottom w:val="nil"/>
              <w:right w:val="nil"/>
            </w:tcBorders>
            <w:shd w:val="clear" w:color="auto" w:fill="auto"/>
            <w:noWrap/>
            <w:vAlign w:val="bottom"/>
            <w:hideMark/>
          </w:tcPr>
          <w:p w14:paraId="19CD867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1.236</w:t>
            </w:r>
          </w:p>
        </w:tc>
        <w:tc>
          <w:tcPr>
            <w:tcW w:w="967" w:type="dxa"/>
            <w:tcBorders>
              <w:top w:val="nil"/>
              <w:left w:val="nil"/>
              <w:bottom w:val="nil"/>
            </w:tcBorders>
            <w:shd w:val="clear" w:color="auto" w:fill="auto"/>
            <w:noWrap/>
            <w:vAlign w:val="bottom"/>
            <w:hideMark/>
          </w:tcPr>
          <w:p w14:paraId="7CAC9F1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1.0209</w:t>
            </w:r>
          </w:p>
        </w:tc>
        <w:tc>
          <w:tcPr>
            <w:tcW w:w="860" w:type="dxa"/>
            <w:tcBorders>
              <w:top w:val="nil"/>
              <w:bottom w:val="nil"/>
              <w:right w:val="single" w:sz="4" w:space="0" w:color="auto"/>
            </w:tcBorders>
            <w:shd w:val="clear" w:color="auto" w:fill="auto"/>
            <w:noWrap/>
            <w:vAlign w:val="bottom"/>
            <w:hideMark/>
          </w:tcPr>
          <w:p w14:paraId="055FBB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0.125</w:t>
            </w:r>
          </w:p>
        </w:tc>
        <w:tc>
          <w:tcPr>
            <w:tcW w:w="967" w:type="dxa"/>
            <w:tcBorders>
              <w:top w:val="nil"/>
              <w:left w:val="single" w:sz="4" w:space="0" w:color="auto"/>
              <w:bottom w:val="nil"/>
              <w:right w:val="nil"/>
            </w:tcBorders>
            <w:shd w:val="clear" w:color="auto" w:fill="auto"/>
            <w:noWrap/>
            <w:vAlign w:val="bottom"/>
            <w:hideMark/>
          </w:tcPr>
          <w:p w14:paraId="44A053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0.1054</w:t>
            </w:r>
          </w:p>
        </w:tc>
        <w:tc>
          <w:tcPr>
            <w:tcW w:w="860" w:type="dxa"/>
            <w:tcBorders>
              <w:top w:val="nil"/>
              <w:left w:val="nil"/>
              <w:bottom w:val="nil"/>
              <w:right w:val="nil"/>
            </w:tcBorders>
            <w:shd w:val="clear" w:color="auto" w:fill="auto"/>
            <w:noWrap/>
            <w:vAlign w:val="bottom"/>
            <w:hideMark/>
          </w:tcPr>
          <w:p w14:paraId="55B9FF7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0.2122</w:t>
            </w:r>
          </w:p>
        </w:tc>
        <w:tc>
          <w:tcPr>
            <w:tcW w:w="860" w:type="dxa"/>
            <w:tcBorders>
              <w:top w:val="nil"/>
              <w:left w:val="nil"/>
              <w:bottom w:val="nil"/>
              <w:right w:val="nil"/>
            </w:tcBorders>
            <w:shd w:val="clear" w:color="auto" w:fill="auto"/>
            <w:noWrap/>
            <w:vAlign w:val="bottom"/>
            <w:hideMark/>
          </w:tcPr>
          <w:p w14:paraId="5B8A1E5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0.1067</w:t>
            </w:r>
          </w:p>
        </w:tc>
        <w:tc>
          <w:tcPr>
            <w:tcW w:w="967" w:type="dxa"/>
            <w:tcBorders>
              <w:top w:val="nil"/>
              <w:left w:val="nil"/>
              <w:bottom w:val="nil"/>
              <w:right w:val="nil"/>
            </w:tcBorders>
            <w:shd w:val="clear" w:color="auto" w:fill="auto"/>
            <w:noWrap/>
            <w:vAlign w:val="bottom"/>
            <w:hideMark/>
          </w:tcPr>
          <w:p w14:paraId="5CBBE77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0.0207</w:t>
            </w:r>
          </w:p>
        </w:tc>
        <w:tc>
          <w:tcPr>
            <w:tcW w:w="860" w:type="dxa"/>
            <w:tcBorders>
              <w:top w:val="nil"/>
              <w:left w:val="nil"/>
              <w:bottom w:val="nil"/>
              <w:right w:val="nil"/>
            </w:tcBorders>
            <w:shd w:val="clear" w:color="auto" w:fill="auto"/>
            <w:noWrap/>
            <w:vAlign w:val="bottom"/>
            <w:hideMark/>
          </w:tcPr>
          <w:p w14:paraId="2FAADE7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1.1727</w:t>
            </w:r>
          </w:p>
        </w:tc>
        <w:tc>
          <w:tcPr>
            <w:tcW w:w="860" w:type="dxa"/>
            <w:tcBorders>
              <w:top w:val="nil"/>
              <w:left w:val="nil"/>
              <w:bottom w:val="nil"/>
              <w:right w:val="single" w:sz="4" w:space="0" w:color="auto"/>
            </w:tcBorders>
            <w:shd w:val="clear" w:color="auto" w:fill="auto"/>
            <w:noWrap/>
            <w:vAlign w:val="bottom"/>
            <w:hideMark/>
          </w:tcPr>
          <w:p w14:paraId="4924BA0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0.0122</w:t>
            </w:r>
          </w:p>
        </w:tc>
        <w:tc>
          <w:tcPr>
            <w:tcW w:w="127" w:type="dxa"/>
            <w:tcBorders>
              <w:top w:val="nil"/>
              <w:left w:val="single" w:sz="4" w:space="0" w:color="auto"/>
              <w:bottom w:val="nil"/>
              <w:right w:val="nil"/>
            </w:tcBorders>
            <w:shd w:val="clear" w:color="auto" w:fill="auto"/>
            <w:noWrap/>
            <w:vAlign w:val="bottom"/>
            <w:hideMark/>
          </w:tcPr>
          <w:p w14:paraId="210210CA" w14:textId="77777777" w:rsidR="005A4EA3" w:rsidRPr="00B43597" w:rsidRDefault="005A4EA3" w:rsidP="005A4EA3">
            <w:pPr>
              <w:rPr>
                <w:rFonts w:eastAsia="Times New Roman" w:cs="Times New Roman"/>
                <w:color w:val="000000"/>
                <w:sz w:val="18"/>
                <w:szCs w:val="18"/>
              </w:rPr>
            </w:pPr>
          </w:p>
        </w:tc>
      </w:tr>
      <w:tr w:rsidR="005A4EA3" w:rsidRPr="008A78D0" w14:paraId="7E28A046"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C6FC16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01.1.702</w:t>
            </w:r>
          </w:p>
        </w:tc>
        <w:tc>
          <w:tcPr>
            <w:tcW w:w="2074" w:type="dxa"/>
            <w:tcBorders>
              <w:top w:val="nil"/>
              <w:left w:val="single" w:sz="4" w:space="0" w:color="auto"/>
              <w:bottom w:val="nil"/>
              <w:right w:val="single" w:sz="4" w:space="0" w:color="auto"/>
            </w:tcBorders>
            <w:shd w:val="clear" w:color="auto" w:fill="auto"/>
            <w:noWrap/>
            <w:vAlign w:val="bottom"/>
            <w:hideMark/>
          </w:tcPr>
          <w:p w14:paraId="265C61F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Split peas</w:t>
            </w:r>
          </w:p>
        </w:tc>
        <w:tc>
          <w:tcPr>
            <w:tcW w:w="1153" w:type="dxa"/>
            <w:tcBorders>
              <w:top w:val="nil"/>
              <w:left w:val="single" w:sz="4" w:space="0" w:color="auto"/>
              <w:bottom w:val="nil"/>
              <w:right w:val="nil"/>
            </w:tcBorders>
            <w:shd w:val="clear" w:color="auto" w:fill="auto"/>
            <w:noWrap/>
            <w:vAlign w:val="bottom"/>
            <w:hideMark/>
          </w:tcPr>
          <w:p w14:paraId="4126313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1.208</w:t>
            </w:r>
          </w:p>
        </w:tc>
        <w:tc>
          <w:tcPr>
            <w:tcW w:w="1289" w:type="dxa"/>
            <w:tcBorders>
              <w:top w:val="nil"/>
              <w:left w:val="nil"/>
              <w:bottom w:val="nil"/>
              <w:right w:val="nil"/>
            </w:tcBorders>
            <w:shd w:val="clear" w:color="auto" w:fill="auto"/>
            <w:noWrap/>
            <w:vAlign w:val="bottom"/>
            <w:hideMark/>
          </w:tcPr>
          <w:p w14:paraId="713BF7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0.575</w:t>
            </w:r>
          </w:p>
        </w:tc>
        <w:tc>
          <w:tcPr>
            <w:tcW w:w="967" w:type="dxa"/>
            <w:tcBorders>
              <w:top w:val="nil"/>
              <w:left w:val="nil"/>
              <w:bottom w:val="nil"/>
            </w:tcBorders>
            <w:shd w:val="clear" w:color="auto" w:fill="auto"/>
            <w:noWrap/>
            <w:vAlign w:val="bottom"/>
            <w:hideMark/>
          </w:tcPr>
          <w:p w14:paraId="249023F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0.8670</w:t>
            </w:r>
          </w:p>
        </w:tc>
        <w:tc>
          <w:tcPr>
            <w:tcW w:w="860" w:type="dxa"/>
            <w:tcBorders>
              <w:top w:val="nil"/>
              <w:bottom w:val="nil"/>
              <w:right w:val="single" w:sz="4" w:space="0" w:color="auto"/>
            </w:tcBorders>
            <w:shd w:val="clear" w:color="auto" w:fill="auto"/>
            <w:noWrap/>
            <w:vAlign w:val="bottom"/>
            <w:hideMark/>
          </w:tcPr>
          <w:p w14:paraId="48C1391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-0.632</w:t>
            </w:r>
          </w:p>
        </w:tc>
        <w:tc>
          <w:tcPr>
            <w:tcW w:w="967" w:type="dxa"/>
            <w:tcBorders>
              <w:top w:val="nil"/>
              <w:left w:val="single" w:sz="4" w:space="0" w:color="auto"/>
              <w:bottom w:val="nil"/>
              <w:right w:val="nil"/>
            </w:tcBorders>
            <w:shd w:val="clear" w:color="auto" w:fill="auto"/>
            <w:noWrap/>
            <w:vAlign w:val="bottom"/>
            <w:hideMark/>
          </w:tcPr>
          <w:p w14:paraId="37B8DA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0.1886</w:t>
            </w:r>
          </w:p>
        </w:tc>
        <w:tc>
          <w:tcPr>
            <w:tcW w:w="860" w:type="dxa"/>
            <w:tcBorders>
              <w:top w:val="nil"/>
              <w:left w:val="nil"/>
              <w:bottom w:val="nil"/>
              <w:right w:val="nil"/>
            </w:tcBorders>
            <w:shd w:val="clear" w:color="auto" w:fill="auto"/>
            <w:noWrap/>
            <w:vAlign w:val="bottom"/>
            <w:hideMark/>
          </w:tcPr>
          <w:p w14:paraId="49AB556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-0.5530</w:t>
            </w:r>
          </w:p>
        </w:tc>
        <w:tc>
          <w:tcPr>
            <w:tcW w:w="860" w:type="dxa"/>
            <w:tcBorders>
              <w:top w:val="nil"/>
              <w:left w:val="nil"/>
              <w:bottom w:val="nil"/>
              <w:right w:val="nil"/>
            </w:tcBorders>
            <w:shd w:val="clear" w:color="auto" w:fill="auto"/>
            <w:noWrap/>
            <w:vAlign w:val="bottom"/>
            <w:hideMark/>
          </w:tcPr>
          <w:p w14:paraId="4CF82FB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-0.7416</w:t>
            </w:r>
          </w:p>
        </w:tc>
        <w:tc>
          <w:tcPr>
            <w:tcW w:w="967" w:type="dxa"/>
            <w:tcBorders>
              <w:top w:val="nil"/>
              <w:left w:val="nil"/>
              <w:bottom w:val="nil"/>
              <w:right w:val="nil"/>
            </w:tcBorders>
            <w:shd w:val="clear" w:color="auto" w:fill="auto"/>
            <w:noWrap/>
            <w:vAlign w:val="bottom"/>
            <w:hideMark/>
          </w:tcPr>
          <w:p w14:paraId="684BCE3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-0.1427</w:t>
            </w:r>
          </w:p>
        </w:tc>
        <w:tc>
          <w:tcPr>
            <w:tcW w:w="860" w:type="dxa"/>
            <w:tcBorders>
              <w:top w:val="nil"/>
              <w:left w:val="nil"/>
              <w:bottom w:val="nil"/>
              <w:right w:val="nil"/>
            </w:tcBorders>
            <w:shd w:val="clear" w:color="auto" w:fill="auto"/>
            <w:noWrap/>
            <w:vAlign w:val="bottom"/>
            <w:hideMark/>
          </w:tcPr>
          <w:p w14:paraId="3F32A6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0.8527</w:t>
            </w:r>
          </w:p>
        </w:tc>
        <w:tc>
          <w:tcPr>
            <w:tcW w:w="860" w:type="dxa"/>
            <w:tcBorders>
              <w:top w:val="nil"/>
              <w:left w:val="nil"/>
              <w:bottom w:val="nil"/>
              <w:right w:val="single" w:sz="4" w:space="0" w:color="auto"/>
            </w:tcBorders>
            <w:shd w:val="clear" w:color="auto" w:fill="auto"/>
            <w:noWrap/>
            <w:vAlign w:val="bottom"/>
            <w:hideMark/>
          </w:tcPr>
          <w:p w14:paraId="15327DB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0.0089</w:t>
            </w:r>
          </w:p>
        </w:tc>
        <w:tc>
          <w:tcPr>
            <w:tcW w:w="127" w:type="dxa"/>
            <w:tcBorders>
              <w:top w:val="nil"/>
              <w:left w:val="single" w:sz="4" w:space="0" w:color="auto"/>
              <w:bottom w:val="nil"/>
              <w:right w:val="nil"/>
            </w:tcBorders>
            <w:shd w:val="clear" w:color="auto" w:fill="auto"/>
            <w:noWrap/>
            <w:vAlign w:val="bottom"/>
            <w:hideMark/>
          </w:tcPr>
          <w:p w14:paraId="4D0CC684" w14:textId="77777777" w:rsidR="005A4EA3" w:rsidRPr="00B43597" w:rsidRDefault="005A4EA3" w:rsidP="005A4EA3">
            <w:pPr>
              <w:rPr>
                <w:rFonts w:eastAsia="Times New Roman" w:cs="Times New Roman"/>
                <w:color w:val="000000"/>
                <w:sz w:val="18"/>
                <w:szCs w:val="18"/>
              </w:rPr>
            </w:pPr>
          </w:p>
        </w:tc>
      </w:tr>
      <w:tr w:rsidR="005A4EA3" w:rsidRPr="008A78D0" w14:paraId="7B2112DB"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79993F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01.1.703</w:t>
            </w:r>
          </w:p>
        </w:tc>
        <w:tc>
          <w:tcPr>
            <w:tcW w:w="2074" w:type="dxa"/>
            <w:tcBorders>
              <w:top w:val="nil"/>
              <w:left w:val="single" w:sz="4" w:space="0" w:color="auto"/>
              <w:bottom w:val="nil"/>
              <w:right w:val="single" w:sz="4" w:space="0" w:color="auto"/>
            </w:tcBorders>
            <w:shd w:val="clear" w:color="auto" w:fill="auto"/>
            <w:noWrap/>
            <w:vAlign w:val="bottom"/>
            <w:hideMark/>
          </w:tcPr>
          <w:p w14:paraId="59CE525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Turnip greens</w:t>
            </w:r>
          </w:p>
        </w:tc>
        <w:tc>
          <w:tcPr>
            <w:tcW w:w="1153" w:type="dxa"/>
            <w:tcBorders>
              <w:top w:val="nil"/>
              <w:left w:val="single" w:sz="4" w:space="0" w:color="auto"/>
              <w:bottom w:val="nil"/>
              <w:right w:val="nil"/>
            </w:tcBorders>
            <w:shd w:val="clear" w:color="auto" w:fill="auto"/>
            <w:noWrap/>
            <w:vAlign w:val="bottom"/>
            <w:hideMark/>
          </w:tcPr>
          <w:p w14:paraId="5B3A4EF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0.736</w:t>
            </w:r>
          </w:p>
        </w:tc>
        <w:tc>
          <w:tcPr>
            <w:tcW w:w="1289" w:type="dxa"/>
            <w:tcBorders>
              <w:top w:val="nil"/>
              <w:left w:val="nil"/>
              <w:bottom w:val="nil"/>
              <w:right w:val="nil"/>
            </w:tcBorders>
            <w:shd w:val="clear" w:color="auto" w:fill="auto"/>
            <w:noWrap/>
            <w:vAlign w:val="bottom"/>
            <w:hideMark/>
          </w:tcPr>
          <w:p w14:paraId="66F5294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0.855</w:t>
            </w:r>
          </w:p>
        </w:tc>
        <w:tc>
          <w:tcPr>
            <w:tcW w:w="967" w:type="dxa"/>
            <w:tcBorders>
              <w:top w:val="nil"/>
              <w:left w:val="nil"/>
              <w:bottom w:val="nil"/>
            </w:tcBorders>
            <w:shd w:val="clear" w:color="auto" w:fill="auto"/>
            <w:noWrap/>
            <w:vAlign w:val="bottom"/>
            <w:hideMark/>
          </w:tcPr>
          <w:p w14:paraId="663CB1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1.7099</w:t>
            </w:r>
          </w:p>
        </w:tc>
        <w:tc>
          <w:tcPr>
            <w:tcW w:w="860" w:type="dxa"/>
            <w:tcBorders>
              <w:top w:val="nil"/>
              <w:bottom w:val="nil"/>
              <w:right w:val="single" w:sz="4" w:space="0" w:color="auto"/>
            </w:tcBorders>
            <w:shd w:val="clear" w:color="auto" w:fill="auto"/>
            <w:noWrap/>
            <w:vAlign w:val="bottom"/>
            <w:hideMark/>
          </w:tcPr>
          <w:p w14:paraId="417823F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0.119</w:t>
            </w:r>
          </w:p>
        </w:tc>
        <w:tc>
          <w:tcPr>
            <w:tcW w:w="967" w:type="dxa"/>
            <w:tcBorders>
              <w:top w:val="nil"/>
              <w:left w:val="single" w:sz="4" w:space="0" w:color="auto"/>
              <w:bottom w:val="nil"/>
              <w:right w:val="nil"/>
            </w:tcBorders>
            <w:shd w:val="clear" w:color="auto" w:fill="auto"/>
            <w:noWrap/>
            <w:vAlign w:val="bottom"/>
            <w:hideMark/>
          </w:tcPr>
          <w:p w14:paraId="3909965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-0.3069</w:t>
            </w:r>
          </w:p>
        </w:tc>
        <w:tc>
          <w:tcPr>
            <w:tcW w:w="860" w:type="dxa"/>
            <w:tcBorders>
              <w:top w:val="nil"/>
              <w:left w:val="nil"/>
              <w:bottom w:val="nil"/>
              <w:right w:val="nil"/>
            </w:tcBorders>
            <w:shd w:val="clear" w:color="auto" w:fill="auto"/>
            <w:noWrap/>
            <w:vAlign w:val="bottom"/>
            <w:hideMark/>
          </w:tcPr>
          <w:p w14:paraId="3FD8B9D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-0.1566</w:t>
            </w:r>
          </w:p>
        </w:tc>
        <w:tc>
          <w:tcPr>
            <w:tcW w:w="860" w:type="dxa"/>
            <w:tcBorders>
              <w:top w:val="nil"/>
              <w:left w:val="nil"/>
              <w:bottom w:val="nil"/>
              <w:right w:val="nil"/>
            </w:tcBorders>
            <w:shd w:val="clear" w:color="auto" w:fill="auto"/>
            <w:noWrap/>
            <w:vAlign w:val="bottom"/>
            <w:hideMark/>
          </w:tcPr>
          <w:p w14:paraId="785DE56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0.1503</w:t>
            </w:r>
          </w:p>
        </w:tc>
        <w:tc>
          <w:tcPr>
            <w:tcW w:w="967" w:type="dxa"/>
            <w:tcBorders>
              <w:top w:val="nil"/>
              <w:left w:val="nil"/>
              <w:bottom w:val="nil"/>
              <w:right w:val="nil"/>
            </w:tcBorders>
            <w:shd w:val="clear" w:color="auto" w:fill="auto"/>
            <w:noWrap/>
            <w:vAlign w:val="bottom"/>
            <w:hideMark/>
          </w:tcPr>
          <w:p w14:paraId="4535EBF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0.5365</w:t>
            </w:r>
          </w:p>
        </w:tc>
        <w:tc>
          <w:tcPr>
            <w:tcW w:w="860" w:type="dxa"/>
            <w:tcBorders>
              <w:top w:val="nil"/>
              <w:left w:val="nil"/>
              <w:bottom w:val="nil"/>
              <w:right w:val="nil"/>
            </w:tcBorders>
            <w:shd w:val="clear" w:color="auto" w:fill="auto"/>
            <w:noWrap/>
            <w:vAlign w:val="bottom"/>
            <w:hideMark/>
          </w:tcPr>
          <w:p w14:paraId="40AA5D3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0.7939</w:t>
            </w:r>
          </w:p>
        </w:tc>
        <w:tc>
          <w:tcPr>
            <w:tcW w:w="860" w:type="dxa"/>
            <w:tcBorders>
              <w:top w:val="nil"/>
              <w:left w:val="nil"/>
              <w:bottom w:val="nil"/>
              <w:right w:val="single" w:sz="4" w:space="0" w:color="auto"/>
            </w:tcBorders>
            <w:shd w:val="clear" w:color="auto" w:fill="auto"/>
            <w:noWrap/>
            <w:vAlign w:val="bottom"/>
            <w:hideMark/>
          </w:tcPr>
          <w:p w14:paraId="62C7C65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0.0083</w:t>
            </w:r>
          </w:p>
        </w:tc>
        <w:tc>
          <w:tcPr>
            <w:tcW w:w="127" w:type="dxa"/>
            <w:tcBorders>
              <w:top w:val="nil"/>
              <w:left w:val="single" w:sz="4" w:space="0" w:color="auto"/>
              <w:bottom w:val="nil"/>
              <w:right w:val="nil"/>
            </w:tcBorders>
            <w:shd w:val="clear" w:color="auto" w:fill="auto"/>
            <w:noWrap/>
            <w:vAlign w:val="bottom"/>
            <w:hideMark/>
          </w:tcPr>
          <w:p w14:paraId="25103DD6" w14:textId="77777777" w:rsidR="005A4EA3" w:rsidRPr="00B43597" w:rsidRDefault="005A4EA3" w:rsidP="005A4EA3">
            <w:pPr>
              <w:rPr>
                <w:rFonts w:eastAsia="Times New Roman" w:cs="Times New Roman"/>
                <w:color w:val="000000"/>
                <w:sz w:val="18"/>
                <w:szCs w:val="18"/>
              </w:rPr>
            </w:pPr>
          </w:p>
        </w:tc>
      </w:tr>
      <w:tr w:rsidR="005A4EA3" w:rsidRPr="008A78D0" w14:paraId="0D9636C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EDD4CC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01.1.704</w:t>
            </w:r>
          </w:p>
        </w:tc>
        <w:tc>
          <w:tcPr>
            <w:tcW w:w="2074" w:type="dxa"/>
            <w:tcBorders>
              <w:top w:val="nil"/>
              <w:left w:val="single" w:sz="4" w:space="0" w:color="auto"/>
              <w:bottom w:val="nil"/>
              <w:right w:val="single" w:sz="4" w:space="0" w:color="auto"/>
            </w:tcBorders>
            <w:shd w:val="clear" w:color="auto" w:fill="auto"/>
            <w:noWrap/>
            <w:vAlign w:val="bottom"/>
            <w:hideMark/>
          </w:tcPr>
          <w:p w14:paraId="4AD7337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Red beans</w:t>
            </w:r>
          </w:p>
        </w:tc>
        <w:tc>
          <w:tcPr>
            <w:tcW w:w="1153" w:type="dxa"/>
            <w:tcBorders>
              <w:top w:val="nil"/>
              <w:left w:val="single" w:sz="4" w:space="0" w:color="auto"/>
              <w:bottom w:val="nil"/>
              <w:right w:val="nil"/>
            </w:tcBorders>
            <w:shd w:val="clear" w:color="auto" w:fill="auto"/>
            <w:noWrap/>
            <w:vAlign w:val="bottom"/>
            <w:hideMark/>
          </w:tcPr>
          <w:p w14:paraId="3CDDB5B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0.479</w:t>
            </w:r>
          </w:p>
        </w:tc>
        <w:tc>
          <w:tcPr>
            <w:tcW w:w="1289" w:type="dxa"/>
            <w:tcBorders>
              <w:top w:val="nil"/>
              <w:left w:val="nil"/>
              <w:bottom w:val="nil"/>
              <w:right w:val="nil"/>
            </w:tcBorders>
            <w:shd w:val="clear" w:color="auto" w:fill="auto"/>
            <w:noWrap/>
            <w:vAlign w:val="bottom"/>
            <w:hideMark/>
          </w:tcPr>
          <w:p w14:paraId="20911FC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0.593</w:t>
            </w:r>
          </w:p>
        </w:tc>
        <w:tc>
          <w:tcPr>
            <w:tcW w:w="967" w:type="dxa"/>
            <w:tcBorders>
              <w:top w:val="nil"/>
              <w:left w:val="nil"/>
              <w:bottom w:val="nil"/>
            </w:tcBorders>
            <w:shd w:val="clear" w:color="auto" w:fill="auto"/>
            <w:noWrap/>
            <w:vAlign w:val="bottom"/>
            <w:hideMark/>
          </w:tcPr>
          <w:p w14:paraId="7A7BBC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1.1058</w:t>
            </w:r>
          </w:p>
        </w:tc>
        <w:tc>
          <w:tcPr>
            <w:tcW w:w="860" w:type="dxa"/>
            <w:tcBorders>
              <w:top w:val="nil"/>
              <w:bottom w:val="nil"/>
              <w:right w:val="single" w:sz="4" w:space="0" w:color="auto"/>
            </w:tcBorders>
            <w:shd w:val="clear" w:color="auto" w:fill="auto"/>
            <w:noWrap/>
            <w:vAlign w:val="bottom"/>
            <w:hideMark/>
          </w:tcPr>
          <w:p w14:paraId="77F3AE9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0.113</w:t>
            </w:r>
          </w:p>
        </w:tc>
        <w:tc>
          <w:tcPr>
            <w:tcW w:w="967" w:type="dxa"/>
            <w:tcBorders>
              <w:top w:val="nil"/>
              <w:left w:val="single" w:sz="4" w:space="0" w:color="auto"/>
              <w:bottom w:val="nil"/>
              <w:right w:val="nil"/>
            </w:tcBorders>
            <w:shd w:val="clear" w:color="auto" w:fill="auto"/>
            <w:noWrap/>
            <w:vAlign w:val="bottom"/>
            <w:hideMark/>
          </w:tcPr>
          <w:p w14:paraId="5A7E926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-0.7350</w:t>
            </w:r>
          </w:p>
        </w:tc>
        <w:tc>
          <w:tcPr>
            <w:tcW w:w="860" w:type="dxa"/>
            <w:tcBorders>
              <w:top w:val="nil"/>
              <w:left w:val="nil"/>
              <w:bottom w:val="nil"/>
              <w:right w:val="nil"/>
            </w:tcBorders>
            <w:shd w:val="clear" w:color="auto" w:fill="auto"/>
            <w:noWrap/>
            <w:vAlign w:val="bottom"/>
            <w:hideMark/>
          </w:tcPr>
          <w:p w14:paraId="44C268E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-0.5228</w:t>
            </w:r>
          </w:p>
        </w:tc>
        <w:tc>
          <w:tcPr>
            <w:tcW w:w="860" w:type="dxa"/>
            <w:tcBorders>
              <w:top w:val="nil"/>
              <w:left w:val="nil"/>
              <w:bottom w:val="nil"/>
              <w:right w:val="nil"/>
            </w:tcBorders>
            <w:shd w:val="clear" w:color="auto" w:fill="auto"/>
            <w:noWrap/>
            <w:vAlign w:val="bottom"/>
            <w:hideMark/>
          </w:tcPr>
          <w:p w14:paraId="713E712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0.2123</w:t>
            </w:r>
          </w:p>
        </w:tc>
        <w:tc>
          <w:tcPr>
            <w:tcW w:w="967" w:type="dxa"/>
            <w:tcBorders>
              <w:top w:val="nil"/>
              <w:left w:val="nil"/>
              <w:bottom w:val="nil"/>
              <w:right w:val="nil"/>
            </w:tcBorders>
            <w:shd w:val="clear" w:color="auto" w:fill="auto"/>
            <w:noWrap/>
            <w:vAlign w:val="bottom"/>
            <w:hideMark/>
          </w:tcPr>
          <w:p w14:paraId="0388CBB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0.1006</w:t>
            </w:r>
          </w:p>
        </w:tc>
        <w:tc>
          <w:tcPr>
            <w:tcW w:w="860" w:type="dxa"/>
            <w:tcBorders>
              <w:top w:val="nil"/>
              <w:left w:val="nil"/>
              <w:bottom w:val="nil"/>
              <w:right w:val="nil"/>
            </w:tcBorders>
            <w:shd w:val="clear" w:color="auto" w:fill="auto"/>
            <w:noWrap/>
            <w:vAlign w:val="bottom"/>
            <w:hideMark/>
          </w:tcPr>
          <w:p w14:paraId="31FB71B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0.5342</w:t>
            </w:r>
          </w:p>
        </w:tc>
        <w:tc>
          <w:tcPr>
            <w:tcW w:w="860" w:type="dxa"/>
            <w:tcBorders>
              <w:top w:val="nil"/>
              <w:left w:val="nil"/>
              <w:bottom w:val="nil"/>
              <w:right w:val="single" w:sz="4" w:space="0" w:color="auto"/>
            </w:tcBorders>
            <w:shd w:val="clear" w:color="auto" w:fill="auto"/>
            <w:noWrap/>
            <w:vAlign w:val="bottom"/>
            <w:hideMark/>
          </w:tcPr>
          <w:p w14:paraId="16462B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0.0056</w:t>
            </w:r>
          </w:p>
        </w:tc>
        <w:tc>
          <w:tcPr>
            <w:tcW w:w="127" w:type="dxa"/>
            <w:tcBorders>
              <w:top w:val="nil"/>
              <w:left w:val="single" w:sz="4" w:space="0" w:color="auto"/>
              <w:bottom w:val="nil"/>
              <w:right w:val="nil"/>
            </w:tcBorders>
            <w:shd w:val="clear" w:color="auto" w:fill="auto"/>
            <w:noWrap/>
            <w:vAlign w:val="bottom"/>
            <w:hideMark/>
          </w:tcPr>
          <w:p w14:paraId="1CF567A7" w14:textId="77777777" w:rsidR="005A4EA3" w:rsidRPr="00B43597" w:rsidRDefault="005A4EA3" w:rsidP="005A4EA3">
            <w:pPr>
              <w:rPr>
                <w:rFonts w:eastAsia="Times New Roman" w:cs="Times New Roman"/>
                <w:color w:val="000000"/>
                <w:sz w:val="18"/>
                <w:szCs w:val="18"/>
              </w:rPr>
            </w:pPr>
          </w:p>
        </w:tc>
      </w:tr>
      <w:tr w:rsidR="005A4EA3" w:rsidRPr="008A78D0" w14:paraId="75DC52B7"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BF4FB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01.1.705</w:t>
            </w:r>
          </w:p>
        </w:tc>
        <w:tc>
          <w:tcPr>
            <w:tcW w:w="2074" w:type="dxa"/>
            <w:tcBorders>
              <w:top w:val="nil"/>
              <w:left w:val="single" w:sz="4" w:space="0" w:color="auto"/>
              <w:bottom w:val="nil"/>
              <w:right w:val="single" w:sz="4" w:space="0" w:color="auto"/>
            </w:tcBorders>
            <w:shd w:val="clear" w:color="auto" w:fill="auto"/>
            <w:noWrap/>
            <w:vAlign w:val="bottom"/>
            <w:hideMark/>
          </w:tcPr>
          <w:p w14:paraId="04623C3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Garlic</w:t>
            </w:r>
          </w:p>
        </w:tc>
        <w:tc>
          <w:tcPr>
            <w:tcW w:w="1153" w:type="dxa"/>
            <w:tcBorders>
              <w:top w:val="nil"/>
              <w:left w:val="single" w:sz="4" w:space="0" w:color="auto"/>
              <w:bottom w:val="nil"/>
              <w:right w:val="nil"/>
            </w:tcBorders>
            <w:shd w:val="clear" w:color="auto" w:fill="auto"/>
            <w:noWrap/>
            <w:vAlign w:val="bottom"/>
            <w:hideMark/>
          </w:tcPr>
          <w:p w14:paraId="47AD7CF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0.934</w:t>
            </w:r>
          </w:p>
        </w:tc>
        <w:tc>
          <w:tcPr>
            <w:tcW w:w="1289" w:type="dxa"/>
            <w:tcBorders>
              <w:top w:val="nil"/>
              <w:left w:val="nil"/>
              <w:bottom w:val="nil"/>
              <w:right w:val="nil"/>
            </w:tcBorders>
            <w:shd w:val="clear" w:color="auto" w:fill="auto"/>
            <w:noWrap/>
            <w:vAlign w:val="bottom"/>
            <w:hideMark/>
          </w:tcPr>
          <w:p w14:paraId="65A0389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0.853</w:t>
            </w:r>
          </w:p>
        </w:tc>
        <w:tc>
          <w:tcPr>
            <w:tcW w:w="967" w:type="dxa"/>
            <w:tcBorders>
              <w:top w:val="nil"/>
              <w:left w:val="nil"/>
              <w:bottom w:val="nil"/>
            </w:tcBorders>
            <w:shd w:val="clear" w:color="auto" w:fill="auto"/>
            <w:noWrap/>
            <w:vAlign w:val="bottom"/>
            <w:hideMark/>
          </w:tcPr>
          <w:p w14:paraId="4EA8EF4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0.7948</w:t>
            </w:r>
          </w:p>
        </w:tc>
        <w:tc>
          <w:tcPr>
            <w:tcW w:w="860" w:type="dxa"/>
            <w:tcBorders>
              <w:top w:val="nil"/>
              <w:bottom w:val="nil"/>
              <w:right w:val="single" w:sz="4" w:space="0" w:color="auto"/>
            </w:tcBorders>
            <w:shd w:val="clear" w:color="auto" w:fill="auto"/>
            <w:noWrap/>
            <w:vAlign w:val="bottom"/>
            <w:hideMark/>
          </w:tcPr>
          <w:p w14:paraId="41F01D2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-0.081</w:t>
            </w:r>
          </w:p>
        </w:tc>
        <w:tc>
          <w:tcPr>
            <w:tcW w:w="967" w:type="dxa"/>
            <w:tcBorders>
              <w:top w:val="nil"/>
              <w:left w:val="single" w:sz="4" w:space="0" w:color="auto"/>
              <w:bottom w:val="nil"/>
              <w:right w:val="nil"/>
            </w:tcBorders>
            <w:shd w:val="clear" w:color="auto" w:fill="auto"/>
            <w:noWrap/>
            <w:vAlign w:val="bottom"/>
            <w:hideMark/>
          </w:tcPr>
          <w:p w14:paraId="339B615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-0.0687</w:t>
            </w:r>
          </w:p>
        </w:tc>
        <w:tc>
          <w:tcPr>
            <w:tcW w:w="860" w:type="dxa"/>
            <w:tcBorders>
              <w:top w:val="nil"/>
              <w:left w:val="nil"/>
              <w:bottom w:val="nil"/>
              <w:right w:val="nil"/>
            </w:tcBorders>
            <w:shd w:val="clear" w:color="auto" w:fill="auto"/>
            <w:noWrap/>
            <w:vAlign w:val="bottom"/>
            <w:hideMark/>
          </w:tcPr>
          <w:p w14:paraId="6AF34B2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-0.1590</w:t>
            </w:r>
          </w:p>
        </w:tc>
        <w:tc>
          <w:tcPr>
            <w:tcW w:w="860" w:type="dxa"/>
            <w:tcBorders>
              <w:top w:val="nil"/>
              <w:left w:val="nil"/>
              <w:bottom w:val="nil"/>
              <w:right w:val="nil"/>
            </w:tcBorders>
            <w:shd w:val="clear" w:color="auto" w:fill="auto"/>
            <w:noWrap/>
            <w:vAlign w:val="bottom"/>
            <w:hideMark/>
          </w:tcPr>
          <w:p w14:paraId="1298237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-0.0903</w:t>
            </w:r>
          </w:p>
        </w:tc>
        <w:tc>
          <w:tcPr>
            <w:tcW w:w="967" w:type="dxa"/>
            <w:tcBorders>
              <w:top w:val="nil"/>
              <w:left w:val="nil"/>
              <w:bottom w:val="nil"/>
              <w:right w:val="nil"/>
            </w:tcBorders>
            <w:shd w:val="clear" w:color="auto" w:fill="auto"/>
            <w:noWrap/>
            <w:vAlign w:val="bottom"/>
            <w:hideMark/>
          </w:tcPr>
          <w:p w14:paraId="71955A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-0.2297</w:t>
            </w:r>
          </w:p>
        </w:tc>
        <w:tc>
          <w:tcPr>
            <w:tcW w:w="860" w:type="dxa"/>
            <w:tcBorders>
              <w:top w:val="nil"/>
              <w:left w:val="nil"/>
              <w:bottom w:val="nil"/>
              <w:right w:val="nil"/>
            </w:tcBorders>
            <w:shd w:val="clear" w:color="auto" w:fill="auto"/>
            <w:noWrap/>
            <w:vAlign w:val="bottom"/>
            <w:hideMark/>
          </w:tcPr>
          <w:p w14:paraId="09BEE62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0.8927</w:t>
            </w:r>
          </w:p>
        </w:tc>
        <w:tc>
          <w:tcPr>
            <w:tcW w:w="860" w:type="dxa"/>
            <w:tcBorders>
              <w:top w:val="nil"/>
              <w:left w:val="nil"/>
              <w:bottom w:val="nil"/>
              <w:right w:val="single" w:sz="4" w:space="0" w:color="auto"/>
            </w:tcBorders>
            <w:shd w:val="clear" w:color="auto" w:fill="auto"/>
            <w:noWrap/>
            <w:vAlign w:val="bottom"/>
            <w:hideMark/>
          </w:tcPr>
          <w:p w14:paraId="7B8F47D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0.0093</w:t>
            </w:r>
          </w:p>
        </w:tc>
        <w:tc>
          <w:tcPr>
            <w:tcW w:w="127" w:type="dxa"/>
            <w:tcBorders>
              <w:top w:val="nil"/>
              <w:left w:val="single" w:sz="4" w:space="0" w:color="auto"/>
              <w:bottom w:val="nil"/>
              <w:right w:val="nil"/>
            </w:tcBorders>
            <w:shd w:val="clear" w:color="auto" w:fill="auto"/>
            <w:noWrap/>
            <w:vAlign w:val="bottom"/>
            <w:hideMark/>
          </w:tcPr>
          <w:p w14:paraId="42C40ABA" w14:textId="77777777" w:rsidR="005A4EA3" w:rsidRPr="00B43597" w:rsidRDefault="005A4EA3" w:rsidP="005A4EA3">
            <w:pPr>
              <w:rPr>
                <w:rFonts w:eastAsia="Times New Roman" w:cs="Times New Roman"/>
                <w:color w:val="000000"/>
                <w:sz w:val="18"/>
                <w:szCs w:val="18"/>
              </w:rPr>
            </w:pPr>
          </w:p>
        </w:tc>
      </w:tr>
      <w:tr w:rsidR="005A4EA3" w:rsidRPr="008A78D0" w14:paraId="722C0C75"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05E2BD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01.1.706</w:t>
            </w:r>
          </w:p>
        </w:tc>
        <w:tc>
          <w:tcPr>
            <w:tcW w:w="2074" w:type="dxa"/>
            <w:tcBorders>
              <w:top w:val="nil"/>
              <w:left w:val="single" w:sz="4" w:space="0" w:color="auto"/>
              <w:bottom w:val="nil"/>
              <w:right w:val="single" w:sz="4" w:space="0" w:color="auto"/>
            </w:tcBorders>
            <w:shd w:val="clear" w:color="auto" w:fill="auto"/>
            <w:noWrap/>
            <w:vAlign w:val="bottom"/>
            <w:hideMark/>
          </w:tcPr>
          <w:p w14:paraId="57C3DC2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Onion</w:t>
            </w:r>
          </w:p>
        </w:tc>
        <w:tc>
          <w:tcPr>
            <w:tcW w:w="1153" w:type="dxa"/>
            <w:tcBorders>
              <w:top w:val="nil"/>
              <w:left w:val="single" w:sz="4" w:space="0" w:color="auto"/>
              <w:bottom w:val="nil"/>
              <w:right w:val="nil"/>
            </w:tcBorders>
            <w:shd w:val="clear" w:color="auto" w:fill="auto"/>
            <w:noWrap/>
            <w:vAlign w:val="bottom"/>
            <w:hideMark/>
          </w:tcPr>
          <w:p w14:paraId="0FE174E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0.726</w:t>
            </w:r>
          </w:p>
        </w:tc>
        <w:tc>
          <w:tcPr>
            <w:tcW w:w="1289" w:type="dxa"/>
            <w:tcBorders>
              <w:top w:val="nil"/>
              <w:left w:val="nil"/>
              <w:bottom w:val="nil"/>
              <w:right w:val="nil"/>
            </w:tcBorders>
            <w:shd w:val="clear" w:color="auto" w:fill="auto"/>
            <w:noWrap/>
            <w:vAlign w:val="bottom"/>
            <w:hideMark/>
          </w:tcPr>
          <w:p w14:paraId="574D6B6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0.664</w:t>
            </w:r>
          </w:p>
        </w:tc>
        <w:tc>
          <w:tcPr>
            <w:tcW w:w="967" w:type="dxa"/>
            <w:tcBorders>
              <w:top w:val="nil"/>
              <w:left w:val="nil"/>
              <w:bottom w:val="nil"/>
            </w:tcBorders>
            <w:shd w:val="clear" w:color="auto" w:fill="auto"/>
            <w:noWrap/>
            <w:vAlign w:val="bottom"/>
            <w:hideMark/>
          </w:tcPr>
          <w:p w14:paraId="501E007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1.4474</w:t>
            </w:r>
          </w:p>
        </w:tc>
        <w:tc>
          <w:tcPr>
            <w:tcW w:w="860" w:type="dxa"/>
            <w:tcBorders>
              <w:top w:val="nil"/>
              <w:bottom w:val="nil"/>
              <w:right w:val="single" w:sz="4" w:space="0" w:color="auto"/>
            </w:tcBorders>
            <w:shd w:val="clear" w:color="auto" w:fill="auto"/>
            <w:noWrap/>
            <w:vAlign w:val="bottom"/>
            <w:hideMark/>
          </w:tcPr>
          <w:p w14:paraId="2A04E25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-0.061</w:t>
            </w:r>
          </w:p>
        </w:tc>
        <w:tc>
          <w:tcPr>
            <w:tcW w:w="967" w:type="dxa"/>
            <w:tcBorders>
              <w:top w:val="nil"/>
              <w:left w:val="single" w:sz="4" w:space="0" w:color="auto"/>
              <w:bottom w:val="nil"/>
              <w:right w:val="nil"/>
            </w:tcBorders>
            <w:shd w:val="clear" w:color="auto" w:fill="auto"/>
            <w:noWrap/>
            <w:vAlign w:val="bottom"/>
            <w:hideMark/>
          </w:tcPr>
          <w:p w14:paraId="186B3E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-0.3208</w:t>
            </w:r>
          </w:p>
        </w:tc>
        <w:tc>
          <w:tcPr>
            <w:tcW w:w="860" w:type="dxa"/>
            <w:tcBorders>
              <w:top w:val="nil"/>
              <w:left w:val="nil"/>
              <w:bottom w:val="nil"/>
              <w:right w:val="nil"/>
            </w:tcBorders>
            <w:shd w:val="clear" w:color="auto" w:fill="auto"/>
            <w:noWrap/>
            <w:vAlign w:val="bottom"/>
            <w:hideMark/>
          </w:tcPr>
          <w:p w14:paraId="6553393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-0.4092</w:t>
            </w:r>
          </w:p>
        </w:tc>
        <w:tc>
          <w:tcPr>
            <w:tcW w:w="860" w:type="dxa"/>
            <w:tcBorders>
              <w:top w:val="nil"/>
              <w:left w:val="nil"/>
              <w:bottom w:val="nil"/>
              <w:right w:val="nil"/>
            </w:tcBorders>
            <w:shd w:val="clear" w:color="auto" w:fill="auto"/>
            <w:noWrap/>
            <w:vAlign w:val="bottom"/>
            <w:hideMark/>
          </w:tcPr>
          <w:p w14:paraId="44C701A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-0.0884</w:t>
            </w:r>
          </w:p>
        </w:tc>
        <w:tc>
          <w:tcPr>
            <w:tcW w:w="967" w:type="dxa"/>
            <w:tcBorders>
              <w:top w:val="nil"/>
              <w:left w:val="nil"/>
              <w:bottom w:val="nil"/>
              <w:right w:val="nil"/>
            </w:tcBorders>
            <w:shd w:val="clear" w:color="auto" w:fill="auto"/>
            <w:noWrap/>
            <w:vAlign w:val="bottom"/>
            <w:hideMark/>
          </w:tcPr>
          <w:p w14:paraId="2196EAC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0.3697</w:t>
            </w:r>
          </w:p>
        </w:tc>
        <w:tc>
          <w:tcPr>
            <w:tcW w:w="860" w:type="dxa"/>
            <w:tcBorders>
              <w:top w:val="nil"/>
              <w:left w:val="nil"/>
              <w:bottom w:val="nil"/>
              <w:right w:val="nil"/>
            </w:tcBorders>
            <w:shd w:val="clear" w:color="auto" w:fill="auto"/>
            <w:noWrap/>
            <w:vAlign w:val="bottom"/>
            <w:hideMark/>
          </w:tcPr>
          <w:p w14:paraId="35BA04A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0.6944</w:t>
            </w:r>
          </w:p>
        </w:tc>
        <w:tc>
          <w:tcPr>
            <w:tcW w:w="860" w:type="dxa"/>
            <w:tcBorders>
              <w:top w:val="nil"/>
              <w:left w:val="nil"/>
              <w:bottom w:val="nil"/>
              <w:right w:val="single" w:sz="4" w:space="0" w:color="auto"/>
            </w:tcBorders>
            <w:shd w:val="clear" w:color="auto" w:fill="auto"/>
            <w:noWrap/>
            <w:vAlign w:val="bottom"/>
            <w:hideMark/>
          </w:tcPr>
          <w:p w14:paraId="3C522AA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0.0072</w:t>
            </w:r>
          </w:p>
        </w:tc>
        <w:tc>
          <w:tcPr>
            <w:tcW w:w="127" w:type="dxa"/>
            <w:tcBorders>
              <w:top w:val="nil"/>
              <w:left w:val="single" w:sz="4" w:space="0" w:color="auto"/>
              <w:bottom w:val="nil"/>
              <w:right w:val="nil"/>
            </w:tcBorders>
            <w:shd w:val="clear" w:color="auto" w:fill="auto"/>
            <w:noWrap/>
            <w:vAlign w:val="bottom"/>
            <w:hideMark/>
          </w:tcPr>
          <w:p w14:paraId="373B1F49" w14:textId="77777777" w:rsidR="005A4EA3" w:rsidRPr="00B43597" w:rsidRDefault="005A4EA3" w:rsidP="005A4EA3">
            <w:pPr>
              <w:rPr>
                <w:rFonts w:eastAsia="Times New Roman" w:cs="Times New Roman"/>
                <w:color w:val="000000"/>
                <w:sz w:val="18"/>
                <w:szCs w:val="18"/>
              </w:rPr>
            </w:pPr>
          </w:p>
        </w:tc>
      </w:tr>
      <w:tr w:rsidR="005A4EA3" w:rsidRPr="008A78D0" w14:paraId="0175BD2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EE6D5A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01.1.707</w:t>
            </w:r>
          </w:p>
        </w:tc>
        <w:tc>
          <w:tcPr>
            <w:tcW w:w="2074" w:type="dxa"/>
            <w:tcBorders>
              <w:top w:val="nil"/>
              <w:left w:val="single" w:sz="4" w:space="0" w:color="auto"/>
              <w:bottom w:val="nil"/>
              <w:right w:val="single" w:sz="4" w:space="0" w:color="auto"/>
            </w:tcBorders>
            <w:shd w:val="clear" w:color="auto" w:fill="auto"/>
            <w:noWrap/>
            <w:vAlign w:val="bottom"/>
            <w:hideMark/>
          </w:tcPr>
          <w:p w14:paraId="189EFF9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Egg plant</w:t>
            </w:r>
          </w:p>
        </w:tc>
        <w:tc>
          <w:tcPr>
            <w:tcW w:w="1153" w:type="dxa"/>
            <w:tcBorders>
              <w:top w:val="nil"/>
              <w:left w:val="single" w:sz="4" w:space="0" w:color="auto"/>
              <w:bottom w:val="nil"/>
              <w:right w:val="nil"/>
            </w:tcBorders>
            <w:shd w:val="clear" w:color="auto" w:fill="auto"/>
            <w:noWrap/>
            <w:vAlign w:val="bottom"/>
            <w:hideMark/>
          </w:tcPr>
          <w:p w14:paraId="26BF5BB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0.944</w:t>
            </w:r>
          </w:p>
        </w:tc>
        <w:tc>
          <w:tcPr>
            <w:tcW w:w="1289" w:type="dxa"/>
            <w:tcBorders>
              <w:top w:val="nil"/>
              <w:left w:val="nil"/>
              <w:bottom w:val="nil"/>
              <w:right w:val="nil"/>
            </w:tcBorders>
            <w:shd w:val="clear" w:color="auto" w:fill="auto"/>
            <w:noWrap/>
            <w:vAlign w:val="bottom"/>
            <w:hideMark/>
          </w:tcPr>
          <w:p w14:paraId="162DF62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0.888</w:t>
            </w:r>
          </w:p>
        </w:tc>
        <w:tc>
          <w:tcPr>
            <w:tcW w:w="967" w:type="dxa"/>
            <w:tcBorders>
              <w:top w:val="nil"/>
              <w:left w:val="nil"/>
              <w:bottom w:val="nil"/>
            </w:tcBorders>
            <w:shd w:val="clear" w:color="auto" w:fill="auto"/>
            <w:noWrap/>
            <w:vAlign w:val="bottom"/>
            <w:hideMark/>
          </w:tcPr>
          <w:p w14:paraId="7C4960B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2.3344</w:t>
            </w:r>
          </w:p>
        </w:tc>
        <w:tc>
          <w:tcPr>
            <w:tcW w:w="860" w:type="dxa"/>
            <w:tcBorders>
              <w:top w:val="nil"/>
              <w:bottom w:val="nil"/>
              <w:right w:val="single" w:sz="4" w:space="0" w:color="auto"/>
            </w:tcBorders>
            <w:shd w:val="clear" w:color="auto" w:fill="auto"/>
            <w:noWrap/>
            <w:vAlign w:val="bottom"/>
            <w:hideMark/>
          </w:tcPr>
          <w:p w14:paraId="260FC31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-0.055</w:t>
            </w:r>
          </w:p>
        </w:tc>
        <w:tc>
          <w:tcPr>
            <w:tcW w:w="967" w:type="dxa"/>
            <w:tcBorders>
              <w:top w:val="nil"/>
              <w:left w:val="single" w:sz="4" w:space="0" w:color="auto"/>
              <w:bottom w:val="nil"/>
              <w:right w:val="nil"/>
            </w:tcBorders>
            <w:shd w:val="clear" w:color="auto" w:fill="auto"/>
            <w:noWrap/>
            <w:vAlign w:val="bottom"/>
            <w:hideMark/>
          </w:tcPr>
          <w:p w14:paraId="45BD14C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-0.0579</w:t>
            </w:r>
          </w:p>
        </w:tc>
        <w:tc>
          <w:tcPr>
            <w:tcW w:w="860" w:type="dxa"/>
            <w:tcBorders>
              <w:top w:val="nil"/>
              <w:left w:val="nil"/>
              <w:bottom w:val="nil"/>
              <w:right w:val="nil"/>
            </w:tcBorders>
            <w:shd w:val="clear" w:color="auto" w:fill="auto"/>
            <w:noWrap/>
            <w:vAlign w:val="bottom"/>
            <w:hideMark/>
          </w:tcPr>
          <w:p w14:paraId="01D265E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-0.1184</w:t>
            </w:r>
          </w:p>
        </w:tc>
        <w:tc>
          <w:tcPr>
            <w:tcW w:w="860" w:type="dxa"/>
            <w:tcBorders>
              <w:top w:val="nil"/>
              <w:left w:val="nil"/>
              <w:bottom w:val="nil"/>
              <w:right w:val="nil"/>
            </w:tcBorders>
            <w:shd w:val="clear" w:color="auto" w:fill="auto"/>
            <w:noWrap/>
            <w:vAlign w:val="bottom"/>
            <w:hideMark/>
          </w:tcPr>
          <w:p w14:paraId="7F9BA8A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-0.0605</w:t>
            </w:r>
          </w:p>
        </w:tc>
        <w:tc>
          <w:tcPr>
            <w:tcW w:w="967" w:type="dxa"/>
            <w:tcBorders>
              <w:top w:val="nil"/>
              <w:left w:val="nil"/>
              <w:bottom w:val="nil"/>
              <w:right w:val="nil"/>
            </w:tcBorders>
            <w:shd w:val="clear" w:color="auto" w:fill="auto"/>
            <w:noWrap/>
            <w:vAlign w:val="bottom"/>
            <w:hideMark/>
          </w:tcPr>
          <w:p w14:paraId="11A1094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0.8478</w:t>
            </w:r>
          </w:p>
        </w:tc>
        <w:tc>
          <w:tcPr>
            <w:tcW w:w="860" w:type="dxa"/>
            <w:tcBorders>
              <w:top w:val="nil"/>
              <w:left w:val="nil"/>
              <w:bottom w:val="nil"/>
              <w:right w:val="nil"/>
            </w:tcBorders>
            <w:shd w:val="clear" w:color="auto" w:fill="auto"/>
            <w:noWrap/>
            <w:vAlign w:val="bottom"/>
            <w:hideMark/>
          </w:tcPr>
          <w:p w14:paraId="69EE8D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0.9158</w:t>
            </w:r>
          </w:p>
        </w:tc>
        <w:tc>
          <w:tcPr>
            <w:tcW w:w="860" w:type="dxa"/>
            <w:tcBorders>
              <w:top w:val="nil"/>
              <w:left w:val="nil"/>
              <w:bottom w:val="nil"/>
              <w:right w:val="single" w:sz="4" w:space="0" w:color="auto"/>
            </w:tcBorders>
            <w:shd w:val="clear" w:color="auto" w:fill="auto"/>
            <w:noWrap/>
            <w:vAlign w:val="bottom"/>
            <w:hideMark/>
          </w:tcPr>
          <w:p w14:paraId="7FAD34D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0.0096</w:t>
            </w:r>
          </w:p>
        </w:tc>
        <w:tc>
          <w:tcPr>
            <w:tcW w:w="127" w:type="dxa"/>
            <w:tcBorders>
              <w:top w:val="nil"/>
              <w:left w:val="single" w:sz="4" w:space="0" w:color="auto"/>
              <w:bottom w:val="nil"/>
              <w:right w:val="nil"/>
            </w:tcBorders>
            <w:shd w:val="clear" w:color="auto" w:fill="auto"/>
            <w:noWrap/>
            <w:vAlign w:val="bottom"/>
            <w:hideMark/>
          </w:tcPr>
          <w:p w14:paraId="32D0706C" w14:textId="77777777" w:rsidR="005A4EA3" w:rsidRPr="00B43597" w:rsidRDefault="005A4EA3" w:rsidP="005A4EA3">
            <w:pPr>
              <w:rPr>
                <w:rFonts w:eastAsia="Times New Roman" w:cs="Times New Roman"/>
                <w:color w:val="000000"/>
                <w:sz w:val="18"/>
                <w:szCs w:val="18"/>
              </w:rPr>
            </w:pPr>
          </w:p>
        </w:tc>
      </w:tr>
      <w:tr w:rsidR="005A4EA3" w:rsidRPr="008A78D0" w14:paraId="3B21642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CE5189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01.1.708</w:t>
            </w:r>
          </w:p>
        </w:tc>
        <w:tc>
          <w:tcPr>
            <w:tcW w:w="2074" w:type="dxa"/>
            <w:tcBorders>
              <w:top w:val="nil"/>
              <w:left w:val="single" w:sz="4" w:space="0" w:color="auto"/>
              <w:bottom w:val="nil"/>
              <w:right w:val="single" w:sz="4" w:space="0" w:color="auto"/>
            </w:tcBorders>
            <w:shd w:val="clear" w:color="auto" w:fill="auto"/>
            <w:noWrap/>
            <w:vAlign w:val="bottom"/>
            <w:hideMark/>
          </w:tcPr>
          <w:p w14:paraId="1BED39E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Spinach</w:t>
            </w:r>
          </w:p>
        </w:tc>
        <w:tc>
          <w:tcPr>
            <w:tcW w:w="1153" w:type="dxa"/>
            <w:tcBorders>
              <w:top w:val="nil"/>
              <w:left w:val="single" w:sz="4" w:space="0" w:color="auto"/>
              <w:bottom w:val="nil"/>
              <w:right w:val="nil"/>
            </w:tcBorders>
            <w:shd w:val="clear" w:color="auto" w:fill="auto"/>
            <w:noWrap/>
            <w:vAlign w:val="bottom"/>
            <w:hideMark/>
          </w:tcPr>
          <w:p w14:paraId="76D2A76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1.172</w:t>
            </w:r>
          </w:p>
        </w:tc>
        <w:tc>
          <w:tcPr>
            <w:tcW w:w="1289" w:type="dxa"/>
            <w:tcBorders>
              <w:top w:val="nil"/>
              <w:left w:val="nil"/>
              <w:bottom w:val="nil"/>
              <w:right w:val="nil"/>
            </w:tcBorders>
            <w:shd w:val="clear" w:color="auto" w:fill="auto"/>
            <w:noWrap/>
            <w:vAlign w:val="bottom"/>
            <w:hideMark/>
          </w:tcPr>
          <w:p w14:paraId="0A6DB64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1.058</w:t>
            </w:r>
          </w:p>
        </w:tc>
        <w:tc>
          <w:tcPr>
            <w:tcW w:w="967" w:type="dxa"/>
            <w:tcBorders>
              <w:top w:val="nil"/>
              <w:left w:val="nil"/>
              <w:bottom w:val="nil"/>
            </w:tcBorders>
            <w:shd w:val="clear" w:color="auto" w:fill="auto"/>
            <w:noWrap/>
            <w:vAlign w:val="bottom"/>
            <w:hideMark/>
          </w:tcPr>
          <w:p w14:paraId="2DF6DAD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0.7878</w:t>
            </w:r>
          </w:p>
        </w:tc>
        <w:tc>
          <w:tcPr>
            <w:tcW w:w="860" w:type="dxa"/>
            <w:tcBorders>
              <w:top w:val="nil"/>
              <w:bottom w:val="nil"/>
              <w:right w:val="single" w:sz="4" w:space="0" w:color="auto"/>
            </w:tcBorders>
            <w:shd w:val="clear" w:color="auto" w:fill="auto"/>
            <w:noWrap/>
            <w:vAlign w:val="bottom"/>
            <w:hideMark/>
          </w:tcPr>
          <w:p w14:paraId="72377A5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-0.114</w:t>
            </w:r>
          </w:p>
        </w:tc>
        <w:tc>
          <w:tcPr>
            <w:tcW w:w="967" w:type="dxa"/>
            <w:tcBorders>
              <w:top w:val="nil"/>
              <w:left w:val="single" w:sz="4" w:space="0" w:color="auto"/>
              <w:bottom w:val="nil"/>
              <w:right w:val="nil"/>
            </w:tcBorders>
            <w:shd w:val="clear" w:color="auto" w:fill="auto"/>
            <w:noWrap/>
            <w:vAlign w:val="bottom"/>
            <w:hideMark/>
          </w:tcPr>
          <w:p w14:paraId="555E74C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0.1588</w:t>
            </w:r>
          </w:p>
        </w:tc>
        <w:tc>
          <w:tcPr>
            <w:tcW w:w="860" w:type="dxa"/>
            <w:tcBorders>
              <w:top w:val="nil"/>
              <w:left w:val="nil"/>
              <w:bottom w:val="nil"/>
              <w:right w:val="nil"/>
            </w:tcBorders>
            <w:shd w:val="clear" w:color="auto" w:fill="auto"/>
            <w:noWrap/>
            <w:vAlign w:val="bottom"/>
            <w:hideMark/>
          </w:tcPr>
          <w:p w14:paraId="23B340F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0.0562</w:t>
            </w:r>
          </w:p>
        </w:tc>
        <w:tc>
          <w:tcPr>
            <w:tcW w:w="860" w:type="dxa"/>
            <w:tcBorders>
              <w:top w:val="nil"/>
              <w:left w:val="nil"/>
              <w:bottom w:val="nil"/>
              <w:right w:val="nil"/>
            </w:tcBorders>
            <w:shd w:val="clear" w:color="auto" w:fill="auto"/>
            <w:noWrap/>
            <w:vAlign w:val="bottom"/>
            <w:hideMark/>
          </w:tcPr>
          <w:p w14:paraId="2ED0774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-0.1026</w:t>
            </w:r>
          </w:p>
        </w:tc>
        <w:tc>
          <w:tcPr>
            <w:tcW w:w="967" w:type="dxa"/>
            <w:tcBorders>
              <w:top w:val="nil"/>
              <w:left w:val="nil"/>
              <w:bottom w:val="nil"/>
              <w:right w:val="nil"/>
            </w:tcBorders>
            <w:shd w:val="clear" w:color="auto" w:fill="auto"/>
            <w:noWrap/>
            <w:vAlign w:val="bottom"/>
            <w:hideMark/>
          </w:tcPr>
          <w:p w14:paraId="0E7C00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-0.2385</w:t>
            </w:r>
          </w:p>
        </w:tc>
        <w:tc>
          <w:tcPr>
            <w:tcW w:w="860" w:type="dxa"/>
            <w:tcBorders>
              <w:top w:val="nil"/>
              <w:left w:val="nil"/>
              <w:bottom w:val="nil"/>
              <w:right w:val="nil"/>
            </w:tcBorders>
            <w:shd w:val="clear" w:color="auto" w:fill="auto"/>
            <w:noWrap/>
            <w:vAlign w:val="bottom"/>
            <w:hideMark/>
          </w:tcPr>
          <w:p w14:paraId="463BADA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1.1139</w:t>
            </w:r>
          </w:p>
        </w:tc>
        <w:tc>
          <w:tcPr>
            <w:tcW w:w="860" w:type="dxa"/>
            <w:tcBorders>
              <w:top w:val="nil"/>
              <w:left w:val="nil"/>
              <w:bottom w:val="nil"/>
              <w:right w:val="single" w:sz="4" w:space="0" w:color="auto"/>
            </w:tcBorders>
            <w:shd w:val="clear" w:color="auto" w:fill="auto"/>
            <w:noWrap/>
            <w:vAlign w:val="bottom"/>
            <w:hideMark/>
          </w:tcPr>
          <w:p w14:paraId="7A80E22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0.0116</w:t>
            </w:r>
          </w:p>
        </w:tc>
        <w:tc>
          <w:tcPr>
            <w:tcW w:w="127" w:type="dxa"/>
            <w:tcBorders>
              <w:top w:val="nil"/>
              <w:left w:val="single" w:sz="4" w:space="0" w:color="auto"/>
              <w:bottom w:val="nil"/>
              <w:right w:val="nil"/>
            </w:tcBorders>
            <w:shd w:val="clear" w:color="auto" w:fill="auto"/>
            <w:noWrap/>
            <w:vAlign w:val="bottom"/>
            <w:hideMark/>
          </w:tcPr>
          <w:p w14:paraId="3D713595" w14:textId="77777777" w:rsidR="005A4EA3" w:rsidRPr="00B43597" w:rsidRDefault="005A4EA3" w:rsidP="005A4EA3">
            <w:pPr>
              <w:rPr>
                <w:rFonts w:eastAsia="Times New Roman" w:cs="Times New Roman"/>
                <w:color w:val="000000"/>
                <w:sz w:val="18"/>
                <w:szCs w:val="18"/>
              </w:rPr>
            </w:pPr>
          </w:p>
        </w:tc>
      </w:tr>
      <w:tr w:rsidR="005A4EA3" w:rsidRPr="008A78D0" w14:paraId="3A5DA09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B0D046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lastRenderedPageBreak/>
              <w:t>01.1.709</w:t>
            </w:r>
          </w:p>
        </w:tc>
        <w:tc>
          <w:tcPr>
            <w:tcW w:w="2074" w:type="dxa"/>
            <w:tcBorders>
              <w:top w:val="nil"/>
              <w:left w:val="single" w:sz="4" w:space="0" w:color="auto"/>
              <w:bottom w:val="nil"/>
              <w:right w:val="single" w:sz="4" w:space="0" w:color="auto"/>
            </w:tcBorders>
            <w:shd w:val="clear" w:color="auto" w:fill="auto"/>
            <w:noWrap/>
            <w:vAlign w:val="bottom"/>
            <w:hideMark/>
          </w:tcPr>
          <w:p w14:paraId="0D6E355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Shallot</w:t>
            </w:r>
          </w:p>
        </w:tc>
        <w:tc>
          <w:tcPr>
            <w:tcW w:w="1153" w:type="dxa"/>
            <w:tcBorders>
              <w:top w:val="nil"/>
              <w:left w:val="single" w:sz="4" w:space="0" w:color="auto"/>
              <w:bottom w:val="nil"/>
              <w:right w:val="nil"/>
            </w:tcBorders>
            <w:shd w:val="clear" w:color="auto" w:fill="auto"/>
            <w:noWrap/>
            <w:vAlign w:val="bottom"/>
            <w:hideMark/>
          </w:tcPr>
          <w:p w14:paraId="5801093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0.525</w:t>
            </w:r>
          </w:p>
        </w:tc>
        <w:tc>
          <w:tcPr>
            <w:tcW w:w="1289" w:type="dxa"/>
            <w:tcBorders>
              <w:top w:val="nil"/>
              <w:left w:val="nil"/>
              <w:bottom w:val="nil"/>
              <w:right w:val="nil"/>
            </w:tcBorders>
            <w:shd w:val="clear" w:color="auto" w:fill="auto"/>
            <w:noWrap/>
            <w:vAlign w:val="bottom"/>
            <w:hideMark/>
          </w:tcPr>
          <w:p w14:paraId="3ACC8A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0.506</w:t>
            </w:r>
          </w:p>
        </w:tc>
        <w:tc>
          <w:tcPr>
            <w:tcW w:w="967" w:type="dxa"/>
            <w:tcBorders>
              <w:top w:val="nil"/>
              <w:left w:val="nil"/>
              <w:bottom w:val="nil"/>
            </w:tcBorders>
            <w:shd w:val="clear" w:color="auto" w:fill="auto"/>
            <w:noWrap/>
            <w:vAlign w:val="bottom"/>
            <w:hideMark/>
          </w:tcPr>
          <w:p w14:paraId="53D82E1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1.1231</w:t>
            </w:r>
          </w:p>
        </w:tc>
        <w:tc>
          <w:tcPr>
            <w:tcW w:w="860" w:type="dxa"/>
            <w:tcBorders>
              <w:top w:val="nil"/>
              <w:bottom w:val="nil"/>
              <w:right w:val="single" w:sz="4" w:space="0" w:color="auto"/>
            </w:tcBorders>
            <w:shd w:val="clear" w:color="auto" w:fill="auto"/>
            <w:noWrap/>
            <w:vAlign w:val="bottom"/>
            <w:hideMark/>
          </w:tcPr>
          <w:p w14:paraId="276C483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-0.020</w:t>
            </w:r>
          </w:p>
        </w:tc>
        <w:tc>
          <w:tcPr>
            <w:tcW w:w="967" w:type="dxa"/>
            <w:tcBorders>
              <w:top w:val="nil"/>
              <w:left w:val="single" w:sz="4" w:space="0" w:color="auto"/>
              <w:bottom w:val="nil"/>
              <w:right w:val="nil"/>
            </w:tcBorders>
            <w:shd w:val="clear" w:color="auto" w:fill="auto"/>
            <w:noWrap/>
            <w:vAlign w:val="bottom"/>
            <w:hideMark/>
          </w:tcPr>
          <w:p w14:paraId="001B8AD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-0.6441</w:t>
            </w:r>
          </w:p>
        </w:tc>
        <w:tc>
          <w:tcPr>
            <w:tcW w:w="860" w:type="dxa"/>
            <w:tcBorders>
              <w:top w:val="nil"/>
              <w:left w:val="nil"/>
              <w:bottom w:val="nil"/>
              <w:right w:val="nil"/>
            </w:tcBorders>
            <w:shd w:val="clear" w:color="auto" w:fill="auto"/>
            <w:noWrap/>
            <w:vAlign w:val="bottom"/>
            <w:hideMark/>
          </w:tcPr>
          <w:p w14:paraId="3BA98B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-0.6821</w:t>
            </w:r>
          </w:p>
        </w:tc>
        <w:tc>
          <w:tcPr>
            <w:tcW w:w="860" w:type="dxa"/>
            <w:tcBorders>
              <w:top w:val="nil"/>
              <w:left w:val="nil"/>
              <w:bottom w:val="nil"/>
              <w:right w:val="nil"/>
            </w:tcBorders>
            <w:shd w:val="clear" w:color="auto" w:fill="auto"/>
            <w:noWrap/>
            <w:vAlign w:val="bottom"/>
            <w:hideMark/>
          </w:tcPr>
          <w:p w14:paraId="7259BF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-0.0381</w:t>
            </w:r>
          </w:p>
        </w:tc>
        <w:tc>
          <w:tcPr>
            <w:tcW w:w="967" w:type="dxa"/>
            <w:tcBorders>
              <w:top w:val="nil"/>
              <w:left w:val="nil"/>
              <w:bottom w:val="nil"/>
              <w:right w:val="nil"/>
            </w:tcBorders>
            <w:shd w:val="clear" w:color="auto" w:fill="auto"/>
            <w:noWrap/>
            <w:vAlign w:val="bottom"/>
            <w:hideMark/>
          </w:tcPr>
          <w:p w14:paraId="780D340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0.1161</w:t>
            </w:r>
          </w:p>
        </w:tc>
        <w:tc>
          <w:tcPr>
            <w:tcW w:w="860" w:type="dxa"/>
            <w:tcBorders>
              <w:top w:val="nil"/>
              <w:left w:val="nil"/>
              <w:bottom w:val="nil"/>
              <w:right w:val="nil"/>
            </w:tcBorders>
            <w:shd w:val="clear" w:color="auto" w:fill="auto"/>
            <w:noWrap/>
            <w:vAlign w:val="bottom"/>
            <w:hideMark/>
          </w:tcPr>
          <w:p w14:paraId="2D92EE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0.5153</w:t>
            </w:r>
          </w:p>
        </w:tc>
        <w:tc>
          <w:tcPr>
            <w:tcW w:w="860" w:type="dxa"/>
            <w:tcBorders>
              <w:top w:val="nil"/>
              <w:left w:val="nil"/>
              <w:bottom w:val="nil"/>
              <w:right w:val="single" w:sz="4" w:space="0" w:color="auto"/>
            </w:tcBorders>
            <w:shd w:val="clear" w:color="auto" w:fill="auto"/>
            <w:noWrap/>
            <w:vAlign w:val="bottom"/>
            <w:hideMark/>
          </w:tcPr>
          <w:p w14:paraId="78DE2A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0.0054</w:t>
            </w:r>
          </w:p>
        </w:tc>
        <w:tc>
          <w:tcPr>
            <w:tcW w:w="127" w:type="dxa"/>
            <w:tcBorders>
              <w:top w:val="nil"/>
              <w:left w:val="single" w:sz="4" w:space="0" w:color="auto"/>
              <w:bottom w:val="nil"/>
              <w:right w:val="nil"/>
            </w:tcBorders>
            <w:shd w:val="clear" w:color="auto" w:fill="auto"/>
            <w:noWrap/>
            <w:vAlign w:val="bottom"/>
            <w:hideMark/>
          </w:tcPr>
          <w:p w14:paraId="7E19AF0E" w14:textId="77777777" w:rsidR="005A4EA3" w:rsidRPr="00B43597" w:rsidRDefault="005A4EA3" w:rsidP="005A4EA3">
            <w:pPr>
              <w:rPr>
                <w:rFonts w:eastAsia="Times New Roman" w:cs="Times New Roman"/>
                <w:color w:val="000000"/>
                <w:sz w:val="18"/>
                <w:szCs w:val="18"/>
              </w:rPr>
            </w:pPr>
          </w:p>
        </w:tc>
      </w:tr>
      <w:tr w:rsidR="005A4EA3" w:rsidRPr="008A78D0" w14:paraId="3363B3A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4E6F8C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01.1.710</w:t>
            </w:r>
          </w:p>
        </w:tc>
        <w:tc>
          <w:tcPr>
            <w:tcW w:w="2074" w:type="dxa"/>
            <w:tcBorders>
              <w:top w:val="nil"/>
              <w:left w:val="single" w:sz="4" w:space="0" w:color="auto"/>
              <w:bottom w:val="nil"/>
              <w:right w:val="single" w:sz="4" w:space="0" w:color="auto"/>
            </w:tcBorders>
            <w:shd w:val="clear" w:color="auto" w:fill="auto"/>
            <w:noWrap/>
            <w:vAlign w:val="bottom"/>
            <w:hideMark/>
          </w:tcPr>
          <w:p w14:paraId="1BE3CDE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Ochre</w:t>
            </w:r>
          </w:p>
        </w:tc>
        <w:tc>
          <w:tcPr>
            <w:tcW w:w="1153" w:type="dxa"/>
            <w:tcBorders>
              <w:top w:val="nil"/>
              <w:left w:val="single" w:sz="4" w:space="0" w:color="auto"/>
              <w:bottom w:val="nil"/>
              <w:right w:val="nil"/>
            </w:tcBorders>
            <w:shd w:val="clear" w:color="auto" w:fill="auto"/>
            <w:noWrap/>
            <w:vAlign w:val="bottom"/>
            <w:hideMark/>
          </w:tcPr>
          <w:p w14:paraId="0D5EF34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0.746</w:t>
            </w:r>
          </w:p>
        </w:tc>
        <w:tc>
          <w:tcPr>
            <w:tcW w:w="1289" w:type="dxa"/>
            <w:tcBorders>
              <w:top w:val="nil"/>
              <w:left w:val="nil"/>
              <w:bottom w:val="nil"/>
              <w:right w:val="nil"/>
            </w:tcBorders>
            <w:shd w:val="clear" w:color="auto" w:fill="auto"/>
            <w:noWrap/>
            <w:vAlign w:val="bottom"/>
            <w:hideMark/>
          </w:tcPr>
          <w:p w14:paraId="0EA8CF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0.694</w:t>
            </w:r>
          </w:p>
        </w:tc>
        <w:tc>
          <w:tcPr>
            <w:tcW w:w="967" w:type="dxa"/>
            <w:tcBorders>
              <w:top w:val="nil"/>
              <w:left w:val="nil"/>
              <w:bottom w:val="nil"/>
            </w:tcBorders>
            <w:shd w:val="clear" w:color="auto" w:fill="auto"/>
            <w:noWrap/>
            <w:vAlign w:val="bottom"/>
            <w:hideMark/>
          </w:tcPr>
          <w:p w14:paraId="7D36DF7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1.3458</w:t>
            </w:r>
          </w:p>
        </w:tc>
        <w:tc>
          <w:tcPr>
            <w:tcW w:w="860" w:type="dxa"/>
            <w:tcBorders>
              <w:top w:val="nil"/>
              <w:bottom w:val="nil"/>
              <w:right w:val="single" w:sz="4" w:space="0" w:color="auto"/>
            </w:tcBorders>
            <w:shd w:val="clear" w:color="auto" w:fill="auto"/>
            <w:noWrap/>
            <w:vAlign w:val="bottom"/>
            <w:hideMark/>
          </w:tcPr>
          <w:p w14:paraId="3D28264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-0.052</w:t>
            </w:r>
          </w:p>
        </w:tc>
        <w:tc>
          <w:tcPr>
            <w:tcW w:w="967" w:type="dxa"/>
            <w:tcBorders>
              <w:top w:val="nil"/>
              <w:left w:val="single" w:sz="4" w:space="0" w:color="auto"/>
              <w:bottom w:val="nil"/>
              <w:right w:val="nil"/>
            </w:tcBorders>
            <w:shd w:val="clear" w:color="auto" w:fill="auto"/>
            <w:noWrap/>
            <w:vAlign w:val="bottom"/>
            <w:hideMark/>
          </w:tcPr>
          <w:p w14:paraId="485185C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-0.2932</w:t>
            </w:r>
          </w:p>
        </w:tc>
        <w:tc>
          <w:tcPr>
            <w:tcW w:w="860" w:type="dxa"/>
            <w:tcBorders>
              <w:top w:val="nil"/>
              <w:left w:val="nil"/>
              <w:bottom w:val="nil"/>
              <w:right w:val="nil"/>
            </w:tcBorders>
            <w:shd w:val="clear" w:color="auto" w:fill="auto"/>
            <w:noWrap/>
            <w:vAlign w:val="bottom"/>
            <w:hideMark/>
          </w:tcPr>
          <w:p w14:paraId="7A85F32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-0.3652</w:t>
            </w:r>
          </w:p>
        </w:tc>
        <w:tc>
          <w:tcPr>
            <w:tcW w:w="860" w:type="dxa"/>
            <w:tcBorders>
              <w:top w:val="nil"/>
              <w:left w:val="nil"/>
              <w:bottom w:val="nil"/>
              <w:right w:val="nil"/>
            </w:tcBorders>
            <w:shd w:val="clear" w:color="auto" w:fill="auto"/>
            <w:noWrap/>
            <w:vAlign w:val="bottom"/>
            <w:hideMark/>
          </w:tcPr>
          <w:p w14:paraId="7FCE843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-0.0720</w:t>
            </w:r>
          </w:p>
        </w:tc>
        <w:tc>
          <w:tcPr>
            <w:tcW w:w="967" w:type="dxa"/>
            <w:tcBorders>
              <w:top w:val="nil"/>
              <w:left w:val="nil"/>
              <w:bottom w:val="nil"/>
              <w:right w:val="nil"/>
            </w:tcBorders>
            <w:shd w:val="clear" w:color="auto" w:fill="auto"/>
            <w:noWrap/>
            <w:vAlign w:val="bottom"/>
            <w:hideMark/>
          </w:tcPr>
          <w:p w14:paraId="30B363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0.2970</w:t>
            </w:r>
          </w:p>
        </w:tc>
        <w:tc>
          <w:tcPr>
            <w:tcW w:w="860" w:type="dxa"/>
            <w:tcBorders>
              <w:top w:val="nil"/>
              <w:left w:val="nil"/>
              <w:bottom w:val="nil"/>
              <w:right w:val="nil"/>
            </w:tcBorders>
            <w:shd w:val="clear" w:color="auto" w:fill="auto"/>
            <w:noWrap/>
            <w:vAlign w:val="bottom"/>
            <w:hideMark/>
          </w:tcPr>
          <w:p w14:paraId="6CF0F23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0.7197</w:t>
            </w:r>
          </w:p>
        </w:tc>
        <w:tc>
          <w:tcPr>
            <w:tcW w:w="860" w:type="dxa"/>
            <w:tcBorders>
              <w:top w:val="nil"/>
              <w:left w:val="nil"/>
              <w:bottom w:val="nil"/>
              <w:right w:val="single" w:sz="4" w:space="0" w:color="auto"/>
            </w:tcBorders>
            <w:shd w:val="clear" w:color="auto" w:fill="auto"/>
            <w:noWrap/>
            <w:vAlign w:val="bottom"/>
            <w:hideMark/>
          </w:tcPr>
          <w:p w14:paraId="728A0B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0.0075</w:t>
            </w:r>
          </w:p>
        </w:tc>
        <w:tc>
          <w:tcPr>
            <w:tcW w:w="127" w:type="dxa"/>
            <w:tcBorders>
              <w:top w:val="nil"/>
              <w:left w:val="single" w:sz="4" w:space="0" w:color="auto"/>
              <w:bottom w:val="nil"/>
              <w:right w:val="nil"/>
            </w:tcBorders>
            <w:shd w:val="clear" w:color="auto" w:fill="auto"/>
            <w:noWrap/>
            <w:vAlign w:val="bottom"/>
            <w:hideMark/>
          </w:tcPr>
          <w:p w14:paraId="34DA3D05" w14:textId="77777777" w:rsidR="005A4EA3" w:rsidRPr="00B43597" w:rsidRDefault="005A4EA3" w:rsidP="005A4EA3">
            <w:pPr>
              <w:rPr>
                <w:rFonts w:eastAsia="Times New Roman" w:cs="Times New Roman"/>
                <w:color w:val="000000"/>
                <w:sz w:val="18"/>
                <w:szCs w:val="18"/>
              </w:rPr>
            </w:pPr>
          </w:p>
        </w:tc>
      </w:tr>
      <w:tr w:rsidR="005A4EA3" w:rsidRPr="008A78D0" w14:paraId="3AC68BB7"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2F0929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01.1.711</w:t>
            </w:r>
          </w:p>
        </w:tc>
        <w:tc>
          <w:tcPr>
            <w:tcW w:w="2074" w:type="dxa"/>
            <w:tcBorders>
              <w:top w:val="nil"/>
              <w:left w:val="single" w:sz="4" w:space="0" w:color="auto"/>
              <w:bottom w:val="nil"/>
              <w:right w:val="single" w:sz="4" w:space="0" w:color="auto"/>
            </w:tcBorders>
            <w:shd w:val="clear" w:color="auto" w:fill="auto"/>
            <w:noWrap/>
            <w:vAlign w:val="bottom"/>
            <w:hideMark/>
          </w:tcPr>
          <w:p w14:paraId="3233B0A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Pumpkin</w:t>
            </w:r>
          </w:p>
        </w:tc>
        <w:tc>
          <w:tcPr>
            <w:tcW w:w="1153" w:type="dxa"/>
            <w:tcBorders>
              <w:top w:val="nil"/>
              <w:left w:val="single" w:sz="4" w:space="0" w:color="auto"/>
              <w:bottom w:val="nil"/>
              <w:right w:val="nil"/>
            </w:tcBorders>
            <w:shd w:val="clear" w:color="auto" w:fill="auto"/>
            <w:noWrap/>
            <w:vAlign w:val="bottom"/>
            <w:hideMark/>
          </w:tcPr>
          <w:p w14:paraId="040CA05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0.525</w:t>
            </w:r>
          </w:p>
        </w:tc>
        <w:tc>
          <w:tcPr>
            <w:tcW w:w="1289" w:type="dxa"/>
            <w:tcBorders>
              <w:top w:val="nil"/>
              <w:left w:val="nil"/>
              <w:bottom w:val="nil"/>
              <w:right w:val="nil"/>
            </w:tcBorders>
            <w:shd w:val="clear" w:color="auto" w:fill="auto"/>
            <w:noWrap/>
            <w:vAlign w:val="bottom"/>
            <w:hideMark/>
          </w:tcPr>
          <w:p w14:paraId="736F900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0.809</w:t>
            </w:r>
          </w:p>
        </w:tc>
        <w:tc>
          <w:tcPr>
            <w:tcW w:w="967" w:type="dxa"/>
            <w:tcBorders>
              <w:top w:val="nil"/>
              <w:left w:val="nil"/>
              <w:bottom w:val="nil"/>
            </w:tcBorders>
            <w:shd w:val="clear" w:color="auto" w:fill="auto"/>
            <w:noWrap/>
            <w:vAlign w:val="bottom"/>
            <w:hideMark/>
          </w:tcPr>
          <w:p w14:paraId="19F645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1.2033</w:t>
            </w:r>
          </w:p>
        </w:tc>
        <w:tc>
          <w:tcPr>
            <w:tcW w:w="860" w:type="dxa"/>
            <w:tcBorders>
              <w:top w:val="nil"/>
              <w:bottom w:val="nil"/>
              <w:right w:val="single" w:sz="4" w:space="0" w:color="auto"/>
            </w:tcBorders>
            <w:shd w:val="clear" w:color="auto" w:fill="auto"/>
            <w:noWrap/>
            <w:vAlign w:val="bottom"/>
            <w:hideMark/>
          </w:tcPr>
          <w:p w14:paraId="17CB6BE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0.283</w:t>
            </w:r>
          </w:p>
        </w:tc>
        <w:tc>
          <w:tcPr>
            <w:tcW w:w="967" w:type="dxa"/>
            <w:tcBorders>
              <w:top w:val="nil"/>
              <w:left w:val="single" w:sz="4" w:space="0" w:color="auto"/>
              <w:bottom w:val="nil"/>
              <w:right w:val="nil"/>
            </w:tcBorders>
            <w:shd w:val="clear" w:color="auto" w:fill="auto"/>
            <w:noWrap/>
            <w:vAlign w:val="bottom"/>
            <w:hideMark/>
          </w:tcPr>
          <w:p w14:paraId="71F7A44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-0.6441</w:t>
            </w:r>
          </w:p>
        </w:tc>
        <w:tc>
          <w:tcPr>
            <w:tcW w:w="860" w:type="dxa"/>
            <w:tcBorders>
              <w:top w:val="nil"/>
              <w:left w:val="nil"/>
              <w:bottom w:val="nil"/>
              <w:right w:val="nil"/>
            </w:tcBorders>
            <w:shd w:val="clear" w:color="auto" w:fill="auto"/>
            <w:noWrap/>
            <w:vAlign w:val="bottom"/>
            <w:hideMark/>
          </w:tcPr>
          <w:p w14:paraId="44673C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-0.2126</w:t>
            </w:r>
          </w:p>
        </w:tc>
        <w:tc>
          <w:tcPr>
            <w:tcW w:w="860" w:type="dxa"/>
            <w:tcBorders>
              <w:top w:val="nil"/>
              <w:left w:val="nil"/>
              <w:bottom w:val="nil"/>
              <w:right w:val="nil"/>
            </w:tcBorders>
            <w:shd w:val="clear" w:color="auto" w:fill="auto"/>
            <w:noWrap/>
            <w:vAlign w:val="bottom"/>
            <w:hideMark/>
          </w:tcPr>
          <w:p w14:paraId="4781021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0.4315</w:t>
            </w:r>
          </w:p>
        </w:tc>
        <w:tc>
          <w:tcPr>
            <w:tcW w:w="967" w:type="dxa"/>
            <w:tcBorders>
              <w:top w:val="nil"/>
              <w:left w:val="nil"/>
              <w:bottom w:val="nil"/>
              <w:right w:val="nil"/>
            </w:tcBorders>
            <w:shd w:val="clear" w:color="auto" w:fill="auto"/>
            <w:noWrap/>
            <w:vAlign w:val="bottom"/>
            <w:hideMark/>
          </w:tcPr>
          <w:p w14:paraId="3B3A9F2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0.1851</w:t>
            </w:r>
          </w:p>
        </w:tc>
        <w:tc>
          <w:tcPr>
            <w:tcW w:w="860" w:type="dxa"/>
            <w:tcBorders>
              <w:top w:val="nil"/>
              <w:left w:val="nil"/>
              <w:bottom w:val="nil"/>
              <w:right w:val="nil"/>
            </w:tcBorders>
            <w:shd w:val="clear" w:color="auto" w:fill="auto"/>
            <w:noWrap/>
            <w:vAlign w:val="bottom"/>
            <w:hideMark/>
          </w:tcPr>
          <w:p w14:paraId="52F755E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0.6567</w:t>
            </w:r>
          </w:p>
        </w:tc>
        <w:tc>
          <w:tcPr>
            <w:tcW w:w="860" w:type="dxa"/>
            <w:tcBorders>
              <w:top w:val="nil"/>
              <w:left w:val="nil"/>
              <w:bottom w:val="nil"/>
              <w:right w:val="single" w:sz="4" w:space="0" w:color="auto"/>
            </w:tcBorders>
            <w:shd w:val="clear" w:color="auto" w:fill="auto"/>
            <w:noWrap/>
            <w:vAlign w:val="bottom"/>
            <w:hideMark/>
          </w:tcPr>
          <w:p w14:paraId="75A68EF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0.0069</w:t>
            </w:r>
          </w:p>
        </w:tc>
        <w:tc>
          <w:tcPr>
            <w:tcW w:w="127" w:type="dxa"/>
            <w:tcBorders>
              <w:top w:val="nil"/>
              <w:left w:val="single" w:sz="4" w:space="0" w:color="auto"/>
              <w:bottom w:val="nil"/>
              <w:right w:val="nil"/>
            </w:tcBorders>
            <w:shd w:val="clear" w:color="auto" w:fill="auto"/>
            <w:noWrap/>
            <w:vAlign w:val="bottom"/>
            <w:hideMark/>
          </w:tcPr>
          <w:p w14:paraId="11C7D86D" w14:textId="77777777" w:rsidR="005A4EA3" w:rsidRPr="00B43597" w:rsidRDefault="005A4EA3" w:rsidP="005A4EA3">
            <w:pPr>
              <w:rPr>
                <w:rFonts w:eastAsia="Times New Roman" w:cs="Times New Roman"/>
                <w:color w:val="000000"/>
                <w:sz w:val="18"/>
                <w:szCs w:val="18"/>
              </w:rPr>
            </w:pPr>
          </w:p>
        </w:tc>
      </w:tr>
      <w:tr w:rsidR="005A4EA3" w:rsidRPr="008A78D0" w14:paraId="3A1A1C67"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DEAB53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01.1.712</w:t>
            </w:r>
          </w:p>
        </w:tc>
        <w:tc>
          <w:tcPr>
            <w:tcW w:w="2074" w:type="dxa"/>
            <w:tcBorders>
              <w:top w:val="nil"/>
              <w:left w:val="single" w:sz="4" w:space="0" w:color="auto"/>
              <w:bottom w:val="nil"/>
              <w:right w:val="single" w:sz="4" w:space="0" w:color="auto"/>
            </w:tcBorders>
            <w:shd w:val="clear" w:color="auto" w:fill="auto"/>
            <w:noWrap/>
            <w:vAlign w:val="bottom"/>
            <w:hideMark/>
          </w:tcPr>
          <w:p w14:paraId="6036A84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Tomatoes</w:t>
            </w:r>
          </w:p>
        </w:tc>
        <w:tc>
          <w:tcPr>
            <w:tcW w:w="1153" w:type="dxa"/>
            <w:tcBorders>
              <w:top w:val="nil"/>
              <w:left w:val="single" w:sz="4" w:space="0" w:color="auto"/>
              <w:bottom w:val="nil"/>
              <w:right w:val="nil"/>
            </w:tcBorders>
            <w:shd w:val="clear" w:color="auto" w:fill="auto"/>
            <w:noWrap/>
            <w:vAlign w:val="bottom"/>
            <w:hideMark/>
          </w:tcPr>
          <w:p w14:paraId="2BE215D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0.545</w:t>
            </w:r>
          </w:p>
        </w:tc>
        <w:tc>
          <w:tcPr>
            <w:tcW w:w="1289" w:type="dxa"/>
            <w:tcBorders>
              <w:top w:val="nil"/>
              <w:left w:val="nil"/>
              <w:bottom w:val="nil"/>
              <w:right w:val="nil"/>
            </w:tcBorders>
            <w:shd w:val="clear" w:color="auto" w:fill="auto"/>
            <w:noWrap/>
            <w:vAlign w:val="bottom"/>
            <w:hideMark/>
          </w:tcPr>
          <w:p w14:paraId="1B6CAA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0.771</w:t>
            </w:r>
          </w:p>
        </w:tc>
        <w:tc>
          <w:tcPr>
            <w:tcW w:w="967" w:type="dxa"/>
            <w:tcBorders>
              <w:top w:val="nil"/>
              <w:left w:val="nil"/>
              <w:bottom w:val="nil"/>
            </w:tcBorders>
            <w:shd w:val="clear" w:color="auto" w:fill="auto"/>
            <w:noWrap/>
            <w:vAlign w:val="bottom"/>
            <w:hideMark/>
          </w:tcPr>
          <w:p w14:paraId="32D4EE3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2.2518</w:t>
            </w:r>
          </w:p>
        </w:tc>
        <w:tc>
          <w:tcPr>
            <w:tcW w:w="860" w:type="dxa"/>
            <w:tcBorders>
              <w:top w:val="nil"/>
              <w:bottom w:val="nil"/>
              <w:right w:val="single" w:sz="4" w:space="0" w:color="auto"/>
            </w:tcBorders>
            <w:shd w:val="clear" w:color="auto" w:fill="auto"/>
            <w:noWrap/>
            <w:vAlign w:val="bottom"/>
            <w:hideMark/>
          </w:tcPr>
          <w:p w14:paraId="2DC2F93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0.226</w:t>
            </w:r>
          </w:p>
        </w:tc>
        <w:tc>
          <w:tcPr>
            <w:tcW w:w="967" w:type="dxa"/>
            <w:tcBorders>
              <w:top w:val="nil"/>
              <w:left w:val="single" w:sz="4" w:space="0" w:color="auto"/>
              <w:bottom w:val="nil"/>
              <w:right w:val="nil"/>
            </w:tcBorders>
            <w:shd w:val="clear" w:color="auto" w:fill="auto"/>
            <w:noWrap/>
            <w:vAlign w:val="bottom"/>
            <w:hideMark/>
          </w:tcPr>
          <w:p w14:paraId="2BE0636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-0.6061</w:t>
            </w:r>
          </w:p>
        </w:tc>
        <w:tc>
          <w:tcPr>
            <w:tcW w:w="860" w:type="dxa"/>
            <w:tcBorders>
              <w:top w:val="nil"/>
              <w:left w:val="nil"/>
              <w:bottom w:val="nil"/>
              <w:right w:val="nil"/>
            </w:tcBorders>
            <w:shd w:val="clear" w:color="auto" w:fill="auto"/>
            <w:noWrap/>
            <w:vAlign w:val="bottom"/>
            <w:hideMark/>
          </w:tcPr>
          <w:p w14:paraId="5A52B39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-0.2599</w:t>
            </w:r>
          </w:p>
        </w:tc>
        <w:tc>
          <w:tcPr>
            <w:tcW w:w="860" w:type="dxa"/>
            <w:tcBorders>
              <w:top w:val="nil"/>
              <w:left w:val="nil"/>
              <w:bottom w:val="nil"/>
              <w:right w:val="nil"/>
            </w:tcBorders>
            <w:shd w:val="clear" w:color="auto" w:fill="auto"/>
            <w:noWrap/>
            <w:vAlign w:val="bottom"/>
            <w:hideMark/>
          </w:tcPr>
          <w:p w14:paraId="31BFCE9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0.3463</w:t>
            </w:r>
          </w:p>
        </w:tc>
        <w:tc>
          <w:tcPr>
            <w:tcW w:w="967" w:type="dxa"/>
            <w:tcBorders>
              <w:top w:val="nil"/>
              <w:left w:val="nil"/>
              <w:bottom w:val="nil"/>
              <w:right w:val="nil"/>
            </w:tcBorders>
            <w:shd w:val="clear" w:color="auto" w:fill="auto"/>
            <w:noWrap/>
            <w:vAlign w:val="bottom"/>
            <w:hideMark/>
          </w:tcPr>
          <w:p w14:paraId="2666506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0.8117</w:t>
            </w:r>
          </w:p>
        </w:tc>
        <w:tc>
          <w:tcPr>
            <w:tcW w:w="860" w:type="dxa"/>
            <w:tcBorders>
              <w:top w:val="nil"/>
              <w:left w:val="nil"/>
              <w:bottom w:val="nil"/>
              <w:right w:val="nil"/>
            </w:tcBorders>
            <w:shd w:val="clear" w:color="auto" w:fill="auto"/>
            <w:noWrap/>
            <w:vAlign w:val="bottom"/>
            <w:hideMark/>
          </w:tcPr>
          <w:p w14:paraId="3E2834F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0.6518</w:t>
            </w:r>
          </w:p>
        </w:tc>
        <w:tc>
          <w:tcPr>
            <w:tcW w:w="860" w:type="dxa"/>
            <w:tcBorders>
              <w:top w:val="nil"/>
              <w:left w:val="nil"/>
              <w:bottom w:val="nil"/>
              <w:right w:val="single" w:sz="4" w:space="0" w:color="auto"/>
            </w:tcBorders>
            <w:shd w:val="clear" w:color="auto" w:fill="auto"/>
            <w:noWrap/>
            <w:vAlign w:val="bottom"/>
            <w:hideMark/>
          </w:tcPr>
          <w:p w14:paraId="27840F7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0.0068</w:t>
            </w:r>
          </w:p>
        </w:tc>
        <w:tc>
          <w:tcPr>
            <w:tcW w:w="127" w:type="dxa"/>
            <w:tcBorders>
              <w:top w:val="nil"/>
              <w:left w:val="single" w:sz="4" w:space="0" w:color="auto"/>
              <w:bottom w:val="nil"/>
              <w:right w:val="nil"/>
            </w:tcBorders>
            <w:shd w:val="clear" w:color="auto" w:fill="auto"/>
            <w:noWrap/>
            <w:vAlign w:val="bottom"/>
            <w:hideMark/>
          </w:tcPr>
          <w:p w14:paraId="1052231F" w14:textId="77777777" w:rsidR="005A4EA3" w:rsidRPr="00B43597" w:rsidRDefault="005A4EA3" w:rsidP="005A4EA3">
            <w:pPr>
              <w:rPr>
                <w:rFonts w:eastAsia="Times New Roman" w:cs="Times New Roman"/>
                <w:color w:val="000000"/>
                <w:sz w:val="18"/>
                <w:szCs w:val="18"/>
              </w:rPr>
            </w:pPr>
          </w:p>
        </w:tc>
      </w:tr>
      <w:tr w:rsidR="005A4EA3" w:rsidRPr="008A78D0" w14:paraId="19226C1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6C0617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01.1.713</w:t>
            </w:r>
          </w:p>
        </w:tc>
        <w:tc>
          <w:tcPr>
            <w:tcW w:w="2074" w:type="dxa"/>
            <w:tcBorders>
              <w:top w:val="nil"/>
              <w:left w:val="single" w:sz="4" w:space="0" w:color="auto"/>
              <w:bottom w:val="nil"/>
              <w:right w:val="single" w:sz="4" w:space="0" w:color="auto"/>
            </w:tcBorders>
            <w:shd w:val="clear" w:color="auto" w:fill="auto"/>
            <w:noWrap/>
            <w:vAlign w:val="bottom"/>
            <w:hideMark/>
          </w:tcPr>
          <w:p w14:paraId="6D6858C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Squash</w:t>
            </w:r>
          </w:p>
        </w:tc>
        <w:tc>
          <w:tcPr>
            <w:tcW w:w="1153" w:type="dxa"/>
            <w:tcBorders>
              <w:top w:val="nil"/>
              <w:left w:val="single" w:sz="4" w:space="0" w:color="auto"/>
              <w:bottom w:val="nil"/>
              <w:right w:val="nil"/>
            </w:tcBorders>
            <w:shd w:val="clear" w:color="auto" w:fill="auto"/>
            <w:noWrap/>
            <w:vAlign w:val="bottom"/>
            <w:hideMark/>
          </w:tcPr>
          <w:p w14:paraId="5723248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0.246</w:t>
            </w:r>
          </w:p>
        </w:tc>
        <w:tc>
          <w:tcPr>
            <w:tcW w:w="1289" w:type="dxa"/>
            <w:tcBorders>
              <w:top w:val="nil"/>
              <w:left w:val="nil"/>
              <w:bottom w:val="nil"/>
              <w:right w:val="nil"/>
            </w:tcBorders>
            <w:shd w:val="clear" w:color="auto" w:fill="auto"/>
            <w:noWrap/>
            <w:vAlign w:val="bottom"/>
            <w:hideMark/>
          </w:tcPr>
          <w:p w14:paraId="7A3E60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0.339</w:t>
            </w:r>
          </w:p>
        </w:tc>
        <w:tc>
          <w:tcPr>
            <w:tcW w:w="967" w:type="dxa"/>
            <w:tcBorders>
              <w:top w:val="nil"/>
              <w:left w:val="nil"/>
              <w:bottom w:val="nil"/>
            </w:tcBorders>
            <w:shd w:val="clear" w:color="auto" w:fill="auto"/>
            <w:noWrap/>
            <w:vAlign w:val="bottom"/>
            <w:hideMark/>
          </w:tcPr>
          <w:p w14:paraId="46065E0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1.8135</w:t>
            </w:r>
          </w:p>
        </w:tc>
        <w:tc>
          <w:tcPr>
            <w:tcW w:w="860" w:type="dxa"/>
            <w:tcBorders>
              <w:top w:val="nil"/>
              <w:bottom w:val="nil"/>
              <w:right w:val="single" w:sz="4" w:space="0" w:color="auto"/>
            </w:tcBorders>
            <w:shd w:val="clear" w:color="auto" w:fill="auto"/>
            <w:noWrap/>
            <w:vAlign w:val="bottom"/>
            <w:hideMark/>
          </w:tcPr>
          <w:p w14:paraId="7D5265B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0.093</w:t>
            </w:r>
          </w:p>
        </w:tc>
        <w:tc>
          <w:tcPr>
            <w:tcW w:w="967" w:type="dxa"/>
            <w:tcBorders>
              <w:top w:val="nil"/>
              <w:left w:val="single" w:sz="4" w:space="0" w:color="auto"/>
              <w:bottom w:val="nil"/>
              <w:right w:val="nil"/>
            </w:tcBorders>
            <w:shd w:val="clear" w:color="auto" w:fill="auto"/>
            <w:noWrap/>
            <w:vAlign w:val="bottom"/>
            <w:hideMark/>
          </w:tcPr>
          <w:p w14:paraId="5D14431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-1.4021</w:t>
            </w:r>
          </w:p>
        </w:tc>
        <w:tc>
          <w:tcPr>
            <w:tcW w:w="860" w:type="dxa"/>
            <w:tcBorders>
              <w:top w:val="nil"/>
              <w:left w:val="nil"/>
              <w:bottom w:val="nil"/>
              <w:right w:val="nil"/>
            </w:tcBorders>
            <w:shd w:val="clear" w:color="auto" w:fill="auto"/>
            <w:noWrap/>
            <w:vAlign w:val="bottom"/>
            <w:hideMark/>
          </w:tcPr>
          <w:p w14:paraId="6D5FADA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-1.0819</w:t>
            </w:r>
          </w:p>
        </w:tc>
        <w:tc>
          <w:tcPr>
            <w:tcW w:w="860" w:type="dxa"/>
            <w:tcBorders>
              <w:top w:val="nil"/>
              <w:left w:val="nil"/>
              <w:bottom w:val="nil"/>
              <w:right w:val="nil"/>
            </w:tcBorders>
            <w:shd w:val="clear" w:color="auto" w:fill="auto"/>
            <w:noWrap/>
            <w:vAlign w:val="bottom"/>
            <w:hideMark/>
          </w:tcPr>
          <w:p w14:paraId="0A953A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0.3202</w:t>
            </w:r>
          </w:p>
        </w:tc>
        <w:tc>
          <w:tcPr>
            <w:tcW w:w="967" w:type="dxa"/>
            <w:tcBorders>
              <w:top w:val="nil"/>
              <w:left w:val="nil"/>
              <w:bottom w:val="nil"/>
              <w:right w:val="nil"/>
            </w:tcBorders>
            <w:shd w:val="clear" w:color="auto" w:fill="auto"/>
            <w:noWrap/>
            <w:vAlign w:val="bottom"/>
            <w:hideMark/>
          </w:tcPr>
          <w:p w14:paraId="1A037C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0.5953</w:t>
            </w:r>
          </w:p>
        </w:tc>
        <w:tc>
          <w:tcPr>
            <w:tcW w:w="860" w:type="dxa"/>
            <w:tcBorders>
              <w:top w:val="nil"/>
              <w:left w:val="nil"/>
              <w:bottom w:val="nil"/>
              <w:right w:val="nil"/>
            </w:tcBorders>
            <w:shd w:val="clear" w:color="auto" w:fill="auto"/>
            <w:noWrap/>
            <w:vAlign w:val="bottom"/>
            <w:hideMark/>
          </w:tcPr>
          <w:p w14:paraId="12CB4C5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0.2900</w:t>
            </w:r>
          </w:p>
        </w:tc>
        <w:tc>
          <w:tcPr>
            <w:tcW w:w="860" w:type="dxa"/>
            <w:tcBorders>
              <w:top w:val="nil"/>
              <w:left w:val="nil"/>
              <w:bottom w:val="nil"/>
              <w:right w:val="single" w:sz="4" w:space="0" w:color="auto"/>
            </w:tcBorders>
            <w:shd w:val="clear" w:color="auto" w:fill="auto"/>
            <w:noWrap/>
            <w:vAlign w:val="bottom"/>
            <w:hideMark/>
          </w:tcPr>
          <w:p w14:paraId="1C3D187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0.0030</w:t>
            </w:r>
          </w:p>
        </w:tc>
        <w:tc>
          <w:tcPr>
            <w:tcW w:w="127" w:type="dxa"/>
            <w:tcBorders>
              <w:top w:val="nil"/>
              <w:left w:val="single" w:sz="4" w:space="0" w:color="auto"/>
              <w:bottom w:val="nil"/>
              <w:right w:val="nil"/>
            </w:tcBorders>
            <w:shd w:val="clear" w:color="auto" w:fill="auto"/>
            <w:noWrap/>
            <w:vAlign w:val="bottom"/>
            <w:hideMark/>
          </w:tcPr>
          <w:p w14:paraId="6EDFC200" w14:textId="77777777" w:rsidR="005A4EA3" w:rsidRPr="00B43597" w:rsidRDefault="005A4EA3" w:rsidP="005A4EA3">
            <w:pPr>
              <w:rPr>
                <w:rFonts w:eastAsia="Times New Roman" w:cs="Times New Roman"/>
                <w:color w:val="000000"/>
                <w:sz w:val="18"/>
                <w:szCs w:val="18"/>
              </w:rPr>
            </w:pPr>
          </w:p>
        </w:tc>
      </w:tr>
      <w:tr w:rsidR="005A4EA3" w:rsidRPr="008A78D0" w14:paraId="1E1C2D6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89A86F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01.1.714</w:t>
            </w:r>
          </w:p>
        </w:tc>
        <w:tc>
          <w:tcPr>
            <w:tcW w:w="2074" w:type="dxa"/>
            <w:tcBorders>
              <w:top w:val="nil"/>
              <w:left w:val="single" w:sz="4" w:space="0" w:color="auto"/>
              <w:bottom w:val="nil"/>
              <w:right w:val="single" w:sz="4" w:space="0" w:color="auto"/>
            </w:tcBorders>
            <w:shd w:val="clear" w:color="auto" w:fill="auto"/>
            <w:noWrap/>
            <w:vAlign w:val="bottom"/>
            <w:hideMark/>
          </w:tcPr>
          <w:p w14:paraId="3B38002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Plantains</w:t>
            </w:r>
          </w:p>
        </w:tc>
        <w:tc>
          <w:tcPr>
            <w:tcW w:w="1153" w:type="dxa"/>
            <w:tcBorders>
              <w:top w:val="nil"/>
              <w:left w:val="single" w:sz="4" w:space="0" w:color="auto"/>
              <w:bottom w:val="nil"/>
              <w:right w:val="nil"/>
            </w:tcBorders>
            <w:shd w:val="clear" w:color="auto" w:fill="auto"/>
            <w:noWrap/>
            <w:vAlign w:val="bottom"/>
            <w:hideMark/>
          </w:tcPr>
          <w:p w14:paraId="6E69C26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0.863</w:t>
            </w:r>
          </w:p>
        </w:tc>
        <w:tc>
          <w:tcPr>
            <w:tcW w:w="1289" w:type="dxa"/>
            <w:tcBorders>
              <w:top w:val="nil"/>
              <w:left w:val="nil"/>
              <w:bottom w:val="nil"/>
              <w:right w:val="nil"/>
            </w:tcBorders>
            <w:shd w:val="clear" w:color="auto" w:fill="auto"/>
            <w:noWrap/>
            <w:vAlign w:val="bottom"/>
            <w:hideMark/>
          </w:tcPr>
          <w:p w14:paraId="6A5325F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1.337</w:t>
            </w:r>
          </w:p>
        </w:tc>
        <w:tc>
          <w:tcPr>
            <w:tcW w:w="967" w:type="dxa"/>
            <w:tcBorders>
              <w:top w:val="nil"/>
              <w:left w:val="nil"/>
              <w:bottom w:val="nil"/>
            </w:tcBorders>
            <w:shd w:val="clear" w:color="auto" w:fill="auto"/>
            <w:noWrap/>
            <w:vAlign w:val="bottom"/>
            <w:hideMark/>
          </w:tcPr>
          <w:p w14:paraId="12E4FC1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1.4753</w:t>
            </w:r>
          </w:p>
        </w:tc>
        <w:tc>
          <w:tcPr>
            <w:tcW w:w="860" w:type="dxa"/>
            <w:tcBorders>
              <w:top w:val="nil"/>
              <w:bottom w:val="nil"/>
              <w:right w:val="single" w:sz="4" w:space="0" w:color="auto"/>
            </w:tcBorders>
            <w:shd w:val="clear" w:color="auto" w:fill="auto"/>
            <w:noWrap/>
            <w:vAlign w:val="bottom"/>
            <w:hideMark/>
          </w:tcPr>
          <w:p w14:paraId="75A85D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0.474</w:t>
            </w:r>
          </w:p>
        </w:tc>
        <w:tc>
          <w:tcPr>
            <w:tcW w:w="967" w:type="dxa"/>
            <w:tcBorders>
              <w:top w:val="nil"/>
              <w:left w:val="single" w:sz="4" w:space="0" w:color="auto"/>
              <w:bottom w:val="nil"/>
              <w:right w:val="nil"/>
            </w:tcBorders>
            <w:shd w:val="clear" w:color="auto" w:fill="auto"/>
            <w:noWrap/>
            <w:vAlign w:val="bottom"/>
            <w:hideMark/>
          </w:tcPr>
          <w:p w14:paraId="570C024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-0.1478</w:t>
            </w:r>
          </w:p>
        </w:tc>
        <w:tc>
          <w:tcPr>
            <w:tcW w:w="860" w:type="dxa"/>
            <w:tcBorders>
              <w:top w:val="nil"/>
              <w:left w:val="nil"/>
              <w:bottom w:val="nil"/>
              <w:right w:val="nil"/>
            </w:tcBorders>
            <w:shd w:val="clear" w:color="auto" w:fill="auto"/>
            <w:noWrap/>
            <w:vAlign w:val="bottom"/>
            <w:hideMark/>
          </w:tcPr>
          <w:p w14:paraId="02C06A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0.2901</w:t>
            </w:r>
          </w:p>
        </w:tc>
        <w:tc>
          <w:tcPr>
            <w:tcW w:w="860" w:type="dxa"/>
            <w:tcBorders>
              <w:top w:val="nil"/>
              <w:left w:val="nil"/>
              <w:bottom w:val="nil"/>
              <w:right w:val="nil"/>
            </w:tcBorders>
            <w:shd w:val="clear" w:color="auto" w:fill="auto"/>
            <w:noWrap/>
            <w:vAlign w:val="bottom"/>
            <w:hideMark/>
          </w:tcPr>
          <w:p w14:paraId="2AB47C5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0.4379</w:t>
            </w:r>
          </w:p>
        </w:tc>
        <w:tc>
          <w:tcPr>
            <w:tcW w:w="967" w:type="dxa"/>
            <w:tcBorders>
              <w:top w:val="nil"/>
              <w:left w:val="nil"/>
              <w:bottom w:val="nil"/>
              <w:right w:val="nil"/>
            </w:tcBorders>
            <w:shd w:val="clear" w:color="auto" w:fill="auto"/>
            <w:noWrap/>
            <w:vAlign w:val="bottom"/>
            <w:hideMark/>
          </w:tcPr>
          <w:p w14:paraId="69139F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0.3889</w:t>
            </w:r>
          </w:p>
        </w:tc>
        <w:tc>
          <w:tcPr>
            <w:tcW w:w="860" w:type="dxa"/>
            <w:tcBorders>
              <w:top w:val="nil"/>
              <w:left w:val="nil"/>
              <w:bottom w:val="nil"/>
              <w:right w:val="nil"/>
            </w:tcBorders>
            <w:shd w:val="clear" w:color="auto" w:fill="auto"/>
            <w:noWrap/>
            <w:vAlign w:val="bottom"/>
            <w:hideMark/>
          </w:tcPr>
          <w:p w14:paraId="30D6216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1.0823</w:t>
            </w:r>
          </w:p>
        </w:tc>
        <w:tc>
          <w:tcPr>
            <w:tcW w:w="860" w:type="dxa"/>
            <w:tcBorders>
              <w:top w:val="nil"/>
              <w:left w:val="nil"/>
              <w:bottom w:val="nil"/>
              <w:right w:val="single" w:sz="4" w:space="0" w:color="auto"/>
            </w:tcBorders>
            <w:shd w:val="clear" w:color="auto" w:fill="auto"/>
            <w:noWrap/>
            <w:vAlign w:val="bottom"/>
            <w:hideMark/>
          </w:tcPr>
          <w:p w14:paraId="21CD66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0.0113</w:t>
            </w:r>
          </w:p>
        </w:tc>
        <w:tc>
          <w:tcPr>
            <w:tcW w:w="127" w:type="dxa"/>
            <w:tcBorders>
              <w:top w:val="nil"/>
              <w:left w:val="single" w:sz="4" w:space="0" w:color="auto"/>
              <w:bottom w:val="nil"/>
              <w:right w:val="nil"/>
            </w:tcBorders>
            <w:shd w:val="clear" w:color="auto" w:fill="auto"/>
            <w:noWrap/>
            <w:vAlign w:val="bottom"/>
            <w:hideMark/>
          </w:tcPr>
          <w:p w14:paraId="5FF3915B" w14:textId="77777777" w:rsidR="005A4EA3" w:rsidRPr="00B43597" w:rsidRDefault="005A4EA3" w:rsidP="005A4EA3">
            <w:pPr>
              <w:rPr>
                <w:rFonts w:eastAsia="Times New Roman" w:cs="Times New Roman"/>
                <w:color w:val="000000"/>
                <w:sz w:val="18"/>
                <w:szCs w:val="18"/>
              </w:rPr>
            </w:pPr>
          </w:p>
        </w:tc>
      </w:tr>
      <w:tr w:rsidR="005A4EA3" w:rsidRPr="008A78D0" w14:paraId="78C14E77"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A07482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01.1.715</w:t>
            </w:r>
          </w:p>
        </w:tc>
        <w:tc>
          <w:tcPr>
            <w:tcW w:w="2074" w:type="dxa"/>
            <w:tcBorders>
              <w:top w:val="nil"/>
              <w:left w:val="single" w:sz="4" w:space="0" w:color="auto"/>
              <w:bottom w:val="nil"/>
              <w:right w:val="single" w:sz="4" w:space="0" w:color="auto"/>
            </w:tcBorders>
            <w:shd w:val="clear" w:color="auto" w:fill="auto"/>
            <w:noWrap/>
            <w:vAlign w:val="bottom"/>
            <w:hideMark/>
          </w:tcPr>
          <w:p w14:paraId="4467B15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Long beans</w:t>
            </w:r>
          </w:p>
        </w:tc>
        <w:tc>
          <w:tcPr>
            <w:tcW w:w="1153" w:type="dxa"/>
            <w:tcBorders>
              <w:top w:val="nil"/>
              <w:left w:val="single" w:sz="4" w:space="0" w:color="auto"/>
              <w:bottom w:val="nil"/>
              <w:right w:val="nil"/>
            </w:tcBorders>
            <w:shd w:val="clear" w:color="auto" w:fill="auto"/>
            <w:noWrap/>
            <w:vAlign w:val="bottom"/>
            <w:hideMark/>
          </w:tcPr>
          <w:p w14:paraId="590A769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1.360</w:t>
            </w:r>
          </w:p>
        </w:tc>
        <w:tc>
          <w:tcPr>
            <w:tcW w:w="1289" w:type="dxa"/>
            <w:tcBorders>
              <w:top w:val="nil"/>
              <w:left w:val="nil"/>
              <w:bottom w:val="nil"/>
              <w:right w:val="nil"/>
            </w:tcBorders>
            <w:shd w:val="clear" w:color="auto" w:fill="auto"/>
            <w:noWrap/>
            <w:vAlign w:val="bottom"/>
            <w:hideMark/>
          </w:tcPr>
          <w:p w14:paraId="017597D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1.143</w:t>
            </w:r>
          </w:p>
        </w:tc>
        <w:tc>
          <w:tcPr>
            <w:tcW w:w="967" w:type="dxa"/>
            <w:tcBorders>
              <w:top w:val="nil"/>
              <w:left w:val="nil"/>
              <w:bottom w:val="nil"/>
            </w:tcBorders>
            <w:shd w:val="clear" w:color="auto" w:fill="auto"/>
            <w:noWrap/>
            <w:vAlign w:val="bottom"/>
            <w:hideMark/>
          </w:tcPr>
          <w:p w14:paraId="174DEF8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1.1958</w:t>
            </w:r>
          </w:p>
        </w:tc>
        <w:tc>
          <w:tcPr>
            <w:tcW w:w="860" w:type="dxa"/>
            <w:tcBorders>
              <w:top w:val="nil"/>
              <w:bottom w:val="nil"/>
              <w:right w:val="single" w:sz="4" w:space="0" w:color="auto"/>
            </w:tcBorders>
            <w:shd w:val="clear" w:color="auto" w:fill="auto"/>
            <w:noWrap/>
            <w:vAlign w:val="bottom"/>
            <w:hideMark/>
          </w:tcPr>
          <w:p w14:paraId="23EB46F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-0.217</w:t>
            </w:r>
          </w:p>
        </w:tc>
        <w:tc>
          <w:tcPr>
            <w:tcW w:w="967" w:type="dxa"/>
            <w:tcBorders>
              <w:top w:val="nil"/>
              <w:left w:val="single" w:sz="4" w:space="0" w:color="auto"/>
              <w:bottom w:val="nil"/>
              <w:right w:val="nil"/>
            </w:tcBorders>
            <w:shd w:val="clear" w:color="auto" w:fill="auto"/>
            <w:noWrap/>
            <w:vAlign w:val="bottom"/>
            <w:hideMark/>
          </w:tcPr>
          <w:p w14:paraId="140E622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0.3074</w:t>
            </w:r>
          </w:p>
        </w:tc>
        <w:tc>
          <w:tcPr>
            <w:tcW w:w="860" w:type="dxa"/>
            <w:tcBorders>
              <w:top w:val="nil"/>
              <w:left w:val="nil"/>
              <w:bottom w:val="nil"/>
              <w:right w:val="nil"/>
            </w:tcBorders>
            <w:shd w:val="clear" w:color="auto" w:fill="auto"/>
            <w:noWrap/>
            <w:vAlign w:val="bottom"/>
            <w:hideMark/>
          </w:tcPr>
          <w:p w14:paraId="06D89AB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0.1336</w:t>
            </w:r>
          </w:p>
        </w:tc>
        <w:tc>
          <w:tcPr>
            <w:tcW w:w="860" w:type="dxa"/>
            <w:tcBorders>
              <w:top w:val="nil"/>
              <w:left w:val="nil"/>
              <w:bottom w:val="nil"/>
              <w:right w:val="nil"/>
            </w:tcBorders>
            <w:shd w:val="clear" w:color="auto" w:fill="auto"/>
            <w:noWrap/>
            <w:vAlign w:val="bottom"/>
            <w:hideMark/>
          </w:tcPr>
          <w:p w14:paraId="3EB4628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-0.1737</w:t>
            </w:r>
          </w:p>
        </w:tc>
        <w:tc>
          <w:tcPr>
            <w:tcW w:w="967" w:type="dxa"/>
            <w:tcBorders>
              <w:top w:val="nil"/>
              <w:left w:val="nil"/>
              <w:bottom w:val="nil"/>
              <w:right w:val="nil"/>
            </w:tcBorders>
            <w:shd w:val="clear" w:color="auto" w:fill="auto"/>
            <w:noWrap/>
            <w:vAlign w:val="bottom"/>
            <w:hideMark/>
          </w:tcPr>
          <w:p w14:paraId="29353A9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0.1788</w:t>
            </w:r>
          </w:p>
        </w:tc>
        <w:tc>
          <w:tcPr>
            <w:tcW w:w="860" w:type="dxa"/>
            <w:tcBorders>
              <w:top w:val="nil"/>
              <w:left w:val="nil"/>
              <w:bottom w:val="nil"/>
              <w:right w:val="nil"/>
            </w:tcBorders>
            <w:shd w:val="clear" w:color="auto" w:fill="auto"/>
            <w:noWrap/>
            <w:vAlign w:val="bottom"/>
            <w:hideMark/>
          </w:tcPr>
          <w:p w14:paraId="7A15649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1.2483</w:t>
            </w:r>
          </w:p>
        </w:tc>
        <w:tc>
          <w:tcPr>
            <w:tcW w:w="860" w:type="dxa"/>
            <w:tcBorders>
              <w:top w:val="nil"/>
              <w:left w:val="nil"/>
              <w:bottom w:val="nil"/>
              <w:right w:val="single" w:sz="4" w:space="0" w:color="auto"/>
            </w:tcBorders>
            <w:shd w:val="clear" w:color="auto" w:fill="auto"/>
            <w:noWrap/>
            <w:vAlign w:val="bottom"/>
            <w:hideMark/>
          </w:tcPr>
          <w:p w14:paraId="21C17F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0.0130</w:t>
            </w:r>
          </w:p>
        </w:tc>
        <w:tc>
          <w:tcPr>
            <w:tcW w:w="127" w:type="dxa"/>
            <w:tcBorders>
              <w:top w:val="nil"/>
              <w:left w:val="single" w:sz="4" w:space="0" w:color="auto"/>
              <w:bottom w:val="nil"/>
              <w:right w:val="nil"/>
            </w:tcBorders>
            <w:shd w:val="clear" w:color="auto" w:fill="auto"/>
            <w:noWrap/>
            <w:vAlign w:val="bottom"/>
            <w:hideMark/>
          </w:tcPr>
          <w:p w14:paraId="17462334" w14:textId="77777777" w:rsidR="005A4EA3" w:rsidRPr="00B43597" w:rsidRDefault="005A4EA3" w:rsidP="005A4EA3">
            <w:pPr>
              <w:rPr>
                <w:rFonts w:eastAsia="Times New Roman" w:cs="Times New Roman"/>
                <w:color w:val="000000"/>
                <w:sz w:val="18"/>
                <w:szCs w:val="18"/>
              </w:rPr>
            </w:pPr>
          </w:p>
        </w:tc>
      </w:tr>
      <w:tr w:rsidR="005A4EA3" w:rsidRPr="008A78D0" w14:paraId="1643BFE8"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AEC1D7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01.1.716</w:t>
            </w:r>
          </w:p>
        </w:tc>
        <w:tc>
          <w:tcPr>
            <w:tcW w:w="2074" w:type="dxa"/>
            <w:tcBorders>
              <w:top w:val="nil"/>
              <w:left w:val="single" w:sz="4" w:space="0" w:color="auto"/>
              <w:bottom w:val="nil"/>
              <w:right w:val="single" w:sz="4" w:space="0" w:color="auto"/>
            </w:tcBorders>
            <w:shd w:val="clear" w:color="auto" w:fill="auto"/>
            <w:noWrap/>
            <w:vAlign w:val="bottom"/>
            <w:hideMark/>
          </w:tcPr>
          <w:p w14:paraId="3F346B2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Cabbage</w:t>
            </w:r>
          </w:p>
        </w:tc>
        <w:tc>
          <w:tcPr>
            <w:tcW w:w="1153" w:type="dxa"/>
            <w:tcBorders>
              <w:top w:val="nil"/>
              <w:left w:val="single" w:sz="4" w:space="0" w:color="auto"/>
              <w:bottom w:val="nil"/>
              <w:right w:val="nil"/>
            </w:tcBorders>
            <w:shd w:val="clear" w:color="auto" w:fill="auto"/>
            <w:noWrap/>
            <w:vAlign w:val="bottom"/>
            <w:hideMark/>
          </w:tcPr>
          <w:p w14:paraId="58FE8A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0.578</w:t>
            </w:r>
          </w:p>
        </w:tc>
        <w:tc>
          <w:tcPr>
            <w:tcW w:w="1289" w:type="dxa"/>
            <w:tcBorders>
              <w:top w:val="nil"/>
              <w:left w:val="nil"/>
              <w:bottom w:val="nil"/>
              <w:right w:val="nil"/>
            </w:tcBorders>
            <w:shd w:val="clear" w:color="auto" w:fill="auto"/>
            <w:noWrap/>
            <w:vAlign w:val="bottom"/>
            <w:hideMark/>
          </w:tcPr>
          <w:p w14:paraId="3809F0F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0.828</w:t>
            </w:r>
          </w:p>
        </w:tc>
        <w:tc>
          <w:tcPr>
            <w:tcW w:w="967" w:type="dxa"/>
            <w:tcBorders>
              <w:top w:val="nil"/>
              <w:left w:val="nil"/>
              <w:bottom w:val="nil"/>
            </w:tcBorders>
            <w:shd w:val="clear" w:color="auto" w:fill="auto"/>
            <w:noWrap/>
            <w:vAlign w:val="bottom"/>
            <w:hideMark/>
          </w:tcPr>
          <w:p w14:paraId="706D42E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1.1446</w:t>
            </w:r>
          </w:p>
        </w:tc>
        <w:tc>
          <w:tcPr>
            <w:tcW w:w="860" w:type="dxa"/>
            <w:tcBorders>
              <w:top w:val="nil"/>
              <w:bottom w:val="nil"/>
              <w:right w:val="single" w:sz="4" w:space="0" w:color="auto"/>
            </w:tcBorders>
            <w:shd w:val="clear" w:color="auto" w:fill="auto"/>
            <w:noWrap/>
            <w:vAlign w:val="bottom"/>
            <w:hideMark/>
          </w:tcPr>
          <w:p w14:paraId="2AABE98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0.249</w:t>
            </w:r>
          </w:p>
        </w:tc>
        <w:tc>
          <w:tcPr>
            <w:tcW w:w="967" w:type="dxa"/>
            <w:tcBorders>
              <w:top w:val="nil"/>
              <w:left w:val="single" w:sz="4" w:space="0" w:color="auto"/>
              <w:bottom w:val="nil"/>
              <w:right w:val="nil"/>
            </w:tcBorders>
            <w:shd w:val="clear" w:color="auto" w:fill="auto"/>
            <w:noWrap/>
            <w:vAlign w:val="bottom"/>
            <w:hideMark/>
          </w:tcPr>
          <w:p w14:paraId="202B1C5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-0.5474</w:t>
            </w:r>
          </w:p>
        </w:tc>
        <w:tc>
          <w:tcPr>
            <w:tcW w:w="860" w:type="dxa"/>
            <w:tcBorders>
              <w:top w:val="nil"/>
              <w:left w:val="nil"/>
              <w:bottom w:val="nil"/>
              <w:right w:val="nil"/>
            </w:tcBorders>
            <w:shd w:val="clear" w:color="auto" w:fill="auto"/>
            <w:noWrap/>
            <w:vAlign w:val="bottom"/>
            <w:hideMark/>
          </w:tcPr>
          <w:p w14:paraId="30EAFAD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-0.1889</w:t>
            </w:r>
          </w:p>
        </w:tc>
        <w:tc>
          <w:tcPr>
            <w:tcW w:w="860" w:type="dxa"/>
            <w:tcBorders>
              <w:top w:val="nil"/>
              <w:left w:val="nil"/>
              <w:bottom w:val="nil"/>
              <w:right w:val="nil"/>
            </w:tcBorders>
            <w:shd w:val="clear" w:color="auto" w:fill="auto"/>
            <w:noWrap/>
            <w:vAlign w:val="bottom"/>
            <w:hideMark/>
          </w:tcPr>
          <w:p w14:paraId="41A5DDA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0.3585</w:t>
            </w:r>
          </w:p>
        </w:tc>
        <w:tc>
          <w:tcPr>
            <w:tcW w:w="967" w:type="dxa"/>
            <w:tcBorders>
              <w:top w:val="nil"/>
              <w:left w:val="nil"/>
              <w:bottom w:val="nil"/>
              <w:right w:val="nil"/>
            </w:tcBorders>
            <w:shd w:val="clear" w:color="auto" w:fill="auto"/>
            <w:noWrap/>
            <w:vAlign w:val="bottom"/>
            <w:hideMark/>
          </w:tcPr>
          <w:p w14:paraId="1335177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0.1350</w:t>
            </w:r>
          </w:p>
        </w:tc>
        <w:tc>
          <w:tcPr>
            <w:tcW w:w="860" w:type="dxa"/>
            <w:tcBorders>
              <w:top w:val="nil"/>
              <w:left w:val="nil"/>
              <w:bottom w:val="nil"/>
              <w:right w:val="nil"/>
            </w:tcBorders>
            <w:shd w:val="clear" w:color="auto" w:fill="auto"/>
            <w:noWrap/>
            <w:vAlign w:val="bottom"/>
            <w:hideMark/>
          </w:tcPr>
          <w:p w14:paraId="76D171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0.6957</w:t>
            </w:r>
          </w:p>
        </w:tc>
        <w:tc>
          <w:tcPr>
            <w:tcW w:w="860" w:type="dxa"/>
            <w:tcBorders>
              <w:top w:val="nil"/>
              <w:left w:val="nil"/>
              <w:bottom w:val="nil"/>
              <w:right w:val="single" w:sz="4" w:space="0" w:color="auto"/>
            </w:tcBorders>
            <w:shd w:val="clear" w:color="auto" w:fill="auto"/>
            <w:noWrap/>
            <w:vAlign w:val="bottom"/>
            <w:hideMark/>
          </w:tcPr>
          <w:p w14:paraId="5BEB6E4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0.0073</w:t>
            </w:r>
          </w:p>
        </w:tc>
        <w:tc>
          <w:tcPr>
            <w:tcW w:w="127" w:type="dxa"/>
            <w:tcBorders>
              <w:top w:val="nil"/>
              <w:left w:val="single" w:sz="4" w:space="0" w:color="auto"/>
              <w:bottom w:val="nil"/>
              <w:right w:val="nil"/>
            </w:tcBorders>
            <w:shd w:val="clear" w:color="auto" w:fill="auto"/>
            <w:noWrap/>
            <w:vAlign w:val="bottom"/>
            <w:hideMark/>
          </w:tcPr>
          <w:p w14:paraId="71F31A45" w14:textId="77777777" w:rsidR="005A4EA3" w:rsidRPr="00B43597" w:rsidRDefault="005A4EA3" w:rsidP="005A4EA3">
            <w:pPr>
              <w:rPr>
                <w:rFonts w:eastAsia="Times New Roman" w:cs="Times New Roman"/>
                <w:color w:val="000000"/>
                <w:sz w:val="18"/>
                <w:szCs w:val="18"/>
              </w:rPr>
            </w:pPr>
          </w:p>
        </w:tc>
      </w:tr>
      <w:tr w:rsidR="005A4EA3" w:rsidRPr="008A78D0" w14:paraId="427A82A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025DE0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01.1.717</w:t>
            </w:r>
          </w:p>
        </w:tc>
        <w:tc>
          <w:tcPr>
            <w:tcW w:w="2074" w:type="dxa"/>
            <w:tcBorders>
              <w:top w:val="nil"/>
              <w:left w:val="single" w:sz="4" w:space="0" w:color="auto"/>
              <w:bottom w:val="nil"/>
              <w:right w:val="single" w:sz="4" w:space="0" w:color="auto"/>
            </w:tcBorders>
            <w:shd w:val="clear" w:color="auto" w:fill="auto"/>
            <w:noWrap/>
            <w:vAlign w:val="bottom"/>
            <w:hideMark/>
          </w:tcPr>
          <w:p w14:paraId="07C49076"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Carrots</w:t>
            </w:r>
          </w:p>
        </w:tc>
        <w:tc>
          <w:tcPr>
            <w:tcW w:w="1153" w:type="dxa"/>
            <w:tcBorders>
              <w:top w:val="nil"/>
              <w:left w:val="single" w:sz="4" w:space="0" w:color="auto"/>
              <w:bottom w:val="nil"/>
              <w:right w:val="nil"/>
            </w:tcBorders>
            <w:shd w:val="clear" w:color="auto" w:fill="auto"/>
            <w:noWrap/>
            <w:vAlign w:val="bottom"/>
            <w:hideMark/>
          </w:tcPr>
          <w:p w14:paraId="1AE6BC6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0.261</w:t>
            </w:r>
          </w:p>
        </w:tc>
        <w:tc>
          <w:tcPr>
            <w:tcW w:w="1289" w:type="dxa"/>
            <w:tcBorders>
              <w:top w:val="nil"/>
              <w:left w:val="nil"/>
              <w:bottom w:val="nil"/>
              <w:right w:val="nil"/>
            </w:tcBorders>
            <w:shd w:val="clear" w:color="auto" w:fill="auto"/>
            <w:noWrap/>
            <w:vAlign w:val="bottom"/>
            <w:hideMark/>
          </w:tcPr>
          <w:p w14:paraId="20D5DA5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0.838</w:t>
            </w:r>
          </w:p>
        </w:tc>
        <w:tc>
          <w:tcPr>
            <w:tcW w:w="967" w:type="dxa"/>
            <w:tcBorders>
              <w:top w:val="nil"/>
              <w:left w:val="nil"/>
              <w:bottom w:val="nil"/>
            </w:tcBorders>
            <w:shd w:val="clear" w:color="auto" w:fill="auto"/>
            <w:noWrap/>
            <w:vAlign w:val="bottom"/>
            <w:hideMark/>
          </w:tcPr>
          <w:p w14:paraId="4724F95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0.8745</w:t>
            </w:r>
          </w:p>
        </w:tc>
        <w:tc>
          <w:tcPr>
            <w:tcW w:w="860" w:type="dxa"/>
            <w:tcBorders>
              <w:top w:val="nil"/>
              <w:bottom w:val="nil"/>
              <w:right w:val="single" w:sz="4" w:space="0" w:color="auto"/>
            </w:tcBorders>
            <w:shd w:val="clear" w:color="auto" w:fill="auto"/>
            <w:noWrap/>
            <w:vAlign w:val="bottom"/>
            <w:hideMark/>
          </w:tcPr>
          <w:p w14:paraId="707D727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0.577</w:t>
            </w:r>
          </w:p>
        </w:tc>
        <w:tc>
          <w:tcPr>
            <w:tcW w:w="967" w:type="dxa"/>
            <w:tcBorders>
              <w:top w:val="nil"/>
              <w:left w:val="single" w:sz="4" w:space="0" w:color="auto"/>
              <w:bottom w:val="nil"/>
              <w:right w:val="nil"/>
            </w:tcBorders>
            <w:shd w:val="clear" w:color="auto" w:fill="auto"/>
            <w:noWrap/>
            <w:vAlign w:val="bottom"/>
            <w:hideMark/>
          </w:tcPr>
          <w:p w14:paraId="179E0BF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-1.3421</w:t>
            </w:r>
          </w:p>
        </w:tc>
        <w:tc>
          <w:tcPr>
            <w:tcW w:w="860" w:type="dxa"/>
            <w:tcBorders>
              <w:top w:val="nil"/>
              <w:left w:val="nil"/>
              <w:bottom w:val="nil"/>
              <w:right w:val="nil"/>
            </w:tcBorders>
            <w:shd w:val="clear" w:color="auto" w:fill="auto"/>
            <w:noWrap/>
            <w:vAlign w:val="bottom"/>
            <w:hideMark/>
          </w:tcPr>
          <w:p w14:paraId="253EB60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-0.1763</w:t>
            </w:r>
          </w:p>
        </w:tc>
        <w:tc>
          <w:tcPr>
            <w:tcW w:w="860" w:type="dxa"/>
            <w:tcBorders>
              <w:top w:val="nil"/>
              <w:left w:val="nil"/>
              <w:bottom w:val="nil"/>
              <w:right w:val="nil"/>
            </w:tcBorders>
            <w:shd w:val="clear" w:color="auto" w:fill="auto"/>
            <w:noWrap/>
            <w:vAlign w:val="bottom"/>
            <w:hideMark/>
          </w:tcPr>
          <w:p w14:paraId="71D9676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1.1658</w:t>
            </w:r>
          </w:p>
        </w:tc>
        <w:tc>
          <w:tcPr>
            <w:tcW w:w="967" w:type="dxa"/>
            <w:tcBorders>
              <w:top w:val="nil"/>
              <w:left w:val="nil"/>
              <w:bottom w:val="nil"/>
              <w:right w:val="nil"/>
            </w:tcBorders>
            <w:shd w:val="clear" w:color="auto" w:fill="auto"/>
            <w:noWrap/>
            <w:vAlign w:val="bottom"/>
            <w:hideMark/>
          </w:tcPr>
          <w:p w14:paraId="3C60E43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-0.1341</w:t>
            </w:r>
          </w:p>
        </w:tc>
        <w:tc>
          <w:tcPr>
            <w:tcW w:w="860" w:type="dxa"/>
            <w:tcBorders>
              <w:top w:val="nil"/>
              <w:left w:val="nil"/>
              <w:bottom w:val="nil"/>
              <w:right w:val="nil"/>
            </w:tcBorders>
            <w:shd w:val="clear" w:color="auto" w:fill="auto"/>
            <w:noWrap/>
            <w:vAlign w:val="bottom"/>
            <w:hideMark/>
          </w:tcPr>
          <w:p w14:paraId="6C1FC6F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0.4950</w:t>
            </w:r>
          </w:p>
        </w:tc>
        <w:tc>
          <w:tcPr>
            <w:tcW w:w="860" w:type="dxa"/>
            <w:tcBorders>
              <w:top w:val="nil"/>
              <w:left w:val="nil"/>
              <w:bottom w:val="nil"/>
              <w:right w:val="single" w:sz="4" w:space="0" w:color="auto"/>
            </w:tcBorders>
            <w:shd w:val="clear" w:color="auto" w:fill="auto"/>
            <w:noWrap/>
            <w:vAlign w:val="bottom"/>
            <w:hideMark/>
          </w:tcPr>
          <w:p w14:paraId="1A20689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0.0052</w:t>
            </w:r>
          </w:p>
        </w:tc>
        <w:tc>
          <w:tcPr>
            <w:tcW w:w="127" w:type="dxa"/>
            <w:tcBorders>
              <w:top w:val="nil"/>
              <w:left w:val="single" w:sz="4" w:space="0" w:color="auto"/>
              <w:bottom w:val="nil"/>
              <w:right w:val="nil"/>
            </w:tcBorders>
            <w:shd w:val="clear" w:color="auto" w:fill="auto"/>
            <w:noWrap/>
            <w:vAlign w:val="bottom"/>
            <w:hideMark/>
          </w:tcPr>
          <w:p w14:paraId="68593CB3" w14:textId="77777777" w:rsidR="005A4EA3" w:rsidRPr="00B43597" w:rsidRDefault="005A4EA3" w:rsidP="005A4EA3">
            <w:pPr>
              <w:rPr>
                <w:rFonts w:eastAsia="Times New Roman" w:cs="Times New Roman"/>
                <w:color w:val="000000"/>
                <w:sz w:val="18"/>
                <w:szCs w:val="18"/>
              </w:rPr>
            </w:pPr>
          </w:p>
        </w:tc>
      </w:tr>
      <w:tr w:rsidR="005A4EA3" w:rsidRPr="008A78D0" w14:paraId="56C13649"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0F43D6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01.1.718</w:t>
            </w:r>
          </w:p>
        </w:tc>
        <w:tc>
          <w:tcPr>
            <w:tcW w:w="2074" w:type="dxa"/>
            <w:tcBorders>
              <w:top w:val="nil"/>
              <w:left w:val="single" w:sz="4" w:space="0" w:color="auto"/>
              <w:bottom w:val="nil"/>
              <w:right w:val="single" w:sz="4" w:space="0" w:color="auto"/>
            </w:tcBorders>
            <w:shd w:val="clear" w:color="auto" w:fill="auto"/>
            <w:noWrap/>
            <w:vAlign w:val="bottom"/>
            <w:hideMark/>
          </w:tcPr>
          <w:p w14:paraId="64E388DA"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Cucumber</w:t>
            </w:r>
          </w:p>
        </w:tc>
        <w:tc>
          <w:tcPr>
            <w:tcW w:w="1153" w:type="dxa"/>
            <w:tcBorders>
              <w:top w:val="nil"/>
              <w:left w:val="single" w:sz="4" w:space="0" w:color="auto"/>
              <w:bottom w:val="nil"/>
              <w:right w:val="nil"/>
            </w:tcBorders>
            <w:shd w:val="clear" w:color="auto" w:fill="auto"/>
            <w:noWrap/>
            <w:vAlign w:val="bottom"/>
            <w:hideMark/>
          </w:tcPr>
          <w:p w14:paraId="080612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0.193</w:t>
            </w:r>
          </w:p>
        </w:tc>
        <w:tc>
          <w:tcPr>
            <w:tcW w:w="1289" w:type="dxa"/>
            <w:tcBorders>
              <w:top w:val="nil"/>
              <w:left w:val="nil"/>
              <w:bottom w:val="nil"/>
              <w:right w:val="nil"/>
            </w:tcBorders>
            <w:shd w:val="clear" w:color="auto" w:fill="auto"/>
            <w:noWrap/>
            <w:vAlign w:val="bottom"/>
            <w:hideMark/>
          </w:tcPr>
          <w:p w14:paraId="6C0083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0.324</w:t>
            </w:r>
          </w:p>
        </w:tc>
        <w:tc>
          <w:tcPr>
            <w:tcW w:w="967" w:type="dxa"/>
            <w:tcBorders>
              <w:top w:val="nil"/>
              <w:left w:val="nil"/>
              <w:bottom w:val="nil"/>
            </w:tcBorders>
            <w:shd w:val="clear" w:color="auto" w:fill="auto"/>
            <w:noWrap/>
            <w:vAlign w:val="bottom"/>
            <w:hideMark/>
          </w:tcPr>
          <w:p w14:paraId="6AB91F4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1.1595</w:t>
            </w:r>
          </w:p>
        </w:tc>
        <w:tc>
          <w:tcPr>
            <w:tcW w:w="860" w:type="dxa"/>
            <w:tcBorders>
              <w:top w:val="nil"/>
              <w:bottom w:val="nil"/>
              <w:right w:val="single" w:sz="4" w:space="0" w:color="auto"/>
            </w:tcBorders>
            <w:shd w:val="clear" w:color="auto" w:fill="auto"/>
            <w:noWrap/>
            <w:vAlign w:val="bottom"/>
            <w:hideMark/>
          </w:tcPr>
          <w:p w14:paraId="5AF18A3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0.131</w:t>
            </w:r>
          </w:p>
        </w:tc>
        <w:tc>
          <w:tcPr>
            <w:tcW w:w="967" w:type="dxa"/>
            <w:tcBorders>
              <w:top w:val="nil"/>
              <w:left w:val="single" w:sz="4" w:space="0" w:color="auto"/>
              <w:bottom w:val="nil"/>
              <w:right w:val="nil"/>
            </w:tcBorders>
            <w:shd w:val="clear" w:color="auto" w:fill="auto"/>
            <w:noWrap/>
            <w:vAlign w:val="bottom"/>
            <w:hideMark/>
          </w:tcPr>
          <w:p w14:paraId="7F50F66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-1.6460</w:t>
            </w:r>
          </w:p>
        </w:tc>
        <w:tc>
          <w:tcPr>
            <w:tcW w:w="860" w:type="dxa"/>
            <w:tcBorders>
              <w:top w:val="nil"/>
              <w:left w:val="nil"/>
              <w:bottom w:val="nil"/>
              <w:right w:val="nil"/>
            </w:tcBorders>
            <w:shd w:val="clear" w:color="auto" w:fill="auto"/>
            <w:noWrap/>
            <w:vAlign w:val="bottom"/>
            <w:hideMark/>
          </w:tcPr>
          <w:p w14:paraId="600A197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-1.1275</w:t>
            </w:r>
          </w:p>
        </w:tc>
        <w:tc>
          <w:tcPr>
            <w:tcW w:w="860" w:type="dxa"/>
            <w:tcBorders>
              <w:top w:val="nil"/>
              <w:left w:val="nil"/>
              <w:bottom w:val="nil"/>
              <w:right w:val="nil"/>
            </w:tcBorders>
            <w:shd w:val="clear" w:color="auto" w:fill="auto"/>
            <w:noWrap/>
            <w:vAlign w:val="bottom"/>
            <w:hideMark/>
          </w:tcPr>
          <w:p w14:paraId="7E7F1BA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0.5186</w:t>
            </w:r>
          </w:p>
        </w:tc>
        <w:tc>
          <w:tcPr>
            <w:tcW w:w="967" w:type="dxa"/>
            <w:tcBorders>
              <w:top w:val="nil"/>
              <w:left w:val="nil"/>
              <w:bottom w:val="nil"/>
              <w:right w:val="nil"/>
            </w:tcBorders>
            <w:shd w:val="clear" w:color="auto" w:fill="auto"/>
            <w:noWrap/>
            <w:vAlign w:val="bottom"/>
            <w:hideMark/>
          </w:tcPr>
          <w:p w14:paraId="6D53DAE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0.1480</w:t>
            </w:r>
          </w:p>
        </w:tc>
        <w:tc>
          <w:tcPr>
            <w:tcW w:w="860" w:type="dxa"/>
            <w:tcBorders>
              <w:top w:val="nil"/>
              <w:left w:val="nil"/>
              <w:bottom w:val="nil"/>
              <w:right w:val="nil"/>
            </w:tcBorders>
            <w:shd w:val="clear" w:color="auto" w:fill="auto"/>
            <w:noWrap/>
            <w:vAlign w:val="bottom"/>
            <w:hideMark/>
          </w:tcPr>
          <w:p w14:paraId="4502EEF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0.2527</w:t>
            </w:r>
          </w:p>
        </w:tc>
        <w:tc>
          <w:tcPr>
            <w:tcW w:w="860" w:type="dxa"/>
            <w:tcBorders>
              <w:top w:val="nil"/>
              <w:left w:val="nil"/>
              <w:bottom w:val="nil"/>
              <w:right w:val="single" w:sz="4" w:space="0" w:color="auto"/>
            </w:tcBorders>
            <w:shd w:val="clear" w:color="auto" w:fill="auto"/>
            <w:noWrap/>
            <w:vAlign w:val="bottom"/>
            <w:hideMark/>
          </w:tcPr>
          <w:p w14:paraId="1C9597F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0.0026</w:t>
            </w:r>
          </w:p>
        </w:tc>
        <w:tc>
          <w:tcPr>
            <w:tcW w:w="127" w:type="dxa"/>
            <w:tcBorders>
              <w:top w:val="nil"/>
              <w:left w:val="single" w:sz="4" w:space="0" w:color="auto"/>
              <w:bottom w:val="nil"/>
              <w:right w:val="nil"/>
            </w:tcBorders>
            <w:shd w:val="clear" w:color="auto" w:fill="auto"/>
            <w:noWrap/>
            <w:vAlign w:val="bottom"/>
            <w:hideMark/>
          </w:tcPr>
          <w:p w14:paraId="31F31D8B" w14:textId="77777777" w:rsidR="005A4EA3" w:rsidRPr="00B43597" w:rsidRDefault="005A4EA3" w:rsidP="005A4EA3">
            <w:pPr>
              <w:rPr>
                <w:rFonts w:eastAsia="Times New Roman" w:cs="Times New Roman"/>
                <w:color w:val="000000"/>
                <w:sz w:val="18"/>
                <w:szCs w:val="18"/>
              </w:rPr>
            </w:pPr>
          </w:p>
        </w:tc>
      </w:tr>
      <w:tr w:rsidR="005A4EA3" w:rsidRPr="008A78D0" w14:paraId="7A06655D"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D4C71B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01.1.719</w:t>
            </w:r>
          </w:p>
        </w:tc>
        <w:tc>
          <w:tcPr>
            <w:tcW w:w="2074" w:type="dxa"/>
            <w:tcBorders>
              <w:top w:val="nil"/>
              <w:left w:val="single" w:sz="4" w:space="0" w:color="auto"/>
              <w:bottom w:val="nil"/>
              <w:right w:val="single" w:sz="4" w:space="0" w:color="auto"/>
            </w:tcBorders>
            <w:shd w:val="clear" w:color="auto" w:fill="auto"/>
            <w:noWrap/>
            <w:vAlign w:val="bottom"/>
            <w:hideMark/>
          </w:tcPr>
          <w:p w14:paraId="08B3B2E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Cassava</w:t>
            </w:r>
          </w:p>
        </w:tc>
        <w:tc>
          <w:tcPr>
            <w:tcW w:w="1153" w:type="dxa"/>
            <w:tcBorders>
              <w:top w:val="nil"/>
              <w:left w:val="single" w:sz="4" w:space="0" w:color="auto"/>
              <w:bottom w:val="nil"/>
              <w:right w:val="nil"/>
            </w:tcBorders>
            <w:shd w:val="clear" w:color="auto" w:fill="auto"/>
            <w:noWrap/>
            <w:vAlign w:val="bottom"/>
            <w:hideMark/>
          </w:tcPr>
          <w:p w14:paraId="70E41D7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0.373</w:t>
            </w:r>
          </w:p>
        </w:tc>
        <w:tc>
          <w:tcPr>
            <w:tcW w:w="1289" w:type="dxa"/>
            <w:tcBorders>
              <w:top w:val="nil"/>
              <w:left w:val="nil"/>
              <w:bottom w:val="nil"/>
              <w:right w:val="nil"/>
            </w:tcBorders>
            <w:shd w:val="clear" w:color="auto" w:fill="auto"/>
            <w:noWrap/>
            <w:vAlign w:val="bottom"/>
            <w:hideMark/>
          </w:tcPr>
          <w:p w14:paraId="7A4A4E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0.474</w:t>
            </w:r>
          </w:p>
        </w:tc>
        <w:tc>
          <w:tcPr>
            <w:tcW w:w="967" w:type="dxa"/>
            <w:tcBorders>
              <w:top w:val="nil"/>
              <w:left w:val="nil"/>
              <w:bottom w:val="nil"/>
            </w:tcBorders>
            <w:shd w:val="clear" w:color="auto" w:fill="auto"/>
            <w:noWrap/>
            <w:vAlign w:val="bottom"/>
            <w:hideMark/>
          </w:tcPr>
          <w:p w14:paraId="0FBBAF0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1.4207</w:t>
            </w:r>
          </w:p>
        </w:tc>
        <w:tc>
          <w:tcPr>
            <w:tcW w:w="860" w:type="dxa"/>
            <w:tcBorders>
              <w:top w:val="nil"/>
              <w:bottom w:val="nil"/>
              <w:right w:val="single" w:sz="4" w:space="0" w:color="auto"/>
            </w:tcBorders>
            <w:shd w:val="clear" w:color="auto" w:fill="auto"/>
            <w:noWrap/>
            <w:vAlign w:val="bottom"/>
            <w:hideMark/>
          </w:tcPr>
          <w:p w14:paraId="2E35AD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0.101</w:t>
            </w:r>
          </w:p>
        </w:tc>
        <w:tc>
          <w:tcPr>
            <w:tcW w:w="967" w:type="dxa"/>
            <w:tcBorders>
              <w:top w:val="nil"/>
              <w:left w:val="single" w:sz="4" w:space="0" w:color="auto"/>
              <w:bottom w:val="nil"/>
              <w:right w:val="nil"/>
            </w:tcBorders>
            <w:shd w:val="clear" w:color="auto" w:fill="auto"/>
            <w:noWrap/>
            <w:vAlign w:val="bottom"/>
            <w:hideMark/>
          </w:tcPr>
          <w:p w14:paraId="5C4B16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-0.9863</w:t>
            </w:r>
          </w:p>
        </w:tc>
        <w:tc>
          <w:tcPr>
            <w:tcW w:w="860" w:type="dxa"/>
            <w:tcBorders>
              <w:top w:val="nil"/>
              <w:left w:val="nil"/>
              <w:bottom w:val="nil"/>
              <w:right w:val="nil"/>
            </w:tcBorders>
            <w:shd w:val="clear" w:color="auto" w:fill="auto"/>
            <w:noWrap/>
            <w:vAlign w:val="bottom"/>
            <w:hideMark/>
          </w:tcPr>
          <w:p w14:paraId="47A34A6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-0.7465</w:t>
            </w:r>
          </w:p>
        </w:tc>
        <w:tc>
          <w:tcPr>
            <w:tcW w:w="860" w:type="dxa"/>
            <w:tcBorders>
              <w:top w:val="nil"/>
              <w:left w:val="nil"/>
              <w:bottom w:val="nil"/>
              <w:right w:val="nil"/>
            </w:tcBorders>
            <w:shd w:val="clear" w:color="auto" w:fill="auto"/>
            <w:noWrap/>
            <w:vAlign w:val="bottom"/>
            <w:hideMark/>
          </w:tcPr>
          <w:p w14:paraId="5E6B629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0.2399</w:t>
            </w:r>
          </w:p>
        </w:tc>
        <w:tc>
          <w:tcPr>
            <w:tcW w:w="967" w:type="dxa"/>
            <w:tcBorders>
              <w:top w:val="nil"/>
              <w:left w:val="nil"/>
              <w:bottom w:val="nil"/>
              <w:right w:val="nil"/>
            </w:tcBorders>
            <w:shd w:val="clear" w:color="auto" w:fill="auto"/>
            <w:noWrap/>
            <w:vAlign w:val="bottom"/>
            <w:hideMark/>
          </w:tcPr>
          <w:p w14:paraId="58B1DB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0.3512</w:t>
            </w:r>
          </w:p>
        </w:tc>
        <w:tc>
          <w:tcPr>
            <w:tcW w:w="860" w:type="dxa"/>
            <w:tcBorders>
              <w:top w:val="nil"/>
              <w:left w:val="nil"/>
              <w:bottom w:val="nil"/>
              <w:right w:val="nil"/>
            </w:tcBorders>
            <w:shd w:val="clear" w:color="auto" w:fill="auto"/>
            <w:noWrap/>
            <w:vAlign w:val="bottom"/>
            <w:hideMark/>
          </w:tcPr>
          <w:p w14:paraId="3A36E56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0.4215</w:t>
            </w:r>
          </w:p>
        </w:tc>
        <w:tc>
          <w:tcPr>
            <w:tcW w:w="860" w:type="dxa"/>
            <w:tcBorders>
              <w:top w:val="nil"/>
              <w:left w:val="nil"/>
              <w:bottom w:val="nil"/>
              <w:right w:val="single" w:sz="4" w:space="0" w:color="auto"/>
            </w:tcBorders>
            <w:shd w:val="clear" w:color="auto" w:fill="auto"/>
            <w:noWrap/>
            <w:vAlign w:val="bottom"/>
            <w:hideMark/>
          </w:tcPr>
          <w:p w14:paraId="670B5E6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0.0044</w:t>
            </w:r>
          </w:p>
        </w:tc>
        <w:tc>
          <w:tcPr>
            <w:tcW w:w="127" w:type="dxa"/>
            <w:tcBorders>
              <w:top w:val="nil"/>
              <w:left w:val="single" w:sz="4" w:space="0" w:color="auto"/>
              <w:bottom w:val="nil"/>
              <w:right w:val="nil"/>
            </w:tcBorders>
            <w:shd w:val="clear" w:color="auto" w:fill="auto"/>
            <w:noWrap/>
            <w:vAlign w:val="bottom"/>
            <w:hideMark/>
          </w:tcPr>
          <w:p w14:paraId="3A30B7C2" w14:textId="77777777" w:rsidR="005A4EA3" w:rsidRPr="00B43597" w:rsidRDefault="005A4EA3" w:rsidP="005A4EA3">
            <w:pPr>
              <w:rPr>
                <w:rFonts w:eastAsia="Times New Roman" w:cs="Times New Roman"/>
                <w:color w:val="000000"/>
                <w:sz w:val="18"/>
                <w:szCs w:val="18"/>
              </w:rPr>
            </w:pPr>
          </w:p>
        </w:tc>
      </w:tr>
      <w:tr w:rsidR="005A4EA3" w:rsidRPr="008A78D0" w14:paraId="49A4E6C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26BA37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01.1.720</w:t>
            </w:r>
          </w:p>
        </w:tc>
        <w:tc>
          <w:tcPr>
            <w:tcW w:w="2074" w:type="dxa"/>
            <w:tcBorders>
              <w:top w:val="nil"/>
              <w:left w:val="single" w:sz="4" w:space="0" w:color="auto"/>
              <w:bottom w:val="nil"/>
              <w:right w:val="single" w:sz="4" w:space="0" w:color="auto"/>
            </w:tcBorders>
            <w:shd w:val="clear" w:color="auto" w:fill="auto"/>
            <w:noWrap/>
            <w:vAlign w:val="bottom"/>
            <w:hideMark/>
          </w:tcPr>
          <w:p w14:paraId="566AB75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Eddoes</w:t>
            </w:r>
          </w:p>
        </w:tc>
        <w:tc>
          <w:tcPr>
            <w:tcW w:w="1153" w:type="dxa"/>
            <w:tcBorders>
              <w:top w:val="nil"/>
              <w:left w:val="single" w:sz="4" w:space="0" w:color="auto"/>
              <w:bottom w:val="nil"/>
              <w:right w:val="nil"/>
            </w:tcBorders>
            <w:shd w:val="clear" w:color="auto" w:fill="auto"/>
            <w:noWrap/>
            <w:vAlign w:val="bottom"/>
            <w:hideMark/>
          </w:tcPr>
          <w:p w14:paraId="570762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0.627</w:t>
            </w:r>
          </w:p>
        </w:tc>
        <w:tc>
          <w:tcPr>
            <w:tcW w:w="1289" w:type="dxa"/>
            <w:tcBorders>
              <w:top w:val="nil"/>
              <w:left w:val="nil"/>
              <w:bottom w:val="nil"/>
              <w:right w:val="nil"/>
            </w:tcBorders>
            <w:shd w:val="clear" w:color="auto" w:fill="auto"/>
            <w:noWrap/>
            <w:vAlign w:val="bottom"/>
            <w:hideMark/>
          </w:tcPr>
          <w:p w14:paraId="516A5F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0.678</w:t>
            </w:r>
          </w:p>
        </w:tc>
        <w:tc>
          <w:tcPr>
            <w:tcW w:w="967" w:type="dxa"/>
            <w:tcBorders>
              <w:top w:val="nil"/>
              <w:left w:val="nil"/>
              <w:bottom w:val="nil"/>
            </w:tcBorders>
            <w:shd w:val="clear" w:color="auto" w:fill="auto"/>
            <w:noWrap/>
            <w:vAlign w:val="bottom"/>
            <w:hideMark/>
          </w:tcPr>
          <w:p w14:paraId="78D44B6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1.2815</w:t>
            </w:r>
          </w:p>
        </w:tc>
        <w:tc>
          <w:tcPr>
            <w:tcW w:w="860" w:type="dxa"/>
            <w:tcBorders>
              <w:top w:val="nil"/>
              <w:bottom w:val="nil"/>
              <w:right w:val="single" w:sz="4" w:space="0" w:color="auto"/>
            </w:tcBorders>
            <w:shd w:val="clear" w:color="auto" w:fill="auto"/>
            <w:noWrap/>
            <w:vAlign w:val="bottom"/>
            <w:hideMark/>
          </w:tcPr>
          <w:p w14:paraId="035E6B2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0.051</w:t>
            </w:r>
          </w:p>
        </w:tc>
        <w:tc>
          <w:tcPr>
            <w:tcW w:w="967" w:type="dxa"/>
            <w:tcBorders>
              <w:top w:val="nil"/>
              <w:left w:val="single" w:sz="4" w:space="0" w:color="auto"/>
              <w:bottom w:val="nil"/>
              <w:right w:val="nil"/>
            </w:tcBorders>
            <w:shd w:val="clear" w:color="auto" w:fill="auto"/>
            <w:noWrap/>
            <w:vAlign w:val="bottom"/>
            <w:hideMark/>
          </w:tcPr>
          <w:p w14:paraId="5841162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-0.4674</w:t>
            </w:r>
          </w:p>
        </w:tc>
        <w:tc>
          <w:tcPr>
            <w:tcW w:w="860" w:type="dxa"/>
            <w:tcBorders>
              <w:top w:val="nil"/>
              <w:left w:val="nil"/>
              <w:bottom w:val="nil"/>
              <w:right w:val="nil"/>
            </w:tcBorders>
            <w:shd w:val="clear" w:color="auto" w:fill="auto"/>
            <w:noWrap/>
            <w:vAlign w:val="bottom"/>
            <w:hideMark/>
          </w:tcPr>
          <w:p w14:paraId="53FA9F7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-0.3884</w:t>
            </w:r>
          </w:p>
        </w:tc>
        <w:tc>
          <w:tcPr>
            <w:tcW w:w="860" w:type="dxa"/>
            <w:tcBorders>
              <w:top w:val="nil"/>
              <w:left w:val="nil"/>
              <w:bottom w:val="nil"/>
              <w:right w:val="nil"/>
            </w:tcBorders>
            <w:shd w:val="clear" w:color="auto" w:fill="auto"/>
            <w:noWrap/>
            <w:vAlign w:val="bottom"/>
            <w:hideMark/>
          </w:tcPr>
          <w:p w14:paraId="50C584C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0.0790</w:t>
            </w:r>
          </w:p>
        </w:tc>
        <w:tc>
          <w:tcPr>
            <w:tcW w:w="967" w:type="dxa"/>
            <w:tcBorders>
              <w:top w:val="nil"/>
              <w:left w:val="nil"/>
              <w:bottom w:val="nil"/>
              <w:right w:val="nil"/>
            </w:tcBorders>
            <w:shd w:val="clear" w:color="auto" w:fill="auto"/>
            <w:noWrap/>
            <w:vAlign w:val="bottom"/>
            <w:hideMark/>
          </w:tcPr>
          <w:p w14:paraId="4482D41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0.2480</w:t>
            </w:r>
          </w:p>
        </w:tc>
        <w:tc>
          <w:tcPr>
            <w:tcW w:w="860" w:type="dxa"/>
            <w:tcBorders>
              <w:top w:val="nil"/>
              <w:left w:val="nil"/>
              <w:bottom w:val="nil"/>
              <w:right w:val="nil"/>
            </w:tcBorders>
            <w:shd w:val="clear" w:color="auto" w:fill="auto"/>
            <w:noWrap/>
            <w:vAlign w:val="bottom"/>
            <w:hideMark/>
          </w:tcPr>
          <w:p w14:paraId="6A0FCA2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0.6520</w:t>
            </w:r>
          </w:p>
        </w:tc>
        <w:tc>
          <w:tcPr>
            <w:tcW w:w="860" w:type="dxa"/>
            <w:tcBorders>
              <w:top w:val="nil"/>
              <w:left w:val="nil"/>
              <w:bottom w:val="nil"/>
              <w:right w:val="single" w:sz="4" w:space="0" w:color="auto"/>
            </w:tcBorders>
            <w:shd w:val="clear" w:color="auto" w:fill="auto"/>
            <w:noWrap/>
            <w:vAlign w:val="bottom"/>
            <w:hideMark/>
          </w:tcPr>
          <w:p w14:paraId="7ACC0D4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0.0068</w:t>
            </w:r>
          </w:p>
        </w:tc>
        <w:tc>
          <w:tcPr>
            <w:tcW w:w="127" w:type="dxa"/>
            <w:tcBorders>
              <w:top w:val="nil"/>
              <w:left w:val="single" w:sz="4" w:space="0" w:color="auto"/>
              <w:bottom w:val="nil"/>
              <w:right w:val="nil"/>
            </w:tcBorders>
            <w:shd w:val="clear" w:color="auto" w:fill="auto"/>
            <w:noWrap/>
            <w:vAlign w:val="bottom"/>
            <w:hideMark/>
          </w:tcPr>
          <w:p w14:paraId="0126D423" w14:textId="77777777" w:rsidR="005A4EA3" w:rsidRPr="00B43597" w:rsidRDefault="005A4EA3" w:rsidP="005A4EA3">
            <w:pPr>
              <w:rPr>
                <w:rFonts w:eastAsia="Times New Roman" w:cs="Times New Roman"/>
                <w:color w:val="000000"/>
                <w:sz w:val="18"/>
                <w:szCs w:val="18"/>
              </w:rPr>
            </w:pPr>
          </w:p>
        </w:tc>
      </w:tr>
      <w:tr w:rsidR="005A4EA3" w:rsidRPr="008A78D0" w14:paraId="0520211A"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35621D"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01.1.721</w:t>
            </w:r>
          </w:p>
        </w:tc>
        <w:tc>
          <w:tcPr>
            <w:tcW w:w="2074" w:type="dxa"/>
            <w:tcBorders>
              <w:top w:val="nil"/>
              <w:left w:val="single" w:sz="4" w:space="0" w:color="auto"/>
              <w:bottom w:val="nil"/>
              <w:right w:val="single" w:sz="4" w:space="0" w:color="auto"/>
            </w:tcBorders>
            <w:shd w:val="clear" w:color="auto" w:fill="auto"/>
            <w:noWrap/>
            <w:vAlign w:val="bottom"/>
            <w:hideMark/>
          </w:tcPr>
          <w:p w14:paraId="5901DC5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White potatoes</w:t>
            </w:r>
          </w:p>
        </w:tc>
        <w:tc>
          <w:tcPr>
            <w:tcW w:w="1153" w:type="dxa"/>
            <w:tcBorders>
              <w:top w:val="nil"/>
              <w:left w:val="single" w:sz="4" w:space="0" w:color="auto"/>
              <w:bottom w:val="nil"/>
              <w:right w:val="nil"/>
            </w:tcBorders>
            <w:shd w:val="clear" w:color="auto" w:fill="auto"/>
            <w:noWrap/>
            <w:vAlign w:val="bottom"/>
            <w:hideMark/>
          </w:tcPr>
          <w:p w14:paraId="376E950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1.816</w:t>
            </w:r>
          </w:p>
        </w:tc>
        <w:tc>
          <w:tcPr>
            <w:tcW w:w="1289" w:type="dxa"/>
            <w:tcBorders>
              <w:top w:val="nil"/>
              <w:left w:val="nil"/>
              <w:bottom w:val="nil"/>
              <w:right w:val="nil"/>
            </w:tcBorders>
            <w:shd w:val="clear" w:color="auto" w:fill="auto"/>
            <w:noWrap/>
            <w:vAlign w:val="bottom"/>
            <w:hideMark/>
          </w:tcPr>
          <w:p w14:paraId="2856FEF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1.541</w:t>
            </w:r>
          </w:p>
        </w:tc>
        <w:tc>
          <w:tcPr>
            <w:tcW w:w="967" w:type="dxa"/>
            <w:tcBorders>
              <w:top w:val="nil"/>
              <w:left w:val="nil"/>
              <w:bottom w:val="nil"/>
            </w:tcBorders>
            <w:shd w:val="clear" w:color="auto" w:fill="auto"/>
            <w:noWrap/>
            <w:vAlign w:val="bottom"/>
            <w:hideMark/>
          </w:tcPr>
          <w:p w14:paraId="2C7FF4A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2.1072</w:t>
            </w:r>
          </w:p>
        </w:tc>
        <w:tc>
          <w:tcPr>
            <w:tcW w:w="860" w:type="dxa"/>
            <w:tcBorders>
              <w:top w:val="nil"/>
              <w:bottom w:val="nil"/>
              <w:right w:val="single" w:sz="4" w:space="0" w:color="auto"/>
            </w:tcBorders>
            <w:shd w:val="clear" w:color="auto" w:fill="auto"/>
            <w:noWrap/>
            <w:vAlign w:val="bottom"/>
            <w:hideMark/>
          </w:tcPr>
          <w:p w14:paraId="43D9FAA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-0.276</w:t>
            </w:r>
          </w:p>
        </w:tc>
        <w:tc>
          <w:tcPr>
            <w:tcW w:w="967" w:type="dxa"/>
            <w:tcBorders>
              <w:top w:val="nil"/>
              <w:left w:val="single" w:sz="4" w:space="0" w:color="auto"/>
              <w:bottom w:val="nil"/>
              <w:right w:val="nil"/>
            </w:tcBorders>
            <w:shd w:val="clear" w:color="auto" w:fill="auto"/>
            <w:noWrap/>
            <w:vAlign w:val="bottom"/>
            <w:hideMark/>
          </w:tcPr>
          <w:p w14:paraId="1C7254F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0.5969</w:t>
            </w:r>
          </w:p>
        </w:tc>
        <w:tc>
          <w:tcPr>
            <w:tcW w:w="860" w:type="dxa"/>
            <w:tcBorders>
              <w:top w:val="nil"/>
              <w:left w:val="nil"/>
              <w:bottom w:val="nil"/>
              <w:right w:val="nil"/>
            </w:tcBorders>
            <w:shd w:val="clear" w:color="auto" w:fill="auto"/>
            <w:noWrap/>
            <w:vAlign w:val="bottom"/>
            <w:hideMark/>
          </w:tcPr>
          <w:p w14:paraId="6931DE8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0.4322</w:t>
            </w:r>
          </w:p>
        </w:tc>
        <w:tc>
          <w:tcPr>
            <w:tcW w:w="860" w:type="dxa"/>
            <w:tcBorders>
              <w:top w:val="nil"/>
              <w:left w:val="nil"/>
              <w:bottom w:val="nil"/>
              <w:right w:val="nil"/>
            </w:tcBorders>
            <w:shd w:val="clear" w:color="auto" w:fill="auto"/>
            <w:noWrap/>
            <w:vAlign w:val="bottom"/>
            <w:hideMark/>
          </w:tcPr>
          <w:p w14:paraId="393271E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-0.1647</w:t>
            </w:r>
          </w:p>
        </w:tc>
        <w:tc>
          <w:tcPr>
            <w:tcW w:w="967" w:type="dxa"/>
            <w:tcBorders>
              <w:top w:val="nil"/>
              <w:left w:val="nil"/>
              <w:bottom w:val="nil"/>
              <w:right w:val="nil"/>
            </w:tcBorders>
            <w:shd w:val="clear" w:color="auto" w:fill="auto"/>
            <w:noWrap/>
            <w:vAlign w:val="bottom"/>
            <w:hideMark/>
          </w:tcPr>
          <w:p w14:paraId="5F487FB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0.7454</w:t>
            </w:r>
          </w:p>
        </w:tc>
        <w:tc>
          <w:tcPr>
            <w:tcW w:w="860" w:type="dxa"/>
            <w:tcBorders>
              <w:top w:val="nil"/>
              <w:left w:val="nil"/>
              <w:bottom w:val="nil"/>
              <w:right w:val="nil"/>
            </w:tcBorders>
            <w:shd w:val="clear" w:color="auto" w:fill="auto"/>
            <w:noWrap/>
            <w:vAlign w:val="bottom"/>
            <w:hideMark/>
          </w:tcPr>
          <w:p w14:paraId="7B5940C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1.6748</w:t>
            </w:r>
          </w:p>
        </w:tc>
        <w:tc>
          <w:tcPr>
            <w:tcW w:w="860" w:type="dxa"/>
            <w:tcBorders>
              <w:top w:val="nil"/>
              <w:left w:val="nil"/>
              <w:bottom w:val="nil"/>
              <w:right w:val="single" w:sz="4" w:space="0" w:color="auto"/>
            </w:tcBorders>
            <w:shd w:val="clear" w:color="auto" w:fill="auto"/>
            <w:noWrap/>
            <w:vAlign w:val="bottom"/>
            <w:hideMark/>
          </w:tcPr>
          <w:p w14:paraId="2A184C8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0.0175</w:t>
            </w:r>
          </w:p>
        </w:tc>
        <w:tc>
          <w:tcPr>
            <w:tcW w:w="127" w:type="dxa"/>
            <w:tcBorders>
              <w:top w:val="nil"/>
              <w:left w:val="single" w:sz="4" w:space="0" w:color="auto"/>
              <w:bottom w:val="nil"/>
              <w:right w:val="nil"/>
            </w:tcBorders>
            <w:shd w:val="clear" w:color="auto" w:fill="auto"/>
            <w:noWrap/>
            <w:vAlign w:val="bottom"/>
            <w:hideMark/>
          </w:tcPr>
          <w:p w14:paraId="013C65F5" w14:textId="77777777" w:rsidR="005A4EA3" w:rsidRPr="00B43597" w:rsidRDefault="005A4EA3" w:rsidP="005A4EA3">
            <w:pPr>
              <w:rPr>
                <w:rFonts w:eastAsia="Times New Roman" w:cs="Times New Roman"/>
                <w:color w:val="000000"/>
                <w:sz w:val="18"/>
                <w:szCs w:val="18"/>
              </w:rPr>
            </w:pPr>
          </w:p>
        </w:tc>
      </w:tr>
      <w:tr w:rsidR="005A4EA3" w:rsidRPr="008A78D0" w14:paraId="767B082B"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CA2A5A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01.1.801</w:t>
            </w:r>
          </w:p>
        </w:tc>
        <w:tc>
          <w:tcPr>
            <w:tcW w:w="2074" w:type="dxa"/>
            <w:tcBorders>
              <w:top w:val="nil"/>
              <w:left w:val="single" w:sz="4" w:space="0" w:color="auto"/>
              <w:bottom w:val="nil"/>
              <w:right w:val="single" w:sz="4" w:space="0" w:color="auto"/>
            </w:tcBorders>
            <w:shd w:val="clear" w:color="auto" w:fill="auto"/>
            <w:noWrap/>
            <w:vAlign w:val="bottom"/>
            <w:hideMark/>
          </w:tcPr>
          <w:p w14:paraId="46BA00B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Sugar (</w:t>
            </w:r>
            <w:proofErr w:type="gramStart"/>
            <w:r w:rsidRPr="00B43597">
              <w:rPr>
                <w:rFonts w:eastAsia="Times New Roman" w:cs="Times New Roman"/>
                <w:color w:val="000000"/>
                <w:sz w:val="18"/>
                <w:szCs w:val="18"/>
              </w:rPr>
              <w:t>dark )</w:t>
            </w:r>
            <w:proofErr w:type="gramEnd"/>
          </w:p>
        </w:tc>
        <w:tc>
          <w:tcPr>
            <w:tcW w:w="1153" w:type="dxa"/>
            <w:tcBorders>
              <w:top w:val="nil"/>
              <w:left w:val="single" w:sz="4" w:space="0" w:color="auto"/>
              <w:bottom w:val="nil"/>
              <w:right w:val="nil"/>
            </w:tcBorders>
            <w:shd w:val="clear" w:color="auto" w:fill="auto"/>
            <w:noWrap/>
            <w:vAlign w:val="bottom"/>
            <w:hideMark/>
          </w:tcPr>
          <w:p w14:paraId="68BB6A6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4.627</w:t>
            </w:r>
          </w:p>
        </w:tc>
        <w:tc>
          <w:tcPr>
            <w:tcW w:w="1289" w:type="dxa"/>
            <w:tcBorders>
              <w:top w:val="nil"/>
              <w:left w:val="nil"/>
              <w:bottom w:val="nil"/>
              <w:right w:val="nil"/>
            </w:tcBorders>
            <w:shd w:val="clear" w:color="auto" w:fill="auto"/>
            <w:noWrap/>
            <w:vAlign w:val="bottom"/>
            <w:hideMark/>
          </w:tcPr>
          <w:p w14:paraId="78ED515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2.569</w:t>
            </w:r>
          </w:p>
        </w:tc>
        <w:tc>
          <w:tcPr>
            <w:tcW w:w="967" w:type="dxa"/>
            <w:tcBorders>
              <w:top w:val="nil"/>
              <w:left w:val="nil"/>
              <w:bottom w:val="nil"/>
            </w:tcBorders>
            <w:shd w:val="clear" w:color="auto" w:fill="auto"/>
            <w:noWrap/>
            <w:vAlign w:val="bottom"/>
            <w:hideMark/>
          </w:tcPr>
          <w:p w14:paraId="4356A7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1.0136</w:t>
            </w:r>
          </w:p>
        </w:tc>
        <w:tc>
          <w:tcPr>
            <w:tcW w:w="860" w:type="dxa"/>
            <w:tcBorders>
              <w:top w:val="nil"/>
              <w:bottom w:val="nil"/>
              <w:right w:val="single" w:sz="4" w:space="0" w:color="auto"/>
            </w:tcBorders>
            <w:shd w:val="clear" w:color="auto" w:fill="auto"/>
            <w:noWrap/>
            <w:vAlign w:val="bottom"/>
            <w:hideMark/>
          </w:tcPr>
          <w:p w14:paraId="6E53E1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-2.058</w:t>
            </w:r>
          </w:p>
        </w:tc>
        <w:tc>
          <w:tcPr>
            <w:tcW w:w="967" w:type="dxa"/>
            <w:tcBorders>
              <w:top w:val="nil"/>
              <w:left w:val="single" w:sz="4" w:space="0" w:color="auto"/>
              <w:bottom w:val="nil"/>
              <w:right w:val="nil"/>
            </w:tcBorders>
            <w:shd w:val="clear" w:color="auto" w:fill="auto"/>
            <w:noWrap/>
            <w:vAlign w:val="bottom"/>
            <w:hideMark/>
          </w:tcPr>
          <w:p w14:paraId="2304E9D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1.5320</w:t>
            </w:r>
          </w:p>
        </w:tc>
        <w:tc>
          <w:tcPr>
            <w:tcW w:w="860" w:type="dxa"/>
            <w:tcBorders>
              <w:top w:val="nil"/>
              <w:left w:val="nil"/>
              <w:bottom w:val="nil"/>
              <w:right w:val="nil"/>
            </w:tcBorders>
            <w:shd w:val="clear" w:color="auto" w:fill="auto"/>
            <w:noWrap/>
            <w:vAlign w:val="bottom"/>
            <w:hideMark/>
          </w:tcPr>
          <w:p w14:paraId="0E8C724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0.9436</w:t>
            </w:r>
          </w:p>
        </w:tc>
        <w:tc>
          <w:tcPr>
            <w:tcW w:w="860" w:type="dxa"/>
            <w:tcBorders>
              <w:top w:val="nil"/>
              <w:left w:val="nil"/>
              <w:bottom w:val="nil"/>
              <w:right w:val="nil"/>
            </w:tcBorders>
            <w:shd w:val="clear" w:color="auto" w:fill="auto"/>
            <w:noWrap/>
            <w:vAlign w:val="bottom"/>
            <w:hideMark/>
          </w:tcPr>
          <w:p w14:paraId="3D08704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-0.5884</w:t>
            </w:r>
          </w:p>
        </w:tc>
        <w:tc>
          <w:tcPr>
            <w:tcW w:w="967" w:type="dxa"/>
            <w:tcBorders>
              <w:top w:val="nil"/>
              <w:left w:val="nil"/>
              <w:bottom w:val="nil"/>
              <w:right w:val="nil"/>
            </w:tcBorders>
            <w:shd w:val="clear" w:color="auto" w:fill="auto"/>
            <w:noWrap/>
            <w:vAlign w:val="bottom"/>
            <w:hideMark/>
          </w:tcPr>
          <w:p w14:paraId="07C7F18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0.0135</w:t>
            </w:r>
          </w:p>
        </w:tc>
        <w:tc>
          <w:tcPr>
            <w:tcW w:w="860" w:type="dxa"/>
            <w:tcBorders>
              <w:top w:val="nil"/>
              <w:left w:val="nil"/>
              <w:bottom w:val="nil"/>
              <w:right w:val="nil"/>
            </w:tcBorders>
            <w:shd w:val="clear" w:color="auto" w:fill="auto"/>
            <w:noWrap/>
            <w:vAlign w:val="bottom"/>
            <w:hideMark/>
          </w:tcPr>
          <w:p w14:paraId="1C8A193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3.4980</w:t>
            </w:r>
          </w:p>
        </w:tc>
        <w:tc>
          <w:tcPr>
            <w:tcW w:w="860" w:type="dxa"/>
            <w:tcBorders>
              <w:top w:val="nil"/>
              <w:left w:val="nil"/>
              <w:bottom w:val="nil"/>
              <w:right w:val="single" w:sz="4" w:space="0" w:color="auto"/>
            </w:tcBorders>
            <w:shd w:val="clear" w:color="auto" w:fill="auto"/>
            <w:noWrap/>
            <w:vAlign w:val="bottom"/>
            <w:hideMark/>
          </w:tcPr>
          <w:p w14:paraId="78F73EC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0.0365</w:t>
            </w:r>
          </w:p>
        </w:tc>
        <w:tc>
          <w:tcPr>
            <w:tcW w:w="127" w:type="dxa"/>
            <w:tcBorders>
              <w:top w:val="nil"/>
              <w:left w:val="single" w:sz="4" w:space="0" w:color="auto"/>
              <w:bottom w:val="nil"/>
              <w:right w:val="nil"/>
            </w:tcBorders>
            <w:shd w:val="clear" w:color="auto" w:fill="auto"/>
            <w:noWrap/>
            <w:vAlign w:val="bottom"/>
            <w:hideMark/>
          </w:tcPr>
          <w:p w14:paraId="402F6D25" w14:textId="77777777" w:rsidR="005A4EA3" w:rsidRPr="00B43597" w:rsidRDefault="005A4EA3" w:rsidP="005A4EA3">
            <w:pPr>
              <w:rPr>
                <w:rFonts w:eastAsia="Times New Roman" w:cs="Times New Roman"/>
                <w:color w:val="000000"/>
                <w:sz w:val="18"/>
                <w:szCs w:val="18"/>
              </w:rPr>
            </w:pPr>
          </w:p>
        </w:tc>
      </w:tr>
      <w:tr w:rsidR="005A4EA3" w:rsidRPr="008A78D0" w14:paraId="3B9383E2"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8F550C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01.1.802</w:t>
            </w:r>
          </w:p>
        </w:tc>
        <w:tc>
          <w:tcPr>
            <w:tcW w:w="2074" w:type="dxa"/>
            <w:tcBorders>
              <w:top w:val="nil"/>
              <w:left w:val="single" w:sz="4" w:space="0" w:color="auto"/>
              <w:bottom w:val="nil"/>
              <w:right w:val="single" w:sz="4" w:space="0" w:color="auto"/>
            </w:tcBorders>
            <w:shd w:val="clear" w:color="auto" w:fill="auto"/>
            <w:noWrap/>
            <w:vAlign w:val="bottom"/>
            <w:hideMark/>
          </w:tcPr>
          <w:p w14:paraId="2627F52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Sweets</w:t>
            </w:r>
          </w:p>
        </w:tc>
        <w:tc>
          <w:tcPr>
            <w:tcW w:w="1153" w:type="dxa"/>
            <w:tcBorders>
              <w:top w:val="nil"/>
              <w:left w:val="single" w:sz="4" w:space="0" w:color="auto"/>
              <w:bottom w:val="nil"/>
              <w:right w:val="nil"/>
            </w:tcBorders>
            <w:shd w:val="clear" w:color="auto" w:fill="auto"/>
            <w:noWrap/>
            <w:vAlign w:val="bottom"/>
            <w:hideMark/>
          </w:tcPr>
          <w:p w14:paraId="65F38D8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0.198</w:t>
            </w:r>
          </w:p>
        </w:tc>
        <w:tc>
          <w:tcPr>
            <w:tcW w:w="1289" w:type="dxa"/>
            <w:tcBorders>
              <w:top w:val="nil"/>
              <w:left w:val="nil"/>
              <w:bottom w:val="nil"/>
              <w:right w:val="nil"/>
            </w:tcBorders>
            <w:shd w:val="clear" w:color="auto" w:fill="auto"/>
            <w:noWrap/>
            <w:vAlign w:val="bottom"/>
            <w:hideMark/>
          </w:tcPr>
          <w:p w14:paraId="4B88BFF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0.163</w:t>
            </w:r>
          </w:p>
        </w:tc>
        <w:tc>
          <w:tcPr>
            <w:tcW w:w="967" w:type="dxa"/>
            <w:tcBorders>
              <w:top w:val="nil"/>
              <w:left w:val="nil"/>
              <w:bottom w:val="nil"/>
            </w:tcBorders>
            <w:shd w:val="clear" w:color="auto" w:fill="auto"/>
            <w:noWrap/>
            <w:vAlign w:val="bottom"/>
            <w:hideMark/>
          </w:tcPr>
          <w:p w14:paraId="58395D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1.1201</w:t>
            </w:r>
          </w:p>
        </w:tc>
        <w:tc>
          <w:tcPr>
            <w:tcW w:w="860" w:type="dxa"/>
            <w:tcBorders>
              <w:top w:val="nil"/>
              <w:bottom w:val="nil"/>
              <w:right w:val="single" w:sz="4" w:space="0" w:color="auto"/>
            </w:tcBorders>
            <w:shd w:val="clear" w:color="auto" w:fill="auto"/>
            <w:noWrap/>
            <w:vAlign w:val="bottom"/>
            <w:hideMark/>
          </w:tcPr>
          <w:p w14:paraId="2BCD206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-0.035</w:t>
            </w:r>
          </w:p>
        </w:tc>
        <w:tc>
          <w:tcPr>
            <w:tcW w:w="967" w:type="dxa"/>
            <w:tcBorders>
              <w:top w:val="nil"/>
              <w:left w:val="single" w:sz="4" w:space="0" w:color="auto"/>
              <w:bottom w:val="nil"/>
              <w:right w:val="nil"/>
            </w:tcBorders>
            <w:shd w:val="clear" w:color="auto" w:fill="auto"/>
            <w:noWrap/>
            <w:vAlign w:val="bottom"/>
            <w:hideMark/>
          </w:tcPr>
          <w:p w14:paraId="7760F0F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-1.6201</w:t>
            </w:r>
          </w:p>
        </w:tc>
        <w:tc>
          <w:tcPr>
            <w:tcW w:w="860" w:type="dxa"/>
            <w:tcBorders>
              <w:top w:val="nil"/>
              <w:left w:val="nil"/>
              <w:bottom w:val="nil"/>
              <w:right w:val="nil"/>
            </w:tcBorders>
            <w:shd w:val="clear" w:color="auto" w:fill="auto"/>
            <w:noWrap/>
            <w:vAlign w:val="bottom"/>
            <w:hideMark/>
          </w:tcPr>
          <w:p w14:paraId="5D096D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-1.8140</w:t>
            </w:r>
          </w:p>
        </w:tc>
        <w:tc>
          <w:tcPr>
            <w:tcW w:w="860" w:type="dxa"/>
            <w:tcBorders>
              <w:top w:val="nil"/>
              <w:left w:val="nil"/>
              <w:bottom w:val="nil"/>
              <w:right w:val="nil"/>
            </w:tcBorders>
            <w:shd w:val="clear" w:color="auto" w:fill="auto"/>
            <w:noWrap/>
            <w:vAlign w:val="bottom"/>
            <w:hideMark/>
          </w:tcPr>
          <w:p w14:paraId="4DB406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-0.1940</w:t>
            </w:r>
          </w:p>
        </w:tc>
        <w:tc>
          <w:tcPr>
            <w:tcW w:w="967" w:type="dxa"/>
            <w:tcBorders>
              <w:top w:val="nil"/>
              <w:left w:val="nil"/>
              <w:bottom w:val="nil"/>
              <w:right w:val="nil"/>
            </w:tcBorders>
            <w:shd w:val="clear" w:color="auto" w:fill="auto"/>
            <w:noWrap/>
            <w:vAlign w:val="bottom"/>
            <w:hideMark/>
          </w:tcPr>
          <w:p w14:paraId="0E6A7E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0.1134</w:t>
            </w:r>
          </w:p>
        </w:tc>
        <w:tc>
          <w:tcPr>
            <w:tcW w:w="860" w:type="dxa"/>
            <w:tcBorders>
              <w:top w:val="nil"/>
              <w:left w:val="nil"/>
              <w:bottom w:val="nil"/>
              <w:right w:val="nil"/>
            </w:tcBorders>
            <w:shd w:val="clear" w:color="auto" w:fill="auto"/>
            <w:noWrap/>
            <w:vAlign w:val="bottom"/>
            <w:hideMark/>
          </w:tcPr>
          <w:p w14:paraId="26895C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0.1799</w:t>
            </w:r>
          </w:p>
        </w:tc>
        <w:tc>
          <w:tcPr>
            <w:tcW w:w="860" w:type="dxa"/>
            <w:tcBorders>
              <w:top w:val="nil"/>
              <w:left w:val="nil"/>
              <w:bottom w:val="nil"/>
              <w:right w:val="single" w:sz="4" w:space="0" w:color="auto"/>
            </w:tcBorders>
            <w:shd w:val="clear" w:color="auto" w:fill="auto"/>
            <w:noWrap/>
            <w:vAlign w:val="bottom"/>
            <w:hideMark/>
          </w:tcPr>
          <w:p w14:paraId="7EAD9AA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0.0019</w:t>
            </w:r>
          </w:p>
        </w:tc>
        <w:tc>
          <w:tcPr>
            <w:tcW w:w="127" w:type="dxa"/>
            <w:tcBorders>
              <w:top w:val="nil"/>
              <w:left w:val="single" w:sz="4" w:space="0" w:color="auto"/>
              <w:bottom w:val="nil"/>
              <w:right w:val="nil"/>
            </w:tcBorders>
            <w:shd w:val="clear" w:color="auto" w:fill="auto"/>
            <w:noWrap/>
            <w:vAlign w:val="bottom"/>
            <w:hideMark/>
          </w:tcPr>
          <w:p w14:paraId="651396F8" w14:textId="77777777" w:rsidR="005A4EA3" w:rsidRPr="00B43597" w:rsidRDefault="005A4EA3" w:rsidP="005A4EA3">
            <w:pPr>
              <w:rPr>
                <w:rFonts w:eastAsia="Times New Roman" w:cs="Times New Roman"/>
                <w:color w:val="000000"/>
                <w:sz w:val="18"/>
                <w:szCs w:val="18"/>
              </w:rPr>
            </w:pPr>
          </w:p>
        </w:tc>
      </w:tr>
      <w:tr w:rsidR="005A4EA3" w:rsidRPr="008A78D0" w14:paraId="2DD6A3B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5373C2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01.1.803</w:t>
            </w:r>
          </w:p>
        </w:tc>
        <w:tc>
          <w:tcPr>
            <w:tcW w:w="2074" w:type="dxa"/>
            <w:tcBorders>
              <w:top w:val="nil"/>
              <w:left w:val="single" w:sz="4" w:space="0" w:color="auto"/>
              <w:bottom w:val="nil"/>
              <w:right w:val="single" w:sz="4" w:space="0" w:color="auto"/>
            </w:tcBorders>
            <w:shd w:val="clear" w:color="auto" w:fill="auto"/>
            <w:noWrap/>
            <w:vAlign w:val="bottom"/>
            <w:hideMark/>
          </w:tcPr>
          <w:p w14:paraId="530AC5A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Chocolates</w:t>
            </w:r>
          </w:p>
        </w:tc>
        <w:tc>
          <w:tcPr>
            <w:tcW w:w="1153" w:type="dxa"/>
            <w:tcBorders>
              <w:top w:val="nil"/>
              <w:left w:val="single" w:sz="4" w:space="0" w:color="auto"/>
              <w:bottom w:val="nil"/>
              <w:right w:val="nil"/>
            </w:tcBorders>
            <w:shd w:val="clear" w:color="auto" w:fill="auto"/>
            <w:noWrap/>
            <w:vAlign w:val="bottom"/>
            <w:hideMark/>
          </w:tcPr>
          <w:p w14:paraId="5F4EA28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0.287</w:t>
            </w:r>
          </w:p>
        </w:tc>
        <w:tc>
          <w:tcPr>
            <w:tcW w:w="1289" w:type="dxa"/>
            <w:tcBorders>
              <w:top w:val="nil"/>
              <w:left w:val="nil"/>
              <w:bottom w:val="nil"/>
              <w:right w:val="nil"/>
            </w:tcBorders>
            <w:shd w:val="clear" w:color="auto" w:fill="auto"/>
            <w:noWrap/>
            <w:vAlign w:val="bottom"/>
            <w:hideMark/>
          </w:tcPr>
          <w:p w14:paraId="66BE6B6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0.333</w:t>
            </w:r>
          </w:p>
        </w:tc>
        <w:tc>
          <w:tcPr>
            <w:tcW w:w="967" w:type="dxa"/>
            <w:tcBorders>
              <w:top w:val="nil"/>
              <w:left w:val="nil"/>
              <w:bottom w:val="nil"/>
            </w:tcBorders>
            <w:shd w:val="clear" w:color="auto" w:fill="auto"/>
            <w:noWrap/>
            <w:vAlign w:val="bottom"/>
            <w:hideMark/>
          </w:tcPr>
          <w:p w14:paraId="322B8ED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1.0049</w:t>
            </w:r>
          </w:p>
        </w:tc>
        <w:tc>
          <w:tcPr>
            <w:tcW w:w="860" w:type="dxa"/>
            <w:tcBorders>
              <w:top w:val="nil"/>
              <w:bottom w:val="nil"/>
              <w:right w:val="single" w:sz="4" w:space="0" w:color="auto"/>
            </w:tcBorders>
            <w:shd w:val="clear" w:color="auto" w:fill="auto"/>
            <w:noWrap/>
            <w:vAlign w:val="bottom"/>
            <w:hideMark/>
          </w:tcPr>
          <w:p w14:paraId="4C136C9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0.047</w:t>
            </w:r>
          </w:p>
        </w:tc>
        <w:tc>
          <w:tcPr>
            <w:tcW w:w="967" w:type="dxa"/>
            <w:tcBorders>
              <w:top w:val="nil"/>
              <w:left w:val="single" w:sz="4" w:space="0" w:color="auto"/>
              <w:bottom w:val="nil"/>
              <w:right w:val="nil"/>
            </w:tcBorders>
            <w:shd w:val="clear" w:color="auto" w:fill="auto"/>
            <w:noWrap/>
            <w:vAlign w:val="bottom"/>
            <w:hideMark/>
          </w:tcPr>
          <w:p w14:paraId="203A270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-1.2494</w:t>
            </w:r>
          </w:p>
        </w:tc>
        <w:tc>
          <w:tcPr>
            <w:tcW w:w="860" w:type="dxa"/>
            <w:tcBorders>
              <w:top w:val="nil"/>
              <w:left w:val="nil"/>
              <w:bottom w:val="nil"/>
              <w:right w:val="nil"/>
            </w:tcBorders>
            <w:shd w:val="clear" w:color="auto" w:fill="auto"/>
            <w:noWrap/>
            <w:vAlign w:val="bottom"/>
            <w:hideMark/>
          </w:tcPr>
          <w:p w14:paraId="71F77A7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-1.0982</w:t>
            </w:r>
          </w:p>
        </w:tc>
        <w:tc>
          <w:tcPr>
            <w:tcW w:w="860" w:type="dxa"/>
            <w:tcBorders>
              <w:top w:val="nil"/>
              <w:left w:val="nil"/>
              <w:bottom w:val="nil"/>
              <w:right w:val="nil"/>
            </w:tcBorders>
            <w:shd w:val="clear" w:color="auto" w:fill="auto"/>
            <w:noWrap/>
            <w:vAlign w:val="bottom"/>
            <w:hideMark/>
          </w:tcPr>
          <w:p w14:paraId="3E2272B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0.1512</w:t>
            </w:r>
          </w:p>
        </w:tc>
        <w:tc>
          <w:tcPr>
            <w:tcW w:w="967" w:type="dxa"/>
            <w:tcBorders>
              <w:top w:val="nil"/>
              <w:left w:val="nil"/>
              <w:bottom w:val="nil"/>
              <w:right w:val="nil"/>
            </w:tcBorders>
            <w:shd w:val="clear" w:color="auto" w:fill="auto"/>
            <w:noWrap/>
            <w:vAlign w:val="bottom"/>
            <w:hideMark/>
          </w:tcPr>
          <w:p w14:paraId="4A987D0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0.0049</w:t>
            </w:r>
          </w:p>
        </w:tc>
        <w:tc>
          <w:tcPr>
            <w:tcW w:w="860" w:type="dxa"/>
            <w:tcBorders>
              <w:top w:val="nil"/>
              <w:left w:val="nil"/>
              <w:bottom w:val="nil"/>
              <w:right w:val="nil"/>
            </w:tcBorders>
            <w:shd w:val="clear" w:color="auto" w:fill="auto"/>
            <w:noWrap/>
            <w:vAlign w:val="bottom"/>
            <w:hideMark/>
          </w:tcPr>
          <w:p w14:paraId="57012A2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0.3095</w:t>
            </w:r>
          </w:p>
        </w:tc>
        <w:tc>
          <w:tcPr>
            <w:tcW w:w="860" w:type="dxa"/>
            <w:tcBorders>
              <w:top w:val="nil"/>
              <w:left w:val="nil"/>
              <w:bottom w:val="nil"/>
              <w:right w:val="single" w:sz="4" w:space="0" w:color="auto"/>
            </w:tcBorders>
            <w:shd w:val="clear" w:color="auto" w:fill="auto"/>
            <w:noWrap/>
            <w:vAlign w:val="bottom"/>
            <w:hideMark/>
          </w:tcPr>
          <w:p w14:paraId="62BA94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0.0032</w:t>
            </w:r>
          </w:p>
        </w:tc>
        <w:tc>
          <w:tcPr>
            <w:tcW w:w="127" w:type="dxa"/>
            <w:tcBorders>
              <w:top w:val="nil"/>
              <w:left w:val="single" w:sz="4" w:space="0" w:color="auto"/>
              <w:bottom w:val="nil"/>
              <w:right w:val="nil"/>
            </w:tcBorders>
            <w:shd w:val="clear" w:color="auto" w:fill="auto"/>
            <w:noWrap/>
            <w:vAlign w:val="bottom"/>
            <w:hideMark/>
          </w:tcPr>
          <w:p w14:paraId="2AE1A729" w14:textId="77777777" w:rsidR="005A4EA3" w:rsidRPr="00B43597" w:rsidRDefault="005A4EA3" w:rsidP="005A4EA3">
            <w:pPr>
              <w:rPr>
                <w:rFonts w:eastAsia="Times New Roman" w:cs="Times New Roman"/>
                <w:color w:val="000000"/>
                <w:sz w:val="18"/>
                <w:szCs w:val="18"/>
              </w:rPr>
            </w:pPr>
          </w:p>
        </w:tc>
      </w:tr>
      <w:tr w:rsidR="005A4EA3" w:rsidRPr="008A78D0" w14:paraId="6A0EAEBF"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E546D5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01.1.804</w:t>
            </w:r>
          </w:p>
        </w:tc>
        <w:tc>
          <w:tcPr>
            <w:tcW w:w="2074" w:type="dxa"/>
            <w:tcBorders>
              <w:top w:val="nil"/>
              <w:left w:val="single" w:sz="4" w:space="0" w:color="auto"/>
              <w:bottom w:val="nil"/>
              <w:right w:val="single" w:sz="4" w:space="0" w:color="auto"/>
            </w:tcBorders>
            <w:shd w:val="clear" w:color="auto" w:fill="auto"/>
            <w:noWrap/>
            <w:vAlign w:val="bottom"/>
            <w:hideMark/>
          </w:tcPr>
          <w:p w14:paraId="27F2863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Ice cream</w:t>
            </w:r>
          </w:p>
        </w:tc>
        <w:tc>
          <w:tcPr>
            <w:tcW w:w="1153" w:type="dxa"/>
            <w:tcBorders>
              <w:top w:val="nil"/>
              <w:left w:val="single" w:sz="4" w:space="0" w:color="auto"/>
              <w:bottom w:val="nil"/>
              <w:right w:val="nil"/>
            </w:tcBorders>
            <w:shd w:val="clear" w:color="auto" w:fill="auto"/>
            <w:noWrap/>
            <w:vAlign w:val="bottom"/>
            <w:hideMark/>
          </w:tcPr>
          <w:p w14:paraId="1E145C0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0.277</w:t>
            </w:r>
          </w:p>
        </w:tc>
        <w:tc>
          <w:tcPr>
            <w:tcW w:w="1289" w:type="dxa"/>
            <w:tcBorders>
              <w:top w:val="nil"/>
              <w:left w:val="nil"/>
              <w:bottom w:val="nil"/>
              <w:right w:val="nil"/>
            </w:tcBorders>
            <w:shd w:val="clear" w:color="auto" w:fill="auto"/>
            <w:noWrap/>
            <w:vAlign w:val="bottom"/>
            <w:hideMark/>
          </w:tcPr>
          <w:p w14:paraId="0E1C37A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0.774</w:t>
            </w:r>
          </w:p>
        </w:tc>
        <w:tc>
          <w:tcPr>
            <w:tcW w:w="967" w:type="dxa"/>
            <w:tcBorders>
              <w:top w:val="nil"/>
              <w:left w:val="nil"/>
              <w:bottom w:val="nil"/>
            </w:tcBorders>
            <w:shd w:val="clear" w:color="auto" w:fill="auto"/>
            <w:noWrap/>
            <w:vAlign w:val="bottom"/>
            <w:hideMark/>
          </w:tcPr>
          <w:p w14:paraId="6B903F8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1.2643</w:t>
            </w:r>
          </w:p>
        </w:tc>
        <w:tc>
          <w:tcPr>
            <w:tcW w:w="860" w:type="dxa"/>
            <w:tcBorders>
              <w:top w:val="nil"/>
              <w:bottom w:val="nil"/>
              <w:right w:val="single" w:sz="4" w:space="0" w:color="auto"/>
            </w:tcBorders>
            <w:shd w:val="clear" w:color="auto" w:fill="auto"/>
            <w:noWrap/>
            <w:vAlign w:val="bottom"/>
            <w:hideMark/>
          </w:tcPr>
          <w:p w14:paraId="17E24F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0.498</w:t>
            </w:r>
          </w:p>
        </w:tc>
        <w:tc>
          <w:tcPr>
            <w:tcW w:w="967" w:type="dxa"/>
            <w:tcBorders>
              <w:top w:val="nil"/>
              <w:left w:val="single" w:sz="4" w:space="0" w:color="auto"/>
              <w:bottom w:val="nil"/>
              <w:right w:val="nil"/>
            </w:tcBorders>
            <w:shd w:val="clear" w:color="auto" w:fill="auto"/>
            <w:noWrap/>
            <w:vAlign w:val="bottom"/>
            <w:hideMark/>
          </w:tcPr>
          <w:p w14:paraId="6007140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-1.2854</w:t>
            </w:r>
          </w:p>
        </w:tc>
        <w:tc>
          <w:tcPr>
            <w:tcW w:w="860" w:type="dxa"/>
            <w:tcBorders>
              <w:top w:val="nil"/>
              <w:left w:val="nil"/>
              <w:bottom w:val="nil"/>
              <w:right w:val="nil"/>
            </w:tcBorders>
            <w:shd w:val="clear" w:color="auto" w:fill="auto"/>
            <w:noWrap/>
            <w:vAlign w:val="bottom"/>
            <w:hideMark/>
          </w:tcPr>
          <w:p w14:paraId="0A9933B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-0.2559</w:t>
            </w:r>
          </w:p>
        </w:tc>
        <w:tc>
          <w:tcPr>
            <w:tcW w:w="860" w:type="dxa"/>
            <w:tcBorders>
              <w:top w:val="nil"/>
              <w:left w:val="nil"/>
              <w:bottom w:val="nil"/>
              <w:right w:val="nil"/>
            </w:tcBorders>
            <w:shd w:val="clear" w:color="auto" w:fill="auto"/>
            <w:noWrap/>
            <w:vAlign w:val="bottom"/>
            <w:hideMark/>
          </w:tcPr>
          <w:p w14:paraId="3261595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1.0295</w:t>
            </w:r>
          </w:p>
        </w:tc>
        <w:tc>
          <w:tcPr>
            <w:tcW w:w="967" w:type="dxa"/>
            <w:tcBorders>
              <w:top w:val="nil"/>
              <w:left w:val="nil"/>
              <w:bottom w:val="nil"/>
              <w:right w:val="nil"/>
            </w:tcBorders>
            <w:shd w:val="clear" w:color="auto" w:fill="auto"/>
            <w:noWrap/>
            <w:vAlign w:val="bottom"/>
            <w:hideMark/>
          </w:tcPr>
          <w:p w14:paraId="5BACDC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0.2346</w:t>
            </w:r>
          </w:p>
        </w:tc>
        <w:tc>
          <w:tcPr>
            <w:tcW w:w="860" w:type="dxa"/>
            <w:tcBorders>
              <w:top w:val="nil"/>
              <w:left w:val="nil"/>
              <w:bottom w:val="nil"/>
              <w:right w:val="nil"/>
            </w:tcBorders>
            <w:shd w:val="clear" w:color="auto" w:fill="auto"/>
            <w:noWrap/>
            <w:vAlign w:val="bottom"/>
            <w:hideMark/>
          </w:tcPr>
          <w:p w14:paraId="1199FD8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0.4834</w:t>
            </w:r>
          </w:p>
        </w:tc>
        <w:tc>
          <w:tcPr>
            <w:tcW w:w="860" w:type="dxa"/>
            <w:tcBorders>
              <w:top w:val="nil"/>
              <w:left w:val="nil"/>
              <w:bottom w:val="nil"/>
              <w:right w:val="single" w:sz="4" w:space="0" w:color="auto"/>
            </w:tcBorders>
            <w:shd w:val="clear" w:color="auto" w:fill="auto"/>
            <w:noWrap/>
            <w:vAlign w:val="bottom"/>
            <w:hideMark/>
          </w:tcPr>
          <w:p w14:paraId="5B9F545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0.0050</w:t>
            </w:r>
          </w:p>
        </w:tc>
        <w:tc>
          <w:tcPr>
            <w:tcW w:w="127" w:type="dxa"/>
            <w:tcBorders>
              <w:top w:val="nil"/>
              <w:left w:val="single" w:sz="4" w:space="0" w:color="auto"/>
              <w:bottom w:val="nil"/>
              <w:right w:val="nil"/>
            </w:tcBorders>
            <w:shd w:val="clear" w:color="auto" w:fill="auto"/>
            <w:noWrap/>
            <w:vAlign w:val="bottom"/>
            <w:hideMark/>
          </w:tcPr>
          <w:p w14:paraId="0A729D71" w14:textId="77777777" w:rsidR="005A4EA3" w:rsidRPr="00B43597" w:rsidRDefault="005A4EA3" w:rsidP="005A4EA3">
            <w:pPr>
              <w:rPr>
                <w:rFonts w:eastAsia="Times New Roman" w:cs="Times New Roman"/>
                <w:color w:val="000000"/>
                <w:sz w:val="18"/>
                <w:szCs w:val="18"/>
              </w:rPr>
            </w:pPr>
          </w:p>
        </w:tc>
      </w:tr>
      <w:tr w:rsidR="005A4EA3" w:rsidRPr="008A78D0" w14:paraId="2B91FA7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052C62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01.1.901</w:t>
            </w:r>
          </w:p>
        </w:tc>
        <w:tc>
          <w:tcPr>
            <w:tcW w:w="2074" w:type="dxa"/>
            <w:tcBorders>
              <w:top w:val="nil"/>
              <w:left w:val="single" w:sz="4" w:space="0" w:color="auto"/>
              <w:bottom w:val="nil"/>
              <w:right w:val="single" w:sz="4" w:space="0" w:color="auto"/>
            </w:tcBorders>
            <w:shd w:val="clear" w:color="auto" w:fill="auto"/>
            <w:noWrap/>
            <w:vAlign w:val="bottom"/>
            <w:hideMark/>
          </w:tcPr>
          <w:p w14:paraId="1288AE2C"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Baby food (mainly milk)</w:t>
            </w:r>
          </w:p>
        </w:tc>
        <w:tc>
          <w:tcPr>
            <w:tcW w:w="1153" w:type="dxa"/>
            <w:tcBorders>
              <w:top w:val="nil"/>
              <w:left w:val="single" w:sz="4" w:space="0" w:color="auto"/>
              <w:bottom w:val="nil"/>
              <w:right w:val="nil"/>
            </w:tcBorders>
            <w:shd w:val="clear" w:color="auto" w:fill="auto"/>
            <w:noWrap/>
            <w:vAlign w:val="bottom"/>
            <w:hideMark/>
          </w:tcPr>
          <w:p w14:paraId="208E85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0.152</w:t>
            </w:r>
          </w:p>
        </w:tc>
        <w:tc>
          <w:tcPr>
            <w:tcW w:w="1289" w:type="dxa"/>
            <w:tcBorders>
              <w:top w:val="nil"/>
              <w:left w:val="nil"/>
              <w:bottom w:val="nil"/>
              <w:right w:val="nil"/>
            </w:tcBorders>
            <w:shd w:val="clear" w:color="auto" w:fill="auto"/>
            <w:noWrap/>
            <w:vAlign w:val="bottom"/>
            <w:hideMark/>
          </w:tcPr>
          <w:p w14:paraId="16B5D5C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0.634</w:t>
            </w:r>
          </w:p>
        </w:tc>
        <w:tc>
          <w:tcPr>
            <w:tcW w:w="967" w:type="dxa"/>
            <w:tcBorders>
              <w:top w:val="nil"/>
              <w:left w:val="nil"/>
              <w:bottom w:val="nil"/>
            </w:tcBorders>
            <w:shd w:val="clear" w:color="auto" w:fill="auto"/>
            <w:noWrap/>
            <w:vAlign w:val="bottom"/>
            <w:hideMark/>
          </w:tcPr>
          <w:p w14:paraId="58D721F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1.1502</w:t>
            </w:r>
          </w:p>
        </w:tc>
        <w:tc>
          <w:tcPr>
            <w:tcW w:w="860" w:type="dxa"/>
            <w:tcBorders>
              <w:top w:val="nil"/>
              <w:bottom w:val="nil"/>
              <w:right w:val="single" w:sz="4" w:space="0" w:color="auto"/>
            </w:tcBorders>
            <w:shd w:val="clear" w:color="auto" w:fill="auto"/>
            <w:noWrap/>
            <w:vAlign w:val="bottom"/>
            <w:hideMark/>
          </w:tcPr>
          <w:p w14:paraId="503EBF1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0.482</w:t>
            </w:r>
          </w:p>
        </w:tc>
        <w:tc>
          <w:tcPr>
            <w:tcW w:w="967" w:type="dxa"/>
            <w:tcBorders>
              <w:top w:val="nil"/>
              <w:left w:val="single" w:sz="4" w:space="0" w:color="auto"/>
              <w:bottom w:val="nil"/>
              <w:right w:val="nil"/>
            </w:tcBorders>
            <w:shd w:val="clear" w:color="auto" w:fill="auto"/>
            <w:noWrap/>
            <w:vAlign w:val="bottom"/>
            <w:hideMark/>
          </w:tcPr>
          <w:p w14:paraId="1234F42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-1.8824</w:t>
            </w:r>
          </w:p>
        </w:tc>
        <w:tc>
          <w:tcPr>
            <w:tcW w:w="860" w:type="dxa"/>
            <w:tcBorders>
              <w:top w:val="nil"/>
              <w:left w:val="nil"/>
              <w:bottom w:val="nil"/>
              <w:right w:val="nil"/>
            </w:tcBorders>
            <w:shd w:val="clear" w:color="auto" w:fill="auto"/>
            <w:noWrap/>
            <w:vAlign w:val="bottom"/>
            <w:hideMark/>
          </w:tcPr>
          <w:p w14:paraId="148825A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-0.4559</w:t>
            </w:r>
          </w:p>
        </w:tc>
        <w:tc>
          <w:tcPr>
            <w:tcW w:w="860" w:type="dxa"/>
            <w:tcBorders>
              <w:top w:val="nil"/>
              <w:left w:val="nil"/>
              <w:bottom w:val="nil"/>
              <w:right w:val="nil"/>
            </w:tcBorders>
            <w:shd w:val="clear" w:color="auto" w:fill="auto"/>
            <w:noWrap/>
            <w:vAlign w:val="bottom"/>
            <w:hideMark/>
          </w:tcPr>
          <w:p w14:paraId="4618960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1.4266</w:t>
            </w:r>
          </w:p>
        </w:tc>
        <w:tc>
          <w:tcPr>
            <w:tcW w:w="967" w:type="dxa"/>
            <w:tcBorders>
              <w:top w:val="nil"/>
              <w:left w:val="nil"/>
              <w:bottom w:val="nil"/>
              <w:right w:val="nil"/>
            </w:tcBorders>
            <w:shd w:val="clear" w:color="auto" w:fill="auto"/>
            <w:noWrap/>
            <w:vAlign w:val="bottom"/>
            <w:hideMark/>
          </w:tcPr>
          <w:p w14:paraId="3840BD7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0.1400</w:t>
            </w:r>
          </w:p>
        </w:tc>
        <w:tc>
          <w:tcPr>
            <w:tcW w:w="860" w:type="dxa"/>
            <w:tcBorders>
              <w:top w:val="nil"/>
              <w:left w:val="nil"/>
              <w:bottom w:val="nil"/>
              <w:right w:val="nil"/>
            </w:tcBorders>
            <w:shd w:val="clear" w:color="auto" w:fill="auto"/>
            <w:noWrap/>
            <w:vAlign w:val="bottom"/>
            <w:hideMark/>
          </w:tcPr>
          <w:p w14:paraId="26B19B8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0.3376</w:t>
            </w:r>
          </w:p>
        </w:tc>
        <w:tc>
          <w:tcPr>
            <w:tcW w:w="860" w:type="dxa"/>
            <w:tcBorders>
              <w:top w:val="nil"/>
              <w:left w:val="nil"/>
              <w:bottom w:val="nil"/>
              <w:right w:val="single" w:sz="4" w:space="0" w:color="auto"/>
            </w:tcBorders>
            <w:shd w:val="clear" w:color="auto" w:fill="auto"/>
            <w:noWrap/>
            <w:vAlign w:val="bottom"/>
            <w:hideMark/>
          </w:tcPr>
          <w:p w14:paraId="06A787D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0.0035</w:t>
            </w:r>
          </w:p>
        </w:tc>
        <w:tc>
          <w:tcPr>
            <w:tcW w:w="127" w:type="dxa"/>
            <w:tcBorders>
              <w:top w:val="nil"/>
              <w:left w:val="single" w:sz="4" w:space="0" w:color="auto"/>
              <w:bottom w:val="nil"/>
              <w:right w:val="nil"/>
            </w:tcBorders>
            <w:shd w:val="clear" w:color="auto" w:fill="auto"/>
            <w:noWrap/>
            <w:vAlign w:val="bottom"/>
            <w:hideMark/>
          </w:tcPr>
          <w:p w14:paraId="6412429A" w14:textId="77777777" w:rsidR="005A4EA3" w:rsidRPr="00B43597" w:rsidRDefault="005A4EA3" w:rsidP="005A4EA3">
            <w:pPr>
              <w:rPr>
                <w:rFonts w:eastAsia="Times New Roman" w:cs="Times New Roman"/>
                <w:color w:val="000000"/>
                <w:sz w:val="18"/>
                <w:szCs w:val="18"/>
              </w:rPr>
            </w:pPr>
          </w:p>
        </w:tc>
      </w:tr>
      <w:tr w:rsidR="005A4EA3" w:rsidRPr="008A78D0" w14:paraId="18936AE5"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1A419B7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01.1.904</w:t>
            </w:r>
          </w:p>
        </w:tc>
        <w:tc>
          <w:tcPr>
            <w:tcW w:w="2074" w:type="dxa"/>
            <w:tcBorders>
              <w:top w:val="nil"/>
              <w:left w:val="single" w:sz="4" w:space="0" w:color="auto"/>
              <w:bottom w:val="nil"/>
              <w:right w:val="single" w:sz="4" w:space="0" w:color="auto"/>
            </w:tcBorders>
            <w:shd w:val="clear" w:color="auto" w:fill="auto"/>
            <w:noWrap/>
            <w:vAlign w:val="bottom"/>
            <w:hideMark/>
          </w:tcPr>
          <w:p w14:paraId="61F6ED77"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Salt</w:t>
            </w:r>
          </w:p>
        </w:tc>
        <w:tc>
          <w:tcPr>
            <w:tcW w:w="1153" w:type="dxa"/>
            <w:tcBorders>
              <w:top w:val="nil"/>
              <w:left w:val="single" w:sz="4" w:space="0" w:color="auto"/>
              <w:bottom w:val="nil"/>
              <w:right w:val="nil"/>
            </w:tcBorders>
            <w:shd w:val="clear" w:color="auto" w:fill="auto"/>
            <w:noWrap/>
            <w:vAlign w:val="bottom"/>
            <w:hideMark/>
          </w:tcPr>
          <w:p w14:paraId="5900CD0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0.434</w:t>
            </w:r>
          </w:p>
        </w:tc>
        <w:tc>
          <w:tcPr>
            <w:tcW w:w="1289" w:type="dxa"/>
            <w:tcBorders>
              <w:top w:val="nil"/>
              <w:left w:val="nil"/>
              <w:bottom w:val="nil"/>
              <w:right w:val="nil"/>
            </w:tcBorders>
            <w:shd w:val="clear" w:color="auto" w:fill="auto"/>
            <w:noWrap/>
            <w:vAlign w:val="bottom"/>
            <w:hideMark/>
          </w:tcPr>
          <w:p w14:paraId="0EC5E3A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0.230</w:t>
            </w:r>
          </w:p>
        </w:tc>
        <w:tc>
          <w:tcPr>
            <w:tcW w:w="967" w:type="dxa"/>
            <w:tcBorders>
              <w:top w:val="nil"/>
              <w:left w:val="nil"/>
              <w:bottom w:val="nil"/>
            </w:tcBorders>
            <w:shd w:val="clear" w:color="auto" w:fill="auto"/>
            <w:noWrap/>
            <w:vAlign w:val="bottom"/>
            <w:hideMark/>
          </w:tcPr>
          <w:p w14:paraId="58BC39C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1.0152</w:t>
            </w:r>
          </w:p>
        </w:tc>
        <w:tc>
          <w:tcPr>
            <w:tcW w:w="860" w:type="dxa"/>
            <w:tcBorders>
              <w:top w:val="nil"/>
              <w:bottom w:val="nil"/>
              <w:right w:val="single" w:sz="4" w:space="0" w:color="auto"/>
            </w:tcBorders>
            <w:shd w:val="clear" w:color="auto" w:fill="auto"/>
            <w:noWrap/>
            <w:vAlign w:val="bottom"/>
            <w:hideMark/>
          </w:tcPr>
          <w:p w14:paraId="4801E15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-0.204</w:t>
            </w:r>
          </w:p>
        </w:tc>
        <w:tc>
          <w:tcPr>
            <w:tcW w:w="967" w:type="dxa"/>
            <w:tcBorders>
              <w:top w:val="nil"/>
              <w:left w:val="single" w:sz="4" w:space="0" w:color="auto"/>
              <w:bottom w:val="nil"/>
              <w:right w:val="nil"/>
            </w:tcBorders>
            <w:shd w:val="clear" w:color="auto" w:fill="auto"/>
            <w:noWrap/>
            <w:vAlign w:val="bottom"/>
            <w:hideMark/>
          </w:tcPr>
          <w:p w14:paraId="0B2E69C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-0.8351</w:t>
            </w:r>
          </w:p>
        </w:tc>
        <w:tc>
          <w:tcPr>
            <w:tcW w:w="860" w:type="dxa"/>
            <w:tcBorders>
              <w:top w:val="nil"/>
              <w:left w:val="nil"/>
              <w:bottom w:val="nil"/>
              <w:right w:val="nil"/>
            </w:tcBorders>
            <w:shd w:val="clear" w:color="auto" w:fill="auto"/>
            <w:noWrap/>
            <w:vAlign w:val="bottom"/>
            <w:hideMark/>
          </w:tcPr>
          <w:p w14:paraId="0E9BA57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-1.4716</w:t>
            </w:r>
          </w:p>
        </w:tc>
        <w:tc>
          <w:tcPr>
            <w:tcW w:w="860" w:type="dxa"/>
            <w:tcBorders>
              <w:top w:val="nil"/>
              <w:left w:val="nil"/>
              <w:bottom w:val="nil"/>
              <w:right w:val="nil"/>
            </w:tcBorders>
            <w:shd w:val="clear" w:color="auto" w:fill="auto"/>
            <w:noWrap/>
            <w:vAlign w:val="bottom"/>
            <w:hideMark/>
          </w:tcPr>
          <w:p w14:paraId="0428BC3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-0.6365</w:t>
            </w:r>
          </w:p>
        </w:tc>
        <w:tc>
          <w:tcPr>
            <w:tcW w:w="967" w:type="dxa"/>
            <w:tcBorders>
              <w:top w:val="nil"/>
              <w:left w:val="nil"/>
              <w:bottom w:val="nil"/>
              <w:right w:val="nil"/>
            </w:tcBorders>
            <w:shd w:val="clear" w:color="auto" w:fill="auto"/>
            <w:noWrap/>
            <w:vAlign w:val="bottom"/>
            <w:hideMark/>
          </w:tcPr>
          <w:p w14:paraId="29C8B9C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0.0151</w:t>
            </w:r>
          </w:p>
        </w:tc>
        <w:tc>
          <w:tcPr>
            <w:tcW w:w="860" w:type="dxa"/>
            <w:tcBorders>
              <w:top w:val="nil"/>
              <w:left w:val="nil"/>
              <w:bottom w:val="nil"/>
              <w:right w:val="nil"/>
            </w:tcBorders>
            <w:shd w:val="clear" w:color="auto" w:fill="auto"/>
            <w:noWrap/>
            <w:vAlign w:val="bottom"/>
            <w:hideMark/>
          </w:tcPr>
          <w:p w14:paraId="148D066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0.3209</w:t>
            </w:r>
          </w:p>
        </w:tc>
        <w:tc>
          <w:tcPr>
            <w:tcW w:w="860" w:type="dxa"/>
            <w:tcBorders>
              <w:top w:val="nil"/>
              <w:left w:val="nil"/>
              <w:bottom w:val="nil"/>
              <w:right w:val="single" w:sz="4" w:space="0" w:color="auto"/>
            </w:tcBorders>
            <w:shd w:val="clear" w:color="auto" w:fill="auto"/>
            <w:noWrap/>
            <w:vAlign w:val="bottom"/>
            <w:hideMark/>
          </w:tcPr>
          <w:p w14:paraId="013B6CD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0.0033</w:t>
            </w:r>
          </w:p>
        </w:tc>
        <w:tc>
          <w:tcPr>
            <w:tcW w:w="127" w:type="dxa"/>
            <w:tcBorders>
              <w:top w:val="nil"/>
              <w:left w:val="single" w:sz="4" w:space="0" w:color="auto"/>
              <w:bottom w:val="nil"/>
              <w:right w:val="nil"/>
            </w:tcBorders>
            <w:shd w:val="clear" w:color="auto" w:fill="auto"/>
            <w:noWrap/>
            <w:vAlign w:val="bottom"/>
            <w:hideMark/>
          </w:tcPr>
          <w:p w14:paraId="5FCB62A0" w14:textId="77777777" w:rsidR="005A4EA3" w:rsidRPr="00B43597" w:rsidRDefault="005A4EA3" w:rsidP="005A4EA3">
            <w:pPr>
              <w:rPr>
                <w:rFonts w:eastAsia="Times New Roman" w:cs="Times New Roman"/>
                <w:color w:val="000000"/>
                <w:sz w:val="18"/>
                <w:szCs w:val="18"/>
              </w:rPr>
            </w:pPr>
          </w:p>
        </w:tc>
      </w:tr>
      <w:tr w:rsidR="005A4EA3" w:rsidRPr="008A78D0" w14:paraId="212AE9C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6A789F2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01.1.903</w:t>
            </w:r>
          </w:p>
        </w:tc>
        <w:tc>
          <w:tcPr>
            <w:tcW w:w="2074" w:type="dxa"/>
            <w:tcBorders>
              <w:top w:val="nil"/>
              <w:left w:val="single" w:sz="4" w:space="0" w:color="auto"/>
              <w:bottom w:val="nil"/>
              <w:right w:val="single" w:sz="4" w:space="0" w:color="auto"/>
            </w:tcBorders>
            <w:shd w:val="clear" w:color="auto" w:fill="auto"/>
            <w:noWrap/>
            <w:vAlign w:val="bottom"/>
            <w:hideMark/>
          </w:tcPr>
          <w:p w14:paraId="307F158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Curry powder</w:t>
            </w:r>
          </w:p>
        </w:tc>
        <w:tc>
          <w:tcPr>
            <w:tcW w:w="1153" w:type="dxa"/>
            <w:tcBorders>
              <w:top w:val="nil"/>
              <w:left w:val="single" w:sz="4" w:space="0" w:color="auto"/>
              <w:bottom w:val="nil"/>
              <w:right w:val="nil"/>
            </w:tcBorders>
            <w:shd w:val="clear" w:color="auto" w:fill="auto"/>
            <w:noWrap/>
            <w:vAlign w:val="bottom"/>
            <w:hideMark/>
          </w:tcPr>
          <w:p w14:paraId="1668CA6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0.591</w:t>
            </w:r>
          </w:p>
        </w:tc>
        <w:tc>
          <w:tcPr>
            <w:tcW w:w="1289" w:type="dxa"/>
            <w:tcBorders>
              <w:top w:val="nil"/>
              <w:left w:val="nil"/>
              <w:bottom w:val="nil"/>
              <w:right w:val="nil"/>
            </w:tcBorders>
            <w:shd w:val="clear" w:color="auto" w:fill="auto"/>
            <w:noWrap/>
            <w:vAlign w:val="bottom"/>
            <w:hideMark/>
          </w:tcPr>
          <w:p w14:paraId="4D28E73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0.584</w:t>
            </w:r>
          </w:p>
        </w:tc>
        <w:tc>
          <w:tcPr>
            <w:tcW w:w="967" w:type="dxa"/>
            <w:tcBorders>
              <w:top w:val="nil"/>
              <w:left w:val="nil"/>
              <w:bottom w:val="nil"/>
            </w:tcBorders>
            <w:shd w:val="clear" w:color="auto" w:fill="auto"/>
            <w:noWrap/>
            <w:vAlign w:val="bottom"/>
            <w:hideMark/>
          </w:tcPr>
          <w:p w14:paraId="353C26F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1.1492</w:t>
            </w:r>
          </w:p>
        </w:tc>
        <w:tc>
          <w:tcPr>
            <w:tcW w:w="860" w:type="dxa"/>
            <w:tcBorders>
              <w:top w:val="nil"/>
              <w:bottom w:val="nil"/>
              <w:right w:val="single" w:sz="4" w:space="0" w:color="auto"/>
            </w:tcBorders>
            <w:shd w:val="clear" w:color="auto" w:fill="auto"/>
            <w:noWrap/>
            <w:vAlign w:val="bottom"/>
            <w:hideMark/>
          </w:tcPr>
          <w:p w14:paraId="5FAFABB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-0.007</w:t>
            </w:r>
          </w:p>
        </w:tc>
        <w:tc>
          <w:tcPr>
            <w:tcW w:w="967" w:type="dxa"/>
            <w:tcBorders>
              <w:top w:val="nil"/>
              <w:left w:val="single" w:sz="4" w:space="0" w:color="auto"/>
              <w:bottom w:val="nil"/>
              <w:right w:val="nil"/>
            </w:tcBorders>
            <w:shd w:val="clear" w:color="auto" w:fill="auto"/>
            <w:noWrap/>
            <w:vAlign w:val="bottom"/>
            <w:hideMark/>
          </w:tcPr>
          <w:p w14:paraId="715B917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-0.5257</w:t>
            </w:r>
          </w:p>
        </w:tc>
        <w:tc>
          <w:tcPr>
            <w:tcW w:w="860" w:type="dxa"/>
            <w:tcBorders>
              <w:top w:val="nil"/>
              <w:left w:val="nil"/>
              <w:bottom w:val="nil"/>
              <w:right w:val="nil"/>
            </w:tcBorders>
            <w:shd w:val="clear" w:color="auto" w:fill="auto"/>
            <w:noWrap/>
            <w:vAlign w:val="bottom"/>
            <w:hideMark/>
          </w:tcPr>
          <w:p w14:paraId="60E7E04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-0.5383</w:t>
            </w:r>
          </w:p>
        </w:tc>
        <w:tc>
          <w:tcPr>
            <w:tcW w:w="860" w:type="dxa"/>
            <w:tcBorders>
              <w:top w:val="nil"/>
              <w:left w:val="nil"/>
              <w:bottom w:val="nil"/>
              <w:right w:val="nil"/>
            </w:tcBorders>
            <w:shd w:val="clear" w:color="auto" w:fill="auto"/>
            <w:noWrap/>
            <w:vAlign w:val="bottom"/>
            <w:hideMark/>
          </w:tcPr>
          <w:p w14:paraId="3A9445E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-0.0126</w:t>
            </w:r>
          </w:p>
        </w:tc>
        <w:tc>
          <w:tcPr>
            <w:tcW w:w="967" w:type="dxa"/>
            <w:tcBorders>
              <w:top w:val="nil"/>
              <w:left w:val="nil"/>
              <w:bottom w:val="nil"/>
              <w:right w:val="nil"/>
            </w:tcBorders>
            <w:shd w:val="clear" w:color="auto" w:fill="auto"/>
            <w:noWrap/>
            <w:vAlign w:val="bottom"/>
            <w:hideMark/>
          </w:tcPr>
          <w:p w14:paraId="654BAD8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0.1391</w:t>
            </w:r>
          </w:p>
        </w:tc>
        <w:tc>
          <w:tcPr>
            <w:tcW w:w="860" w:type="dxa"/>
            <w:tcBorders>
              <w:top w:val="nil"/>
              <w:left w:val="nil"/>
              <w:bottom w:val="nil"/>
              <w:right w:val="nil"/>
            </w:tcBorders>
            <w:shd w:val="clear" w:color="auto" w:fill="auto"/>
            <w:noWrap/>
            <w:vAlign w:val="bottom"/>
            <w:hideMark/>
          </w:tcPr>
          <w:p w14:paraId="234BF2E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0.5874</w:t>
            </w:r>
          </w:p>
        </w:tc>
        <w:tc>
          <w:tcPr>
            <w:tcW w:w="860" w:type="dxa"/>
            <w:tcBorders>
              <w:top w:val="nil"/>
              <w:left w:val="nil"/>
              <w:bottom w:val="nil"/>
              <w:right w:val="single" w:sz="4" w:space="0" w:color="auto"/>
            </w:tcBorders>
            <w:shd w:val="clear" w:color="auto" w:fill="auto"/>
            <w:noWrap/>
            <w:vAlign w:val="bottom"/>
            <w:hideMark/>
          </w:tcPr>
          <w:p w14:paraId="33B13A0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0.0061</w:t>
            </w:r>
          </w:p>
        </w:tc>
        <w:tc>
          <w:tcPr>
            <w:tcW w:w="127" w:type="dxa"/>
            <w:tcBorders>
              <w:top w:val="nil"/>
              <w:left w:val="single" w:sz="4" w:space="0" w:color="auto"/>
              <w:bottom w:val="nil"/>
              <w:right w:val="nil"/>
            </w:tcBorders>
            <w:shd w:val="clear" w:color="auto" w:fill="auto"/>
            <w:noWrap/>
            <w:vAlign w:val="bottom"/>
            <w:hideMark/>
          </w:tcPr>
          <w:p w14:paraId="310B7F99" w14:textId="77777777" w:rsidR="005A4EA3" w:rsidRPr="00B43597" w:rsidRDefault="005A4EA3" w:rsidP="005A4EA3">
            <w:pPr>
              <w:rPr>
                <w:rFonts w:eastAsia="Times New Roman" w:cs="Times New Roman"/>
                <w:color w:val="000000"/>
                <w:sz w:val="18"/>
                <w:szCs w:val="18"/>
              </w:rPr>
            </w:pPr>
          </w:p>
        </w:tc>
      </w:tr>
      <w:tr w:rsidR="005A4EA3" w:rsidRPr="008A78D0" w14:paraId="65D6A520"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0656241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01.1.910</w:t>
            </w:r>
          </w:p>
        </w:tc>
        <w:tc>
          <w:tcPr>
            <w:tcW w:w="2074" w:type="dxa"/>
            <w:tcBorders>
              <w:top w:val="nil"/>
              <w:left w:val="single" w:sz="4" w:space="0" w:color="auto"/>
              <w:bottom w:val="nil"/>
              <w:right w:val="single" w:sz="4" w:space="0" w:color="auto"/>
            </w:tcBorders>
            <w:shd w:val="clear" w:color="auto" w:fill="auto"/>
            <w:noWrap/>
            <w:vAlign w:val="bottom"/>
            <w:hideMark/>
          </w:tcPr>
          <w:p w14:paraId="31B29EA8"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Black pepper</w:t>
            </w:r>
          </w:p>
        </w:tc>
        <w:tc>
          <w:tcPr>
            <w:tcW w:w="1153" w:type="dxa"/>
            <w:tcBorders>
              <w:top w:val="nil"/>
              <w:left w:val="single" w:sz="4" w:space="0" w:color="auto"/>
              <w:bottom w:val="nil"/>
              <w:right w:val="nil"/>
            </w:tcBorders>
            <w:shd w:val="clear" w:color="auto" w:fill="auto"/>
            <w:noWrap/>
            <w:vAlign w:val="bottom"/>
            <w:hideMark/>
          </w:tcPr>
          <w:p w14:paraId="2C7D5DE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0.228</w:t>
            </w:r>
          </w:p>
        </w:tc>
        <w:tc>
          <w:tcPr>
            <w:tcW w:w="1289" w:type="dxa"/>
            <w:tcBorders>
              <w:top w:val="nil"/>
              <w:left w:val="nil"/>
              <w:bottom w:val="nil"/>
              <w:right w:val="nil"/>
            </w:tcBorders>
            <w:shd w:val="clear" w:color="auto" w:fill="auto"/>
            <w:noWrap/>
            <w:vAlign w:val="bottom"/>
            <w:hideMark/>
          </w:tcPr>
          <w:p w14:paraId="608792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0.307</w:t>
            </w:r>
          </w:p>
        </w:tc>
        <w:tc>
          <w:tcPr>
            <w:tcW w:w="967" w:type="dxa"/>
            <w:tcBorders>
              <w:top w:val="nil"/>
              <w:left w:val="nil"/>
              <w:bottom w:val="nil"/>
            </w:tcBorders>
            <w:shd w:val="clear" w:color="auto" w:fill="auto"/>
            <w:noWrap/>
            <w:vAlign w:val="bottom"/>
            <w:hideMark/>
          </w:tcPr>
          <w:p w14:paraId="4C0DF0D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1.1059</w:t>
            </w:r>
          </w:p>
        </w:tc>
        <w:tc>
          <w:tcPr>
            <w:tcW w:w="860" w:type="dxa"/>
            <w:tcBorders>
              <w:top w:val="nil"/>
              <w:bottom w:val="nil"/>
              <w:right w:val="single" w:sz="4" w:space="0" w:color="auto"/>
            </w:tcBorders>
            <w:shd w:val="clear" w:color="auto" w:fill="auto"/>
            <w:noWrap/>
            <w:vAlign w:val="bottom"/>
            <w:hideMark/>
          </w:tcPr>
          <w:p w14:paraId="4DDCEB6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0.079</w:t>
            </w:r>
          </w:p>
        </w:tc>
        <w:tc>
          <w:tcPr>
            <w:tcW w:w="967" w:type="dxa"/>
            <w:tcBorders>
              <w:top w:val="nil"/>
              <w:left w:val="single" w:sz="4" w:space="0" w:color="auto"/>
              <w:bottom w:val="nil"/>
              <w:right w:val="nil"/>
            </w:tcBorders>
            <w:shd w:val="clear" w:color="auto" w:fill="auto"/>
            <w:noWrap/>
            <w:vAlign w:val="bottom"/>
            <w:hideMark/>
          </w:tcPr>
          <w:p w14:paraId="2F3FA7F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-1.4770</w:t>
            </w:r>
          </w:p>
        </w:tc>
        <w:tc>
          <w:tcPr>
            <w:tcW w:w="860" w:type="dxa"/>
            <w:tcBorders>
              <w:top w:val="nil"/>
              <w:left w:val="nil"/>
              <w:bottom w:val="nil"/>
              <w:right w:val="nil"/>
            </w:tcBorders>
            <w:shd w:val="clear" w:color="auto" w:fill="auto"/>
            <w:noWrap/>
            <w:vAlign w:val="bottom"/>
            <w:hideMark/>
          </w:tcPr>
          <w:p w14:paraId="381B3E2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-1.1799</w:t>
            </w:r>
          </w:p>
        </w:tc>
        <w:tc>
          <w:tcPr>
            <w:tcW w:w="860" w:type="dxa"/>
            <w:tcBorders>
              <w:top w:val="nil"/>
              <w:left w:val="nil"/>
              <w:bottom w:val="nil"/>
              <w:right w:val="nil"/>
            </w:tcBorders>
            <w:shd w:val="clear" w:color="auto" w:fill="auto"/>
            <w:noWrap/>
            <w:vAlign w:val="bottom"/>
            <w:hideMark/>
          </w:tcPr>
          <w:p w14:paraId="082CBB2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0.2971</w:t>
            </w:r>
          </w:p>
        </w:tc>
        <w:tc>
          <w:tcPr>
            <w:tcW w:w="967" w:type="dxa"/>
            <w:tcBorders>
              <w:top w:val="nil"/>
              <w:left w:val="nil"/>
              <w:bottom w:val="nil"/>
              <w:right w:val="nil"/>
            </w:tcBorders>
            <w:shd w:val="clear" w:color="auto" w:fill="auto"/>
            <w:noWrap/>
            <w:vAlign w:val="bottom"/>
            <w:hideMark/>
          </w:tcPr>
          <w:p w14:paraId="3713D41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0.1007</w:t>
            </w:r>
          </w:p>
        </w:tc>
        <w:tc>
          <w:tcPr>
            <w:tcW w:w="860" w:type="dxa"/>
            <w:tcBorders>
              <w:top w:val="nil"/>
              <w:left w:val="nil"/>
              <w:bottom w:val="nil"/>
              <w:right w:val="nil"/>
            </w:tcBorders>
            <w:shd w:val="clear" w:color="auto" w:fill="auto"/>
            <w:noWrap/>
            <w:vAlign w:val="bottom"/>
            <w:hideMark/>
          </w:tcPr>
          <w:p w14:paraId="0EBBDD1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0.2659</w:t>
            </w:r>
          </w:p>
        </w:tc>
        <w:tc>
          <w:tcPr>
            <w:tcW w:w="860" w:type="dxa"/>
            <w:tcBorders>
              <w:top w:val="nil"/>
              <w:left w:val="nil"/>
              <w:bottom w:val="nil"/>
              <w:right w:val="single" w:sz="4" w:space="0" w:color="auto"/>
            </w:tcBorders>
            <w:shd w:val="clear" w:color="auto" w:fill="auto"/>
            <w:noWrap/>
            <w:vAlign w:val="bottom"/>
            <w:hideMark/>
          </w:tcPr>
          <w:p w14:paraId="581E26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0.0028</w:t>
            </w:r>
          </w:p>
        </w:tc>
        <w:tc>
          <w:tcPr>
            <w:tcW w:w="127" w:type="dxa"/>
            <w:tcBorders>
              <w:top w:val="nil"/>
              <w:left w:val="single" w:sz="4" w:space="0" w:color="auto"/>
              <w:bottom w:val="nil"/>
              <w:right w:val="nil"/>
            </w:tcBorders>
            <w:shd w:val="clear" w:color="auto" w:fill="auto"/>
            <w:noWrap/>
            <w:vAlign w:val="bottom"/>
            <w:hideMark/>
          </w:tcPr>
          <w:p w14:paraId="17B71613" w14:textId="77777777" w:rsidR="005A4EA3" w:rsidRPr="00B43597" w:rsidRDefault="005A4EA3" w:rsidP="005A4EA3">
            <w:pPr>
              <w:rPr>
                <w:rFonts w:eastAsia="Times New Roman" w:cs="Times New Roman"/>
                <w:color w:val="000000"/>
                <w:sz w:val="18"/>
                <w:szCs w:val="18"/>
              </w:rPr>
            </w:pPr>
          </w:p>
        </w:tc>
      </w:tr>
      <w:tr w:rsidR="005A4EA3" w:rsidRPr="008A78D0" w14:paraId="34F59DE2"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689AEBD"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01.1.911</w:t>
            </w:r>
          </w:p>
        </w:tc>
        <w:tc>
          <w:tcPr>
            <w:tcW w:w="2074" w:type="dxa"/>
            <w:tcBorders>
              <w:top w:val="nil"/>
              <w:left w:val="single" w:sz="4" w:space="0" w:color="auto"/>
              <w:bottom w:val="nil"/>
              <w:right w:val="single" w:sz="4" w:space="0" w:color="auto"/>
            </w:tcBorders>
            <w:shd w:val="clear" w:color="auto" w:fill="auto"/>
            <w:noWrap/>
            <w:vAlign w:val="bottom"/>
            <w:hideMark/>
          </w:tcPr>
          <w:p w14:paraId="1B017B0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Masala</w:t>
            </w:r>
          </w:p>
        </w:tc>
        <w:tc>
          <w:tcPr>
            <w:tcW w:w="1153" w:type="dxa"/>
            <w:tcBorders>
              <w:top w:val="nil"/>
              <w:left w:val="single" w:sz="4" w:space="0" w:color="auto"/>
              <w:bottom w:val="nil"/>
              <w:right w:val="nil"/>
            </w:tcBorders>
            <w:shd w:val="clear" w:color="auto" w:fill="auto"/>
            <w:noWrap/>
            <w:vAlign w:val="bottom"/>
            <w:hideMark/>
          </w:tcPr>
          <w:p w14:paraId="22D8900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0.170</w:t>
            </w:r>
          </w:p>
        </w:tc>
        <w:tc>
          <w:tcPr>
            <w:tcW w:w="1289" w:type="dxa"/>
            <w:tcBorders>
              <w:top w:val="nil"/>
              <w:left w:val="nil"/>
              <w:bottom w:val="nil"/>
              <w:right w:val="nil"/>
            </w:tcBorders>
            <w:shd w:val="clear" w:color="auto" w:fill="auto"/>
            <w:noWrap/>
            <w:vAlign w:val="bottom"/>
            <w:hideMark/>
          </w:tcPr>
          <w:p w14:paraId="691A655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0.258</w:t>
            </w:r>
          </w:p>
        </w:tc>
        <w:tc>
          <w:tcPr>
            <w:tcW w:w="967" w:type="dxa"/>
            <w:tcBorders>
              <w:top w:val="nil"/>
              <w:left w:val="nil"/>
              <w:bottom w:val="nil"/>
            </w:tcBorders>
            <w:shd w:val="clear" w:color="auto" w:fill="auto"/>
            <w:noWrap/>
            <w:vAlign w:val="bottom"/>
            <w:hideMark/>
          </w:tcPr>
          <w:p w14:paraId="34AF6E3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0.6062</w:t>
            </w:r>
          </w:p>
        </w:tc>
        <w:tc>
          <w:tcPr>
            <w:tcW w:w="860" w:type="dxa"/>
            <w:tcBorders>
              <w:top w:val="nil"/>
              <w:bottom w:val="nil"/>
              <w:right w:val="single" w:sz="4" w:space="0" w:color="auto"/>
            </w:tcBorders>
            <w:shd w:val="clear" w:color="auto" w:fill="auto"/>
            <w:noWrap/>
            <w:vAlign w:val="bottom"/>
            <w:hideMark/>
          </w:tcPr>
          <w:p w14:paraId="4922F34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0.088</w:t>
            </w:r>
          </w:p>
        </w:tc>
        <w:tc>
          <w:tcPr>
            <w:tcW w:w="967" w:type="dxa"/>
            <w:tcBorders>
              <w:top w:val="nil"/>
              <w:left w:val="single" w:sz="4" w:space="0" w:color="auto"/>
              <w:bottom w:val="nil"/>
              <w:right w:val="nil"/>
            </w:tcBorders>
            <w:shd w:val="clear" w:color="auto" w:fill="auto"/>
            <w:noWrap/>
            <w:vAlign w:val="bottom"/>
            <w:hideMark/>
          </w:tcPr>
          <w:p w14:paraId="5CDB4A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-1.7721</w:t>
            </w:r>
          </w:p>
        </w:tc>
        <w:tc>
          <w:tcPr>
            <w:tcW w:w="860" w:type="dxa"/>
            <w:tcBorders>
              <w:top w:val="nil"/>
              <w:left w:val="nil"/>
              <w:bottom w:val="nil"/>
              <w:right w:val="nil"/>
            </w:tcBorders>
            <w:shd w:val="clear" w:color="auto" w:fill="auto"/>
            <w:noWrap/>
            <w:vAlign w:val="bottom"/>
            <w:hideMark/>
          </w:tcPr>
          <w:p w14:paraId="63CB9F1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-1.3558</w:t>
            </w:r>
          </w:p>
        </w:tc>
        <w:tc>
          <w:tcPr>
            <w:tcW w:w="860" w:type="dxa"/>
            <w:tcBorders>
              <w:top w:val="nil"/>
              <w:left w:val="nil"/>
              <w:bottom w:val="nil"/>
              <w:right w:val="nil"/>
            </w:tcBorders>
            <w:shd w:val="clear" w:color="auto" w:fill="auto"/>
            <w:noWrap/>
            <w:vAlign w:val="bottom"/>
            <w:hideMark/>
          </w:tcPr>
          <w:p w14:paraId="15A2241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0.4163</w:t>
            </w:r>
          </w:p>
        </w:tc>
        <w:tc>
          <w:tcPr>
            <w:tcW w:w="967" w:type="dxa"/>
            <w:tcBorders>
              <w:top w:val="nil"/>
              <w:left w:val="nil"/>
              <w:bottom w:val="nil"/>
              <w:right w:val="nil"/>
            </w:tcBorders>
            <w:shd w:val="clear" w:color="auto" w:fill="auto"/>
            <w:noWrap/>
            <w:vAlign w:val="bottom"/>
            <w:hideMark/>
          </w:tcPr>
          <w:p w14:paraId="084E98A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-0.5006</w:t>
            </w:r>
          </w:p>
        </w:tc>
        <w:tc>
          <w:tcPr>
            <w:tcW w:w="860" w:type="dxa"/>
            <w:tcBorders>
              <w:top w:val="nil"/>
              <w:left w:val="nil"/>
              <w:bottom w:val="nil"/>
              <w:right w:val="nil"/>
            </w:tcBorders>
            <w:shd w:val="clear" w:color="auto" w:fill="auto"/>
            <w:noWrap/>
            <w:vAlign w:val="bottom"/>
            <w:hideMark/>
          </w:tcPr>
          <w:p w14:paraId="4A4368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0.2108</w:t>
            </w:r>
          </w:p>
        </w:tc>
        <w:tc>
          <w:tcPr>
            <w:tcW w:w="860" w:type="dxa"/>
            <w:tcBorders>
              <w:top w:val="nil"/>
              <w:left w:val="nil"/>
              <w:bottom w:val="nil"/>
              <w:right w:val="single" w:sz="4" w:space="0" w:color="auto"/>
            </w:tcBorders>
            <w:shd w:val="clear" w:color="auto" w:fill="auto"/>
            <w:noWrap/>
            <w:vAlign w:val="bottom"/>
            <w:hideMark/>
          </w:tcPr>
          <w:p w14:paraId="17027B4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0.0022</w:t>
            </w:r>
          </w:p>
        </w:tc>
        <w:tc>
          <w:tcPr>
            <w:tcW w:w="127" w:type="dxa"/>
            <w:tcBorders>
              <w:top w:val="nil"/>
              <w:left w:val="single" w:sz="4" w:space="0" w:color="auto"/>
              <w:bottom w:val="nil"/>
              <w:right w:val="nil"/>
            </w:tcBorders>
            <w:shd w:val="clear" w:color="auto" w:fill="auto"/>
            <w:noWrap/>
            <w:vAlign w:val="bottom"/>
            <w:hideMark/>
          </w:tcPr>
          <w:p w14:paraId="5540E09C" w14:textId="77777777" w:rsidR="005A4EA3" w:rsidRPr="00B43597" w:rsidRDefault="005A4EA3" w:rsidP="005A4EA3">
            <w:pPr>
              <w:rPr>
                <w:rFonts w:eastAsia="Times New Roman" w:cs="Times New Roman"/>
                <w:color w:val="000000"/>
                <w:sz w:val="18"/>
                <w:szCs w:val="18"/>
              </w:rPr>
            </w:pPr>
          </w:p>
        </w:tc>
      </w:tr>
      <w:tr w:rsidR="005A4EA3" w:rsidRPr="008A78D0" w14:paraId="719B90C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4DB6BF7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01.1.902</w:t>
            </w:r>
          </w:p>
        </w:tc>
        <w:tc>
          <w:tcPr>
            <w:tcW w:w="2074" w:type="dxa"/>
            <w:tcBorders>
              <w:top w:val="nil"/>
              <w:left w:val="single" w:sz="4" w:space="0" w:color="auto"/>
              <w:bottom w:val="nil"/>
              <w:right w:val="single" w:sz="4" w:space="0" w:color="auto"/>
            </w:tcBorders>
            <w:shd w:val="clear" w:color="auto" w:fill="auto"/>
            <w:noWrap/>
            <w:vAlign w:val="bottom"/>
            <w:hideMark/>
          </w:tcPr>
          <w:p w14:paraId="76DB31C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Tomato paste</w:t>
            </w:r>
          </w:p>
        </w:tc>
        <w:tc>
          <w:tcPr>
            <w:tcW w:w="1153" w:type="dxa"/>
            <w:tcBorders>
              <w:top w:val="nil"/>
              <w:left w:val="single" w:sz="4" w:space="0" w:color="auto"/>
              <w:bottom w:val="nil"/>
              <w:right w:val="nil"/>
            </w:tcBorders>
            <w:shd w:val="clear" w:color="auto" w:fill="auto"/>
            <w:noWrap/>
            <w:vAlign w:val="bottom"/>
            <w:hideMark/>
          </w:tcPr>
          <w:p w14:paraId="5212B14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0.956</w:t>
            </w:r>
          </w:p>
        </w:tc>
        <w:tc>
          <w:tcPr>
            <w:tcW w:w="1289" w:type="dxa"/>
            <w:tcBorders>
              <w:top w:val="nil"/>
              <w:left w:val="nil"/>
              <w:bottom w:val="nil"/>
              <w:right w:val="nil"/>
            </w:tcBorders>
            <w:shd w:val="clear" w:color="auto" w:fill="auto"/>
            <w:noWrap/>
            <w:vAlign w:val="bottom"/>
            <w:hideMark/>
          </w:tcPr>
          <w:p w14:paraId="3228045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0.673</w:t>
            </w:r>
          </w:p>
        </w:tc>
        <w:tc>
          <w:tcPr>
            <w:tcW w:w="967" w:type="dxa"/>
            <w:tcBorders>
              <w:top w:val="nil"/>
              <w:left w:val="nil"/>
              <w:bottom w:val="nil"/>
            </w:tcBorders>
            <w:shd w:val="clear" w:color="auto" w:fill="auto"/>
            <w:noWrap/>
            <w:vAlign w:val="bottom"/>
            <w:hideMark/>
          </w:tcPr>
          <w:p w14:paraId="443AD6F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1.2719</w:t>
            </w:r>
          </w:p>
        </w:tc>
        <w:tc>
          <w:tcPr>
            <w:tcW w:w="860" w:type="dxa"/>
            <w:tcBorders>
              <w:top w:val="nil"/>
              <w:bottom w:val="nil"/>
              <w:right w:val="single" w:sz="4" w:space="0" w:color="auto"/>
            </w:tcBorders>
            <w:shd w:val="clear" w:color="auto" w:fill="auto"/>
            <w:noWrap/>
            <w:vAlign w:val="bottom"/>
            <w:hideMark/>
          </w:tcPr>
          <w:p w14:paraId="2054BFE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-0.283</w:t>
            </w:r>
          </w:p>
        </w:tc>
        <w:tc>
          <w:tcPr>
            <w:tcW w:w="967" w:type="dxa"/>
            <w:tcBorders>
              <w:top w:val="nil"/>
              <w:left w:val="single" w:sz="4" w:space="0" w:color="auto"/>
              <w:bottom w:val="nil"/>
              <w:right w:val="nil"/>
            </w:tcBorders>
            <w:shd w:val="clear" w:color="auto" w:fill="auto"/>
            <w:noWrap/>
            <w:vAlign w:val="bottom"/>
            <w:hideMark/>
          </w:tcPr>
          <w:p w14:paraId="6E51FCE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-0.0445</w:t>
            </w:r>
          </w:p>
        </w:tc>
        <w:tc>
          <w:tcPr>
            <w:tcW w:w="860" w:type="dxa"/>
            <w:tcBorders>
              <w:top w:val="nil"/>
              <w:left w:val="nil"/>
              <w:bottom w:val="nil"/>
              <w:right w:val="nil"/>
            </w:tcBorders>
            <w:shd w:val="clear" w:color="auto" w:fill="auto"/>
            <w:noWrap/>
            <w:vAlign w:val="bottom"/>
            <w:hideMark/>
          </w:tcPr>
          <w:p w14:paraId="5A5FB51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-0.3955</w:t>
            </w:r>
          </w:p>
        </w:tc>
        <w:tc>
          <w:tcPr>
            <w:tcW w:w="860" w:type="dxa"/>
            <w:tcBorders>
              <w:top w:val="nil"/>
              <w:left w:val="nil"/>
              <w:bottom w:val="nil"/>
              <w:right w:val="nil"/>
            </w:tcBorders>
            <w:shd w:val="clear" w:color="auto" w:fill="auto"/>
            <w:noWrap/>
            <w:vAlign w:val="bottom"/>
            <w:hideMark/>
          </w:tcPr>
          <w:p w14:paraId="24B2C30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-0.3509</w:t>
            </w:r>
          </w:p>
        </w:tc>
        <w:tc>
          <w:tcPr>
            <w:tcW w:w="967" w:type="dxa"/>
            <w:tcBorders>
              <w:top w:val="nil"/>
              <w:left w:val="nil"/>
              <w:bottom w:val="nil"/>
              <w:right w:val="nil"/>
            </w:tcBorders>
            <w:shd w:val="clear" w:color="auto" w:fill="auto"/>
            <w:noWrap/>
            <w:vAlign w:val="bottom"/>
            <w:hideMark/>
          </w:tcPr>
          <w:p w14:paraId="78F048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0.2405</w:t>
            </w:r>
          </w:p>
        </w:tc>
        <w:tc>
          <w:tcPr>
            <w:tcW w:w="860" w:type="dxa"/>
            <w:tcBorders>
              <w:top w:val="nil"/>
              <w:left w:val="nil"/>
              <w:bottom w:val="nil"/>
              <w:right w:val="nil"/>
            </w:tcBorders>
            <w:shd w:val="clear" w:color="auto" w:fill="auto"/>
            <w:noWrap/>
            <w:vAlign w:val="bottom"/>
            <w:hideMark/>
          </w:tcPr>
          <w:p w14:paraId="352853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0.8066</w:t>
            </w:r>
          </w:p>
        </w:tc>
        <w:tc>
          <w:tcPr>
            <w:tcW w:w="860" w:type="dxa"/>
            <w:tcBorders>
              <w:top w:val="nil"/>
              <w:left w:val="nil"/>
              <w:bottom w:val="nil"/>
              <w:right w:val="single" w:sz="4" w:space="0" w:color="auto"/>
            </w:tcBorders>
            <w:shd w:val="clear" w:color="auto" w:fill="auto"/>
            <w:noWrap/>
            <w:vAlign w:val="bottom"/>
            <w:hideMark/>
          </w:tcPr>
          <w:p w14:paraId="671364E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0.0084</w:t>
            </w:r>
          </w:p>
        </w:tc>
        <w:tc>
          <w:tcPr>
            <w:tcW w:w="127" w:type="dxa"/>
            <w:tcBorders>
              <w:top w:val="nil"/>
              <w:left w:val="single" w:sz="4" w:space="0" w:color="auto"/>
              <w:bottom w:val="nil"/>
              <w:right w:val="nil"/>
            </w:tcBorders>
            <w:shd w:val="clear" w:color="auto" w:fill="auto"/>
            <w:noWrap/>
            <w:vAlign w:val="bottom"/>
            <w:hideMark/>
          </w:tcPr>
          <w:p w14:paraId="6E133315" w14:textId="77777777" w:rsidR="005A4EA3" w:rsidRPr="00B43597" w:rsidRDefault="005A4EA3" w:rsidP="005A4EA3">
            <w:pPr>
              <w:rPr>
                <w:rFonts w:eastAsia="Times New Roman" w:cs="Times New Roman"/>
                <w:color w:val="000000"/>
                <w:sz w:val="18"/>
                <w:szCs w:val="18"/>
              </w:rPr>
            </w:pPr>
          </w:p>
        </w:tc>
      </w:tr>
      <w:tr w:rsidR="005A4EA3" w:rsidRPr="008A78D0" w14:paraId="75ABED5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80F297E"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01.1.908</w:t>
            </w:r>
          </w:p>
        </w:tc>
        <w:tc>
          <w:tcPr>
            <w:tcW w:w="2074" w:type="dxa"/>
            <w:tcBorders>
              <w:top w:val="nil"/>
              <w:left w:val="single" w:sz="4" w:space="0" w:color="auto"/>
              <w:bottom w:val="nil"/>
              <w:right w:val="single" w:sz="4" w:space="0" w:color="auto"/>
            </w:tcBorders>
            <w:shd w:val="clear" w:color="auto" w:fill="auto"/>
            <w:noWrap/>
            <w:vAlign w:val="bottom"/>
            <w:hideMark/>
          </w:tcPr>
          <w:p w14:paraId="78B7ADF2"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Vinegar</w:t>
            </w:r>
          </w:p>
        </w:tc>
        <w:tc>
          <w:tcPr>
            <w:tcW w:w="1153" w:type="dxa"/>
            <w:tcBorders>
              <w:top w:val="nil"/>
              <w:left w:val="single" w:sz="4" w:space="0" w:color="auto"/>
              <w:bottom w:val="nil"/>
              <w:right w:val="nil"/>
            </w:tcBorders>
            <w:shd w:val="clear" w:color="auto" w:fill="auto"/>
            <w:noWrap/>
            <w:vAlign w:val="bottom"/>
            <w:hideMark/>
          </w:tcPr>
          <w:p w14:paraId="399921C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0.241</w:t>
            </w:r>
          </w:p>
        </w:tc>
        <w:tc>
          <w:tcPr>
            <w:tcW w:w="1289" w:type="dxa"/>
            <w:tcBorders>
              <w:top w:val="nil"/>
              <w:left w:val="nil"/>
              <w:bottom w:val="nil"/>
              <w:right w:val="nil"/>
            </w:tcBorders>
            <w:shd w:val="clear" w:color="auto" w:fill="auto"/>
            <w:noWrap/>
            <w:vAlign w:val="bottom"/>
            <w:hideMark/>
          </w:tcPr>
          <w:p w14:paraId="42B111A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0.443</w:t>
            </w:r>
          </w:p>
        </w:tc>
        <w:tc>
          <w:tcPr>
            <w:tcW w:w="967" w:type="dxa"/>
            <w:tcBorders>
              <w:top w:val="nil"/>
              <w:left w:val="nil"/>
              <w:bottom w:val="nil"/>
            </w:tcBorders>
            <w:shd w:val="clear" w:color="auto" w:fill="auto"/>
            <w:noWrap/>
            <w:vAlign w:val="bottom"/>
            <w:hideMark/>
          </w:tcPr>
          <w:p w14:paraId="1DFE148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1.2120</w:t>
            </w:r>
          </w:p>
        </w:tc>
        <w:tc>
          <w:tcPr>
            <w:tcW w:w="860" w:type="dxa"/>
            <w:tcBorders>
              <w:top w:val="nil"/>
              <w:bottom w:val="nil"/>
              <w:right w:val="single" w:sz="4" w:space="0" w:color="auto"/>
            </w:tcBorders>
            <w:shd w:val="clear" w:color="auto" w:fill="auto"/>
            <w:noWrap/>
            <w:vAlign w:val="bottom"/>
            <w:hideMark/>
          </w:tcPr>
          <w:p w14:paraId="376613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0.202</w:t>
            </w:r>
          </w:p>
        </w:tc>
        <w:tc>
          <w:tcPr>
            <w:tcW w:w="967" w:type="dxa"/>
            <w:tcBorders>
              <w:top w:val="nil"/>
              <w:left w:val="single" w:sz="4" w:space="0" w:color="auto"/>
              <w:bottom w:val="nil"/>
              <w:right w:val="nil"/>
            </w:tcBorders>
            <w:shd w:val="clear" w:color="auto" w:fill="auto"/>
            <w:noWrap/>
            <w:vAlign w:val="bottom"/>
            <w:hideMark/>
          </w:tcPr>
          <w:p w14:paraId="620C9F4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-1.4229</w:t>
            </w:r>
          </w:p>
        </w:tc>
        <w:tc>
          <w:tcPr>
            <w:tcW w:w="860" w:type="dxa"/>
            <w:tcBorders>
              <w:top w:val="nil"/>
              <w:left w:val="nil"/>
              <w:bottom w:val="nil"/>
              <w:right w:val="nil"/>
            </w:tcBorders>
            <w:shd w:val="clear" w:color="auto" w:fill="auto"/>
            <w:noWrap/>
            <w:vAlign w:val="bottom"/>
            <w:hideMark/>
          </w:tcPr>
          <w:p w14:paraId="1946FD5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-0.8139</w:t>
            </w:r>
          </w:p>
        </w:tc>
        <w:tc>
          <w:tcPr>
            <w:tcW w:w="860" w:type="dxa"/>
            <w:tcBorders>
              <w:top w:val="nil"/>
              <w:left w:val="nil"/>
              <w:bottom w:val="nil"/>
              <w:right w:val="nil"/>
            </w:tcBorders>
            <w:shd w:val="clear" w:color="auto" w:fill="auto"/>
            <w:noWrap/>
            <w:vAlign w:val="bottom"/>
            <w:hideMark/>
          </w:tcPr>
          <w:p w14:paraId="53720C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0.6090</w:t>
            </w:r>
          </w:p>
        </w:tc>
        <w:tc>
          <w:tcPr>
            <w:tcW w:w="967" w:type="dxa"/>
            <w:tcBorders>
              <w:top w:val="nil"/>
              <w:left w:val="nil"/>
              <w:bottom w:val="nil"/>
              <w:right w:val="nil"/>
            </w:tcBorders>
            <w:shd w:val="clear" w:color="auto" w:fill="auto"/>
            <w:noWrap/>
            <w:vAlign w:val="bottom"/>
            <w:hideMark/>
          </w:tcPr>
          <w:p w14:paraId="595C744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0.1923</w:t>
            </w:r>
          </w:p>
        </w:tc>
        <w:tc>
          <w:tcPr>
            <w:tcW w:w="860" w:type="dxa"/>
            <w:tcBorders>
              <w:top w:val="nil"/>
              <w:left w:val="nil"/>
              <w:bottom w:val="nil"/>
              <w:right w:val="nil"/>
            </w:tcBorders>
            <w:shd w:val="clear" w:color="auto" w:fill="auto"/>
            <w:noWrap/>
            <w:vAlign w:val="bottom"/>
            <w:hideMark/>
          </w:tcPr>
          <w:p w14:paraId="4AE4B8A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0.3319</w:t>
            </w:r>
          </w:p>
        </w:tc>
        <w:tc>
          <w:tcPr>
            <w:tcW w:w="860" w:type="dxa"/>
            <w:tcBorders>
              <w:top w:val="nil"/>
              <w:left w:val="nil"/>
              <w:bottom w:val="nil"/>
              <w:right w:val="single" w:sz="4" w:space="0" w:color="auto"/>
            </w:tcBorders>
            <w:shd w:val="clear" w:color="auto" w:fill="auto"/>
            <w:noWrap/>
            <w:vAlign w:val="bottom"/>
            <w:hideMark/>
          </w:tcPr>
          <w:p w14:paraId="438DC79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0.0035</w:t>
            </w:r>
          </w:p>
        </w:tc>
        <w:tc>
          <w:tcPr>
            <w:tcW w:w="127" w:type="dxa"/>
            <w:tcBorders>
              <w:top w:val="nil"/>
              <w:left w:val="single" w:sz="4" w:space="0" w:color="auto"/>
              <w:bottom w:val="nil"/>
              <w:right w:val="nil"/>
            </w:tcBorders>
            <w:shd w:val="clear" w:color="auto" w:fill="auto"/>
            <w:noWrap/>
            <w:vAlign w:val="bottom"/>
            <w:hideMark/>
          </w:tcPr>
          <w:p w14:paraId="312F1100" w14:textId="77777777" w:rsidR="005A4EA3" w:rsidRPr="00B43597" w:rsidRDefault="005A4EA3" w:rsidP="005A4EA3">
            <w:pPr>
              <w:rPr>
                <w:rFonts w:eastAsia="Times New Roman" w:cs="Times New Roman"/>
                <w:color w:val="000000"/>
                <w:sz w:val="18"/>
                <w:szCs w:val="18"/>
              </w:rPr>
            </w:pPr>
          </w:p>
        </w:tc>
      </w:tr>
      <w:tr w:rsidR="005A4EA3" w:rsidRPr="008A78D0" w14:paraId="50FB5E1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FBDE3B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01.1.906</w:t>
            </w:r>
          </w:p>
        </w:tc>
        <w:tc>
          <w:tcPr>
            <w:tcW w:w="2074" w:type="dxa"/>
            <w:tcBorders>
              <w:top w:val="nil"/>
              <w:left w:val="single" w:sz="4" w:space="0" w:color="auto"/>
              <w:bottom w:val="nil"/>
              <w:right w:val="single" w:sz="4" w:space="0" w:color="auto"/>
            </w:tcBorders>
            <w:shd w:val="clear" w:color="auto" w:fill="auto"/>
            <w:noWrap/>
            <w:vAlign w:val="bottom"/>
            <w:hideMark/>
          </w:tcPr>
          <w:p w14:paraId="12D70403"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Celery</w:t>
            </w:r>
          </w:p>
        </w:tc>
        <w:tc>
          <w:tcPr>
            <w:tcW w:w="1153" w:type="dxa"/>
            <w:tcBorders>
              <w:top w:val="nil"/>
              <w:left w:val="single" w:sz="4" w:space="0" w:color="auto"/>
              <w:bottom w:val="nil"/>
              <w:right w:val="nil"/>
            </w:tcBorders>
            <w:shd w:val="clear" w:color="auto" w:fill="auto"/>
            <w:noWrap/>
            <w:vAlign w:val="bottom"/>
            <w:hideMark/>
          </w:tcPr>
          <w:p w14:paraId="5DC1909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0.287</w:t>
            </w:r>
          </w:p>
        </w:tc>
        <w:tc>
          <w:tcPr>
            <w:tcW w:w="1289" w:type="dxa"/>
            <w:tcBorders>
              <w:top w:val="nil"/>
              <w:left w:val="nil"/>
              <w:bottom w:val="nil"/>
              <w:right w:val="nil"/>
            </w:tcBorders>
            <w:shd w:val="clear" w:color="auto" w:fill="auto"/>
            <w:noWrap/>
            <w:vAlign w:val="bottom"/>
            <w:hideMark/>
          </w:tcPr>
          <w:p w14:paraId="65D52F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0.497</w:t>
            </w:r>
          </w:p>
        </w:tc>
        <w:tc>
          <w:tcPr>
            <w:tcW w:w="967" w:type="dxa"/>
            <w:tcBorders>
              <w:top w:val="nil"/>
              <w:left w:val="nil"/>
              <w:bottom w:val="nil"/>
            </w:tcBorders>
            <w:shd w:val="clear" w:color="auto" w:fill="auto"/>
            <w:noWrap/>
            <w:vAlign w:val="bottom"/>
            <w:hideMark/>
          </w:tcPr>
          <w:p w14:paraId="3E8DF24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1.0222</w:t>
            </w:r>
          </w:p>
        </w:tc>
        <w:tc>
          <w:tcPr>
            <w:tcW w:w="860" w:type="dxa"/>
            <w:tcBorders>
              <w:top w:val="nil"/>
              <w:bottom w:val="nil"/>
              <w:right w:val="single" w:sz="4" w:space="0" w:color="auto"/>
            </w:tcBorders>
            <w:shd w:val="clear" w:color="auto" w:fill="auto"/>
            <w:noWrap/>
            <w:vAlign w:val="bottom"/>
            <w:hideMark/>
          </w:tcPr>
          <w:p w14:paraId="6693DD7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0.210</w:t>
            </w:r>
          </w:p>
        </w:tc>
        <w:tc>
          <w:tcPr>
            <w:tcW w:w="967" w:type="dxa"/>
            <w:tcBorders>
              <w:top w:val="nil"/>
              <w:left w:val="single" w:sz="4" w:space="0" w:color="auto"/>
              <w:bottom w:val="nil"/>
              <w:right w:val="nil"/>
            </w:tcBorders>
            <w:shd w:val="clear" w:color="auto" w:fill="auto"/>
            <w:noWrap/>
            <w:vAlign w:val="bottom"/>
            <w:hideMark/>
          </w:tcPr>
          <w:p w14:paraId="51A3F20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-1.2494</w:t>
            </w:r>
          </w:p>
        </w:tc>
        <w:tc>
          <w:tcPr>
            <w:tcW w:w="860" w:type="dxa"/>
            <w:tcBorders>
              <w:top w:val="nil"/>
              <w:left w:val="nil"/>
              <w:bottom w:val="nil"/>
              <w:right w:val="nil"/>
            </w:tcBorders>
            <w:shd w:val="clear" w:color="auto" w:fill="auto"/>
            <w:noWrap/>
            <w:vAlign w:val="bottom"/>
            <w:hideMark/>
          </w:tcPr>
          <w:p w14:paraId="1987C6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-0.6996</w:t>
            </w:r>
          </w:p>
        </w:tc>
        <w:tc>
          <w:tcPr>
            <w:tcW w:w="860" w:type="dxa"/>
            <w:tcBorders>
              <w:top w:val="nil"/>
              <w:left w:val="nil"/>
              <w:bottom w:val="nil"/>
              <w:right w:val="nil"/>
            </w:tcBorders>
            <w:shd w:val="clear" w:color="auto" w:fill="auto"/>
            <w:noWrap/>
            <w:vAlign w:val="bottom"/>
            <w:hideMark/>
          </w:tcPr>
          <w:p w14:paraId="08DE1B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0.5498</w:t>
            </w:r>
          </w:p>
        </w:tc>
        <w:tc>
          <w:tcPr>
            <w:tcW w:w="967" w:type="dxa"/>
            <w:tcBorders>
              <w:top w:val="nil"/>
              <w:left w:val="nil"/>
              <w:bottom w:val="nil"/>
              <w:right w:val="nil"/>
            </w:tcBorders>
            <w:shd w:val="clear" w:color="auto" w:fill="auto"/>
            <w:noWrap/>
            <w:vAlign w:val="bottom"/>
            <w:hideMark/>
          </w:tcPr>
          <w:p w14:paraId="4BDFC3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0.0220</w:t>
            </w:r>
          </w:p>
        </w:tc>
        <w:tc>
          <w:tcPr>
            <w:tcW w:w="860" w:type="dxa"/>
            <w:tcBorders>
              <w:top w:val="nil"/>
              <w:left w:val="nil"/>
              <w:bottom w:val="nil"/>
              <w:right w:val="nil"/>
            </w:tcBorders>
            <w:shd w:val="clear" w:color="auto" w:fill="auto"/>
            <w:noWrap/>
            <w:vAlign w:val="bottom"/>
            <w:hideMark/>
          </w:tcPr>
          <w:p w14:paraId="625CEE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0.3822</w:t>
            </w:r>
          </w:p>
        </w:tc>
        <w:tc>
          <w:tcPr>
            <w:tcW w:w="860" w:type="dxa"/>
            <w:tcBorders>
              <w:top w:val="nil"/>
              <w:left w:val="nil"/>
              <w:bottom w:val="nil"/>
              <w:right w:val="single" w:sz="4" w:space="0" w:color="auto"/>
            </w:tcBorders>
            <w:shd w:val="clear" w:color="auto" w:fill="auto"/>
            <w:noWrap/>
            <w:vAlign w:val="bottom"/>
            <w:hideMark/>
          </w:tcPr>
          <w:p w14:paraId="2236AA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0.0040</w:t>
            </w:r>
          </w:p>
        </w:tc>
        <w:tc>
          <w:tcPr>
            <w:tcW w:w="127" w:type="dxa"/>
            <w:tcBorders>
              <w:top w:val="nil"/>
              <w:left w:val="single" w:sz="4" w:space="0" w:color="auto"/>
              <w:bottom w:val="nil"/>
              <w:right w:val="nil"/>
            </w:tcBorders>
            <w:shd w:val="clear" w:color="auto" w:fill="auto"/>
            <w:noWrap/>
            <w:vAlign w:val="bottom"/>
            <w:hideMark/>
          </w:tcPr>
          <w:p w14:paraId="262E157F" w14:textId="77777777" w:rsidR="005A4EA3" w:rsidRPr="00B43597" w:rsidRDefault="005A4EA3" w:rsidP="005A4EA3">
            <w:pPr>
              <w:rPr>
                <w:rFonts w:eastAsia="Times New Roman" w:cs="Times New Roman"/>
                <w:color w:val="000000"/>
                <w:sz w:val="18"/>
                <w:szCs w:val="18"/>
              </w:rPr>
            </w:pPr>
          </w:p>
        </w:tc>
      </w:tr>
      <w:tr w:rsidR="005A4EA3" w:rsidRPr="008A78D0" w14:paraId="37F2A80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656421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01.1.905</w:t>
            </w:r>
          </w:p>
        </w:tc>
        <w:tc>
          <w:tcPr>
            <w:tcW w:w="2074" w:type="dxa"/>
            <w:tcBorders>
              <w:top w:val="nil"/>
              <w:left w:val="single" w:sz="4" w:space="0" w:color="auto"/>
              <w:bottom w:val="nil"/>
              <w:right w:val="single" w:sz="4" w:space="0" w:color="auto"/>
            </w:tcBorders>
            <w:shd w:val="clear" w:color="auto" w:fill="auto"/>
            <w:noWrap/>
            <w:vAlign w:val="bottom"/>
            <w:hideMark/>
          </w:tcPr>
          <w:p w14:paraId="463372F5"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Red pepper</w:t>
            </w:r>
          </w:p>
        </w:tc>
        <w:tc>
          <w:tcPr>
            <w:tcW w:w="1153" w:type="dxa"/>
            <w:tcBorders>
              <w:top w:val="nil"/>
              <w:left w:val="single" w:sz="4" w:space="0" w:color="auto"/>
              <w:bottom w:val="nil"/>
              <w:right w:val="nil"/>
            </w:tcBorders>
            <w:shd w:val="clear" w:color="auto" w:fill="auto"/>
            <w:noWrap/>
            <w:vAlign w:val="bottom"/>
            <w:hideMark/>
          </w:tcPr>
          <w:p w14:paraId="3ECDF6B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0.348</w:t>
            </w:r>
          </w:p>
        </w:tc>
        <w:tc>
          <w:tcPr>
            <w:tcW w:w="1289" w:type="dxa"/>
            <w:tcBorders>
              <w:top w:val="nil"/>
              <w:left w:val="nil"/>
              <w:bottom w:val="nil"/>
              <w:right w:val="nil"/>
            </w:tcBorders>
            <w:shd w:val="clear" w:color="auto" w:fill="auto"/>
            <w:noWrap/>
            <w:vAlign w:val="bottom"/>
            <w:hideMark/>
          </w:tcPr>
          <w:p w14:paraId="7E7EE9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0.192</w:t>
            </w:r>
          </w:p>
        </w:tc>
        <w:tc>
          <w:tcPr>
            <w:tcW w:w="967" w:type="dxa"/>
            <w:tcBorders>
              <w:top w:val="nil"/>
              <w:left w:val="nil"/>
              <w:bottom w:val="nil"/>
            </w:tcBorders>
            <w:shd w:val="clear" w:color="auto" w:fill="auto"/>
            <w:noWrap/>
            <w:vAlign w:val="bottom"/>
            <w:hideMark/>
          </w:tcPr>
          <w:p w14:paraId="65C7387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3.2345</w:t>
            </w:r>
          </w:p>
        </w:tc>
        <w:tc>
          <w:tcPr>
            <w:tcW w:w="860" w:type="dxa"/>
            <w:tcBorders>
              <w:top w:val="nil"/>
              <w:bottom w:val="nil"/>
              <w:right w:val="single" w:sz="4" w:space="0" w:color="auto"/>
            </w:tcBorders>
            <w:shd w:val="clear" w:color="auto" w:fill="auto"/>
            <w:noWrap/>
            <w:vAlign w:val="bottom"/>
            <w:hideMark/>
          </w:tcPr>
          <w:p w14:paraId="26CEA6D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-0.155</w:t>
            </w:r>
          </w:p>
        </w:tc>
        <w:tc>
          <w:tcPr>
            <w:tcW w:w="967" w:type="dxa"/>
            <w:tcBorders>
              <w:top w:val="nil"/>
              <w:left w:val="single" w:sz="4" w:space="0" w:color="auto"/>
              <w:bottom w:val="nil"/>
              <w:right w:val="nil"/>
            </w:tcBorders>
            <w:shd w:val="clear" w:color="auto" w:fill="auto"/>
            <w:noWrap/>
            <w:vAlign w:val="bottom"/>
            <w:hideMark/>
          </w:tcPr>
          <w:p w14:paraId="60E27B7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-1.0568</w:t>
            </w:r>
          </w:p>
        </w:tc>
        <w:tc>
          <w:tcPr>
            <w:tcW w:w="860" w:type="dxa"/>
            <w:tcBorders>
              <w:top w:val="nil"/>
              <w:left w:val="nil"/>
              <w:bottom w:val="nil"/>
              <w:right w:val="nil"/>
            </w:tcBorders>
            <w:shd w:val="clear" w:color="auto" w:fill="auto"/>
            <w:noWrap/>
            <w:vAlign w:val="bottom"/>
            <w:hideMark/>
          </w:tcPr>
          <w:p w14:paraId="6BA842E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-1.6492</w:t>
            </w:r>
          </w:p>
        </w:tc>
        <w:tc>
          <w:tcPr>
            <w:tcW w:w="860" w:type="dxa"/>
            <w:tcBorders>
              <w:top w:val="nil"/>
              <w:left w:val="nil"/>
              <w:bottom w:val="nil"/>
              <w:right w:val="nil"/>
            </w:tcBorders>
            <w:shd w:val="clear" w:color="auto" w:fill="auto"/>
            <w:noWrap/>
            <w:vAlign w:val="bottom"/>
            <w:hideMark/>
          </w:tcPr>
          <w:p w14:paraId="311B5F4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-0.5924</w:t>
            </w:r>
          </w:p>
        </w:tc>
        <w:tc>
          <w:tcPr>
            <w:tcW w:w="967" w:type="dxa"/>
            <w:tcBorders>
              <w:top w:val="nil"/>
              <w:left w:val="nil"/>
              <w:bottom w:val="nil"/>
              <w:right w:val="nil"/>
            </w:tcBorders>
            <w:shd w:val="clear" w:color="auto" w:fill="auto"/>
            <w:noWrap/>
            <w:vAlign w:val="bottom"/>
            <w:hideMark/>
          </w:tcPr>
          <w:p w14:paraId="0221F11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1.1739</w:t>
            </w:r>
          </w:p>
        </w:tc>
        <w:tc>
          <w:tcPr>
            <w:tcW w:w="860" w:type="dxa"/>
            <w:tcBorders>
              <w:top w:val="nil"/>
              <w:left w:val="nil"/>
              <w:bottom w:val="nil"/>
              <w:right w:val="nil"/>
            </w:tcBorders>
            <w:shd w:val="clear" w:color="auto" w:fill="auto"/>
            <w:noWrap/>
            <w:vAlign w:val="bottom"/>
            <w:hideMark/>
          </w:tcPr>
          <w:p w14:paraId="6B2AED3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0.2623</w:t>
            </w:r>
          </w:p>
        </w:tc>
        <w:tc>
          <w:tcPr>
            <w:tcW w:w="860" w:type="dxa"/>
            <w:tcBorders>
              <w:top w:val="nil"/>
              <w:left w:val="nil"/>
              <w:bottom w:val="nil"/>
              <w:right w:val="single" w:sz="4" w:space="0" w:color="auto"/>
            </w:tcBorders>
            <w:shd w:val="clear" w:color="auto" w:fill="auto"/>
            <w:noWrap/>
            <w:vAlign w:val="bottom"/>
            <w:hideMark/>
          </w:tcPr>
          <w:p w14:paraId="68DAA24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0.0027</w:t>
            </w:r>
          </w:p>
        </w:tc>
        <w:tc>
          <w:tcPr>
            <w:tcW w:w="127" w:type="dxa"/>
            <w:tcBorders>
              <w:top w:val="nil"/>
              <w:left w:val="single" w:sz="4" w:space="0" w:color="auto"/>
              <w:bottom w:val="nil"/>
              <w:right w:val="nil"/>
            </w:tcBorders>
            <w:shd w:val="clear" w:color="auto" w:fill="auto"/>
            <w:noWrap/>
            <w:vAlign w:val="bottom"/>
            <w:hideMark/>
          </w:tcPr>
          <w:p w14:paraId="269186F2" w14:textId="77777777" w:rsidR="005A4EA3" w:rsidRPr="00B43597" w:rsidRDefault="005A4EA3" w:rsidP="005A4EA3">
            <w:pPr>
              <w:rPr>
                <w:rFonts w:eastAsia="Times New Roman" w:cs="Times New Roman"/>
                <w:color w:val="000000"/>
                <w:sz w:val="18"/>
                <w:szCs w:val="18"/>
              </w:rPr>
            </w:pPr>
          </w:p>
        </w:tc>
      </w:tr>
      <w:tr w:rsidR="005A4EA3" w:rsidRPr="008A78D0" w14:paraId="423DDD6E"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3245A79"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01.1.909</w:t>
            </w:r>
          </w:p>
        </w:tc>
        <w:tc>
          <w:tcPr>
            <w:tcW w:w="2074" w:type="dxa"/>
            <w:tcBorders>
              <w:top w:val="nil"/>
              <w:left w:val="single" w:sz="4" w:space="0" w:color="auto"/>
              <w:bottom w:val="nil"/>
              <w:right w:val="single" w:sz="4" w:space="0" w:color="auto"/>
            </w:tcBorders>
            <w:shd w:val="clear" w:color="auto" w:fill="auto"/>
            <w:noWrap/>
            <w:vAlign w:val="bottom"/>
            <w:hideMark/>
          </w:tcPr>
          <w:p w14:paraId="54AFB690"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Baking powder (prepd.)</w:t>
            </w:r>
          </w:p>
        </w:tc>
        <w:tc>
          <w:tcPr>
            <w:tcW w:w="1153" w:type="dxa"/>
            <w:tcBorders>
              <w:top w:val="nil"/>
              <w:left w:val="single" w:sz="4" w:space="0" w:color="auto"/>
              <w:bottom w:val="nil"/>
              <w:right w:val="nil"/>
            </w:tcBorders>
            <w:shd w:val="clear" w:color="auto" w:fill="auto"/>
            <w:noWrap/>
            <w:vAlign w:val="bottom"/>
            <w:hideMark/>
          </w:tcPr>
          <w:p w14:paraId="73FB8D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0.238</w:t>
            </w:r>
          </w:p>
        </w:tc>
        <w:tc>
          <w:tcPr>
            <w:tcW w:w="1289" w:type="dxa"/>
            <w:tcBorders>
              <w:top w:val="nil"/>
              <w:left w:val="nil"/>
              <w:bottom w:val="nil"/>
              <w:right w:val="nil"/>
            </w:tcBorders>
            <w:shd w:val="clear" w:color="auto" w:fill="auto"/>
            <w:noWrap/>
            <w:vAlign w:val="bottom"/>
            <w:hideMark/>
          </w:tcPr>
          <w:p w14:paraId="1476034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0.189</w:t>
            </w:r>
          </w:p>
        </w:tc>
        <w:tc>
          <w:tcPr>
            <w:tcW w:w="967" w:type="dxa"/>
            <w:tcBorders>
              <w:top w:val="nil"/>
              <w:left w:val="nil"/>
              <w:bottom w:val="nil"/>
            </w:tcBorders>
            <w:shd w:val="clear" w:color="auto" w:fill="auto"/>
            <w:noWrap/>
            <w:vAlign w:val="bottom"/>
            <w:hideMark/>
          </w:tcPr>
          <w:p w14:paraId="0E67A87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1.2120</w:t>
            </w:r>
          </w:p>
        </w:tc>
        <w:tc>
          <w:tcPr>
            <w:tcW w:w="860" w:type="dxa"/>
            <w:tcBorders>
              <w:top w:val="nil"/>
              <w:bottom w:val="nil"/>
              <w:right w:val="single" w:sz="4" w:space="0" w:color="auto"/>
            </w:tcBorders>
            <w:shd w:val="clear" w:color="auto" w:fill="auto"/>
            <w:noWrap/>
            <w:vAlign w:val="bottom"/>
            <w:hideMark/>
          </w:tcPr>
          <w:p w14:paraId="39B67429"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-0.049</w:t>
            </w:r>
          </w:p>
        </w:tc>
        <w:tc>
          <w:tcPr>
            <w:tcW w:w="967" w:type="dxa"/>
            <w:tcBorders>
              <w:top w:val="nil"/>
              <w:left w:val="single" w:sz="4" w:space="0" w:color="auto"/>
              <w:bottom w:val="nil"/>
              <w:right w:val="nil"/>
            </w:tcBorders>
            <w:shd w:val="clear" w:color="auto" w:fill="auto"/>
            <w:noWrap/>
            <w:vAlign w:val="bottom"/>
            <w:hideMark/>
          </w:tcPr>
          <w:p w14:paraId="279312B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-1.4335</w:t>
            </w:r>
          </w:p>
        </w:tc>
        <w:tc>
          <w:tcPr>
            <w:tcW w:w="860" w:type="dxa"/>
            <w:tcBorders>
              <w:top w:val="nil"/>
              <w:left w:val="nil"/>
              <w:bottom w:val="nil"/>
              <w:right w:val="nil"/>
            </w:tcBorders>
            <w:shd w:val="clear" w:color="auto" w:fill="auto"/>
            <w:noWrap/>
            <w:vAlign w:val="bottom"/>
            <w:hideMark/>
          </w:tcPr>
          <w:p w14:paraId="504133A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-1.6635</w:t>
            </w:r>
          </w:p>
        </w:tc>
        <w:tc>
          <w:tcPr>
            <w:tcW w:w="860" w:type="dxa"/>
            <w:tcBorders>
              <w:top w:val="nil"/>
              <w:left w:val="nil"/>
              <w:bottom w:val="nil"/>
              <w:right w:val="nil"/>
            </w:tcBorders>
            <w:shd w:val="clear" w:color="auto" w:fill="auto"/>
            <w:noWrap/>
            <w:vAlign w:val="bottom"/>
            <w:hideMark/>
          </w:tcPr>
          <w:p w14:paraId="706719E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-0.2300</w:t>
            </w:r>
          </w:p>
        </w:tc>
        <w:tc>
          <w:tcPr>
            <w:tcW w:w="967" w:type="dxa"/>
            <w:tcBorders>
              <w:top w:val="nil"/>
              <w:left w:val="nil"/>
              <w:bottom w:val="nil"/>
              <w:right w:val="nil"/>
            </w:tcBorders>
            <w:shd w:val="clear" w:color="auto" w:fill="auto"/>
            <w:noWrap/>
            <w:vAlign w:val="bottom"/>
            <w:hideMark/>
          </w:tcPr>
          <w:p w14:paraId="3E58BDE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0.1923</w:t>
            </w:r>
          </w:p>
        </w:tc>
        <w:tc>
          <w:tcPr>
            <w:tcW w:w="860" w:type="dxa"/>
            <w:tcBorders>
              <w:top w:val="nil"/>
              <w:left w:val="nil"/>
              <w:bottom w:val="nil"/>
              <w:right w:val="nil"/>
            </w:tcBorders>
            <w:shd w:val="clear" w:color="auto" w:fill="auto"/>
            <w:noWrap/>
            <w:vAlign w:val="bottom"/>
            <w:hideMark/>
          </w:tcPr>
          <w:p w14:paraId="6D79455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0.2130</w:t>
            </w:r>
          </w:p>
        </w:tc>
        <w:tc>
          <w:tcPr>
            <w:tcW w:w="860" w:type="dxa"/>
            <w:tcBorders>
              <w:top w:val="nil"/>
              <w:left w:val="nil"/>
              <w:bottom w:val="nil"/>
              <w:right w:val="single" w:sz="4" w:space="0" w:color="auto"/>
            </w:tcBorders>
            <w:shd w:val="clear" w:color="auto" w:fill="auto"/>
            <w:noWrap/>
            <w:vAlign w:val="bottom"/>
            <w:hideMark/>
          </w:tcPr>
          <w:p w14:paraId="6066FED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0.0022</w:t>
            </w:r>
          </w:p>
        </w:tc>
        <w:tc>
          <w:tcPr>
            <w:tcW w:w="127" w:type="dxa"/>
            <w:tcBorders>
              <w:top w:val="nil"/>
              <w:left w:val="single" w:sz="4" w:space="0" w:color="auto"/>
              <w:bottom w:val="nil"/>
              <w:right w:val="nil"/>
            </w:tcBorders>
            <w:shd w:val="clear" w:color="auto" w:fill="auto"/>
            <w:noWrap/>
            <w:vAlign w:val="bottom"/>
            <w:hideMark/>
          </w:tcPr>
          <w:p w14:paraId="6A4A5F7B" w14:textId="77777777" w:rsidR="005A4EA3" w:rsidRPr="00B43597" w:rsidRDefault="005A4EA3" w:rsidP="005A4EA3">
            <w:pPr>
              <w:rPr>
                <w:rFonts w:eastAsia="Times New Roman" w:cs="Times New Roman"/>
                <w:color w:val="000000"/>
                <w:sz w:val="18"/>
                <w:szCs w:val="18"/>
              </w:rPr>
            </w:pPr>
          </w:p>
        </w:tc>
      </w:tr>
      <w:tr w:rsidR="005A4EA3" w:rsidRPr="008A78D0" w14:paraId="45A3969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5A64A671"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01.1.907</w:t>
            </w:r>
          </w:p>
        </w:tc>
        <w:tc>
          <w:tcPr>
            <w:tcW w:w="2074" w:type="dxa"/>
            <w:tcBorders>
              <w:top w:val="nil"/>
              <w:left w:val="single" w:sz="4" w:space="0" w:color="auto"/>
              <w:bottom w:val="nil"/>
              <w:right w:val="single" w:sz="4" w:space="0" w:color="auto"/>
            </w:tcBorders>
            <w:shd w:val="clear" w:color="auto" w:fill="auto"/>
            <w:noWrap/>
            <w:vAlign w:val="bottom"/>
            <w:hideMark/>
          </w:tcPr>
          <w:p w14:paraId="625222F4"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Ketchup</w:t>
            </w:r>
          </w:p>
        </w:tc>
        <w:tc>
          <w:tcPr>
            <w:tcW w:w="1153" w:type="dxa"/>
            <w:tcBorders>
              <w:top w:val="nil"/>
              <w:left w:val="single" w:sz="4" w:space="0" w:color="auto"/>
              <w:bottom w:val="nil"/>
              <w:right w:val="nil"/>
            </w:tcBorders>
            <w:shd w:val="clear" w:color="auto" w:fill="auto"/>
            <w:noWrap/>
            <w:vAlign w:val="bottom"/>
            <w:hideMark/>
          </w:tcPr>
          <w:p w14:paraId="0413C5A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0.256</w:t>
            </w:r>
          </w:p>
        </w:tc>
        <w:tc>
          <w:tcPr>
            <w:tcW w:w="1289" w:type="dxa"/>
            <w:tcBorders>
              <w:top w:val="nil"/>
              <w:left w:val="nil"/>
              <w:bottom w:val="nil"/>
              <w:right w:val="nil"/>
            </w:tcBorders>
            <w:shd w:val="clear" w:color="auto" w:fill="auto"/>
            <w:noWrap/>
            <w:vAlign w:val="bottom"/>
            <w:hideMark/>
          </w:tcPr>
          <w:p w14:paraId="0593724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0.636</w:t>
            </w:r>
          </w:p>
        </w:tc>
        <w:tc>
          <w:tcPr>
            <w:tcW w:w="967" w:type="dxa"/>
            <w:tcBorders>
              <w:top w:val="nil"/>
              <w:left w:val="nil"/>
              <w:bottom w:val="nil"/>
            </w:tcBorders>
            <w:shd w:val="clear" w:color="auto" w:fill="auto"/>
            <w:noWrap/>
            <w:vAlign w:val="bottom"/>
            <w:hideMark/>
          </w:tcPr>
          <w:p w14:paraId="04943EB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1.0150</w:t>
            </w:r>
          </w:p>
        </w:tc>
        <w:tc>
          <w:tcPr>
            <w:tcW w:w="860" w:type="dxa"/>
            <w:tcBorders>
              <w:top w:val="nil"/>
              <w:bottom w:val="nil"/>
              <w:right w:val="single" w:sz="4" w:space="0" w:color="auto"/>
            </w:tcBorders>
            <w:shd w:val="clear" w:color="auto" w:fill="auto"/>
            <w:noWrap/>
            <w:vAlign w:val="bottom"/>
            <w:hideMark/>
          </w:tcPr>
          <w:p w14:paraId="46362D3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0.379</w:t>
            </w:r>
          </w:p>
        </w:tc>
        <w:tc>
          <w:tcPr>
            <w:tcW w:w="967" w:type="dxa"/>
            <w:tcBorders>
              <w:top w:val="nil"/>
              <w:left w:val="single" w:sz="4" w:space="0" w:color="auto"/>
              <w:bottom w:val="nil"/>
              <w:right w:val="nil"/>
            </w:tcBorders>
            <w:shd w:val="clear" w:color="auto" w:fill="auto"/>
            <w:noWrap/>
            <w:vAlign w:val="bottom"/>
            <w:hideMark/>
          </w:tcPr>
          <w:p w14:paraId="2772AA0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-1.3617</w:t>
            </w:r>
          </w:p>
        </w:tc>
        <w:tc>
          <w:tcPr>
            <w:tcW w:w="860" w:type="dxa"/>
            <w:tcBorders>
              <w:top w:val="nil"/>
              <w:left w:val="nil"/>
              <w:bottom w:val="nil"/>
              <w:right w:val="nil"/>
            </w:tcBorders>
            <w:shd w:val="clear" w:color="auto" w:fill="auto"/>
            <w:noWrap/>
            <w:vAlign w:val="bottom"/>
            <w:hideMark/>
          </w:tcPr>
          <w:p w14:paraId="74F15D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-0.4531</w:t>
            </w:r>
          </w:p>
        </w:tc>
        <w:tc>
          <w:tcPr>
            <w:tcW w:w="860" w:type="dxa"/>
            <w:tcBorders>
              <w:top w:val="nil"/>
              <w:left w:val="nil"/>
              <w:bottom w:val="nil"/>
              <w:right w:val="nil"/>
            </w:tcBorders>
            <w:shd w:val="clear" w:color="auto" w:fill="auto"/>
            <w:noWrap/>
            <w:vAlign w:val="bottom"/>
            <w:hideMark/>
          </w:tcPr>
          <w:p w14:paraId="6A982AB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0.9086</w:t>
            </w:r>
          </w:p>
        </w:tc>
        <w:tc>
          <w:tcPr>
            <w:tcW w:w="967" w:type="dxa"/>
            <w:tcBorders>
              <w:top w:val="nil"/>
              <w:left w:val="nil"/>
              <w:bottom w:val="nil"/>
              <w:right w:val="nil"/>
            </w:tcBorders>
            <w:shd w:val="clear" w:color="auto" w:fill="auto"/>
            <w:noWrap/>
            <w:vAlign w:val="bottom"/>
            <w:hideMark/>
          </w:tcPr>
          <w:p w14:paraId="6AAC0F5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0.0149</w:t>
            </w:r>
          </w:p>
        </w:tc>
        <w:tc>
          <w:tcPr>
            <w:tcW w:w="860" w:type="dxa"/>
            <w:tcBorders>
              <w:top w:val="nil"/>
              <w:left w:val="nil"/>
              <w:bottom w:val="nil"/>
              <w:right w:val="nil"/>
            </w:tcBorders>
            <w:shd w:val="clear" w:color="auto" w:fill="auto"/>
            <w:noWrap/>
            <w:vAlign w:val="bottom"/>
            <w:hideMark/>
          </w:tcPr>
          <w:p w14:paraId="65D55A6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0.4176</w:t>
            </w:r>
          </w:p>
        </w:tc>
        <w:tc>
          <w:tcPr>
            <w:tcW w:w="860" w:type="dxa"/>
            <w:tcBorders>
              <w:top w:val="nil"/>
              <w:left w:val="nil"/>
              <w:bottom w:val="nil"/>
              <w:right w:val="single" w:sz="4" w:space="0" w:color="auto"/>
            </w:tcBorders>
            <w:shd w:val="clear" w:color="auto" w:fill="auto"/>
            <w:noWrap/>
            <w:vAlign w:val="bottom"/>
            <w:hideMark/>
          </w:tcPr>
          <w:p w14:paraId="44FA7E3B"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0.0044</w:t>
            </w:r>
          </w:p>
        </w:tc>
        <w:tc>
          <w:tcPr>
            <w:tcW w:w="127" w:type="dxa"/>
            <w:tcBorders>
              <w:top w:val="nil"/>
              <w:left w:val="single" w:sz="4" w:space="0" w:color="auto"/>
              <w:bottom w:val="nil"/>
              <w:right w:val="nil"/>
            </w:tcBorders>
            <w:shd w:val="clear" w:color="auto" w:fill="auto"/>
            <w:noWrap/>
            <w:vAlign w:val="bottom"/>
            <w:hideMark/>
          </w:tcPr>
          <w:p w14:paraId="58C98296" w14:textId="77777777" w:rsidR="005A4EA3" w:rsidRPr="00B43597" w:rsidRDefault="005A4EA3" w:rsidP="005A4EA3">
            <w:pPr>
              <w:rPr>
                <w:rFonts w:eastAsia="Times New Roman" w:cs="Times New Roman"/>
                <w:color w:val="000000"/>
                <w:sz w:val="18"/>
                <w:szCs w:val="18"/>
              </w:rPr>
            </w:pPr>
          </w:p>
        </w:tc>
      </w:tr>
      <w:tr w:rsidR="005A4EA3" w:rsidRPr="008A78D0" w14:paraId="57A8BE4C"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2FD45654"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01.2.102</w:t>
            </w:r>
          </w:p>
        </w:tc>
        <w:tc>
          <w:tcPr>
            <w:tcW w:w="2074" w:type="dxa"/>
            <w:tcBorders>
              <w:top w:val="nil"/>
              <w:left w:val="single" w:sz="4" w:space="0" w:color="auto"/>
              <w:bottom w:val="nil"/>
              <w:right w:val="single" w:sz="4" w:space="0" w:color="auto"/>
            </w:tcBorders>
            <w:shd w:val="clear" w:color="auto" w:fill="auto"/>
            <w:noWrap/>
            <w:vAlign w:val="bottom"/>
            <w:hideMark/>
          </w:tcPr>
          <w:p w14:paraId="00008E97"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Coffee - extract</w:t>
            </w:r>
          </w:p>
        </w:tc>
        <w:tc>
          <w:tcPr>
            <w:tcW w:w="1153" w:type="dxa"/>
            <w:tcBorders>
              <w:top w:val="nil"/>
              <w:left w:val="single" w:sz="4" w:space="0" w:color="auto"/>
              <w:bottom w:val="nil"/>
              <w:right w:val="nil"/>
            </w:tcBorders>
            <w:shd w:val="clear" w:color="auto" w:fill="auto"/>
            <w:noWrap/>
            <w:vAlign w:val="bottom"/>
            <w:hideMark/>
          </w:tcPr>
          <w:p w14:paraId="306AE19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0.741</w:t>
            </w:r>
          </w:p>
        </w:tc>
        <w:tc>
          <w:tcPr>
            <w:tcW w:w="1289" w:type="dxa"/>
            <w:tcBorders>
              <w:top w:val="nil"/>
              <w:left w:val="nil"/>
              <w:bottom w:val="nil"/>
              <w:right w:val="nil"/>
            </w:tcBorders>
            <w:shd w:val="clear" w:color="auto" w:fill="auto"/>
            <w:noWrap/>
            <w:vAlign w:val="bottom"/>
            <w:hideMark/>
          </w:tcPr>
          <w:p w14:paraId="0F5C3FB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0.507</w:t>
            </w:r>
          </w:p>
        </w:tc>
        <w:tc>
          <w:tcPr>
            <w:tcW w:w="967" w:type="dxa"/>
            <w:tcBorders>
              <w:top w:val="nil"/>
              <w:left w:val="nil"/>
              <w:bottom w:val="nil"/>
            </w:tcBorders>
            <w:shd w:val="clear" w:color="auto" w:fill="auto"/>
            <w:noWrap/>
            <w:vAlign w:val="bottom"/>
            <w:hideMark/>
          </w:tcPr>
          <w:p w14:paraId="6103F33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1.2334</w:t>
            </w:r>
          </w:p>
        </w:tc>
        <w:tc>
          <w:tcPr>
            <w:tcW w:w="860" w:type="dxa"/>
            <w:tcBorders>
              <w:top w:val="nil"/>
              <w:bottom w:val="nil"/>
              <w:right w:val="single" w:sz="4" w:space="0" w:color="auto"/>
            </w:tcBorders>
            <w:shd w:val="clear" w:color="auto" w:fill="auto"/>
            <w:noWrap/>
            <w:vAlign w:val="bottom"/>
            <w:hideMark/>
          </w:tcPr>
          <w:p w14:paraId="6F9577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-0.234</w:t>
            </w:r>
          </w:p>
        </w:tc>
        <w:tc>
          <w:tcPr>
            <w:tcW w:w="967" w:type="dxa"/>
            <w:tcBorders>
              <w:top w:val="nil"/>
              <w:left w:val="single" w:sz="4" w:space="0" w:color="auto"/>
              <w:bottom w:val="nil"/>
              <w:right w:val="nil"/>
            </w:tcBorders>
            <w:shd w:val="clear" w:color="auto" w:fill="auto"/>
            <w:noWrap/>
            <w:vAlign w:val="bottom"/>
            <w:hideMark/>
          </w:tcPr>
          <w:p w14:paraId="541F7EC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-0.3000</w:t>
            </w:r>
          </w:p>
        </w:tc>
        <w:tc>
          <w:tcPr>
            <w:tcW w:w="860" w:type="dxa"/>
            <w:tcBorders>
              <w:top w:val="nil"/>
              <w:left w:val="nil"/>
              <w:bottom w:val="nil"/>
              <w:right w:val="nil"/>
            </w:tcBorders>
            <w:shd w:val="clear" w:color="auto" w:fill="auto"/>
            <w:noWrap/>
            <w:vAlign w:val="bottom"/>
            <w:hideMark/>
          </w:tcPr>
          <w:p w14:paraId="5750631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-0.6795</w:t>
            </w:r>
          </w:p>
        </w:tc>
        <w:tc>
          <w:tcPr>
            <w:tcW w:w="860" w:type="dxa"/>
            <w:tcBorders>
              <w:top w:val="nil"/>
              <w:left w:val="nil"/>
              <w:bottom w:val="nil"/>
              <w:right w:val="nil"/>
            </w:tcBorders>
            <w:shd w:val="clear" w:color="auto" w:fill="auto"/>
            <w:noWrap/>
            <w:vAlign w:val="bottom"/>
            <w:hideMark/>
          </w:tcPr>
          <w:p w14:paraId="41F6B41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-0.3795</w:t>
            </w:r>
          </w:p>
        </w:tc>
        <w:tc>
          <w:tcPr>
            <w:tcW w:w="967" w:type="dxa"/>
            <w:tcBorders>
              <w:top w:val="nil"/>
              <w:left w:val="nil"/>
              <w:bottom w:val="nil"/>
              <w:right w:val="nil"/>
            </w:tcBorders>
            <w:shd w:val="clear" w:color="auto" w:fill="auto"/>
            <w:noWrap/>
            <w:vAlign w:val="bottom"/>
            <w:hideMark/>
          </w:tcPr>
          <w:p w14:paraId="306883F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0.2098</w:t>
            </w:r>
          </w:p>
        </w:tc>
        <w:tc>
          <w:tcPr>
            <w:tcW w:w="860" w:type="dxa"/>
            <w:tcBorders>
              <w:top w:val="nil"/>
              <w:left w:val="nil"/>
              <w:bottom w:val="nil"/>
              <w:right w:val="nil"/>
            </w:tcBorders>
            <w:shd w:val="clear" w:color="auto" w:fill="auto"/>
            <w:noWrap/>
            <w:vAlign w:val="bottom"/>
            <w:hideMark/>
          </w:tcPr>
          <w:p w14:paraId="349A925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0.6164</w:t>
            </w:r>
          </w:p>
        </w:tc>
        <w:tc>
          <w:tcPr>
            <w:tcW w:w="860" w:type="dxa"/>
            <w:tcBorders>
              <w:top w:val="nil"/>
              <w:left w:val="nil"/>
              <w:bottom w:val="nil"/>
              <w:right w:val="single" w:sz="4" w:space="0" w:color="auto"/>
            </w:tcBorders>
            <w:shd w:val="clear" w:color="auto" w:fill="auto"/>
            <w:noWrap/>
            <w:vAlign w:val="bottom"/>
            <w:hideMark/>
          </w:tcPr>
          <w:p w14:paraId="28EDBD2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0.0064</w:t>
            </w:r>
          </w:p>
        </w:tc>
        <w:tc>
          <w:tcPr>
            <w:tcW w:w="127" w:type="dxa"/>
            <w:tcBorders>
              <w:top w:val="nil"/>
              <w:left w:val="single" w:sz="4" w:space="0" w:color="auto"/>
              <w:bottom w:val="nil"/>
              <w:right w:val="nil"/>
            </w:tcBorders>
            <w:shd w:val="clear" w:color="auto" w:fill="auto"/>
            <w:noWrap/>
            <w:vAlign w:val="bottom"/>
            <w:hideMark/>
          </w:tcPr>
          <w:p w14:paraId="437E1998" w14:textId="77777777" w:rsidR="005A4EA3" w:rsidRPr="00B43597" w:rsidRDefault="005A4EA3" w:rsidP="005A4EA3">
            <w:pPr>
              <w:rPr>
                <w:rFonts w:eastAsia="Times New Roman" w:cs="Times New Roman"/>
                <w:color w:val="000000"/>
                <w:sz w:val="18"/>
                <w:szCs w:val="18"/>
              </w:rPr>
            </w:pPr>
          </w:p>
        </w:tc>
      </w:tr>
      <w:tr w:rsidR="005A4EA3" w:rsidRPr="008A78D0" w14:paraId="4708DAE1"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7F9960E4"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01.2.103</w:t>
            </w:r>
          </w:p>
        </w:tc>
        <w:tc>
          <w:tcPr>
            <w:tcW w:w="2074" w:type="dxa"/>
            <w:tcBorders>
              <w:top w:val="nil"/>
              <w:left w:val="single" w:sz="4" w:space="0" w:color="auto"/>
              <w:bottom w:val="nil"/>
              <w:right w:val="single" w:sz="4" w:space="0" w:color="auto"/>
            </w:tcBorders>
            <w:shd w:val="clear" w:color="auto" w:fill="auto"/>
            <w:noWrap/>
            <w:vAlign w:val="bottom"/>
            <w:hideMark/>
          </w:tcPr>
          <w:p w14:paraId="3A2711A0"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Tea</w:t>
            </w:r>
          </w:p>
        </w:tc>
        <w:tc>
          <w:tcPr>
            <w:tcW w:w="1153" w:type="dxa"/>
            <w:tcBorders>
              <w:top w:val="nil"/>
              <w:left w:val="single" w:sz="4" w:space="0" w:color="auto"/>
              <w:bottom w:val="nil"/>
              <w:right w:val="nil"/>
            </w:tcBorders>
            <w:shd w:val="clear" w:color="auto" w:fill="auto"/>
            <w:noWrap/>
            <w:vAlign w:val="bottom"/>
            <w:hideMark/>
          </w:tcPr>
          <w:p w14:paraId="07DBF84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0.502</w:t>
            </w:r>
          </w:p>
        </w:tc>
        <w:tc>
          <w:tcPr>
            <w:tcW w:w="1289" w:type="dxa"/>
            <w:tcBorders>
              <w:top w:val="nil"/>
              <w:left w:val="nil"/>
              <w:bottom w:val="nil"/>
              <w:right w:val="nil"/>
            </w:tcBorders>
            <w:shd w:val="clear" w:color="auto" w:fill="auto"/>
            <w:noWrap/>
            <w:vAlign w:val="bottom"/>
            <w:hideMark/>
          </w:tcPr>
          <w:p w14:paraId="1CD0646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0.740</w:t>
            </w:r>
          </w:p>
        </w:tc>
        <w:tc>
          <w:tcPr>
            <w:tcW w:w="967" w:type="dxa"/>
            <w:tcBorders>
              <w:top w:val="nil"/>
              <w:left w:val="nil"/>
              <w:bottom w:val="nil"/>
            </w:tcBorders>
            <w:shd w:val="clear" w:color="auto" w:fill="auto"/>
            <w:noWrap/>
            <w:vAlign w:val="bottom"/>
            <w:hideMark/>
          </w:tcPr>
          <w:p w14:paraId="01A8AE7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1.0408</w:t>
            </w:r>
          </w:p>
        </w:tc>
        <w:tc>
          <w:tcPr>
            <w:tcW w:w="860" w:type="dxa"/>
            <w:tcBorders>
              <w:top w:val="nil"/>
              <w:bottom w:val="nil"/>
              <w:right w:val="single" w:sz="4" w:space="0" w:color="auto"/>
            </w:tcBorders>
            <w:shd w:val="clear" w:color="auto" w:fill="auto"/>
            <w:noWrap/>
            <w:vAlign w:val="bottom"/>
            <w:hideMark/>
          </w:tcPr>
          <w:p w14:paraId="3F3AE0E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0.238</w:t>
            </w:r>
          </w:p>
        </w:tc>
        <w:tc>
          <w:tcPr>
            <w:tcW w:w="967" w:type="dxa"/>
            <w:tcBorders>
              <w:top w:val="nil"/>
              <w:left w:val="single" w:sz="4" w:space="0" w:color="auto"/>
              <w:bottom w:val="nil"/>
              <w:right w:val="nil"/>
            </w:tcBorders>
            <w:shd w:val="clear" w:color="auto" w:fill="auto"/>
            <w:noWrap/>
            <w:vAlign w:val="bottom"/>
            <w:hideMark/>
          </w:tcPr>
          <w:p w14:paraId="50D2E28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-0.6885</w:t>
            </w:r>
          </w:p>
        </w:tc>
        <w:tc>
          <w:tcPr>
            <w:tcW w:w="860" w:type="dxa"/>
            <w:tcBorders>
              <w:top w:val="nil"/>
              <w:left w:val="nil"/>
              <w:bottom w:val="nil"/>
              <w:right w:val="nil"/>
            </w:tcBorders>
            <w:shd w:val="clear" w:color="auto" w:fill="auto"/>
            <w:noWrap/>
            <w:vAlign w:val="bottom"/>
            <w:hideMark/>
          </w:tcPr>
          <w:p w14:paraId="4549F7F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-0.3010</w:t>
            </w:r>
          </w:p>
        </w:tc>
        <w:tc>
          <w:tcPr>
            <w:tcW w:w="860" w:type="dxa"/>
            <w:tcBorders>
              <w:top w:val="nil"/>
              <w:left w:val="nil"/>
              <w:bottom w:val="nil"/>
              <w:right w:val="nil"/>
            </w:tcBorders>
            <w:shd w:val="clear" w:color="auto" w:fill="auto"/>
            <w:noWrap/>
            <w:vAlign w:val="bottom"/>
            <w:hideMark/>
          </w:tcPr>
          <w:p w14:paraId="41BB8AA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0.3875</w:t>
            </w:r>
          </w:p>
        </w:tc>
        <w:tc>
          <w:tcPr>
            <w:tcW w:w="967" w:type="dxa"/>
            <w:tcBorders>
              <w:top w:val="nil"/>
              <w:left w:val="nil"/>
              <w:bottom w:val="nil"/>
              <w:right w:val="nil"/>
            </w:tcBorders>
            <w:shd w:val="clear" w:color="auto" w:fill="auto"/>
            <w:noWrap/>
            <w:vAlign w:val="bottom"/>
            <w:hideMark/>
          </w:tcPr>
          <w:p w14:paraId="52C368D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0.0400</w:t>
            </w:r>
          </w:p>
        </w:tc>
        <w:tc>
          <w:tcPr>
            <w:tcW w:w="860" w:type="dxa"/>
            <w:tcBorders>
              <w:top w:val="nil"/>
              <w:left w:val="nil"/>
              <w:bottom w:val="nil"/>
              <w:right w:val="nil"/>
            </w:tcBorders>
            <w:shd w:val="clear" w:color="auto" w:fill="auto"/>
            <w:noWrap/>
            <w:vAlign w:val="bottom"/>
            <w:hideMark/>
          </w:tcPr>
          <w:p w14:paraId="2D9A963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0.6135</w:t>
            </w:r>
          </w:p>
        </w:tc>
        <w:tc>
          <w:tcPr>
            <w:tcW w:w="860" w:type="dxa"/>
            <w:tcBorders>
              <w:top w:val="nil"/>
              <w:left w:val="nil"/>
              <w:bottom w:val="nil"/>
              <w:right w:val="single" w:sz="4" w:space="0" w:color="auto"/>
            </w:tcBorders>
            <w:shd w:val="clear" w:color="auto" w:fill="auto"/>
            <w:noWrap/>
            <w:vAlign w:val="bottom"/>
            <w:hideMark/>
          </w:tcPr>
          <w:p w14:paraId="1E82859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0.0064</w:t>
            </w:r>
          </w:p>
        </w:tc>
        <w:tc>
          <w:tcPr>
            <w:tcW w:w="127" w:type="dxa"/>
            <w:tcBorders>
              <w:top w:val="nil"/>
              <w:left w:val="single" w:sz="4" w:space="0" w:color="auto"/>
              <w:bottom w:val="nil"/>
              <w:right w:val="nil"/>
            </w:tcBorders>
            <w:shd w:val="clear" w:color="auto" w:fill="auto"/>
            <w:noWrap/>
            <w:vAlign w:val="bottom"/>
            <w:hideMark/>
          </w:tcPr>
          <w:p w14:paraId="104BCD1F" w14:textId="77777777" w:rsidR="005A4EA3" w:rsidRPr="00B43597" w:rsidRDefault="005A4EA3" w:rsidP="005A4EA3">
            <w:pPr>
              <w:rPr>
                <w:rFonts w:eastAsia="Times New Roman" w:cs="Times New Roman"/>
                <w:color w:val="000000"/>
                <w:sz w:val="18"/>
                <w:szCs w:val="18"/>
              </w:rPr>
            </w:pPr>
          </w:p>
        </w:tc>
      </w:tr>
      <w:tr w:rsidR="005A4EA3" w:rsidRPr="008A78D0" w14:paraId="11247B74"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9C1C18E"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01.2.104</w:t>
            </w:r>
          </w:p>
        </w:tc>
        <w:tc>
          <w:tcPr>
            <w:tcW w:w="2074" w:type="dxa"/>
            <w:tcBorders>
              <w:top w:val="nil"/>
              <w:left w:val="single" w:sz="4" w:space="0" w:color="auto"/>
              <w:bottom w:val="nil"/>
              <w:right w:val="single" w:sz="4" w:space="0" w:color="auto"/>
            </w:tcBorders>
            <w:shd w:val="clear" w:color="auto" w:fill="auto"/>
            <w:noWrap/>
            <w:vAlign w:val="bottom"/>
            <w:hideMark/>
          </w:tcPr>
          <w:p w14:paraId="592B39EE"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Milo</w:t>
            </w:r>
          </w:p>
        </w:tc>
        <w:tc>
          <w:tcPr>
            <w:tcW w:w="1153" w:type="dxa"/>
            <w:tcBorders>
              <w:top w:val="nil"/>
              <w:left w:val="single" w:sz="4" w:space="0" w:color="auto"/>
              <w:bottom w:val="nil"/>
              <w:right w:val="nil"/>
            </w:tcBorders>
            <w:shd w:val="clear" w:color="auto" w:fill="auto"/>
            <w:noWrap/>
            <w:vAlign w:val="bottom"/>
            <w:hideMark/>
          </w:tcPr>
          <w:p w14:paraId="6A5A350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1.243</w:t>
            </w:r>
          </w:p>
        </w:tc>
        <w:tc>
          <w:tcPr>
            <w:tcW w:w="1289" w:type="dxa"/>
            <w:tcBorders>
              <w:top w:val="nil"/>
              <w:left w:val="nil"/>
              <w:bottom w:val="nil"/>
              <w:right w:val="nil"/>
            </w:tcBorders>
            <w:shd w:val="clear" w:color="auto" w:fill="auto"/>
            <w:noWrap/>
            <w:vAlign w:val="bottom"/>
            <w:hideMark/>
          </w:tcPr>
          <w:p w14:paraId="21B1380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1.102</w:t>
            </w:r>
          </w:p>
        </w:tc>
        <w:tc>
          <w:tcPr>
            <w:tcW w:w="967" w:type="dxa"/>
            <w:tcBorders>
              <w:top w:val="nil"/>
              <w:left w:val="nil"/>
              <w:bottom w:val="nil"/>
            </w:tcBorders>
            <w:shd w:val="clear" w:color="auto" w:fill="auto"/>
            <w:noWrap/>
            <w:vAlign w:val="bottom"/>
            <w:hideMark/>
          </w:tcPr>
          <w:p w14:paraId="26BECF9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1.2716</w:t>
            </w:r>
          </w:p>
        </w:tc>
        <w:tc>
          <w:tcPr>
            <w:tcW w:w="860" w:type="dxa"/>
            <w:tcBorders>
              <w:top w:val="nil"/>
              <w:bottom w:val="nil"/>
              <w:right w:val="single" w:sz="4" w:space="0" w:color="auto"/>
            </w:tcBorders>
            <w:shd w:val="clear" w:color="auto" w:fill="auto"/>
            <w:noWrap/>
            <w:vAlign w:val="bottom"/>
            <w:hideMark/>
          </w:tcPr>
          <w:p w14:paraId="012DA68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-0.141</w:t>
            </w:r>
          </w:p>
        </w:tc>
        <w:tc>
          <w:tcPr>
            <w:tcW w:w="967" w:type="dxa"/>
            <w:tcBorders>
              <w:top w:val="nil"/>
              <w:left w:val="single" w:sz="4" w:space="0" w:color="auto"/>
              <w:bottom w:val="nil"/>
              <w:right w:val="nil"/>
            </w:tcBorders>
            <w:shd w:val="clear" w:color="auto" w:fill="auto"/>
            <w:noWrap/>
            <w:vAlign w:val="bottom"/>
            <w:hideMark/>
          </w:tcPr>
          <w:p w14:paraId="4F5B1D8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0.2176</w:t>
            </w:r>
          </w:p>
        </w:tc>
        <w:tc>
          <w:tcPr>
            <w:tcW w:w="860" w:type="dxa"/>
            <w:tcBorders>
              <w:top w:val="nil"/>
              <w:left w:val="nil"/>
              <w:bottom w:val="nil"/>
              <w:right w:val="nil"/>
            </w:tcBorders>
            <w:shd w:val="clear" w:color="auto" w:fill="auto"/>
            <w:noWrap/>
            <w:vAlign w:val="bottom"/>
            <w:hideMark/>
          </w:tcPr>
          <w:p w14:paraId="7588A79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0.0969</w:t>
            </w:r>
          </w:p>
        </w:tc>
        <w:tc>
          <w:tcPr>
            <w:tcW w:w="860" w:type="dxa"/>
            <w:tcBorders>
              <w:top w:val="nil"/>
              <w:left w:val="nil"/>
              <w:bottom w:val="nil"/>
              <w:right w:val="nil"/>
            </w:tcBorders>
            <w:shd w:val="clear" w:color="auto" w:fill="auto"/>
            <w:noWrap/>
            <w:vAlign w:val="bottom"/>
            <w:hideMark/>
          </w:tcPr>
          <w:p w14:paraId="1693736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-0.1207</w:t>
            </w:r>
          </w:p>
        </w:tc>
        <w:tc>
          <w:tcPr>
            <w:tcW w:w="967" w:type="dxa"/>
            <w:tcBorders>
              <w:top w:val="nil"/>
              <w:left w:val="nil"/>
              <w:bottom w:val="nil"/>
              <w:right w:val="nil"/>
            </w:tcBorders>
            <w:shd w:val="clear" w:color="auto" w:fill="auto"/>
            <w:noWrap/>
            <w:vAlign w:val="bottom"/>
            <w:hideMark/>
          </w:tcPr>
          <w:p w14:paraId="31BFEF65"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0.2403</w:t>
            </w:r>
          </w:p>
        </w:tc>
        <w:tc>
          <w:tcPr>
            <w:tcW w:w="860" w:type="dxa"/>
            <w:tcBorders>
              <w:top w:val="nil"/>
              <w:left w:val="nil"/>
              <w:bottom w:val="nil"/>
              <w:right w:val="nil"/>
            </w:tcBorders>
            <w:shd w:val="clear" w:color="auto" w:fill="auto"/>
            <w:noWrap/>
            <w:vAlign w:val="bottom"/>
            <w:hideMark/>
          </w:tcPr>
          <w:p w14:paraId="2B4FC48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1.1710</w:t>
            </w:r>
          </w:p>
        </w:tc>
        <w:tc>
          <w:tcPr>
            <w:tcW w:w="860" w:type="dxa"/>
            <w:tcBorders>
              <w:top w:val="nil"/>
              <w:left w:val="nil"/>
              <w:bottom w:val="nil"/>
              <w:right w:val="single" w:sz="4" w:space="0" w:color="auto"/>
            </w:tcBorders>
            <w:shd w:val="clear" w:color="auto" w:fill="auto"/>
            <w:noWrap/>
            <w:vAlign w:val="bottom"/>
            <w:hideMark/>
          </w:tcPr>
          <w:p w14:paraId="2E32D91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0.0122</w:t>
            </w:r>
          </w:p>
        </w:tc>
        <w:tc>
          <w:tcPr>
            <w:tcW w:w="127" w:type="dxa"/>
            <w:tcBorders>
              <w:top w:val="nil"/>
              <w:left w:val="single" w:sz="4" w:space="0" w:color="auto"/>
              <w:bottom w:val="nil"/>
              <w:right w:val="nil"/>
            </w:tcBorders>
            <w:shd w:val="clear" w:color="auto" w:fill="auto"/>
            <w:noWrap/>
            <w:vAlign w:val="bottom"/>
            <w:hideMark/>
          </w:tcPr>
          <w:p w14:paraId="6FBF18BA" w14:textId="77777777" w:rsidR="005A4EA3" w:rsidRPr="00B43597" w:rsidRDefault="005A4EA3" w:rsidP="005A4EA3">
            <w:pPr>
              <w:rPr>
                <w:rFonts w:eastAsia="Times New Roman" w:cs="Times New Roman"/>
                <w:color w:val="000000"/>
                <w:sz w:val="18"/>
                <w:szCs w:val="18"/>
              </w:rPr>
            </w:pPr>
          </w:p>
        </w:tc>
      </w:tr>
      <w:tr w:rsidR="005A4EA3" w:rsidRPr="008A78D0" w14:paraId="2B59EE33"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FA0C990"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01.2.105</w:t>
            </w:r>
          </w:p>
        </w:tc>
        <w:tc>
          <w:tcPr>
            <w:tcW w:w="2074" w:type="dxa"/>
            <w:tcBorders>
              <w:top w:val="nil"/>
              <w:left w:val="single" w:sz="4" w:space="0" w:color="auto"/>
              <w:bottom w:val="nil"/>
              <w:right w:val="single" w:sz="4" w:space="0" w:color="auto"/>
            </w:tcBorders>
            <w:shd w:val="clear" w:color="auto" w:fill="auto"/>
            <w:noWrap/>
            <w:vAlign w:val="bottom"/>
            <w:hideMark/>
          </w:tcPr>
          <w:p w14:paraId="16616A8A"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Ovaltine</w:t>
            </w:r>
          </w:p>
        </w:tc>
        <w:tc>
          <w:tcPr>
            <w:tcW w:w="1153" w:type="dxa"/>
            <w:tcBorders>
              <w:top w:val="nil"/>
              <w:left w:val="single" w:sz="4" w:space="0" w:color="auto"/>
              <w:bottom w:val="nil"/>
              <w:right w:val="nil"/>
            </w:tcBorders>
            <w:shd w:val="clear" w:color="auto" w:fill="auto"/>
            <w:noWrap/>
            <w:vAlign w:val="bottom"/>
            <w:hideMark/>
          </w:tcPr>
          <w:p w14:paraId="3240DFB7"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0.249</w:t>
            </w:r>
          </w:p>
        </w:tc>
        <w:tc>
          <w:tcPr>
            <w:tcW w:w="1289" w:type="dxa"/>
            <w:tcBorders>
              <w:top w:val="nil"/>
              <w:left w:val="nil"/>
              <w:bottom w:val="nil"/>
              <w:right w:val="nil"/>
            </w:tcBorders>
            <w:shd w:val="clear" w:color="auto" w:fill="auto"/>
            <w:noWrap/>
            <w:vAlign w:val="bottom"/>
            <w:hideMark/>
          </w:tcPr>
          <w:p w14:paraId="7DD3301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0.372</w:t>
            </w:r>
          </w:p>
        </w:tc>
        <w:tc>
          <w:tcPr>
            <w:tcW w:w="967" w:type="dxa"/>
            <w:tcBorders>
              <w:top w:val="nil"/>
              <w:left w:val="nil"/>
              <w:bottom w:val="nil"/>
            </w:tcBorders>
            <w:shd w:val="clear" w:color="auto" w:fill="auto"/>
            <w:noWrap/>
            <w:vAlign w:val="bottom"/>
            <w:hideMark/>
          </w:tcPr>
          <w:p w14:paraId="29E7EC0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1.0826</w:t>
            </w:r>
          </w:p>
        </w:tc>
        <w:tc>
          <w:tcPr>
            <w:tcW w:w="860" w:type="dxa"/>
            <w:tcBorders>
              <w:top w:val="nil"/>
              <w:bottom w:val="nil"/>
              <w:right w:val="single" w:sz="4" w:space="0" w:color="auto"/>
            </w:tcBorders>
            <w:shd w:val="clear" w:color="auto" w:fill="auto"/>
            <w:noWrap/>
            <w:vAlign w:val="bottom"/>
            <w:hideMark/>
          </w:tcPr>
          <w:p w14:paraId="4157432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0.124</w:t>
            </w:r>
          </w:p>
        </w:tc>
        <w:tc>
          <w:tcPr>
            <w:tcW w:w="967" w:type="dxa"/>
            <w:tcBorders>
              <w:top w:val="nil"/>
              <w:left w:val="single" w:sz="4" w:space="0" w:color="auto"/>
              <w:bottom w:val="nil"/>
              <w:right w:val="nil"/>
            </w:tcBorders>
            <w:shd w:val="clear" w:color="auto" w:fill="auto"/>
            <w:noWrap/>
            <w:vAlign w:val="bottom"/>
            <w:hideMark/>
          </w:tcPr>
          <w:p w14:paraId="4BB905B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-1.3918</w:t>
            </w:r>
          </w:p>
        </w:tc>
        <w:tc>
          <w:tcPr>
            <w:tcW w:w="860" w:type="dxa"/>
            <w:tcBorders>
              <w:top w:val="nil"/>
              <w:left w:val="nil"/>
              <w:bottom w:val="nil"/>
              <w:right w:val="nil"/>
            </w:tcBorders>
            <w:shd w:val="clear" w:color="auto" w:fill="auto"/>
            <w:noWrap/>
            <w:vAlign w:val="bottom"/>
            <w:hideMark/>
          </w:tcPr>
          <w:p w14:paraId="141E0F2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-0.9880</w:t>
            </w:r>
          </w:p>
        </w:tc>
        <w:tc>
          <w:tcPr>
            <w:tcW w:w="860" w:type="dxa"/>
            <w:tcBorders>
              <w:top w:val="nil"/>
              <w:left w:val="nil"/>
              <w:bottom w:val="nil"/>
              <w:right w:val="nil"/>
            </w:tcBorders>
            <w:shd w:val="clear" w:color="auto" w:fill="auto"/>
            <w:noWrap/>
            <w:vAlign w:val="bottom"/>
            <w:hideMark/>
          </w:tcPr>
          <w:p w14:paraId="60394AA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0.4038</w:t>
            </w:r>
          </w:p>
        </w:tc>
        <w:tc>
          <w:tcPr>
            <w:tcW w:w="967" w:type="dxa"/>
            <w:tcBorders>
              <w:top w:val="nil"/>
              <w:left w:val="nil"/>
              <w:bottom w:val="nil"/>
              <w:right w:val="nil"/>
            </w:tcBorders>
            <w:shd w:val="clear" w:color="auto" w:fill="auto"/>
            <w:noWrap/>
            <w:vAlign w:val="bottom"/>
            <w:hideMark/>
          </w:tcPr>
          <w:p w14:paraId="10F1B493"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0.0793</w:t>
            </w:r>
          </w:p>
        </w:tc>
        <w:tc>
          <w:tcPr>
            <w:tcW w:w="860" w:type="dxa"/>
            <w:tcBorders>
              <w:top w:val="nil"/>
              <w:left w:val="nil"/>
              <w:bottom w:val="nil"/>
              <w:right w:val="nil"/>
            </w:tcBorders>
            <w:shd w:val="clear" w:color="auto" w:fill="auto"/>
            <w:noWrap/>
            <w:vAlign w:val="bottom"/>
            <w:hideMark/>
          </w:tcPr>
          <w:p w14:paraId="23A91EF4"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0.3063</w:t>
            </w:r>
          </w:p>
        </w:tc>
        <w:tc>
          <w:tcPr>
            <w:tcW w:w="860" w:type="dxa"/>
            <w:tcBorders>
              <w:top w:val="nil"/>
              <w:left w:val="nil"/>
              <w:bottom w:val="nil"/>
              <w:right w:val="single" w:sz="4" w:space="0" w:color="auto"/>
            </w:tcBorders>
            <w:shd w:val="clear" w:color="auto" w:fill="auto"/>
            <w:noWrap/>
            <w:vAlign w:val="bottom"/>
            <w:hideMark/>
          </w:tcPr>
          <w:p w14:paraId="2A154F4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0.0032</w:t>
            </w:r>
          </w:p>
        </w:tc>
        <w:tc>
          <w:tcPr>
            <w:tcW w:w="127" w:type="dxa"/>
            <w:tcBorders>
              <w:top w:val="nil"/>
              <w:left w:val="single" w:sz="4" w:space="0" w:color="auto"/>
              <w:bottom w:val="nil"/>
              <w:right w:val="nil"/>
            </w:tcBorders>
            <w:shd w:val="clear" w:color="auto" w:fill="auto"/>
            <w:noWrap/>
            <w:vAlign w:val="bottom"/>
            <w:hideMark/>
          </w:tcPr>
          <w:p w14:paraId="0E8F526E" w14:textId="77777777" w:rsidR="005A4EA3" w:rsidRPr="00B43597" w:rsidRDefault="005A4EA3" w:rsidP="005A4EA3">
            <w:pPr>
              <w:rPr>
                <w:rFonts w:eastAsia="Times New Roman" w:cs="Times New Roman"/>
                <w:color w:val="000000"/>
                <w:sz w:val="18"/>
                <w:szCs w:val="18"/>
              </w:rPr>
            </w:pPr>
          </w:p>
        </w:tc>
      </w:tr>
      <w:tr w:rsidR="005A4EA3" w:rsidRPr="008A78D0" w14:paraId="0DECC108" w14:textId="77777777" w:rsidTr="005A4EA3">
        <w:trPr>
          <w:trHeight w:hRule="exact" w:val="245"/>
        </w:trPr>
        <w:tc>
          <w:tcPr>
            <w:tcW w:w="1116" w:type="dxa"/>
            <w:tcBorders>
              <w:top w:val="nil"/>
              <w:left w:val="single" w:sz="4" w:space="0" w:color="auto"/>
              <w:bottom w:val="nil"/>
              <w:right w:val="single" w:sz="4" w:space="0" w:color="auto"/>
            </w:tcBorders>
            <w:shd w:val="clear" w:color="auto" w:fill="auto"/>
            <w:noWrap/>
            <w:vAlign w:val="bottom"/>
            <w:hideMark/>
          </w:tcPr>
          <w:p w14:paraId="3413E2C2"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01.2.202</w:t>
            </w:r>
          </w:p>
        </w:tc>
        <w:tc>
          <w:tcPr>
            <w:tcW w:w="2074" w:type="dxa"/>
            <w:tcBorders>
              <w:top w:val="nil"/>
              <w:left w:val="single" w:sz="4" w:space="0" w:color="auto"/>
              <w:bottom w:val="nil"/>
              <w:right w:val="single" w:sz="4" w:space="0" w:color="auto"/>
            </w:tcBorders>
            <w:shd w:val="clear" w:color="auto" w:fill="auto"/>
            <w:noWrap/>
            <w:vAlign w:val="bottom"/>
            <w:hideMark/>
          </w:tcPr>
          <w:p w14:paraId="79EF0A35" w14:textId="77777777" w:rsidR="005A4EA3" w:rsidRPr="00B43597" w:rsidRDefault="005A4EA3" w:rsidP="005A4EA3">
            <w:pPr>
              <w:rPr>
                <w:rFonts w:eastAsia="Times New Roman" w:cs="Times New Roman"/>
                <w:color w:val="000000"/>
                <w:sz w:val="18"/>
                <w:szCs w:val="18"/>
              </w:rPr>
            </w:pPr>
            <w:r>
              <w:rPr>
                <w:rFonts w:eastAsia="Times New Roman" w:cs="Times New Roman"/>
                <w:color w:val="000000"/>
                <w:sz w:val="18"/>
                <w:szCs w:val="18"/>
              </w:rPr>
              <w:t xml:space="preserve">Malt </w:t>
            </w:r>
          </w:p>
        </w:tc>
        <w:tc>
          <w:tcPr>
            <w:tcW w:w="1153" w:type="dxa"/>
            <w:tcBorders>
              <w:top w:val="nil"/>
              <w:left w:val="single" w:sz="4" w:space="0" w:color="auto"/>
              <w:bottom w:val="nil"/>
              <w:right w:val="nil"/>
            </w:tcBorders>
            <w:shd w:val="clear" w:color="auto" w:fill="auto"/>
            <w:noWrap/>
            <w:vAlign w:val="bottom"/>
            <w:hideMark/>
          </w:tcPr>
          <w:p w14:paraId="62679C5F"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0.454</w:t>
            </w:r>
          </w:p>
        </w:tc>
        <w:tc>
          <w:tcPr>
            <w:tcW w:w="1289" w:type="dxa"/>
            <w:tcBorders>
              <w:top w:val="nil"/>
              <w:left w:val="nil"/>
              <w:bottom w:val="nil"/>
              <w:right w:val="nil"/>
            </w:tcBorders>
            <w:shd w:val="clear" w:color="auto" w:fill="auto"/>
            <w:noWrap/>
            <w:vAlign w:val="bottom"/>
            <w:hideMark/>
          </w:tcPr>
          <w:p w14:paraId="3BE6D1F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0.366</w:t>
            </w:r>
          </w:p>
        </w:tc>
        <w:tc>
          <w:tcPr>
            <w:tcW w:w="967" w:type="dxa"/>
            <w:tcBorders>
              <w:top w:val="nil"/>
              <w:left w:val="nil"/>
              <w:bottom w:val="nil"/>
            </w:tcBorders>
            <w:shd w:val="clear" w:color="auto" w:fill="auto"/>
            <w:noWrap/>
            <w:vAlign w:val="bottom"/>
            <w:hideMark/>
          </w:tcPr>
          <w:p w14:paraId="2110AD7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1.6667</w:t>
            </w:r>
          </w:p>
        </w:tc>
        <w:tc>
          <w:tcPr>
            <w:tcW w:w="860" w:type="dxa"/>
            <w:tcBorders>
              <w:top w:val="nil"/>
              <w:bottom w:val="nil"/>
              <w:right w:val="single" w:sz="4" w:space="0" w:color="auto"/>
            </w:tcBorders>
            <w:shd w:val="clear" w:color="auto" w:fill="auto"/>
            <w:noWrap/>
            <w:vAlign w:val="bottom"/>
            <w:hideMark/>
          </w:tcPr>
          <w:p w14:paraId="17DBA0C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-0.088</w:t>
            </w:r>
          </w:p>
        </w:tc>
        <w:tc>
          <w:tcPr>
            <w:tcW w:w="967" w:type="dxa"/>
            <w:tcBorders>
              <w:top w:val="nil"/>
              <w:left w:val="single" w:sz="4" w:space="0" w:color="auto"/>
              <w:bottom w:val="nil"/>
              <w:right w:val="nil"/>
            </w:tcBorders>
            <w:shd w:val="clear" w:color="auto" w:fill="auto"/>
            <w:noWrap/>
            <w:vAlign w:val="bottom"/>
            <w:hideMark/>
          </w:tcPr>
          <w:p w14:paraId="5FB4818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-0.7894</w:t>
            </w:r>
          </w:p>
        </w:tc>
        <w:tc>
          <w:tcPr>
            <w:tcW w:w="860" w:type="dxa"/>
            <w:tcBorders>
              <w:top w:val="nil"/>
              <w:left w:val="nil"/>
              <w:bottom w:val="nil"/>
              <w:right w:val="nil"/>
            </w:tcBorders>
            <w:shd w:val="clear" w:color="auto" w:fill="auto"/>
            <w:noWrap/>
            <w:vAlign w:val="bottom"/>
            <w:hideMark/>
          </w:tcPr>
          <w:p w14:paraId="2ADA2CE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-1.0053</w:t>
            </w:r>
          </w:p>
        </w:tc>
        <w:tc>
          <w:tcPr>
            <w:tcW w:w="860" w:type="dxa"/>
            <w:tcBorders>
              <w:top w:val="nil"/>
              <w:left w:val="nil"/>
              <w:bottom w:val="nil"/>
              <w:right w:val="nil"/>
            </w:tcBorders>
            <w:shd w:val="clear" w:color="auto" w:fill="auto"/>
            <w:noWrap/>
            <w:vAlign w:val="bottom"/>
            <w:hideMark/>
          </w:tcPr>
          <w:p w14:paraId="0EFA56DE"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-0.2159</w:t>
            </w:r>
          </w:p>
        </w:tc>
        <w:tc>
          <w:tcPr>
            <w:tcW w:w="967" w:type="dxa"/>
            <w:tcBorders>
              <w:top w:val="nil"/>
              <w:left w:val="nil"/>
              <w:bottom w:val="nil"/>
              <w:right w:val="nil"/>
            </w:tcBorders>
            <w:shd w:val="clear" w:color="auto" w:fill="auto"/>
            <w:noWrap/>
            <w:vAlign w:val="bottom"/>
            <w:hideMark/>
          </w:tcPr>
          <w:p w14:paraId="34E3432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0.5108</w:t>
            </w:r>
          </w:p>
        </w:tc>
        <w:tc>
          <w:tcPr>
            <w:tcW w:w="860" w:type="dxa"/>
            <w:tcBorders>
              <w:top w:val="nil"/>
              <w:left w:val="nil"/>
              <w:bottom w:val="nil"/>
              <w:right w:val="nil"/>
            </w:tcBorders>
            <w:shd w:val="clear" w:color="auto" w:fill="auto"/>
            <w:noWrap/>
            <w:vAlign w:val="bottom"/>
            <w:hideMark/>
          </w:tcPr>
          <w:p w14:paraId="0D9464CC"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0.4084</w:t>
            </w:r>
          </w:p>
        </w:tc>
        <w:tc>
          <w:tcPr>
            <w:tcW w:w="860" w:type="dxa"/>
            <w:tcBorders>
              <w:top w:val="nil"/>
              <w:left w:val="nil"/>
              <w:bottom w:val="nil"/>
              <w:right w:val="single" w:sz="4" w:space="0" w:color="auto"/>
            </w:tcBorders>
            <w:shd w:val="clear" w:color="auto" w:fill="auto"/>
            <w:noWrap/>
            <w:vAlign w:val="bottom"/>
            <w:hideMark/>
          </w:tcPr>
          <w:p w14:paraId="10EBA4F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0.0043</w:t>
            </w:r>
          </w:p>
        </w:tc>
        <w:tc>
          <w:tcPr>
            <w:tcW w:w="127" w:type="dxa"/>
            <w:tcBorders>
              <w:top w:val="nil"/>
              <w:left w:val="single" w:sz="4" w:space="0" w:color="auto"/>
              <w:bottom w:val="nil"/>
              <w:right w:val="nil"/>
            </w:tcBorders>
            <w:shd w:val="clear" w:color="auto" w:fill="auto"/>
            <w:noWrap/>
            <w:vAlign w:val="bottom"/>
            <w:hideMark/>
          </w:tcPr>
          <w:p w14:paraId="3B24CD82" w14:textId="77777777" w:rsidR="005A4EA3" w:rsidRPr="00B43597" w:rsidRDefault="005A4EA3" w:rsidP="005A4EA3">
            <w:pPr>
              <w:rPr>
                <w:rFonts w:eastAsia="Times New Roman" w:cs="Times New Roman"/>
                <w:color w:val="000000"/>
                <w:sz w:val="18"/>
                <w:szCs w:val="18"/>
              </w:rPr>
            </w:pPr>
          </w:p>
        </w:tc>
      </w:tr>
      <w:tr w:rsidR="005A4EA3" w:rsidRPr="008A78D0" w14:paraId="5CF8FCD9" w14:textId="77777777" w:rsidTr="005A4EA3">
        <w:trPr>
          <w:trHeight w:hRule="exact" w:val="24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4EB60A5A" w14:textId="77777777" w:rsidR="005A4EA3" w:rsidRPr="00B43597" w:rsidRDefault="005A4EA3" w:rsidP="005A4EA3">
            <w:pPr>
              <w:rPr>
                <w:rFonts w:eastAsia="Times New Roman" w:cs="Times New Roman"/>
                <w:color w:val="000000"/>
                <w:sz w:val="18"/>
                <w:szCs w:val="18"/>
              </w:rPr>
            </w:pPr>
            <w:r w:rsidRPr="00B43597">
              <w:rPr>
                <w:rFonts w:eastAsia="Times New Roman"/>
                <w:color w:val="000000"/>
                <w:sz w:val="18"/>
                <w:szCs w:val="18"/>
              </w:rPr>
              <w:t>01.2.203</w:t>
            </w:r>
          </w:p>
        </w:tc>
        <w:tc>
          <w:tcPr>
            <w:tcW w:w="2074" w:type="dxa"/>
            <w:tcBorders>
              <w:top w:val="nil"/>
              <w:left w:val="single" w:sz="4" w:space="0" w:color="auto"/>
              <w:bottom w:val="single" w:sz="4" w:space="0" w:color="auto"/>
              <w:right w:val="single" w:sz="4" w:space="0" w:color="auto"/>
            </w:tcBorders>
            <w:shd w:val="clear" w:color="auto" w:fill="auto"/>
            <w:noWrap/>
            <w:vAlign w:val="bottom"/>
            <w:hideMark/>
          </w:tcPr>
          <w:p w14:paraId="38B7EC3F"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Soft drink</w:t>
            </w:r>
          </w:p>
        </w:tc>
        <w:tc>
          <w:tcPr>
            <w:tcW w:w="1153" w:type="dxa"/>
            <w:tcBorders>
              <w:top w:val="nil"/>
              <w:left w:val="single" w:sz="4" w:space="0" w:color="auto"/>
              <w:bottom w:val="single" w:sz="4" w:space="0" w:color="auto"/>
              <w:right w:val="nil"/>
            </w:tcBorders>
            <w:shd w:val="clear" w:color="auto" w:fill="auto"/>
            <w:noWrap/>
            <w:vAlign w:val="bottom"/>
            <w:hideMark/>
          </w:tcPr>
          <w:p w14:paraId="02EF06A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1.246</w:t>
            </w:r>
          </w:p>
        </w:tc>
        <w:tc>
          <w:tcPr>
            <w:tcW w:w="1289" w:type="dxa"/>
            <w:tcBorders>
              <w:top w:val="nil"/>
              <w:left w:val="nil"/>
              <w:bottom w:val="single" w:sz="4" w:space="0" w:color="auto"/>
              <w:right w:val="nil"/>
            </w:tcBorders>
            <w:shd w:val="clear" w:color="auto" w:fill="auto"/>
            <w:noWrap/>
            <w:vAlign w:val="bottom"/>
            <w:hideMark/>
          </w:tcPr>
          <w:p w14:paraId="26DEFF6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3.428</w:t>
            </w:r>
          </w:p>
        </w:tc>
        <w:tc>
          <w:tcPr>
            <w:tcW w:w="967" w:type="dxa"/>
            <w:tcBorders>
              <w:top w:val="nil"/>
              <w:left w:val="nil"/>
              <w:bottom w:val="single" w:sz="4" w:space="0" w:color="auto"/>
            </w:tcBorders>
            <w:shd w:val="clear" w:color="auto" w:fill="auto"/>
            <w:noWrap/>
            <w:vAlign w:val="bottom"/>
            <w:hideMark/>
          </w:tcPr>
          <w:p w14:paraId="53F7BD0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1.0826</w:t>
            </w:r>
          </w:p>
        </w:tc>
        <w:tc>
          <w:tcPr>
            <w:tcW w:w="860" w:type="dxa"/>
            <w:tcBorders>
              <w:top w:val="nil"/>
              <w:bottom w:val="single" w:sz="4" w:space="0" w:color="auto"/>
              <w:right w:val="single" w:sz="4" w:space="0" w:color="auto"/>
            </w:tcBorders>
            <w:shd w:val="clear" w:color="auto" w:fill="auto"/>
            <w:noWrap/>
            <w:vAlign w:val="bottom"/>
            <w:hideMark/>
          </w:tcPr>
          <w:p w14:paraId="621B7408"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2.183</w:t>
            </w:r>
          </w:p>
        </w:tc>
        <w:tc>
          <w:tcPr>
            <w:tcW w:w="967" w:type="dxa"/>
            <w:tcBorders>
              <w:top w:val="nil"/>
              <w:left w:val="single" w:sz="4" w:space="0" w:color="auto"/>
              <w:bottom w:val="single" w:sz="4" w:space="0" w:color="auto"/>
              <w:right w:val="nil"/>
            </w:tcBorders>
            <w:shd w:val="clear" w:color="auto" w:fill="auto"/>
            <w:noWrap/>
            <w:vAlign w:val="bottom"/>
            <w:hideMark/>
          </w:tcPr>
          <w:p w14:paraId="523F437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0.2197</w:t>
            </w:r>
          </w:p>
        </w:tc>
        <w:tc>
          <w:tcPr>
            <w:tcW w:w="860" w:type="dxa"/>
            <w:tcBorders>
              <w:top w:val="nil"/>
              <w:left w:val="nil"/>
              <w:bottom w:val="single" w:sz="4" w:space="0" w:color="auto"/>
              <w:right w:val="nil"/>
            </w:tcBorders>
            <w:shd w:val="clear" w:color="auto" w:fill="auto"/>
            <w:noWrap/>
            <w:vAlign w:val="bottom"/>
            <w:hideMark/>
          </w:tcPr>
          <w:p w14:paraId="600C80BA"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1.2321</w:t>
            </w:r>
          </w:p>
        </w:tc>
        <w:tc>
          <w:tcPr>
            <w:tcW w:w="860" w:type="dxa"/>
            <w:tcBorders>
              <w:top w:val="nil"/>
              <w:left w:val="nil"/>
              <w:bottom w:val="single" w:sz="4" w:space="0" w:color="auto"/>
              <w:right w:val="nil"/>
            </w:tcBorders>
            <w:shd w:val="clear" w:color="auto" w:fill="auto"/>
            <w:noWrap/>
            <w:vAlign w:val="bottom"/>
            <w:hideMark/>
          </w:tcPr>
          <w:p w14:paraId="5AB33E8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1.0124</w:t>
            </w:r>
          </w:p>
        </w:tc>
        <w:tc>
          <w:tcPr>
            <w:tcW w:w="967" w:type="dxa"/>
            <w:tcBorders>
              <w:top w:val="nil"/>
              <w:left w:val="nil"/>
              <w:bottom w:val="single" w:sz="4" w:space="0" w:color="auto"/>
              <w:right w:val="nil"/>
            </w:tcBorders>
            <w:shd w:val="clear" w:color="auto" w:fill="auto"/>
            <w:noWrap/>
            <w:vAlign w:val="bottom"/>
            <w:hideMark/>
          </w:tcPr>
          <w:p w14:paraId="2971BA06"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0.0793</w:t>
            </w:r>
          </w:p>
        </w:tc>
        <w:tc>
          <w:tcPr>
            <w:tcW w:w="860" w:type="dxa"/>
            <w:tcBorders>
              <w:top w:val="nil"/>
              <w:left w:val="nil"/>
              <w:bottom w:val="single" w:sz="4" w:space="0" w:color="auto"/>
              <w:right w:val="nil"/>
            </w:tcBorders>
            <w:shd w:val="clear" w:color="auto" w:fill="auto"/>
            <w:noWrap/>
            <w:vAlign w:val="bottom"/>
            <w:hideMark/>
          </w:tcPr>
          <w:p w14:paraId="0AFA45E2"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2.1559</w:t>
            </w:r>
          </w:p>
        </w:tc>
        <w:tc>
          <w:tcPr>
            <w:tcW w:w="860" w:type="dxa"/>
            <w:tcBorders>
              <w:top w:val="nil"/>
              <w:left w:val="nil"/>
              <w:bottom w:val="single" w:sz="4" w:space="0" w:color="auto"/>
              <w:right w:val="single" w:sz="4" w:space="0" w:color="auto"/>
            </w:tcBorders>
            <w:shd w:val="clear" w:color="auto" w:fill="auto"/>
            <w:noWrap/>
            <w:vAlign w:val="bottom"/>
            <w:hideMark/>
          </w:tcPr>
          <w:p w14:paraId="3E57B071"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0.0225</w:t>
            </w:r>
          </w:p>
        </w:tc>
        <w:tc>
          <w:tcPr>
            <w:tcW w:w="127" w:type="dxa"/>
            <w:tcBorders>
              <w:top w:val="nil"/>
              <w:left w:val="single" w:sz="4" w:space="0" w:color="auto"/>
              <w:bottom w:val="nil"/>
              <w:right w:val="nil"/>
            </w:tcBorders>
            <w:shd w:val="clear" w:color="auto" w:fill="auto"/>
            <w:noWrap/>
            <w:vAlign w:val="bottom"/>
            <w:hideMark/>
          </w:tcPr>
          <w:p w14:paraId="4518A183" w14:textId="77777777" w:rsidR="005A4EA3" w:rsidRPr="00B43597" w:rsidRDefault="005A4EA3" w:rsidP="005A4EA3">
            <w:pPr>
              <w:rPr>
                <w:rFonts w:eastAsia="Times New Roman" w:cs="Times New Roman"/>
                <w:color w:val="000000"/>
                <w:sz w:val="18"/>
                <w:szCs w:val="18"/>
              </w:rPr>
            </w:pPr>
          </w:p>
        </w:tc>
      </w:tr>
      <w:tr w:rsidR="005A4EA3" w:rsidRPr="008A78D0" w14:paraId="00B221B7" w14:textId="77777777" w:rsidTr="005A4EA3">
        <w:trPr>
          <w:trHeight w:hRule="exact" w:val="245"/>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FE00" w14:textId="77777777" w:rsidR="005A4EA3" w:rsidRPr="00B43597" w:rsidRDefault="005A4EA3" w:rsidP="005A4EA3">
            <w:pPr>
              <w:rPr>
                <w:rFonts w:eastAsia="Times New Roman" w:cs="Times New Roman"/>
                <w:color w:val="000000"/>
                <w:sz w:val="18"/>
                <w:szCs w:val="18"/>
              </w:rPr>
            </w:pP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538CB" w14:textId="77777777" w:rsidR="005A4EA3" w:rsidRPr="00B43597" w:rsidRDefault="005A4EA3" w:rsidP="005A4EA3">
            <w:pPr>
              <w:rPr>
                <w:rFonts w:eastAsia="Times New Roman" w:cs="Times New Roman"/>
                <w:color w:val="000000"/>
                <w:sz w:val="18"/>
                <w:szCs w:val="18"/>
              </w:rPr>
            </w:pPr>
            <w:r w:rsidRPr="00B43597">
              <w:rPr>
                <w:rFonts w:eastAsia="Times New Roman" w:cs="Times New Roman"/>
                <w:color w:val="000000"/>
                <w:sz w:val="18"/>
                <w:szCs w:val="18"/>
              </w:rPr>
              <w:t>Totals</w:t>
            </w:r>
          </w:p>
        </w:tc>
        <w:tc>
          <w:tcPr>
            <w:tcW w:w="1153" w:type="dxa"/>
            <w:tcBorders>
              <w:top w:val="single" w:sz="4" w:space="0" w:color="auto"/>
              <w:left w:val="single" w:sz="4" w:space="0" w:color="auto"/>
              <w:bottom w:val="single" w:sz="4" w:space="0" w:color="auto"/>
              <w:right w:val="nil"/>
            </w:tcBorders>
            <w:shd w:val="clear" w:color="auto" w:fill="auto"/>
            <w:noWrap/>
            <w:vAlign w:val="bottom"/>
            <w:hideMark/>
          </w:tcPr>
          <w:p w14:paraId="566081B6" w14:textId="77777777" w:rsidR="005A4EA3" w:rsidRPr="00B43597" w:rsidRDefault="005A4EA3" w:rsidP="005A4EA3">
            <w:pPr>
              <w:rPr>
                <w:rFonts w:eastAsia="Times New Roman" w:cs="Times New Roman"/>
                <w:color w:val="000000"/>
                <w:sz w:val="18"/>
                <w:szCs w:val="18"/>
              </w:rPr>
            </w:pPr>
          </w:p>
        </w:tc>
        <w:tc>
          <w:tcPr>
            <w:tcW w:w="1289" w:type="dxa"/>
            <w:tcBorders>
              <w:top w:val="single" w:sz="4" w:space="0" w:color="auto"/>
              <w:left w:val="nil"/>
              <w:bottom w:val="single" w:sz="4" w:space="0" w:color="auto"/>
              <w:right w:val="nil"/>
            </w:tcBorders>
            <w:shd w:val="clear" w:color="auto" w:fill="auto"/>
            <w:noWrap/>
            <w:vAlign w:val="bottom"/>
            <w:hideMark/>
          </w:tcPr>
          <w:p w14:paraId="4F5D0546" w14:textId="77777777" w:rsidR="005A4EA3" w:rsidRPr="00B43597" w:rsidRDefault="005A4EA3" w:rsidP="005A4EA3">
            <w:pPr>
              <w:rPr>
                <w:rFonts w:eastAsia="Times New Roman" w:cs="Times New Roman"/>
                <w:color w:val="000000"/>
                <w:sz w:val="18"/>
                <w:szCs w:val="18"/>
              </w:rPr>
            </w:pPr>
          </w:p>
        </w:tc>
        <w:tc>
          <w:tcPr>
            <w:tcW w:w="967" w:type="dxa"/>
            <w:tcBorders>
              <w:top w:val="single" w:sz="4" w:space="0" w:color="auto"/>
              <w:left w:val="nil"/>
              <w:bottom w:val="single" w:sz="4" w:space="0" w:color="auto"/>
            </w:tcBorders>
            <w:shd w:val="clear" w:color="auto" w:fill="auto"/>
            <w:noWrap/>
            <w:vAlign w:val="bottom"/>
            <w:hideMark/>
          </w:tcPr>
          <w:p w14:paraId="3EA02652" w14:textId="77777777" w:rsidR="005A4EA3" w:rsidRPr="00B43597" w:rsidRDefault="005A4EA3" w:rsidP="005A4EA3">
            <w:pPr>
              <w:rPr>
                <w:rFonts w:eastAsia="Times New Roman" w:cs="Times New Roman"/>
                <w:color w:val="000000"/>
                <w:sz w:val="18"/>
                <w:szCs w:val="18"/>
              </w:rPr>
            </w:pPr>
          </w:p>
        </w:tc>
        <w:tc>
          <w:tcPr>
            <w:tcW w:w="860" w:type="dxa"/>
            <w:tcBorders>
              <w:top w:val="single" w:sz="4" w:space="0" w:color="auto"/>
              <w:bottom w:val="single" w:sz="4" w:space="0" w:color="auto"/>
              <w:right w:val="single" w:sz="4" w:space="0" w:color="auto"/>
            </w:tcBorders>
            <w:shd w:val="clear" w:color="auto" w:fill="auto"/>
            <w:noWrap/>
            <w:vAlign w:val="bottom"/>
            <w:hideMark/>
          </w:tcPr>
          <w:p w14:paraId="20EAF41A" w14:textId="77777777" w:rsidR="005A4EA3" w:rsidRPr="00B43597" w:rsidRDefault="005A4EA3" w:rsidP="005A4EA3">
            <w:pPr>
              <w:rPr>
                <w:rFonts w:eastAsia="Times New Roman" w:cs="Times New Roman"/>
                <w:color w:val="000000"/>
                <w:sz w:val="18"/>
                <w:szCs w:val="18"/>
              </w:rPr>
            </w:pPr>
          </w:p>
        </w:tc>
        <w:tc>
          <w:tcPr>
            <w:tcW w:w="967" w:type="dxa"/>
            <w:tcBorders>
              <w:top w:val="single" w:sz="4" w:space="0" w:color="auto"/>
              <w:left w:val="single" w:sz="4" w:space="0" w:color="auto"/>
              <w:bottom w:val="single" w:sz="4" w:space="0" w:color="auto"/>
              <w:right w:val="nil"/>
            </w:tcBorders>
            <w:shd w:val="clear" w:color="auto" w:fill="auto"/>
            <w:noWrap/>
            <w:vAlign w:val="bottom"/>
            <w:hideMark/>
          </w:tcPr>
          <w:p w14:paraId="70A35AE4" w14:textId="77777777" w:rsidR="005A4EA3" w:rsidRPr="00B43597" w:rsidRDefault="005A4EA3" w:rsidP="005A4EA3">
            <w:pPr>
              <w:rPr>
                <w:rFonts w:eastAsia="Times New Roman" w:cs="Times New Roman"/>
                <w:color w:val="000000"/>
                <w:sz w:val="18"/>
                <w:szCs w:val="18"/>
              </w:rPr>
            </w:pPr>
          </w:p>
        </w:tc>
        <w:tc>
          <w:tcPr>
            <w:tcW w:w="860" w:type="dxa"/>
            <w:tcBorders>
              <w:top w:val="single" w:sz="4" w:space="0" w:color="auto"/>
              <w:left w:val="nil"/>
              <w:bottom w:val="single" w:sz="4" w:space="0" w:color="auto"/>
              <w:right w:val="nil"/>
            </w:tcBorders>
            <w:shd w:val="clear" w:color="auto" w:fill="auto"/>
            <w:noWrap/>
            <w:vAlign w:val="bottom"/>
            <w:hideMark/>
          </w:tcPr>
          <w:p w14:paraId="45E2C7AD" w14:textId="77777777" w:rsidR="005A4EA3" w:rsidRPr="00B43597" w:rsidRDefault="005A4EA3" w:rsidP="005A4EA3">
            <w:pPr>
              <w:rPr>
                <w:rFonts w:eastAsia="Times New Roman" w:cs="Times New Roman"/>
                <w:color w:val="000000"/>
                <w:sz w:val="18"/>
                <w:szCs w:val="18"/>
              </w:rPr>
            </w:pPr>
          </w:p>
        </w:tc>
        <w:tc>
          <w:tcPr>
            <w:tcW w:w="860" w:type="dxa"/>
            <w:tcBorders>
              <w:top w:val="single" w:sz="4" w:space="0" w:color="auto"/>
              <w:left w:val="nil"/>
              <w:bottom w:val="single" w:sz="4" w:space="0" w:color="auto"/>
              <w:right w:val="nil"/>
            </w:tcBorders>
            <w:shd w:val="clear" w:color="auto" w:fill="auto"/>
            <w:noWrap/>
            <w:vAlign w:val="bottom"/>
            <w:hideMark/>
          </w:tcPr>
          <w:p w14:paraId="28131296" w14:textId="77777777" w:rsidR="005A4EA3" w:rsidRPr="00B43597" w:rsidRDefault="005A4EA3" w:rsidP="005A4EA3">
            <w:pPr>
              <w:rPr>
                <w:rFonts w:eastAsia="Times New Roman" w:cs="Times New Roman"/>
                <w:color w:val="000000"/>
                <w:sz w:val="18"/>
                <w:szCs w:val="18"/>
              </w:rPr>
            </w:pPr>
          </w:p>
        </w:tc>
        <w:tc>
          <w:tcPr>
            <w:tcW w:w="967" w:type="dxa"/>
            <w:tcBorders>
              <w:top w:val="single" w:sz="4" w:space="0" w:color="auto"/>
              <w:left w:val="nil"/>
              <w:bottom w:val="single" w:sz="4" w:space="0" w:color="auto"/>
              <w:right w:val="nil"/>
            </w:tcBorders>
            <w:shd w:val="clear" w:color="auto" w:fill="auto"/>
            <w:noWrap/>
            <w:vAlign w:val="bottom"/>
            <w:hideMark/>
          </w:tcPr>
          <w:p w14:paraId="7EBCDD0E" w14:textId="77777777" w:rsidR="005A4EA3" w:rsidRPr="00B43597" w:rsidRDefault="005A4EA3" w:rsidP="005A4EA3">
            <w:pPr>
              <w:rPr>
                <w:rFonts w:eastAsia="Times New Roman" w:cs="Times New Roman"/>
                <w:color w:val="000000"/>
                <w:sz w:val="18"/>
                <w:szCs w:val="18"/>
              </w:rPr>
            </w:pPr>
          </w:p>
        </w:tc>
        <w:tc>
          <w:tcPr>
            <w:tcW w:w="860" w:type="dxa"/>
            <w:tcBorders>
              <w:top w:val="single" w:sz="4" w:space="0" w:color="auto"/>
              <w:left w:val="nil"/>
              <w:bottom w:val="single" w:sz="4" w:space="0" w:color="auto"/>
              <w:right w:val="nil"/>
            </w:tcBorders>
            <w:shd w:val="clear" w:color="auto" w:fill="auto"/>
            <w:noWrap/>
            <w:vAlign w:val="bottom"/>
            <w:hideMark/>
          </w:tcPr>
          <w:p w14:paraId="2E7956C0"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95.8610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0001D68D" w14:textId="77777777" w:rsidR="005A4EA3" w:rsidRPr="00B43597" w:rsidRDefault="005A4EA3" w:rsidP="005A4EA3">
            <w:pPr>
              <w:jc w:val="right"/>
              <w:rPr>
                <w:rFonts w:eastAsia="Times New Roman" w:cs="Times New Roman"/>
                <w:color w:val="000000"/>
                <w:sz w:val="18"/>
                <w:szCs w:val="18"/>
              </w:rPr>
            </w:pPr>
            <w:r w:rsidRPr="00B43597">
              <w:rPr>
                <w:rFonts w:eastAsia="Times New Roman" w:cs="Times New Roman"/>
                <w:color w:val="000000"/>
                <w:sz w:val="18"/>
                <w:szCs w:val="18"/>
              </w:rPr>
              <w:t>1.0000</w:t>
            </w:r>
          </w:p>
        </w:tc>
        <w:tc>
          <w:tcPr>
            <w:tcW w:w="127" w:type="dxa"/>
            <w:tcBorders>
              <w:top w:val="nil"/>
              <w:left w:val="single" w:sz="4" w:space="0" w:color="auto"/>
              <w:bottom w:val="nil"/>
              <w:right w:val="nil"/>
            </w:tcBorders>
            <w:shd w:val="clear" w:color="auto" w:fill="auto"/>
            <w:noWrap/>
            <w:vAlign w:val="bottom"/>
            <w:hideMark/>
          </w:tcPr>
          <w:p w14:paraId="619087AF" w14:textId="77777777" w:rsidR="005A4EA3" w:rsidRPr="00B43597" w:rsidRDefault="005A4EA3" w:rsidP="005A4EA3">
            <w:pPr>
              <w:rPr>
                <w:rFonts w:eastAsia="Times New Roman" w:cs="Times New Roman"/>
                <w:color w:val="000000"/>
                <w:sz w:val="18"/>
                <w:szCs w:val="18"/>
              </w:rPr>
            </w:pPr>
          </w:p>
        </w:tc>
      </w:tr>
    </w:tbl>
    <w:p w14:paraId="4CC4225A" w14:textId="77777777" w:rsidR="005A4EA3" w:rsidRDefault="005A4EA3" w:rsidP="005A4EA3">
      <w:pPr>
        <w:rPr>
          <w:rFonts w:eastAsia="Times New Roman" w:cs="Times New Roman"/>
          <w:b/>
          <w:bCs/>
          <w:color w:val="000000"/>
          <w:sz w:val="18"/>
          <w:szCs w:val="18"/>
        </w:rPr>
      </w:pPr>
    </w:p>
    <w:p w14:paraId="1B66AB5E" w14:textId="77777777" w:rsidR="005A4EA3" w:rsidRDefault="005A4EA3" w:rsidP="005A4EA3">
      <w:pPr>
        <w:rPr>
          <w:rFonts w:eastAsia="Times New Roman" w:cs="Times New Roman"/>
          <w:b/>
          <w:bCs/>
          <w:color w:val="000000"/>
          <w:sz w:val="20"/>
          <w:szCs w:val="20"/>
        </w:rPr>
      </w:pPr>
    </w:p>
    <w:p w14:paraId="4CC8FDD4" w14:textId="77777777" w:rsidR="005A4EA3" w:rsidRDefault="005A4EA3" w:rsidP="005A4EA3">
      <w:pPr>
        <w:rPr>
          <w:rFonts w:eastAsia="Times New Roman" w:cs="Times New Roman"/>
          <w:b/>
          <w:bCs/>
          <w:color w:val="000000"/>
          <w:sz w:val="20"/>
          <w:szCs w:val="20"/>
        </w:rPr>
      </w:pPr>
      <w:r w:rsidRPr="00F530BC">
        <w:rPr>
          <w:rFonts w:eastAsia="Times New Roman" w:cs="Times New Roman"/>
          <w:b/>
          <w:bCs/>
          <w:color w:val="000000"/>
          <w:sz w:val="20"/>
          <w:szCs w:val="20"/>
        </w:rPr>
        <w:t>Procedures for calculating a weighted regression</w:t>
      </w:r>
      <w:r>
        <w:rPr>
          <w:rFonts w:eastAsia="Times New Roman" w:cs="Times New Roman"/>
          <w:b/>
          <w:bCs/>
          <w:color w:val="000000"/>
          <w:sz w:val="20"/>
          <w:szCs w:val="20"/>
        </w:rPr>
        <w:t xml:space="preserve"> (</w:t>
      </w:r>
      <w:r w:rsidRPr="00796631">
        <w:rPr>
          <w:rFonts w:eastAsia="Times New Roman" w:cs="Times New Roman"/>
          <w:bCs/>
          <w:color w:val="000000"/>
          <w:sz w:val="20"/>
          <w:szCs w:val="20"/>
        </w:rPr>
        <w:t>Step viii</w:t>
      </w:r>
      <w:r>
        <w:rPr>
          <w:rFonts w:eastAsia="Times New Roman" w:cs="Times New Roman"/>
          <w:b/>
          <w:bCs/>
          <w:color w:val="000000"/>
          <w:sz w:val="20"/>
          <w:szCs w:val="20"/>
        </w:rPr>
        <w:t>)</w:t>
      </w:r>
    </w:p>
    <w:p w14:paraId="55BE8F32" w14:textId="77777777" w:rsidR="005A4EA3" w:rsidRDefault="005A4EA3" w:rsidP="005A4EA3">
      <w:pPr>
        <w:rPr>
          <w:rFonts w:eastAsia="Times New Roman" w:cs="Times New Roman"/>
          <w:b/>
          <w:bCs/>
          <w:color w:val="000000"/>
          <w:sz w:val="20"/>
          <w:szCs w:val="20"/>
        </w:rPr>
      </w:pPr>
    </w:p>
    <w:p w14:paraId="0A88618F" w14:textId="77777777" w:rsidR="005A4EA3" w:rsidRDefault="005A4EA3" w:rsidP="005A4EA3">
      <w:pPr>
        <w:pBdr>
          <w:top w:val="single" w:sz="4" w:space="1" w:color="auto"/>
          <w:left w:val="single" w:sz="4" w:space="4" w:color="auto"/>
          <w:bottom w:val="single" w:sz="4" w:space="1" w:color="auto"/>
          <w:right w:val="single" w:sz="4" w:space="4" w:color="auto"/>
        </w:pBdr>
        <w:rPr>
          <w:rFonts w:eastAsia="Times New Roman" w:cs="Times New Roman"/>
          <w:bCs/>
          <w:i/>
          <w:color w:val="000000"/>
          <w:sz w:val="20"/>
          <w:szCs w:val="20"/>
        </w:rPr>
      </w:pPr>
      <w:r w:rsidRPr="00F530BC">
        <w:rPr>
          <w:rFonts w:eastAsia="Times New Roman" w:cs="Times New Roman"/>
          <w:bCs/>
          <w:i/>
          <w:color w:val="000000"/>
          <w:sz w:val="20"/>
          <w:szCs w:val="20"/>
        </w:rPr>
        <w:t>Calculate a weighted average for each variable:</w:t>
      </w:r>
    </w:p>
    <w:p w14:paraId="2D13701C" w14:textId="77777777" w:rsidR="005A4EA3" w:rsidRPr="00F530BC" w:rsidRDefault="005A4EA3" w:rsidP="005A4EA3">
      <w:pPr>
        <w:pBdr>
          <w:top w:val="single" w:sz="4" w:space="1" w:color="auto"/>
          <w:left w:val="single" w:sz="4" w:space="4" w:color="auto"/>
          <w:bottom w:val="single" w:sz="4" w:space="1" w:color="auto"/>
          <w:right w:val="single" w:sz="4" w:space="4" w:color="auto"/>
        </w:pBdr>
        <w:rPr>
          <w:rFonts w:eastAsia="Times New Roman" w:cs="Times New Roman"/>
          <w:bCs/>
          <w:i/>
          <w:color w:val="000000"/>
          <w:sz w:val="20"/>
          <w:szCs w:val="20"/>
        </w:rPr>
      </w:pPr>
    </w:p>
    <w:p w14:paraId="5DC0AEBF"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proofErr w:type="spellStart"/>
      <w:r w:rsidRPr="00F530BC">
        <w:rPr>
          <w:b/>
          <w:sz w:val="20"/>
          <w:szCs w:val="20"/>
        </w:rPr>
        <w:t>avg_Δln</w:t>
      </w:r>
      <w:proofErr w:type="spellEnd"/>
      <w:r w:rsidRPr="00F530BC">
        <w:rPr>
          <w:b/>
          <w:sz w:val="20"/>
          <w:szCs w:val="20"/>
        </w:rPr>
        <w:t xml:space="preserve"> of Share</w:t>
      </w:r>
      <w:r w:rsidRPr="00F530BC">
        <w:rPr>
          <w:sz w:val="20"/>
          <w:szCs w:val="20"/>
        </w:rPr>
        <w:t xml:space="preserve"> = -0.013670396</w:t>
      </w:r>
    </w:p>
    <w:p w14:paraId="43FCC7A7"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Formula: </w:t>
      </w:r>
      <w:proofErr w:type="gramStart"/>
      <w:r w:rsidRPr="00F530BC">
        <w:rPr>
          <w:sz w:val="20"/>
          <w:szCs w:val="20"/>
        </w:rPr>
        <w:t>SUMPRODUCT(</w:t>
      </w:r>
      <w:proofErr w:type="gramEnd"/>
      <w:r w:rsidRPr="00F530BC">
        <w:rPr>
          <w:sz w:val="20"/>
          <w:szCs w:val="20"/>
        </w:rPr>
        <w:t>&lt;</w:t>
      </w:r>
      <w:proofErr w:type="spellStart"/>
      <w:r w:rsidRPr="00F530BC">
        <w:rPr>
          <w:sz w:val="20"/>
          <w:szCs w:val="20"/>
        </w:rPr>
        <w:t>Δln</w:t>
      </w:r>
      <w:proofErr w:type="spellEnd"/>
      <w:r w:rsidRPr="00F530BC">
        <w:rPr>
          <w:sz w:val="20"/>
          <w:szCs w:val="20"/>
        </w:rPr>
        <w:t xml:space="preserve"> of Share-da</w:t>
      </w:r>
      <w:r>
        <w:rPr>
          <w:sz w:val="20"/>
          <w:szCs w:val="20"/>
        </w:rPr>
        <w:t>ta&gt;,&lt;Weights&gt;)/SUM(&lt;Weights&gt;)</w:t>
      </w:r>
    </w:p>
    <w:p w14:paraId="53842B95"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p>
    <w:p w14:paraId="1088CBC6"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proofErr w:type="spellStart"/>
      <w:r w:rsidRPr="00767437">
        <w:rPr>
          <w:b/>
          <w:sz w:val="20"/>
          <w:szCs w:val="20"/>
        </w:rPr>
        <w:t>avg_ln</w:t>
      </w:r>
      <w:proofErr w:type="spellEnd"/>
      <w:r w:rsidRPr="00767437">
        <w:rPr>
          <w:b/>
          <w:sz w:val="20"/>
          <w:szCs w:val="20"/>
        </w:rPr>
        <w:t xml:space="preserve"> </w:t>
      </w:r>
      <w:proofErr w:type="spellStart"/>
      <w:r w:rsidRPr="00767437">
        <w:rPr>
          <w:b/>
          <w:sz w:val="20"/>
          <w:szCs w:val="20"/>
        </w:rPr>
        <w:t>PriceRel</w:t>
      </w:r>
      <w:proofErr w:type="spellEnd"/>
      <w:r>
        <w:rPr>
          <w:sz w:val="20"/>
          <w:szCs w:val="20"/>
        </w:rPr>
        <w:t xml:space="preserve"> = </w:t>
      </w:r>
      <w:r w:rsidRPr="00F530BC">
        <w:rPr>
          <w:sz w:val="20"/>
          <w:szCs w:val="20"/>
        </w:rPr>
        <w:t>0.078093397</w:t>
      </w:r>
      <w:r w:rsidRPr="00F530BC">
        <w:rPr>
          <w:sz w:val="20"/>
          <w:szCs w:val="20"/>
        </w:rPr>
        <w:tab/>
      </w:r>
    </w:p>
    <w:p w14:paraId="6AFE19D5"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Formula: </w:t>
      </w:r>
      <w:proofErr w:type="gramStart"/>
      <w:r w:rsidRPr="00F530BC">
        <w:rPr>
          <w:sz w:val="20"/>
          <w:szCs w:val="20"/>
        </w:rPr>
        <w:t>SUMPRODUCT(</w:t>
      </w:r>
      <w:proofErr w:type="gramEnd"/>
      <w:r w:rsidRPr="00F530BC">
        <w:rPr>
          <w:sz w:val="20"/>
          <w:szCs w:val="20"/>
        </w:rPr>
        <w:t xml:space="preserve">&lt;ln </w:t>
      </w:r>
      <w:proofErr w:type="spellStart"/>
      <w:r w:rsidRPr="00F530BC">
        <w:rPr>
          <w:sz w:val="20"/>
          <w:szCs w:val="20"/>
        </w:rPr>
        <w:t>PriceRel</w:t>
      </w:r>
      <w:proofErr w:type="spellEnd"/>
      <w:r w:rsidRPr="00F530BC">
        <w:rPr>
          <w:sz w:val="20"/>
          <w:szCs w:val="20"/>
        </w:rPr>
        <w:t>-da</w:t>
      </w:r>
      <w:r>
        <w:rPr>
          <w:sz w:val="20"/>
          <w:szCs w:val="20"/>
        </w:rPr>
        <w:t>ta&gt;,&lt;Weights&gt;)/SUM(&lt;Weights&gt;)</w:t>
      </w:r>
    </w:p>
    <w:p w14:paraId="3131F558" w14:textId="77777777" w:rsidR="005A4EA3" w:rsidRDefault="005A4EA3" w:rsidP="005A4EA3">
      <w:pPr>
        <w:rPr>
          <w:sz w:val="20"/>
          <w:szCs w:val="20"/>
        </w:rPr>
      </w:pPr>
    </w:p>
    <w:p w14:paraId="649DF946" w14:textId="77777777" w:rsidR="005A4EA3" w:rsidRPr="00F530BC" w:rsidRDefault="005A4EA3" w:rsidP="005A4EA3">
      <w:pPr>
        <w:rPr>
          <w:sz w:val="20"/>
          <w:szCs w:val="20"/>
        </w:rPr>
      </w:pPr>
    </w:p>
    <w:p w14:paraId="1B70D723" w14:textId="77777777" w:rsidR="005A4EA3" w:rsidRPr="00767437" w:rsidRDefault="005A4EA3" w:rsidP="005A4EA3">
      <w:pPr>
        <w:pBdr>
          <w:top w:val="single" w:sz="4" w:space="1" w:color="auto"/>
          <w:left w:val="single" w:sz="4" w:space="4" w:color="auto"/>
          <w:bottom w:val="single" w:sz="4" w:space="1" w:color="auto"/>
          <w:right w:val="single" w:sz="4" w:space="4" w:color="auto"/>
        </w:pBdr>
        <w:rPr>
          <w:i/>
          <w:sz w:val="20"/>
          <w:szCs w:val="20"/>
        </w:rPr>
      </w:pPr>
      <w:r w:rsidRPr="00767437">
        <w:rPr>
          <w:i/>
          <w:sz w:val="20"/>
          <w:szCs w:val="20"/>
        </w:rPr>
        <w:t xml:space="preserve">The slope of </w:t>
      </w:r>
      <w:r>
        <w:rPr>
          <w:i/>
          <w:sz w:val="20"/>
          <w:szCs w:val="20"/>
        </w:rPr>
        <w:t xml:space="preserve">the </w:t>
      </w:r>
      <w:r w:rsidRPr="00767437">
        <w:rPr>
          <w:i/>
          <w:sz w:val="20"/>
          <w:szCs w:val="20"/>
        </w:rPr>
        <w:t>w</w:t>
      </w:r>
      <w:r>
        <w:rPr>
          <w:i/>
          <w:sz w:val="20"/>
          <w:szCs w:val="20"/>
        </w:rPr>
        <w:t>eighted linear regression is:</w:t>
      </w:r>
    </w:p>
    <w:p w14:paraId="52FA11FC"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p>
    <w:p w14:paraId="5E90DA32"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Formula: </w:t>
      </w:r>
      <w:proofErr w:type="gramStart"/>
      <w:r>
        <w:rPr>
          <w:sz w:val="20"/>
          <w:szCs w:val="20"/>
        </w:rPr>
        <w:t>SUMPRODUCT(</w:t>
      </w:r>
      <w:proofErr w:type="gramEnd"/>
      <w:r>
        <w:rPr>
          <w:sz w:val="20"/>
          <w:szCs w:val="20"/>
        </w:rPr>
        <w:t>&lt;</w:t>
      </w:r>
      <w:proofErr w:type="spellStart"/>
      <w:r>
        <w:rPr>
          <w:sz w:val="20"/>
          <w:szCs w:val="20"/>
        </w:rPr>
        <w:t>Δln</w:t>
      </w:r>
      <w:proofErr w:type="spellEnd"/>
      <w:r>
        <w:rPr>
          <w:sz w:val="20"/>
          <w:szCs w:val="20"/>
        </w:rPr>
        <w:t xml:space="preserve"> of Share-data&gt;–</w:t>
      </w:r>
      <w:r w:rsidRPr="00F530BC">
        <w:rPr>
          <w:sz w:val="20"/>
          <w:szCs w:val="20"/>
        </w:rPr>
        <w:t>&lt;</w:t>
      </w:r>
      <w:proofErr w:type="spellStart"/>
      <w:r w:rsidRPr="00F530BC">
        <w:rPr>
          <w:sz w:val="20"/>
          <w:szCs w:val="20"/>
        </w:rPr>
        <w:t>avg_Δln</w:t>
      </w:r>
      <w:proofErr w:type="spellEnd"/>
      <w:r w:rsidRPr="00F530BC">
        <w:rPr>
          <w:sz w:val="20"/>
          <w:szCs w:val="20"/>
        </w:rPr>
        <w:t xml:space="preserve"> of Sha</w:t>
      </w:r>
      <w:r>
        <w:rPr>
          <w:sz w:val="20"/>
          <w:szCs w:val="20"/>
        </w:rPr>
        <w:t xml:space="preserve">re-&gt;,&lt;ln </w:t>
      </w:r>
      <w:proofErr w:type="spellStart"/>
      <w:r>
        <w:rPr>
          <w:sz w:val="20"/>
          <w:szCs w:val="20"/>
        </w:rPr>
        <w:t>PriceRel</w:t>
      </w:r>
      <w:proofErr w:type="spellEnd"/>
      <w:r>
        <w:rPr>
          <w:sz w:val="20"/>
          <w:szCs w:val="20"/>
        </w:rPr>
        <w:t>-data&gt;–</w:t>
      </w:r>
      <w:r w:rsidRPr="00F530BC">
        <w:rPr>
          <w:sz w:val="20"/>
          <w:szCs w:val="20"/>
        </w:rPr>
        <w:t>&lt;</w:t>
      </w:r>
      <w:proofErr w:type="spellStart"/>
      <w:r>
        <w:rPr>
          <w:sz w:val="20"/>
          <w:szCs w:val="20"/>
        </w:rPr>
        <w:t>avg_ln</w:t>
      </w:r>
      <w:proofErr w:type="spellEnd"/>
      <w:r>
        <w:rPr>
          <w:sz w:val="20"/>
          <w:szCs w:val="20"/>
        </w:rPr>
        <w:t xml:space="preserve"> </w:t>
      </w:r>
      <w:proofErr w:type="spellStart"/>
      <w:r>
        <w:rPr>
          <w:sz w:val="20"/>
          <w:szCs w:val="20"/>
        </w:rPr>
        <w:t>PriceRel</w:t>
      </w:r>
      <w:proofErr w:type="spellEnd"/>
      <w:r>
        <w:rPr>
          <w:sz w:val="20"/>
          <w:szCs w:val="20"/>
        </w:rPr>
        <w:t>&gt;,&lt;Weights&gt;)/</w:t>
      </w:r>
    </w:p>
    <w:p w14:paraId="760F8E59" w14:textId="77777777" w:rsidR="005A4EA3" w:rsidRPr="00F530BC" w:rsidRDefault="005A4EA3" w:rsidP="005A4EA3">
      <w:pPr>
        <w:pBdr>
          <w:top w:val="single" w:sz="4" w:space="1" w:color="auto"/>
          <w:left w:val="single" w:sz="4" w:space="4" w:color="auto"/>
          <w:bottom w:val="single" w:sz="4" w:space="1" w:color="auto"/>
          <w:right w:val="single" w:sz="4" w:space="4" w:color="auto"/>
        </w:pBdr>
        <w:ind w:firstLine="720"/>
        <w:rPr>
          <w:sz w:val="20"/>
          <w:szCs w:val="20"/>
        </w:rPr>
      </w:pPr>
      <w:r>
        <w:rPr>
          <w:sz w:val="20"/>
          <w:szCs w:val="20"/>
        </w:rPr>
        <w:t xml:space="preserve"> </w:t>
      </w:r>
      <w:proofErr w:type="gramStart"/>
      <w:r>
        <w:rPr>
          <w:sz w:val="20"/>
          <w:szCs w:val="20"/>
        </w:rPr>
        <w:t>SUMPRODUCT(</w:t>
      </w:r>
      <w:proofErr w:type="gramEnd"/>
      <w:r>
        <w:rPr>
          <w:sz w:val="20"/>
          <w:szCs w:val="20"/>
        </w:rPr>
        <w:t xml:space="preserve">(&lt;ln </w:t>
      </w:r>
      <w:proofErr w:type="spellStart"/>
      <w:r>
        <w:rPr>
          <w:sz w:val="20"/>
          <w:szCs w:val="20"/>
        </w:rPr>
        <w:t>PriceRel</w:t>
      </w:r>
      <w:proofErr w:type="spellEnd"/>
      <w:r>
        <w:rPr>
          <w:sz w:val="20"/>
          <w:szCs w:val="20"/>
        </w:rPr>
        <w:t>-data&gt;–</w:t>
      </w:r>
      <w:r w:rsidRPr="00F530BC">
        <w:rPr>
          <w:sz w:val="20"/>
          <w:szCs w:val="20"/>
        </w:rPr>
        <w:t>&lt;</w:t>
      </w:r>
      <w:proofErr w:type="spellStart"/>
      <w:r w:rsidRPr="00F530BC">
        <w:rPr>
          <w:sz w:val="20"/>
          <w:szCs w:val="20"/>
        </w:rPr>
        <w:t>avg_ln</w:t>
      </w:r>
      <w:proofErr w:type="spellEnd"/>
      <w:r w:rsidRPr="00F530BC">
        <w:rPr>
          <w:sz w:val="20"/>
          <w:szCs w:val="20"/>
        </w:rPr>
        <w:t xml:space="preserve"> </w:t>
      </w:r>
      <w:proofErr w:type="spellStart"/>
      <w:r w:rsidRPr="00F530BC">
        <w:rPr>
          <w:sz w:val="20"/>
          <w:szCs w:val="20"/>
        </w:rPr>
        <w:t>PriceRel</w:t>
      </w:r>
      <w:proofErr w:type="spellEnd"/>
      <w:r w:rsidRPr="00F530BC">
        <w:rPr>
          <w:sz w:val="20"/>
          <w:szCs w:val="20"/>
        </w:rPr>
        <w:t>&gt;)^2,&lt;Weights&gt;)</w:t>
      </w:r>
      <w:r w:rsidRPr="00F530BC">
        <w:rPr>
          <w:sz w:val="20"/>
          <w:szCs w:val="20"/>
        </w:rPr>
        <w:tab/>
      </w:r>
      <w:r w:rsidRPr="00F530BC">
        <w:rPr>
          <w:sz w:val="20"/>
          <w:szCs w:val="20"/>
        </w:rPr>
        <w:tab/>
      </w:r>
      <w:r w:rsidRPr="00F530BC">
        <w:rPr>
          <w:sz w:val="20"/>
          <w:szCs w:val="20"/>
        </w:rPr>
        <w:tab/>
      </w:r>
    </w:p>
    <w:p w14:paraId="4DD4D289"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p>
    <w:p w14:paraId="789DA250"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r w:rsidRPr="00767437">
        <w:rPr>
          <w:b/>
          <w:sz w:val="20"/>
          <w:szCs w:val="20"/>
        </w:rPr>
        <w:t xml:space="preserve">Slope of </w:t>
      </w:r>
      <w:proofErr w:type="spellStart"/>
      <w:r w:rsidRPr="00767437">
        <w:rPr>
          <w:b/>
          <w:sz w:val="20"/>
          <w:szCs w:val="20"/>
        </w:rPr>
        <w:t>Wgt</w:t>
      </w:r>
      <w:proofErr w:type="spellEnd"/>
      <w:r w:rsidRPr="00767437">
        <w:rPr>
          <w:b/>
          <w:sz w:val="20"/>
          <w:szCs w:val="20"/>
        </w:rPr>
        <w:t xml:space="preserve"> </w:t>
      </w:r>
      <w:proofErr w:type="spellStart"/>
      <w:r w:rsidRPr="00767437">
        <w:rPr>
          <w:b/>
          <w:sz w:val="20"/>
          <w:szCs w:val="20"/>
        </w:rPr>
        <w:t>Regr</w:t>
      </w:r>
      <w:proofErr w:type="spellEnd"/>
      <w:r>
        <w:rPr>
          <w:sz w:val="20"/>
          <w:szCs w:val="20"/>
        </w:rPr>
        <w:t xml:space="preserve"> = </w:t>
      </w:r>
      <w:r w:rsidRPr="00F530BC">
        <w:rPr>
          <w:sz w:val="20"/>
          <w:szCs w:val="20"/>
        </w:rPr>
        <w:t>0.012887372</w:t>
      </w:r>
      <w:r w:rsidRPr="00F530BC">
        <w:rPr>
          <w:sz w:val="20"/>
          <w:szCs w:val="20"/>
        </w:rPr>
        <w:tab/>
      </w:r>
    </w:p>
    <w:p w14:paraId="5268E161"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ab/>
        <w:t xml:space="preserve">–(η-1) = </w:t>
      </w:r>
      <w:r w:rsidRPr="00F530BC">
        <w:rPr>
          <w:sz w:val="20"/>
          <w:szCs w:val="20"/>
        </w:rPr>
        <w:t>0.012887372</w:t>
      </w:r>
    </w:p>
    <w:p w14:paraId="1C9B2C11" w14:textId="77777777" w:rsidR="005A4EA3" w:rsidRPr="00F530BC"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ab/>
        <w:t>η=</w:t>
      </w:r>
      <w:r>
        <w:rPr>
          <w:sz w:val="20"/>
          <w:szCs w:val="20"/>
        </w:rPr>
        <w:tab/>
        <w:t>0.987112628</w:t>
      </w:r>
    </w:p>
    <w:p w14:paraId="07F65C40" w14:textId="77777777" w:rsidR="005A4EA3" w:rsidRPr="00F530BC" w:rsidRDefault="005A4EA3" w:rsidP="005A4EA3">
      <w:pPr>
        <w:rPr>
          <w:sz w:val="20"/>
          <w:szCs w:val="20"/>
        </w:rPr>
      </w:pPr>
    </w:p>
    <w:p w14:paraId="113DAF16" w14:textId="77777777" w:rsidR="005A4EA3" w:rsidRPr="00767437" w:rsidRDefault="005A4EA3" w:rsidP="005A4EA3">
      <w:pPr>
        <w:pBdr>
          <w:top w:val="single" w:sz="4" w:space="1" w:color="auto"/>
          <w:left w:val="single" w:sz="4" w:space="4" w:color="auto"/>
          <w:bottom w:val="single" w:sz="4" w:space="1" w:color="auto"/>
          <w:right w:val="single" w:sz="4" w:space="4" w:color="auto"/>
        </w:pBdr>
        <w:rPr>
          <w:i/>
          <w:sz w:val="20"/>
          <w:szCs w:val="20"/>
        </w:rPr>
      </w:pPr>
      <w:r w:rsidRPr="00767437">
        <w:rPr>
          <w:i/>
          <w:sz w:val="20"/>
          <w:szCs w:val="20"/>
        </w:rPr>
        <w:t>The intercept of w</w:t>
      </w:r>
      <w:r>
        <w:rPr>
          <w:i/>
          <w:sz w:val="20"/>
          <w:szCs w:val="20"/>
        </w:rPr>
        <w:t>eighted linear regression is:</w:t>
      </w:r>
    </w:p>
    <w:p w14:paraId="06729C70"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p>
    <w:p w14:paraId="75E82610"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r w:rsidRPr="00767437">
        <w:rPr>
          <w:b/>
          <w:sz w:val="20"/>
          <w:szCs w:val="20"/>
        </w:rPr>
        <w:t>Intercept</w:t>
      </w:r>
      <w:r>
        <w:rPr>
          <w:sz w:val="20"/>
          <w:szCs w:val="20"/>
        </w:rPr>
        <w:t xml:space="preserve"> =</w:t>
      </w:r>
      <w:r w:rsidRPr="00F530BC">
        <w:rPr>
          <w:sz w:val="20"/>
          <w:szCs w:val="20"/>
        </w:rPr>
        <w:t>-0.014676815</w:t>
      </w:r>
    </w:p>
    <w:p w14:paraId="6609288C" w14:textId="77777777" w:rsidR="005A4EA3" w:rsidRDefault="005A4EA3" w:rsidP="005A4EA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Formula: </w:t>
      </w:r>
      <w:r w:rsidRPr="00F530BC">
        <w:rPr>
          <w:sz w:val="20"/>
          <w:szCs w:val="20"/>
        </w:rPr>
        <w:t>&lt;</w:t>
      </w:r>
      <w:proofErr w:type="spellStart"/>
      <w:r w:rsidRPr="00F530BC">
        <w:rPr>
          <w:sz w:val="20"/>
          <w:szCs w:val="20"/>
        </w:rPr>
        <w:t>avg_Δln</w:t>
      </w:r>
      <w:proofErr w:type="spellEnd"/>
      <w:r w:rsidRPr="00F530BC">
        <w:rPr>
          <w:sz w:val="20"/>
          <w:szCs w:val="20"/>
        </w:rPr>
        <w:t xml:space="preserve"> of Share&gt; - &lt;</w:t>
      </w:r>
      <w:proofErr w:type="spellStart"/>
      <w:r w:rsidRPr="00F530BC">
        <w:rPr>
          <w:sz w:val="20"/>
          <w:szCs w:val="20"/>
        </w:rPr>
        <w:t>avg_ln</w:t>
      </w:r>
      <w:proofErr w:type="spellEnd"/>
      <w:r w:rsidRPr="00F530BC">
        <w:rPr>
          <w:sz w:val="20"/>
          <w:szCs w:val="20"/>
        </w:rPr>
        <w:t xml:space="preserve"> </w:t>
      </w:r>
      <w:proofErr w:type="spellStart"/>
      <w:r>
        <w:rPr>
          <w:sz w:val="20"/>
          <w:szCs w:val="20"/>
        </w:rPr>
        <w:t>PriceRel</w:t>
      </w:r>
      <w:proofErr w:type="spellEnd"/>
      <w:r>
        <w:rPr>
          <w:sz w:val="20"/>
          <w:szCs w:val="20"/>
        </w:rPr>
        <w:t>&gt;*&lt;</w:t>
      </w:r>
      <w:proofErr w:type="spellStart"/>
      <w:r>
        <w:rPr>
          <w:sz w:val="20"/>
          <w:szCs w:val="20"/>
        </w:rPr>
        <w:t>slope_of_wgt_regr</w:t>
      </w:r>
      <w:proofErr w:type="spellEnd"/>
      <w:r>
        <w:rPr>
          <w:sz w:val="20"/>
          <w:szCs w:val="20"/>
        </w:rPr>
        <w:t>&gt;</w:t>
      </w:r>
    </w:p>
    <w:p w14:paraId="08658311" w14:textId="77777777" w:rsidR="005A4EA3" w:rsidRPr="00F530BC" w:rsidRDefault="005A4EA3" w:rsidP="005A4EA3">
      <w:pPr>
        <w:rPr>
          <w:sz w:val="20"/>
          <w:szCs w:val="20"/>
        </w:rPr>
      </w:pPr>
    </w:p>
    <w:p w14:paraId="7A1BE849" w14:textId="77777777" w:rsidR="005A4EA3" w:rsidRDefault="005A4EA3" w:rsidP="005A4EA3"/>
    <w:sectPr w:rsidR="005A4EA3" w:rsidSect="005A4E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9F0E" w14:textId="77777777" w:rsidR="008E59B9" w:rsidRDefault="008E59B9" w:rsidP="00123B49">
      <w:r>
        <w:separator/>
      </w:r>
    </w:p>
  </w:endnote>
  <w:endnote w:type="continuationSeparator" w:id="0">
    <w:p w14:paraId="2B582C9C" w14:textId="77777777" w:rsidR="008E59B9" w:rsidRDefault="008E59B9" w:rsidP="0012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7A4A" w14:textId="77777777" w:rsidR="008E59B9" w:rsidRDefault="008E59B9" w:rsidP="00123B49">
      <w:r>
        <w:separator/>
      </w:r>
    </w:p>
  </w:footnote>
  <w:footnote w:type="continuationSeparator" w:id="0">
    <w:p w14:paraId="60213D6F" w14:textId="77777777" w:rsidR="008E59B9" w:rsidRDefault="008E59B9" w:rsidP="00123B49">
      <w:r>
        <w:continuationSeparator/>
      </w:r>
    </w:p>
  </w:footnote>
  <w:footnote w:id="1">
    <w:p w14:paraId="3F1AF38B" w14:textId="477F25EB" w:rsidR="008167BC" w:rsidRDefault="008167BC">
      <w:pPr>
        <w:pStyle w:val="FootnoteText"/>
      </w:pPr>
      <w:r>
        <w:rPr>
          <w:rStyle w:val="FootnoteReference"/>
        </w:rPr>
        <w:footnoteRef/>
      </w:r>
      <w:r>
        <w:t xml:space="preserve"> The author thanks Brian Graf (IMF) for his review and comments on this version of the paper and thanks to Erwin Diewert (UBC) and Yuri Dikhanov (WB) for comments on the first draft of Section II of this paper.</w:t>
      </w:r>
    </w:p>
  </w:footnote>
  <w:footnote w:id="2">
    <w:p w14:paraId="439F3494" w14:textId="07A66318" w:rsidR="008167BC" w:rsidRDefault="008167BC">
      <w:pPr>
        <w:pStyle w:val="FootnoteText"/>
      </w:pPr>
      <w:r>
        <w:rPr>
          <w:rStyle w:val="FootnoteReference"/>
        </w:rPr>
        <w:footnoteRef/>
      </w:r>
      <w:r>
        <w:t xml:space="preserve"> The same bounding property would hold true for a cost of goods CPI as well, assuming normal consumer substitution behavior is occurring.</w:t>
      </w:r>
    </w:p>
  </w:footnote>
  <w:footnote w:id="3">
    <w:p w14:paraId="342B78D7" w14:textId="75E24F45" w:rsidR="008167BC" w:rsidRDefault="008167BC">
      <w:pPr>
        <w:pStyle w:val="FootnoteText"/>
      </w:pPr>
      <w:r>
        <w:rPr>
          <w:rStyle w:val="FootnoteReference"/>
        </w:rPr>
        <w:footnoteRef/>
      </w:r>
      <w:r>
        <w:t xml:space="preserve"> An alternative would be to use Household Final Consumption Expenditures from the National Accounts as weights.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8B6"/>
    <w:multiLevelType w:val="hybridMultilevel"/>
    <w:tmpl w:val="12CC7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05CA9"/>
    <w:multiLevelType w:val="hybridMultilevel"/>
    <w:tmpl w:val="C77086EE"/>
    <w:lvl w:ilvl="0" w:tplc="EC6C8F9A">
      <w:start w:val="1"/>
      <w:numFmt w:val="decimal"/>
      <w:lvlText w:val="%1.     "/>
      <w:lvlJc w:val="left"/>
      <w:pPr>
        <w:tabs>
          <w:tab w:val="num" w:pos="720"/>
        </w:tabs>
        <w:ind w:left="0" w:firstLine="0"/>
      </w:pPr>
      <w:rPr>
        <w:rFonts w:hint="default"/>
        <w:b w:val="0"/>
        <w:i/>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94BDD"/>
    <w:multiLevelType w:val="hybridMultilevel"/>
    <w:tmpl w:val="12CC7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6413F"/>
    <w:multiLevelType w:val="hybridMultilevel"/>
    <w:tmpl w:val="9A9257A6"/>
    <w:lvl w:ilvl="0" w:tplc="DAA4847A">
      <w:start w:val="1"/>
      <w:numFmt w:val="decimal"/>
      <w:pStyle w:val="ParagraphNumbering"/>
      <w:lvlText w:val="%1.     "/>
      <w:lvlJc w:val="left"/>
      <w:pPr>
        <w:tabs>
          <w:tab w:val="num" w:pos="432"/>
        </w:tabs>
        <w:ind w:left="0" w:firstLine="0"/>
      </w:pPr>
      <w:rPr>
        <w:rFonts w:hint="default"/>
        <w:b w:val="0"/>
        <w:i w:val="0"/>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BC2918"/>
    <w:multiLevelType w:val="hybridMultilevel"/>
    <w:tmpl w:val="79425034"/>
    <w:lvl w:ilvl="0" w:tplc="32809EDE">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A7F14"/>
    <w:multiLevelType w:val="hybridMultilevel"/>
    <w:tmpl w:val="024E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C590D"/>
    <w:multiLevelType w:val="hybridMultilevel"/>
    <w:tmpl w:val="2CE0F064"/>
    <w:lvl w:ilvl="0" w:tplc="2A1CFEEC">
      <w:start w:val="1"/>
      <w:numFmt w:val="upperRoman"/>
      <w:pStyle w:val="Heading1"/>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C7FA7"/>
    <w:multiLevelType w:val="hybridMultilevel"/>
    <w:tmpl w:val="1C4A9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D2F19"/>
    <w:multiLevelType w:val="hybridMultilevel"/>
    <w:tmpl w:val="9A6A68B4"/>
    <w:lvl w:ilvl="0" w:tplc="C58412F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A15A1"/>
    <w:multiLevelType w:val="multilevel"/>
    <w:tmpl w:val="DD521CA0"/>
    <w:lvl w:ilvl="0">
      <w:start w:val="1"/>
      <w:numFmt w:val="upperRoman"/>
      <w:suff w:val="nothing"/>
      <w:lvlText w:val="%1.   "/>
      <w:lvlJc w:val="left"/>
      <w:pPr>
        <w:ind w:left="0" w:firstLine="0"/>
      </w:pPr>
      <w:rPr>
        <w:rFonts w:hint="default"/>
        <w:i w:val="0"/>
        <w:color w:val="auto"/>
      </w:rPr>
    </w:lvl>
    <w:lvl w:ilvl="1">
      <w:start w:val="1"/>
      <w:numFmt w:val="upperLetter"/>
      <w:lvlText w:val="%2."/>
      <w:lvlJc w:val="center"/>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6"/>
  </w:num>
  <w:num w:numId="2">
    <w:abstractNumId w:val="4"/>
  </w:num>
  <w:num w:numId="3">
    <w:abstractNumId w:val="4"/>
    <w:lvlOverride w:ilvl="0">
      <w:startOverride w:val="1"/>
    </w:lvlOverride>
  </w:num>
  <w:num w:numId="4">
    <w:abstractNumId w:val="2"/>
  </w:num>
  <w:num w:numId="5">
    <w:abstractNumId w:val="9"/>
  </w:num>
  <w:num w:numId="6">
    <w:abstractNumId w:val="1"/>
  </w:num>
  <w:num w:numId="7">
    <w:abstractNumId w:val="3"/>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A3"/>
    <w:rsid w:val="00002520"/>
    <w:rsid w:val="00042D92"/>
    <w:rsid w:val="000537D2"/>
    <w:rsid w:val="00062967"/>
    <w:rsid w:val="00081C18"/>
    <w:rsid w:val="00090531"/>
    <w:rsid w:val="000A450A"/>
    <w:rsid w:val="000B3DD5"/>
    <w:rsid w:val="000B3ED4"/>
    <w:rsid w:val="000B7080"/>
    <w:rsid w:val="00112E74"/>
    <w:rsid w:val="00116469"/>
    <w:rsid w:val="00123B49"/>
    <w:rsid w:val="001279F3"/>
    <w:rsid w:val="00144983"/>
    <w:rsid w:val="00147E50"/>
    <w:rsid w:val="00153335"/>
    <w:rsid w:val="00155D0C"/>
    <w:rsid w:val="0017105D"/>
    <w:rsid w:val="001838EF"/>
    <w:rsid w:val="00195919"/>
    <w:rsid w:val="002A4971"/>
    <w:rsid w:val="002B1872"/>
    <w:rsid w:val="002D1A6F"/>
    <w:rsid w:val="002E208A"/>
    <w:rsid w:val="00320D42"/>
    <w:rsid w:val="00337998"/>
    <w:rsid w:val="003542F6"/>
    <w:rsid w:val="00391A2D"/>
    <w:rsid w:val="003A3EED"/>
    <w:rsid w:val="003A44ED"/>
    <w:rsid w:val="003B5A35"/>
    <w:rsid w:val="003C79AA"/>
    <w:rsid w:val="003E7FB1"/>
    <w:rsid w:val="00445E79"/>
    <w:rsid w:val="004E069D"/>
    <w:rsid w:val="00514F4A"/>
    <w:rsid w:val="00531579"/>
    <w:rsid w:val="00536084"/>
    <w:rsid w:val="005904B0"/>
    <w:rsid w:val="0059337F"/>
    <w:rsid w:val="00594D04"/>
    <w:rsid w:val="005A4EA3"/>
    <w:rsid w:val="005F49B8"/>
    <w:rsid w:val="005F54BE"/>
    <w:rsid w:val="00604D8C"/>
    <w:rsid w:val="006A72DD"/>
    <w:rsid w:val="006B0884"/>
    <w:rsid w:val="006E2C82"/>
    <w:rsid w:val="006F66E4"/>
    <w:rsid w:val="0070113C"/>
    <w:rsid w:val="00706571"/>
    <w:rsid w:val="007109C9"/>
    <w:rsid w:val="00720BF9"/>
    <w:rsid w:val="00737B67"/>
    <w:rsid w:val="00737DC3"/>
    <w:rsid w:val="007431CA"/>
    <w:rsid w:val="00747205"/>
    <w:rsid w:val="00756D94"/>
    <w:rsid w:val="00760C43"/>
    <w:rsid w:val="00782601"/>
    <w:rsid w:val="00791BA5"/>
    <w:rsid w:val="007928BA"/>
    <w:rsid w:val="00794C17"/>
    <w:rsid w:val="007A19AB"/>
    <w:rsid w:val="007E3741"/>
    <w:rsid w:val="00805E91"/>
    <w:rsid w:val="0081008F"/>
    <w:rsid w:val="008167BC"/>
    <w:rsid w:val="00833291"/>
    <w:rsid w:val="00836BFA"/>
    <w:rsid w:val="00837BD0"/>
    <w:rsid w:val="00842388"/>
    <w:rsid w:val="00854A41"/>
    <w:rsid w:val="00860A41"/>
    <w:rsid w:val="00874F4F"/>
    <w:rsid w:val="00893E4A"/>
    <w:rsid w:val="008A4427"/>
    <w:rsid w:val="008A5AC6"/>
    <w:rsid w:val="008B7EF4"/>
    <w:rsid w:val="008E59B9"/>
    <w:rsid w:val="00900A78"/>
    <w:rsid w:val="009555B5"/>
    <w:rsid w:val="0096408D"/>
    <w:rsid w:val="00982695"/>
    <w:rsid w:val="00982EA6"/>
    <w:rsid w:val="00990EE9"/>
    <w:rsid w:val="009A7ACA"/>
    <w:rsid w:val="009B2F49"/>
    <w:rsid w:val="00A144C4"/>
    <w:rsid w:val="00A23A42"/>
    <w:rsid w:val="00A35C16"/>
    <w:rsid w:val="00A86559"/>
    <w:rsid w:val="00AA25D4"/>
    <w:rsid w:val="00AA2F13"/>
    <w:rsid w:val="00AA7A89"/>
    <w:rsid w:val="00B3412E"/>
    <w:rsid w:val="00B46B80"/>
    <w:rsid w:val="00B660CD"/>
    <w:rsid w:val="00BC24C3"/>
    <w:rsid w:val="00BF7847"/>
    <w:rsid w:val="00C01C01"/>
    <w:rsid w:val="00C02CFF"/>
    <w:rsid w:val="00C210CB"/>
    <w:rsid w:val="00C31CDD"/>
    <w:rsid w:val="00C535A7"/>
    <w:rsid w:val="00C8224F"/>
    <w:rsid w:val="00C863B0"/>
    <w:rsid w:val="00C93D9D"/>
    <w:rsid w:val="00CF4201"/>
    <w:rsid w:val="00CF51A7"/>
    <w:rsid w:val="00D26A1E"/>
    <w:rsid w:val="00D4535E"/>
    <w:rsid w:val="00D53108"/>
    <w:rsid w:val="00D66BBA"/>
    <w:rsid w:val="00DF26AC"/>
    <w:rsid w:val="00DF4DB6"/>
    <w:rsid w:val="00E131CE"/>
    <w:rsid w:val="00E16B1E"/>
    <w:rsid w:val="00E41A1F"/>
    <w:rsid w:val="00E53A60"/>
    <w:rsid w:val="00E809D8"/>
    <w:rsid w:val="00E918B9"/>
    <w:rsid w:val="00ED39F6"/>
    <w:rsid w:val="00EE65E1"/>
    <w:rsid w:val="00EF0359"/>
    <w:rsid w:val="00FA0A4C"/>
    <w:rsid w:val="00FB1800"/>
    <w:rsid w:val="00FC0318"/>
    <w:rsid w:val="00FF3E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DE602"/>
  <w15:chartTrackingRefBased/>
  <w15:docId w15:val="{AB65EF16-40DD-4365-B71C-44E7943D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ED"/>
    <w:pPr>
      <w:spacing w:after="0" w:line="240" w:lineRule="auto"/>
    </w:pPr>
    <w:rPr>
      <w:rFonts w:ascii="Times New Roman" w:eastAsia="Calibri" w:hAnsi="Times New Roman" w:cs="Arial"/>
    </w:rPr>
  </w:style>
  <w:style w:type="paragraph" w:styleId="Heading1">
    <w:name w:val="heading 1"/>
    <w:next w:val="Normal"/>
    <w:link w:val="Heading1Char"/>
    <w:autoRedefine/>
    <w:qFormat/>
    <w:rsid w:val="005A4EA3"/>
    <w:pPr>
      <w:keepNext/>
      <w:keepLines/>
      <w:numPr>
        <w:numId w:val="1"/>
      </w:numPr>
      <w:spacing w:before="240" w:after="200" w:line="276" w:lineRule="auto"/>
      <w:outlineLvl w:val="0"/>
    </w:pPr>
    <w:rPr>
      <w:rFonts w:ascii="HelveticaNeueLTStd-Roman" w:eastAsia="SimSun" w:hAnsi="HelveticaNeueLTStd-Roman" w:cs="Times New Roman"/>
      <w:b/>
      <w:bCs/>
      <w:smallCaps/>
      <w:sz w:val="24"/>
      <w:szCs w:val="28"/>
    </w:rPr>
  </w:style>
  <w:style w:type="paragraph" w:styleId="Heading2">
    <w:name w:val="heading 2"/>
    <w:next w:val="Normal"/>
    <w:link w:val="Heading2Char"/>
    <w:autoRedefine/>
    <w:unhideWhenUsed/>
    <w:qFormat/>
    <w:rsid w:val="00C31CDD"/>
    <w:pPr>
      <w:keepLines/>
      <w:spacing w:before="200" w:after="120" w:line="276" w:lineRule="auto"/>
      <w:outlineLvl w:val="1"/>
    </w:pPr>
    <w:rPr>
      <w:rFonts w:ascii="HelveticaNeueLTStd-Roman" w:eastAsia="SimSun" w:hAnsi="HelveticaNeueLTStd-Roman" w:cs="Times New Roman"/>
      <w:b/>
      <w:bCs/>
      <w:szCs w:val="26"/>
    </w:rPr>
  </w:style>
  <w:style w:type="paragraph" w:styleId="Heading3">
    <w:name w:val="heading 3"/>
    <w:next w:val="Normal"/>
    <w:link w:val="Heading3Char"/>
    <w:uiPriority w:val="9"/>
    <w:unhideWhenUsed/>
    <w:qFormat/>
    <w:rsid w:val="005A4EA3"/>
    <w:pPr>
      <w:keepNext/>
      <w:keepLines/>
      <w:spacing w:before="200" w:after="200" w:line="276" w:lineRule="auto"/>
      <w:outlineLvl w:val="2"/>
    </w:pPr>
    <w:rPr>
      <w:rFonts w:ascii="HelveticaNeueLTStd-Roman" w:eastAsia="SimSun" w:hAnsi="HelveticaNeueLTStd-Roman" w:cs="Times New Roman"/>
      <w:b/>
      <w:bCs/>
      <w:sz w:val="21"/>
    </w:rPr>
  </w:style>
  <w:style w:type="paragraph" w:styleId="Heading4">
    <w:name w:val="heading 4"/>
    <w:basedOn w:val="Normal"/>
    <w:next w:val="Normal"/>
    <w:link w:val="Heading4Char"/>
    <w:uiPriority w:val="9"/>
    <w:unhideWhenUsed/>
    <w:qFormat/>
    <w:rsid w:val="005A4EA3"/>
    <w:pPr>
      <w:keepNext/>
      <w:keepLines/>
      <w:spacing w:before="200"/>
      <w:outlineLvl w:val="3"/>
    </w:pPr>
    <w:rPr>
      <w:rFonts w:eastAsia="SimSu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EA3"/>
    <w:rPr>
      <w:rFonts w:ascii="HelveticaNeueLTStd-Roman" w:eastAsia="SimSun" w:hAnsi="HelveticaNeueLTStd-Roman" w:cs="Times New Roman"/>
      <w:b/>
      <w:bCs/>
      <w:smallCaps/>
      <w:sz w:val="24"/>
      <w:szCs w:val="28"/>
    </w:rPr>
  </w:style>
  <w:style w:type="character" w:customStyle="1" w:styleId="Heading2Char">
    <w:name w:val="Heading 2 Char"/>
    <w:basedOn w:val="DefaultParagraphFont"/>
    <w:link w:val="Heading2"/>
    <w:rsid w:val="00C31CDD"/>
    <w:rPr>
      <w:rFonts w:ascii="HelveticaNeueLTStd-Roman" w:eastAsia="SimSun" w:hAnsi="HelveticaNeueLTStd-Roman" w:cs="Times New Roman"/>
      <w:b/>
      <w:bCs/>
      <w:szCs w:val="26"/>
    </w:rPr>
  </w:style>
  <w:style w:type="character" w:customStyle="1" w:styleId="Heading3Char">
    <w:name w:val="Heading 3 Char"/>
    <w:basedOn w:val="DefaultParagraphFont"/>
    <w:link w:val="Heading3"/>
    <w:uiPriority w:val="9"/>
    <w:rsid w:val="005A4EA3"/>
    <w:rPr>
      <w:rFonts w:ascii="HelveticaNeueLTStd-Roman" w:eastAsia="SimSun" w:hAnsi="HelveticaNeueLTStd-Roman" w:cs="Times New Roman"/>
      <w:b/>
      <w:bCs/>
      <w:sz w:val="21"/>
    </w:rPr>
  </w:style>
  <w:style w:type="character" w:customStyle="1" w:styleId="Heading4Char">
    <w:name w:val="Heading 4 Char"/>
    <w:basedOn w:val="DefaultParagraphFont"/>
    <w:link w:val="Heading4"/>
    <w:uiPriority w:val="9"/>
    <w:rsid w:val="005A4EA3"/>
    <w:rPr>
      <w:rFonts w:ascii="Times New Roman" w:eastAsia="SimSun" w:hAnsi="Times New Roman" w:cs="Times New Roman"/>
      <w:b/>
      <w:bCs/>
      <w:i/>
      <w:iCs/>
      <w:sz w:val="21"/>
    </w:rPr>
  </w:style>
  <w:style w:type="paragraph" w:styleId="ListParagraph">
    <w:name w:val="List Paragraph"/>
    <w:basedOn w:val="Normal"/>
    <w:uiPriority w:val="34"/>
    <w:qFormat/>
    <w:rsid w:val="005A4EA3"/>
    <w:pPr>
      <w:ind w:left="720"/>
      <w:contextualSpacing/>
    </w:pPr>
  </w:style>
  <w:style w:type="character" w:styleId="CommentReference">
    <w:name w:val="annotation reference"/>
    <w:uiPriority w:val="99"/>
    <w:semiHidden/>
    <w:unhideWhenUsed/>
    <w:rsid w:val="005A4EA3"/>
    <w:rPr>
      <w:sz w:val="16"/>
      <w:szCs w:val="16"/>
    </w:rPr>
  </w:style>
  <w:style w:type="paragraph" w:styleId="CommentText">
    <w:name w:val="annotation text"/>
    <w:basedOn w:val="Normal"/>
    <w:link w:val="CommentTextChar"/>
    <w:uiPriority w:val="99"/>
    <w:semiHidden/>
    <w:unhideWhenUsed/>
    <w:rsid w:val="005A4EA3"/>
    <w:rPr>
      <w:sz w:val="20"/>
      <w:szCs w:val="20"/>
    </w:rPr>
  </w:style>
  <w:style w:type="character" w:customStyle="1" w:styleId="CommentTextChar">
    <w:name w:val="Comment Text Char"/>
    <w:basedOn w:val="DefaultParagraphFont"/>
    <w:link w:val="CommentText"/>
    <w:uiPriority w:val="99"/>
    <w:semiHidden/>
    <w:rsid w:val="005A4EA3"/>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5A4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A3"/>
    <w:rPr>
      <w:rFonts w:ascii="Segoe UI" w:eastAsia="Calibri" w:hAnsi="Segoe UI" w:cs="Segoe UI"/>
      <w:sz w:val="18"/>
      <w:szCs w:val="18"/>
    </w:rPr>
  </w:style>
  <w:style w:type="paragraph" w:styleId="Title">
    <w:name w:val="Title"/>
    <w:next w:val="Normal"/>
    <w:link w:val="TitleChar"/>
    <w:uiPriority w:val="10"/>
    <w:qFormat/>
    <w:rsid w:val="005A4EA3"/>
    <w:pPr>
      <w:spacing w:after="300" w:line="276" w:lineRule="auto"/>
      <w:contextualSpacing/>
      <w:jc w:val="center"/>
    </w:pPr>
    <w:rPr>
      <w:rFonts w:ascii="HelveticaNeueLTStd-Roman" w:eastAsia="SimSun" w:hAnsi="HelveticaNeueLTStd-Roman" w:cs="Times New Roman"/>
      <w:spacing w:val="5"/>
      <w:kern w:val="28"/>
      <w:sz w:val="32"/>
      <w:szCs w:val="52"/>
    </w:rPr>
  </w:style>
  <w:style w:type="character" w:customStyle="1" w:styleId="TitleChar">
    <w:name w:val="Title Char"/>
    <w:basedOn w:val="DefaultParagraphFont"/>
    <w:link w:val="Title"/>
    <w:uiPriority w:val="10"/>
    <w:rsid w:val="005A4EA3"/>
    <w:rPr>
      <w:rFonts w:ascii="HelveticaNeueLTStd-Roman" w:eastAsia="SimSun" w:hAnsi="HelveticaNeueLTStd-Roman" w:cs="Times New Roman"/>
      <w:spacing w:val="5"/>
      <w:kern w:val="28"/>
      <w:sz w:val="32"/>
      <w:szCs w:val="52"/>
    </w:rPr>
  </w:style>
  <w:style w:type="character" w:customStyle="1" w:styleId="FootnoteTextChar">
    <w:name w:val="Footnote Text Char"/>
    <w:basedOn w:val="DefaultParagraphFont"/>
    <w:link w:val="FootnoteText"/>
    <w:uiPriority w:val="99"/>
    <w:semiHidden/>
    <w:rsid w:val="005A4EA3"/>
    <w:rPr>
      <w:rFonts w:ascii="Times New Roman" w:eastAsia="Calibri" w:hAnsi="Times New Roman" w:cs="Arial"/>
      <w:sz w:val="20"/>
      <w:szCs w:val="20"/>
    </w:rPr>
  </w:style>
  <w:style w:type="paragraph" w:styleId="FootnoteText">
    <w:name w:val="footnote text"/>
    <w:basedOn w:val="Normal"/>
    <w:link w:val="FootnoteTextChar"/>
    <w:uiPriority w:val="99"/>
    <w:semiHidden/>
    <w:unhideWhenUsed/>
    <w:rsid w:val="005A4EA3"/>
    <w:rPr>
      <w:sz w:val="20"/>
      <w:szCs w:val="20"/>
    </w:rPr>
  </w:style>
  <w:style w:type="paragraph" w:styleId="Header">
    <w:name w:val="header"/>
    <w:basedOn w:val="Normal"/>
    <w:link w:val="HeaderChar"/>
    <w:uiPriority w:val="99"/>
    <w:unhideWhenUsed/>
    <w:rsid w:val="005A4EA3"/>
    <w:pPr>
      <w:tabs>
        <w:tab w:val="center" w:pos="4680"/>
        <w:tab w:val="right" w:pos="9360"/>
      </w:tabs>
    </w:pPr>
  </w:style>
  <w:style w:type="character" w:customStyle="1" w:styleId="HeaderChar">
    <w:name w:val="Header Char"/>
    <w:basedOn w:val="DefaultParagraphFont"/>
    <w:link w:val="Header"/>
    <w:uiPriority w:val="99"/>
    <w:rsid w:val="005A4EA3"/>
    <w:rPr>
      <w:rFonts w:ascii="Times New Roman" w:eastAsia="Calibri" w:hAnsi="Times New Roman" w:cs="Arial"/>
      <w:sz w:val="21"/>
    </w:rPr>
  </w:style>
  <w:style w:type="paragraph" w:styleId="Footer">
    <w:name w:val="footer"/>
    <w:basedOn w:val="Normal"/>
    <w:link w:val="FooterChar"/>
    <w:uiPriority w:val="99"/>
    <w:unhideWhenUsed/>
    <w:rsid w:val="005A4EA3"/>
    <w:pPr>
      <w:tabs>
        <w:tab w:val="center" w:pos="4680"/>
        <w:tab w:val="right" w:pos="9360"/>
      </w:tabs>
    </w:pPr>
  </w:style>
  <w:style w:type="character" w:customStyle="1" w:styleId="FooterChar">
    <w:name w:val="Footer Char"/>
    <w:basedOn w:val="DefaultParagraphFont"/>
    <w:link w:val="Footer"/>
    <w:uiPriority w:val="99"/>
    <w:rsid w:val="005A4EA3"/>
    <w:rPr>
      <w:rFonts w:ascii="Times New Roman" w:eastAsia="Calibri" w:hAnsi="Times New Roman" w:cs="Arial"/>
      <w:sz w:val="21"/>
    </w:rPr>
  </w:style>
  <w:style w:type="paragraph" w:styleId="TOCHeading">
    <w:name w:val="TOC Heading"/>
    <w:basedOn w:val="TOC2"/>
    <w:next w:val="Normal"/>
    <w:uiPriority w:val="39"/>
    <w:unhideWhenUsed/>
    <w:qFormat/>
    <w:rsid w:val="005A4EA3"/>
    <w:rPr>
      <w:rFonts w:ascii="HelveticaNeueLTStd-Roman" w:hAnsi="HelveticaNeueLTStd-Roman"/>
      <w:b/>
      <w:noProof/>
    </w:rPr>
  </w:style>
  <w:style w:type="paragraph" w:styleId="TOC2">
    <w:name w:val="toc 2"/>
    <w:basedOn w:val="Normal"/>
    <w:next w:val="Normal"/>
    <w:autoRedefine/>
    <w:uiPriority w:val="39"/>
    <w:unhideWhenUsed/>
    <w:rsid w:val="005A4EA3"/>
    <w:pPr>
      <w:tabs>
        <w:tab w:val="left" w:pos="1100"/>
        <w:tab w:val="right" w:leader="dot" w:pos="9350"/>
      </w:tabs>
      <w:spacing w:before="120"/>
      <w:ind w:left="720"/>
    </w:pPr>
  </w:style>
  <w:style w:type="paragraph" w:styleId="TOC1">
    <w:name w:val="toc 1"/>
    <w:basedOn w:val="Normal"/>
    <w:next w:val="Normal"/>
    <w:autoRedefine/>
    <w:uiPriority w:val="39"/>
    <w:unhideWhenUsed/>
    <w:rsid w:val="005A4EA3"/>
    <w:pPr>
      <w:tabs>
        <w:tab w:val="left" w:pos="432"/>
        <w:tab w:val="right" w:leader="dot" w:pos="9350"/>
      </w:tabs>
      <w:spacing w:before="240"/>
      <w:jc w:val="center"/>
      <w:outlineLvl w:val="0"/>
    </w:pPr>
    <w:rPr>
      <w:b/>
      <w:noProof/>
    </w:rPr>
  </w:style>
  <w:style w:type="paragraph" w:styleId="TOC3">
    <w:name w:val="toc 3"/>
    <w:basedOn w:val="Normal"/>
    <w:next w:val="Normal"/>
    <w:autoRedefine/>
    <w:uiPriority w:val="39"/>
    <w:unhideWhenUsed/>
    <w:rsid w:val="005A4EA3"/>
    <w:pPr>
      <w:tabs>
        <w:tab w:val="right" w:leader="dot" w:pos="9350"/>
      </w:tabs>
      <w:ind w:left="1152"/>
    </w:pPr>
  </w:style>
  <w:style w:type="character" w:styleId="Hyperlink">
    <w:name w:val="Hyperlink"/>
    <w:uiPriority w:val="99"/>
    <w:unhideWhenUsed/>
    <w:rsid w:val="005A4EA3"/>
    <w:rPr>
      <w:color w:val="0000FF"/>
      <w:u w:val="single"/>
    </w:rPr>
  </w:style>
  <w:style w:type="paragraph" w:styleId="TOC4">
    <w:name w:val="toc 4"/>
    <w:basedOn w:val="Normal"/>
    <w:next w:val="Normal"/>
    <w:autoRedefine/>
    <w:uiPriority w:val="39"/>
    <w:unhideWhenUsed/>
    <w:rsid w:val="005A4EA3"/>
    <w:pPr>
      <w:spacing w:after="100"/>
      <w:ind w:left="720"/>
    </w:pPr>
  </w:style>
  <w:style w:type="paragraph" w:customStyle="1" w:styleId="ParagraphNumbering">
    <w:name w:val="Paragraph Numbering"/>
    <w:basedOn w:val="Normal"/>
    <w:link w:val="ParagraphNumberingChar"/>
    <w:qFormat/>
    <w:rsid w:val="000A450A"/>
    <w:pPr>
      <w:numPr>
        <w:numId w:val="7"/>
      </w:numPr>
      <w:spacing w:after="240"/>
    </w:pPr>
    <w:rPr>
      <w:rFonts w:eastAsia="Times New Roman" w:cs="Times New Roman"/>
      <w:szCs w:val="24"/>
    </w:rPr>
  </w:style>
  <w:style w:type="character" w:customStyle="1" w:styleId="ParagraphNumberingChar">
    <w:name w:val="Paragraph Numbering Char"/>
    <w:link w:val="ParagraphNumbering"/>
    <w:rsid w:val="000A450A"/>
    <w:rPr>
      <w:rFonts w:ascii="Times New Roman" w:eastAsia="Times New Roman" w:hAnsi="Times New Roman" w:cs="Times New Roman"/>
      <w:szCs w:val="24"/>
    </w:rPr>
  </w:style>
  <w:style w:type="character" w:customStyle="1" w:styleId="EndnoteTextChar">
    <w:name w:val="Endnote Text Char"/>
    <w:basedOn w:val="DefaultParagraphFont"/>
    <w:link w:val="EndnoteText"/>
    <w:uiPriority w:val="99"/>
    <w:semiHidden/>
    <w:rsid w:val="005A4EA3"/>
    <w:rPr>
      <w:rFonts w:ascii="Times New Roman" w:eastAsia="Calibri" w:hAnsi="Times New Roman" w:cs="Arial"/>
      <w:sz w:val="20"/>
      <w:szCs w:val="20"/>
    </w:rPr>
  </w:style>
  <w:style w:type="paragraph" w:styleId="EndnoteText">
    <w:name w:val="endnote text"/>
    <w:basedOn w:val="Normal"/>
    <w:link w:val="EndnoteTextChar"/>
    <w:uiPriority w:val="99"/>
    <w:semiHidden/>
    <w:unhideWhenUsed/>
    <w:rsid w:val="005A4EA3"/>
    <w:rPr>
      <w:sz w:val="20"/>
      <w:szCs w:val="20"/>
    </w:rPr>
  </w:style>
  <w:style w:type="paragraph" w:customStyle="1" w:styleId="survauthor">
    <w:name w:val="survauthor"/>
    <w:basedOn w:val="Normal"/>
    <w:rsid w:val="005A4EA3"/>
    <w:pPr>
      <w:spacing w:before="100" w:beforeAutospacing="1" w:after="100" w:afterAutospacing="1"/>
    </w:pPr>
    <w:rPr>
      <w:rFonts w:eastAsia="Times New Roman" w:cs="Times New Roman"/>
      <w:szCs w:val="24"/>
    </w:rPr>
  </w:style>
  <w:style w:type="character" w:customStyle="1" w:styleId="hilite">
    <w:name w:val="hilite"/>
    <w:basedOn w:val="DefaultParagraphFont"/>
    <w:rsid w:val="005A4EA3"/>
  </w:style>
  <w:style w:type="paragraph" w:styleId="Subtitle">
    <w:name w:val="Subtitle"/>
    <w:next w:val="Normal"/>
    <w:link w:val="SubtitleChar"/>
    <w:uiPriority w:val="11"/>
    <w:qFormat/>
    <w:rsid w:val="005A4EA3"/>
    <w:pPr>
      <w:numPr>
        <w:ilvl w:val="1"/>
      </w:numPr>
      <w:spacing w:after="200" w:line="276" w:lineRule="auto"/>
    </w:pPr>
    <w:rPr>
      <w:rFonts w:ascii="HelveticaNeueLTStd-Roman" w:eastAsia="SimSun" w:hAnsi="HelveticaNeueLTStd-Roman" w:cs="Times New Roman"/>
      <w:b/>
      <w:iCs/>
      <w:spacing w:val="15"/>
      <w:sz w:val="24"/>
      <w:szCs w:val="24"/>
    </w:rPr>
  </w:style>
  <w:style w:type="character" w:customStyle="1" w:styleId="SubtitleChar">
    <w:name w:val="Subtitle Char"/>
    <w:basedOn w:val="DefaultParagraphFont"/>
    <w:link w:val="Subtitle"/>
    <w:uiPriority w:val="11"/>
    <w:rsid w:val="005A4EA3"/>
    <w:rPr>
      <w:rFonts w:ascii="HelveticaNeueLTStd-Roman" w:eastAsia="SimSun" w:hAnsi="HelveticaNeueLTStd-Roman" w:cs="Times New Roman"/>
      <w:b/>
      <w:iCs/>
      <w:spacing w:val="15"/>
      <w:sz w:val="24"/>
      <w:szCs w:val="24"/>
    </w:rPr>
  </w:style>
  <w:style w:type="character" w:styleId="Strong">
    <w:name w:val="Strong"/>
    <w:uiPriority w:val="22"/>
    <w:qFormat/>
    <w:rsid w:val="005A4EA3"/>
    <w:rPr>
      <w:rFonts w:ascii="HelveticaNeueLTStd-Roman" w:eastAsia="SimSun" w:hAnsi="HelveticaNeueLTStd-Roman" w:cs="Times New Roman"/>
      <w:b/>
      <w:bCs/>
      <w:sz w:val="22"/>
    </w:rPr>
  </w:style>
  <w:style w:type="character" w:customStyle="1" w:styleId="CommentSubjectChar">
    <w:name w:val="Comment Subject Char"/>
    <w:basedOn w:val="CommentTextChar"/>
    <w:link w:val="CommentSubject"/>
    <w:uiPriority w:val="99"/>
    <w:semiHidden/>
    <w:rsid w:val="005A4EA3"/>
    <w:rPr>
      <w:rFonts w:ascii="Times New Roman" w:eastAsia="Calibri" w:hAnsi="Times New Roman" w:cs="Arial"/>
      <w:b/>
      <w:bCs/>
      <w:sz w:val="20"/>
      <w:szCs w:val="20"/>
    </w:rPr>
  </w:style>
  <w:style w:type="paragraph" w:styleId="CommentSubject">
    <w:name w:val="annotation subject"/>
    <w:basedOn w:val="CommentText"/>
    <w:next w:val="CommentText"/>
    <w:link w:val="CommentSubjectChar"/>
    <w:uiPriority w:val="99"/>
    <w:semiHidden/>
    <w:unhideWhenUsed/>
    <w:rsid w:val="005A4EA3"/>
    <w:rPr>
      <w:b/>
      <w:bCs/>
    </w:rPr>
  </w:style>
  <w:style w:type="paragraph" w:styleId="Quote">
    <w:name w:val="Quote"/>
    <w:basedOn w:val="Normal"/>
    <w:next w:val="Normal"/>
    <w:link w:val="QuoteChar"/>
    <w:uiPriority w:val="29"/>
    <w:qFormat/>
    <w:rsid w:val="003A3E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3EED"/>
    <w:rPr>
      <w:rFonts w:ascii="Times New Roman" w:eastAsia="Calibri" w:hAnsi="Times New Roman" w:cs="Arial"/>
      <w:i/>
      <w:iCs/>
      <w:color w:val="404040" w:themeColor="text1" w:themeTint="BF"/>
    </w:rPr>
  </w:style>
  <w:style w:type="character" w:styleId="FootnoteReference">
    <w:name w:val="footnote reference"/>
    <w:basedOn w:val="DefaultParagraphFont"/>
    <w:uiPriority w:val="99"/>
    <w:semiHidden/>
    <w:unhideWhenUsed/>
    <w:rsid w:val="00123B49"/>
    <w:rPr>
      <w:vertAlign w:val="superscript"/>
    </w:rPr>
  </w:style>
  <w:style w:type="character" w:styleId="UnresolvedMention">
    <w:name w:val="Unresolved Mention"/>
    <w:basedOn w:val="DefaultParagraphFont"/>
    <w:uiPriority w:val="99"/>
    <w:semiHidden/>
    <w:unhideWhenUsed/>
    <w:rsid w:val="00337998"/>
    <w:rPr>
      <w:color w:val="605E5C"/>
      <w:shd w:val="clear" w:color="auto" w:fill="E1DFDD"/>
    </w:rPr>
  </w:style>
  <w:style w:type="character" w:styleId="PlaceholderText">
    <w:name w:val="Placeholder Text"/>
    <w:basedOn w:val="DefaultParagraphFont"/>
    <w:uiPriority w:val="99"/>
    <w:semiHidden/>
    <w:rsid w:val="002E20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imf.org/%20external/data.htm%23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imf.org/en/Data/Statistics/cpi-manual" TargetMode="External"/><Relationship Id="rId2" Type="http://schemas.openxmlformats.org/officeDocument/2006/relationships/customXml" Target="../customXml/item2.xml"/><Relationship Id="rId16" Type="http://schemas.openxmlformats.org/officeDocument/2006/relationships/hyperlink" Target="http://www.ottawagrou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unece.org/index.php?id=4127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1" ma:contentTypeDescription="Create a new document." ma:contentTypeScope="" ma:versionID="f232e23f9ececfbad3f5c577427cbb7b">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6f7c8b45b6e0cef75aa77849e44eb0ff"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TaxKeywordTaxHTField xmlns="dd774590-caf2-40ff-b04f-1e20d86f2c70">
      <Terms xmlns="http://schemas.microsoft.com/office/infopath/2007/PartnerControls"/>
    </TaxKeywordTaxHTField>
  </documentManagement>
</p:properties>
</file>

<file path=customXml/itemProps1.xml><?xml version="1.0" encoding="utf-8"?>
<ds:datastoreItem xmlns:ds="http://schemas.openxmlformats.org/officeDocument/2006/customXml" ds:itemID="{C2C27F89-5C8A-425E-BF31-32F22B91E77D}">
  <ds:schemaRefs>
    <ds:schemaRef ds:uri="http://schemas.openxmlformats.org/officeDocument/2006/bibliography"/>
  </ds:schemaRefs>
</ds:datastoreItem>
</file>

<file path=customXml/itemProps2.xml><?xml version="1.0" encoding="utf-8"?>
<ds:datastoreItem xmlns:ds="http://schemas.openxmlformats.org/officeDocument/2006/customXml" ds:itemID="{CD876E9D-3C8F-4EA8-B077-0AD03D697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70FB0-FBBD-4F1A-AD72-C7599155EFB0}">
  <ds:schemaRefs>
    <ds:schemaRef ds:uri="http://schemas.microsoft.com/sharepoint/v3/contenttype/forms"/>
  </ds:schemaRefs>
</ds:datastoreItem>
</file>

<file path=customXml/itemProps4.xml><?xml version="1.0" encoding="utf-8"?>
<ds:datastoreItem xmlns:ds="http://schemas.openxmlformats.org/officeDocument/2006/customXml" ds:itemID="{AD7D3AB4-55BB-4C9E-B1E5-1ADD0B113696}">
  <ds:schemaRefs>
    <ds:schemaRef ds:uri="c39ac8e3-0f08-4b7d-bd41-28055cb5e628"/>
    <ds:schemaRef ds:uri="http://purl.org/dc/terms/"/>
    <ds:schemaRef ds:uri="http://schemas.microsoft.com/office/2006/documentManagement/types"/>
    <ds:schemaRef ds:uri="985ec44e-1bab-4c0b-9df0-6ba128686fc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d774590-caf2-40ff-b04f-1e20d86f2c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Armknecht</dc:creator>
  <cp:keywords/>
  <dc:description/>
  <cp:lastModifiedBy>Carsten Boldsen</cp:lastModifiedBy>
  <cp:revision>2</cp:revision>
  <dcterms:created xsi:type="dcterms:W3CDTF">2021-05-06T17:27:00Z</dcterms:created>
  <dcterms:modified xsi:type="dcterms:W3CDTF">2021-05-06T17:27:00Z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
  </property>
</Properties>
</file>