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FDD6CE9" w14:textId="77777777" w:rsidTr="00F01738">
        <w:trPr>
          <w:trHeight w:hRule="exact" w:val="851"/>
        </w:trPr>
        <w:tc>
          <w:tcPr>
            <w:tcW w:w="1276" w:type="dxa"/>
            <w:tcBorders>
              <w:bottom w:val="single" w:sz="4" w:space="0" w:color="auto"/>
            </w:tcBorders>
          </w:tcPr>
          <w:p w14:paraId="0A87E506" w14:textId="77777777" w:rsidR="00132EA9" w:rsidRPr="00DB58B5" w:rsidRDefault="00132EA9" w:rsidP="00F01738"/>
        </w:tc>
        <w:tc>
          <w:tcPr>
            <w:tcW w:w="2268" w:type="dxa"/>
            <w:tcBorders>
              <w:bottom w:val="single" w:sz="4" w:space="0" w:color="auto"/>
            </w:tcBorders>
            <w:vAlign w:val="bottom"/>
          </w:tcPr>
          <w:p w14:paraId="1A69D9A5"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9CF46D6" w14:textId="77777777" w:rsidR="00132EA9" w:rsidRPr="00DB58B5" w:rsidRDefault="00830C8C" w:rsidP="00830C8C">
            <w:pPr>
              <w:jc w:val="right"/>
            </w:pPr>
            <w:r w:rsidRPr="00830C8C">
              <w:rPr>
                <w:sz w:val="40"/>
              </w:rPr>
              <w:t>ST</w:t>
            </w:r>
            <w:r>
              <w:t>/SG/AC.10/C.4/78</w:t>
            </w:r>
          </w:p>
        </w:tc>
      </w:tr>
      <w:tr w:rsidR="00132EA9" w:rsidRPr="00DB58B5" w14:paraId="66377316" w14:textId="77777777" w:rsidTr="00F01738">
        <w:trPr>
          <w:trHeight w:hRule="exact" w:val="2835"/>
        </w:trPr>
        <w:tc>
          <w:tcPr>
            <w:tcW w:w="1276" w:type="dxa"/>
            <w:tcBorders>
              <w:top w:val="single" w:sz="4" w:space="0" w:color="auto"/>
              <w:bottom w:val="single" w:sz="12" w:space="0" w:color="auto"/>
            </w:tcBorders>
          </w:tcPr>
          <w:p w14:paraId="7CA8196E" w14:textId="77777777" w:rsidR="00132EA9" w:rsidRPr="00DB58B5" w:rsidRDefault="00132EA9" w:rsidP="00F01738">
            <w:pPr>
              <w:spacing w:before="120"/>
              <w:jc w:val="center"/>
            </w:pPr>
            <w:r>
              <w:rPr>
                <w:noProof/>
                <w:lang w:eastAsia="fr-CH"/>
              </w:rPr>
              <w:drawing>
                <wp:inline distT="0" distB="0" distL="0" distR="0" wp14:anchorId="41D53665" wp14:editId="2B9497A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E49BA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83437E5" w14:textId="77777777" w:rsidR="00132EA9" w:rsidRDefault="00830C8C" w:rsidP="00F01738">
            <w:pPr>
              <w:spacing w:before="240"/>
            </w:pPr>
            <w:r>
              <w:t xml:space="preserve">Distr. </w:t>
            </w:r>
            <w:proofErr w:type="gramStart"/>
            <w:r>
              <w:t>générale</w:t>
            </w:r>
            <w:proofErr w:type="gramEnd"/>
          </w:p>
          <w:p w14:paraId="0651516B" w14:textId="77777777" w:rsidR="00830C8C" w:rsidRDefault="00830C8C" w:rsidP="00830C8C">
            <w:pPr>
              <w:spacing w:line="240" w:lineRule="exact"/>
            </w:pPr>
            <w:r>
              <w:t>14 janvier 2021</w:t>
            </w:r>
          </w:p>
          <w:p w14:paraId="78AD27D8" w14:textId="77777777" w:rsidR="00830C8C" w:rsidRDefault="00830C8C" w:rsidP="00830C8C">
            <w:pPr>
              <w:spacing w:line="240" w:lineRule="exact"/>
            </w:pPr>
            <w:r>
              <w:t>Français</w:t>
            </w:r>
          </w:p>
          <w:p w14:paraId="25DE8F98" w14:textId="77777777" w:rsidR="00830C8C" w:rsidRPr="00DB58B5" w:rsidRDefault="00830C8C" w:rsidP="00830C8C">
            <w:pPr>
              <w:spacing w:line="240" w:lineRule="exact"/>
            </w:pPr>
            <w:r>
              <w:t>Original : anglais</w:t>
            </w:r>
          </w:p>
        </w:tc>
      </w:tr>
    </w:tbl>
    <w:p w14:paraId="78470E05" w14:textId="77777777" w:rsidR="00830C8C" w:rsidRPr="00CA0680" w:rsidRDefault="00830C8C" w:rsidP="000305D3">
      <w:pPr>
        <w:spacing w:before="120"/>
        <w:rPr>
          <w:b/>
          <w:sz w:val="24"/>
          <w:szCs w:val="24"/>
        </w:rPr>
      </w:pPr>
      <w:r w:rsidRPr="00CA0680">
        <w:rPr>
          <w:b/>
          <w:sz w:val="24"/>
          <w:szCs w:val="24"/>
        </w:rPr>
        <w:t>Comité d</w:t>
      </w:r>
      <w:r w:rsidR="00412DEA">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412DEA">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58F1DFC2" w14:textId="77777777" w:rsidR="00830C8C" w:rsidRPr="00CA0680" w:rsidRDefault="00830C8C" w:rsidP="000305D3">
      <w:pPr>
        <w:spacing w:before="120"/>
        <w:rPr>
          <w:b/>
        </w:rPr>
      </w:pPr>
      <w:r w:rsidRPr="00830C8C">
        <w:rPr>
          <w:b/>
          <w:bCs/>
          <w:lang w:val="fr-FR"/>
        </w:rPr>
        <w:t>Sous-Comité d</w:t>
      </w:r>
      <w:r w:rsidR="00412DEA">
        <w:rPr>
          <w:b/>
          <w:bCs/>
          <w:lang w:val="fr-FR"/>
        </w:rPr>
        <w:t>’</w:t>
      </w:r>
      <w:r w:rsidRPr="00830C8C">
        <w:rPr>
          <w:b/>
          <w:bCs/>
          <w:lang w:val="fr-FR"/>
        </w:rPr>
        <w:t xml:space="preserve">experts du Système général harmonisé </w:t>
      </w:r>
      <w:r>
        <w:rPr>
          <w:b/>
          <w:bCs/>
          <w:lang w:val="fr-FR"/>
        </w:rPr>
        <w:br/>
      </w:r>
      <w:r w:rsidRPr="00830C8C">
        <w:rPr>
          <w:b/>
          <w:bCs/>
          <w:lang w:val="fr-FR"/>
        </w:rPr>
        <w:t>de classification et d</w:t>
      </w:r>
      <w:r w:rsidR="00412DEA">
        <w:rPr>
          <w:b/>
          <w:bCs/>
          <w:lang w:val="fr-FR"/>
        </w:rPr>
        <w:t>’</w:t>
      </w:r>
      <w:r w:rsidRPr="00830C8C">
        <w:rPr>
          <w:b/>
          <w:bCs/>
          <w:lang w:val="fr-FR"/>
        </w:rPr>
        <w:t>étiquetage des produits chimiques</w:t>
      </w:r>
    </w:p>
    <w:p w14:paraId="5221FEC0" w14:textId="77777777" w:rsidR="00830C8C" w:rsidRPr="00AE0017" w:rsidRDefault="00830C8C" w:rsidP="00830C8C">
      <w:pPr>
        <w:pStyle w:val="HChG"/>
      </w:pPr>
      <w:r>
        <w:rPr>
          <w:lang w:val="fr-FR"/>
        </w:rPr>
        <w:tab/>
      </w:r>
      <w:r>
        <w:rPr>
          <w:lang w:val="fr-FR"/>
        </w:rPr>
        <w:tab/>
      </w:r>
      <w:r>
        <w:rPr>
          <w:bCs/>
          <w:lang w:val="fr-FR"/>
        </w:rPr>
        <w:t>Rapport du Sous-Comité d</w:t>
      </w:r>
      <w:r w:rsidR="00412DEA">
        <w:rPr>
          <w:bCs/>
          <w:lang w:val="fr-FR"/>
        </w:rPr>
        <w:t>’</w:t>
      </w:r>
      <w:r>
        <w:rPr>
          <w:bCs/>
          <w:lang w:val="fr-FR"/>
        </w:rPr>
        <w:t>experts du Système général harmonisé de classification et d</w:t>
      </w:r>
      <w:r w:rsidR="00412DEA">
        <w:rPr>
          <w:bCs/>
          <w:lang w:val="fr-FR"/>
        </w:rPr>
        <w:t>’</w:t>
      </w:r>
      <w:r>
        <w:rPr>
          <w:bCs/>
          <w:lang w:val="fr-FR"/>
        </w:rPr>
        <w:t>étiquetage des produits chimiques sur sa trente-neuvième session</w:t>
      </w:r>
      <w:r>
        <w:rPr>
          <w:lang w:val="fr-FR"/>
        </w:rPr>
        <w:t xml:space="preserve"> </w:t>
      </w:r>
    </w:p>
    <w:p w14:paraId="7D36ED74" w14:textId="77777777" w:rsidR="00830C8C" w:rsidRPr="00AE0017" w:rsidRDefault="00D9689A" w:rsidP="00D9689A">
      <w:pPr>
        <w:pStyle w:val="H56G"/>
      </w:pPr>
      <w:r>
        <w:rPr>
          <w:lang w:val="fr-FR"/>
        </w:rPr>
        <w:tab/>
      </w:r>
      <w:r>
        <w:rPr>
          <w:lang w:val="fr-FR"/>
        </w:rPr>
        <w:tab/>
        <w:t>T</w:t>
      </w:r>
      <w:r w:rsidR="00830C8C">
        <w:rPr>
          <w:lang w:val="fr-FR"/>
        </w:rPr>
        <w:t>enue à Genève, du 9 au 11 décembre 2020</w:t>
      </w:r>
    </w:p>
    <w:p w14:paraId="3F4075F3" w14:textId="77777777" w:rsidR="00446FE5" w:rsidRPr="00830C8C" w:rsidRDefault="00830C8C" w:rsidP="00830C8C">
      <w:pPr>
        <w:spacing w:after="120"/>
        <w:rPr>
          <w:sz w:val="28"/>
        </w:rPr>
      </w:pPr>
      <w:r w:rsidRPr="00830C8C">
        <w:rPr>
          <w:sz w:val="28"/>
        </w:rPr>
        <w:t>Table des matières</w:t>
      </w:r>
    </w:p>
    <w:p w14:paraId="26F9BA07" w14:textId="77777777" w:rsidR="00830C8C" w:rsidRPr="00830C8C" w:rsidRDefault="00830C8C" w:rsidP="00830C8C">
      <w:pPr>
        <w:tabs>
          <w:tab w:val="right" w:pos="8929"/>
          <w:tab w:val="right" w:pos="9638"/>
        </w:tabs>
        <w:spacing w:after="120"/>
        <w:ind w:left="283"/>
        <w:rPr>
          <w:i/>
          <w:sz w:val="18"/>
        </w:rPr>
      </w:pPr>
      <w:r w:rsidRPr="00830C8C">
        <w:rPr>
          <w:i/>
          <w:sz w:val="18"/>
        </w:rPr>
        <w:tab/>
        <w:t>Paragraphes</w:t>
      </w:r>
      <w:r w:rsidRPr="00830C8C">
        <w:rPr>
          <w:i/>
          <w:sz w:val="18"/>
        </w:rPr>
        <w:tab/>
        <w:t>Page</w:t>
      </w:r>
    </w:p>
    <w:p w14:paraId="556274B6" w14:textId="77777777" w:rsidR="002A2902" w:rsidRPr="00AE0017" w:rsidRDefault="002A2902" w:rsidP="002A2902">
      <w:pPr>
        <w:tabs>
          <w:tab w:val="right" w:pos="850"/>
          <w:tab w:val="right" w:leader="dot" w:pos="7654"/>
          <w:tab w:val="right" w:pos="8929"/>
          <w:tab w:val="right" w:pos="9638"/>
        </w:tabs>
        <w:spacing w:after="120"/>
        <w:ind w:left="1134" w:hanging="1134"/>
      </w:pPr>
      <w:r>
        <w:rPr>
          <w:lang w:val="fr-FR"/>
        </w:rPr>
        <w:tab/>
        <w:t>I.</w:t>
      </w:r>
      <w:r>
        <w:rPr>
          <w:lang w:val="fr-FR"/>
        </w:rPr>
        <w:tab/>
        <w:t>Participation</w:t>
      </w:r>
      <w:r>
        <w:rPr>
          <w:lang w:val="fr-FR"/>
        </w:rPr>
        <w:tab/>
      </w:r>
      <w:r>
        <w:rPr>
          <w:lang w:val="fr-FR"/>
        </w:rPr>
        <w:tab/>
        <w:t>1−5</w:t>
      </w:r>
      <w:r>
        <w:rPr>
          <w:lang w:val="fr-FR"/>
        </w:rPr>
        <w:tab/>
        <w:t>4</w:t>
      </w:r>
    </w:p>
    <w:p w14:paraId="3D243F9C" w14:textId="77777777" w:rsidR="002A2902" w:rsidRPr="00AE0017" w:rsidRDefault="002A2902" w:rsidP="002A2902">
      <w:pPr>
        <w:tabs>
          <w:tab w:val="right" w:pos="850"/>
          <w:tab w:val="right" w:leader="dot" w:pos="7654"/>
          <w:tab w:val="right" w:pos="8929"/>
          <w:tab w:val="right" w:pos="9638"/>
        </w:tabs>
        <w:spacing w:after="120"/>
        <w:ind w:left="1134" w:hanging="1134"/>
      </w:pPr>
      <w:r>
        <w:rPr>
          <w:lang w:val="fr-FR"/>
        </w:rPr>
        <w:tab/>
        <w:t>II.</w:t>
      </w:r>
      <w:r>
        <w:rPr>
          <w:lang w:val="fr-FR"/>
        </w:rPr>
        <w:tab/>
        <w:t>Questions d’organisation</w:t>
      </w:r>
      <w:r>
        <w:rPr>
          <w:lang w:val="fr-FR"/>
        </w:rPr>
        <w:tab/>
      </w:r>
      <w:r>
        <w:rPr>
          <w:lang w:val="fr-FR"/>
        </w:rPr>
        <w:tab/>
        <w:t>6−9</w:t>
      </w:r>
      <w:r>
        <w:rPr>
          <w:lang w:val="fr-FR"/>
        </w:rPr>
        <w:tab/>
        <w:t>4</w:t>
      </w:r>
    </w:p>
    <w:p w14:paraId="32A9272E" w14:textId="77777777" w:rsidR="002A2902" w:rsidRPr="00AE0017" w:rsidRDefault="002A2902" w:rsidP="002A2902">
      <w:pPr>
        <w:tabs>
          <w:tab w:val="right" w:pos="850"/>
          <w:tab w:val="right" w:leader="dot" w:pos="7654"/>
          <w:tab w:val="right" w:pos="8929"/>
          <w:tab w:val="right" w:pos="9638"/>
        </w:tabs>
        <w:spacing w:after="120"/>
        <w:ind w:left="1134" w:hanging="1134"/>
      </w:pPr>
      <w:r>
        <w:rPr>
          <w:lang w:val="fr-FR"/>
        </w:rPr>
        <w:tab/>
        <w:t>III.</w:t>
      </w:r>
      <w:r>
        <w:rPr>
          <w:lang w:val="fr-FR"/>
        </w:rPr>
        <w:tab/>
        <w:t>Adoption de l’ordre du jour (point 1 de l’ordre du jour)</w:t>
      </w:r>
      <w:r>
        <w:rPr>
          <w:lang w:val="fr-FR"/>
        </w:rPr>
        <w:tab/>
      </w:r>
      <w:r>
        <w:rPr>
          <w:lang w:val="fr-FR"/>
        </w:rPr>
        <w:tab/>
        <w:t>10</w:t>
      </w:r>
      <w:r>
        <w:rPr>
          <w:lang w:val="fr-FR"/>
        </w:rPr>
        <w:tab/>
        <w:t>5</w:t>
      </w:r>
    </w:p>
    <w:p w14:paraId="1E50CB95" w14:textId="77777777" w:rsidR="002A2902" w:rsidRPr="00AE0017" w:rsidRDefault="002A2902" w:rsidP="002A2902">
      <w:pPr>
        <w:tabs>
          <w:tab w:val="right" w:pos="850"/>
          <w:tab w:val="right" w:leader="dot" w:pos="7654"/>
          <w:tab w:val="right" w:pos="8929"/>
          <w:tab w:val="right" w:pos="9638"/>
        </w:tabs>
        <w:spacing w:after="120"/>
        <w:ind w:left="1134" w:hanging="1134"/>
      </w:pPr>
      <w:r>
        <w:rPr>
          <w:lang w:val="fr-FR"/>
        </w:rPr>
        <w:tab/>
        <w:t>IV.</w:t>
      </w:r>
      <w:r>
        <w:rPr>
          <w:lang w:val="fr-FR"/>
        </w:rPr>
        <w:tab/>
        <w:t xml:space="preserve">Recommandations formulées par le Sous-Comité lors de ses trente-septième </w:t>
      </w:r>
      <w:r>
        <w:rPr>
          <w:lang w:val="fr-FR"/>
        </w:rPr>
        <w:br/>
        <w:t>et trente-huitième sessions (point 2 de l’ordre du jour)</w:t>
      </w:r>
      <w:r>
        <w:rPr>
          <w:lang w:val="fr-FR"/>
        </w:rPr>
        <w:tab/>
      </w:r>
      <w:r>
        <w:rPr>
          <w:lang w:val="fr-FR"/>
        </w:rPr>
        <w:tab/>
        <w:t>11</w:t>
      </w:r>
      <w:r>
        <w:rPr>
          <w:lang w:val="fr-FR"/>
        </w:rPr>
        <w:tab/>
        <w:t>5</w:t>
      </w:r>
    </w:p>
    <w:p w14:paraId="1C9ECBA1" w14:textId="77777777" w:rsidR="002A2902" w:rsidRPr="00AE0017" w:rsidRDefault="002A2902" w:rsidP="002A2902">
      <w:pPr>
        <w:tabs>
          <w:tab w:val="right" w:pos="850"/>
          <w:tab w:val="right" w:leader="dot" w:pos="7654"/>
          <w:tab w:val="right" w:pos="8929"/>
          <w:tab w:val="right" w:pos="9638"/>
        </w:tabs>
        <w:spacing w:after="120"/>
        <w:ind w:left="1134" w:hanging="1134"/>
      </w:pPr>
      <w:r>
        <w:rPr>
          <w:lang w:val="fr-FR"/>
        </w:rPr>
        <w:tab/>
        <w:t>V.</w:t>
      </w:r>
      <w:r>
        <w:rPr>
          <w:lang w:val="fr-FR"/>
        </w:rPr>
        <w:tab/>
        <w:t xml:space="preserve">Critères de classification et communication des dangers s’y rapportant </w:t>
      </w:r>
      <w:r>
        <w:rPr>
          <w:lang w:val="fr-FR"/>
        </w:rPr>
        <w:br/>
        <w:t>(point 3 de l’ordre du jour)</w:t>
      </w:r>
      <w:r>
        <w:rPr>
          <w:lang w:val="fr-FR"/>
        </w:rPr>
        <w:tab/>
      </w:r>
      <w:r>
        <w:rPr>
          <w:lang w:val="fr-FR"/>
        </w:rPr>
        <w:tab/>
        <w:t>12−36</w:t>
      </w:r>
      <w:r>
        <w:rPr>
          <w:lang w:val="fr-FR"/>
        </w:rPr>
        <w:tab/>
        <w:t>5</w:t>
      </w:r>
    </w:p>
    <w:p w14:paraId="12F69152" w14:textId="77777777" w:rsidR="002A2902" w:rsidRPr="00AE0017" w:rsidRDefault="002A2902" w:rsidP="002A2902">
      <w:pPr>
        <w:tabs>
          <w:tab w:val="right" w:leader="dot" w:pos="7654"/>
          <w:tab w:val="right" w:pos="8929"/>
          <w:tab w:val="right" w:pos="9638"/>
        </w:tabs>
        <w:spacing w:after="120"/>
        <w:ind w:left="1559" w:hanging="425"/>
      </w:pPr>
      <w:r>
        <w:rPr>
          <w:lang w:val="fr-FR"/>
        </w:rPr>
        <w:t>A.</w:t>
      </w:r>
      <w:r>
        <w:rPr>
          <w:lang w:val="fr-FR"/>
        </w:rPr>
        <w:tab/>
      </w:r>
      <w:r>
        <w:rPr>
          <w:bCs/>
          <w:lang w:val="fr-FR"/>
        </w:rPr>
        <w:t xml:space="preserve">Travaux du Sous-Comité d’experts du transport des marchandises </w:t>
      </w:r>
      <w:r>
        <w:rPr>
          <w:bCs/>
          <w:lang w:val="fr-FR"/>
        </w:rPr>
        <w:br/>
        <w:t xml:space="preserve">dangereuses (Sous-Comité TMD) sur des questions intéressant </w:t>
      </w:r>
      <w:r>
        <w:rPr>
          <w:bCs/>
          <w:lang w:val="fr-FR"/>
        </w:rPr>
        <w:br/>
        <w:t>le Sous</w:t>
      </w:r>
      <w:r>
        <w:rPr>
          <w:bCs/>
          <w:lang w:val="fr-FR"/>
        </w:rPr>
        <w:noBreakHyphen/>
        <w:t xml:space="preserve">Comité d’experts du Système général harmonisé </w:t>
      </w:r>
      <w:r>
        <w:rPr>
          <w:bCs/>
          <w:lang w:val="fr-FR"/>
        </w:rPr>
        <w:br/>
        <w:t xml:space="preserve">de classification et d’étiquetage des produits chimiques </w:t>
      </w:r>
      <w:r>
        <w:rPr>
          <w:bCs/>
          <w:lang w:val="fr-FR"/>
        </w:rPr>
        <w:br/>
        <w:t>(Sous-Comité SGH)</w:t>
      </w:r>
      <w:r>
        <w:rPr>
          <w:lang w:val="fr-FR"/>
        </w:rPr>
        <w:tab/>
      </w:r>
      <w:r>
        <w:rPr>
          <w:lang w:val="fr-FR"/>
        </w:rPr>
        <w:tab/>
        <w:t>12−13</w:t>
      </w:r>
      <w:r>
        <w:rPr>
          <w:lang w:val="fr-FR"/>
        </w:rPr>
        <w:tab/>
        <w:t>5</w:t>
      </w:r>
    </w:p>
    <w:p w14:paraId="1831A240" w14:textId="77777777" w:rsidR="002A2902" w:rsidRPr="00AE0017" w:rsidRDefault="002A2902" w:rsidP="002A2902">
      <w:pPr>
        <w:tabs>
          <w:tab w:val="right" w:leader="dot" w:pos="7654"/>
          <w:tab w:val="right" w:pos="8929"/>
          <w:tab w:val="right" w:pos="9638"/>
        </w:tabs>
        <w:spacing w:after="120"/>
        <w:ind w:left="1984" w:hanging="425"/>
      </w:pPr>
      <w:r>
        <w:rPr>
          <w:lang w:val="fr-FR"/>
        </w:rPr>
        <w:t>1.</w:t>
      </w:r>
      <w:r>
        <w:rPr>
          <w:lang w:val="fr-FR"/>
        </w:rPr>
        <w:tab/>
        <w:t xml:space="preserve">Manuel d’épreuves et de critères, révision des épreuves de la série H : </w:t>
      </w:r>
      <w:r>
        <w:rPr>
          <w:lang w:val="fr-FR"/>
        </w:rPr>
        <w:br/>
        <w:t>détermination de la température de décomposition auto-accélérée</w:t>
      </w:r>
      <w:r>
        <w:rPr>
          <w:lang w:val="fr-FR"/>
        </w:rPr>
        <w:tab/>
      </w:r>
      <w:r>
        <w:rPr>
          <w:lang w:val="fr-FR"/>
        </w:rPr>
        <w:tab/>
        <w:t>12</w:t>
      </w:r>
      <w:r>
        <w:rPr>
          <w:lang w:val="fr-FR"/>
        </w:rPr>
        <w:tab/>
        <w:t>5</w:t>
      </w:r>
    </w:p>
    <w:p w14:paraId="432A3237" w14:textId="77777777" w:rsidR="002A2902" w:rsidRPr="00AE0017" w:rsidRDefault="002A2902" w:rsidP="002A2902">
      <w:pPr>
        <w:tabs>
          <w:tab w:val="right" w:leader="dot" w:pos="7654"/>
          <w:tab w:val="right" w:pos="8929"/>
          <w:tab w:val="right" w:pos="9638"/>
        </w:tabs>
        <w:spacing w:after="120"/>
        <w:ind w:left="1984" w:hanging="425"/>
      </w:pPr>
      <w:r>
        <w:rPr>
          <w:lang w:val="fr-FR"/>
        </w:rPr>
        <w:t>2.</w:t>
      </w:r>
      <w:r>
        <w:rPr>
          <w:lang w:val="fr-FR"/>
        </w:rPr>
        <w:tab/>
        <w:t xml:space="preserve">Épreuves relatives aux matières comburantes liquides ou solides : </w:t>
      </w:r>
      <w:r>
        <w:rPr>
          <w:lang w:val="fr-FR"/>
        </w:rPr>
        <w:br/>
        <w:t xml:space="preserve">amélioration de la prise en considération de la taille des particules, </w:t>
      </w:r>
      <w:r>
        <w:rPr>
          <w:lang w:val="fr-FR"/>
        </w:rPr>
        <w:br/>
        <w:t>des matières friables ou des matières enrobées</w:t>
      </w:r>
      <w:r>
        <w:rPr>
          <w:lang w:val="fr-FR"/>
        </w:rPr>
        <w:tab/>
      </w:r>
      <w:r>
        <w:rPr>
          <w:lang w:val="fr-FR"/>
        </w:rPr>
        <w:tab/>
        <w:t>13</w:t>
      </w:r>
      <w:r>
        <w:rPr>
          <w:lang w:val="fr-FR"/>
        </w:rPr>
        <w:tab/>
        <w:t>6</w:t>
      </w:r>
    </w:p>
    <w:p w14:paraId="44D52DF7" w14:textId="77777777" w:rsidR="002A2902" w:rsidRPr="00AE0017" w:rsidRDefault="002A2902" w:rsidP="002A2902">
      <w:pPr>
        <w:tabs>
          <w:tab w:val="right" w:leader="dot" w:pos="7654"/>
          <w:tab w:val="right" w:pos="8929"/>
          <w:tab w:val="right" w:pos="9638"/>
        </w:tabs>
        <w:spacing w:after="120"/>
        <w:ind w:left="1559" w:hanging="425"/>
      </w:pPr>
      <w:r>
        <w:rPr>
          <w:lang w:val="fr-FR"/>
        </w:rPr>
        <w:t>B.</w:t>
      </w:r>
      <w:r>
        <w:rPr>
          <w:lang w:val="fr-FR"/>
        </w:rPr>
        <w:tab/>
        <w:t>Révision du chapitre 2.1</w:t>
      </w:r>
      <w:r>
        <w:rPr>
          <w:lang w:val="fr-FR"/>
        </w:rPr>
        <w:tab/>
      </w:r>
      <w:r>
        <w:rPr>
          <w:lang w:val="fr-FR"/>
        </w:rPr>
        <w:tab/>
        <w:t>14−23</w:t>
      </w:r>
      <w:r>
        <w:rPr>
          <w:lang w:val="fr-FR"/>
        </w:rPr>
        <w:tab/>
        <w:t>6</w:t>
      </w:r>
    </w:p>
    <w:p w14:paraId="4151293C" w14:textId="77777777" w:rsidR="002A2902" w:rsidRPr="00AE0017" w:rsidRDefault="002A2902" w:rsidP="002A2902">
      <w:pPr>
        <w:tabs>
          <w:tab w:val="right" w:leader="dot" w:pos="7654"/>
          <w:tab w:val="right" w:pos="8929"/>
          <w:tab w:val="right" w:pos="9638"/>
        </w:tabs>
        <w:spacing w:after="120"/>
        <w:ind w:left="1559" w:hanging="425"/>
      </w:pPr>
      <w:r>
        <w:rPr>
          <w:lang w:val="fr-FR"/>
        </w:rPr>
        <w:t>C.</w:t>
      </w:r>
      <w:r>
        <w:rPr>
          <w:lang w:val="fr-FR"/>
        </w:rPr>
        <w:tab/>
      </w:r>
      <w:r>
        <w:rPr>
          <w:bCs/>
          <w:lang w:val="fr-FR"/>
        </w:rPr>
        <w:t xml:space="preserve">Clarification du paragraphe 2.9.3.4.3.4 du Règlement type </w:t>
      </w:r>
      <w:r>
        <w:rPr>
          <w:bCs/>
          <w:lang w:val="fr-FR"/>
        </w:rPr>
        <w:br/>
        <w:t>et du paragraphe 4.1.3.3.4 du SGH</w:t>
      </w:r>
      <w:r>
        <w:rPr>
          <w:lang w:val="fr-FR"/>
        </w:rPr>
        <w:tab/>
      </w:r>
      <w:r>
        <w:rPr>
          <w:lang w:val="fr-FR"/>
        </w:rPr>
        <w:tab/>
        <w:t>24</w:t>
      </w:r>
      <w:r>
        <w:rPr>
          <w:lang w:val="fr-FR"/>
        </w:rPr>
        <w:tab/>
        <w:t>8</w:t>
      </w:r>
    </w:p>
    <w:p w14:paraId="61A7A7BB" w14:textId="77777777" w:rsidR="002A2902" w:rsidRPr="00AE0017" w:rsidRDefault="002A2902" w:rsidP="002A2902">
      <w:pPr>
        <w:tabs>
          <w:tab w:val="right" w:leader="dot" w:pos="7654"/>
          <w:tab w:val="right" w:pos="8929"/>
          <w:tab w:val="right" w:pos="9638"/>
        </w:tabs>
        <w:spacing w:after="120"/>
        <w:ind w:left="1559" w:hanging="425"/>
      </w:pPr>
      <w:r>
        <w:rPr>
          <w:lang w:val="fr-FR"/>
        </w:rPr>
        <w:t>D.</w:t>
      </w:r>
      <w:r>
        <w:rPr>
          <w:lang w:val="fr-FR"/>
        </w:rPr>
        <w:tab/>
        <w:t xml:space="preserve">Classification simultanée dans les classes de danger physique et ordre </w:t>
      </w:r>
      <w:r>
        <w:rPr>
          <w:lang w:val="fr-FR"/>
        </w:rPr>
        <w:br/>
        <w:t>de prépondérance des dangers</w:t>
      </w:r>
      <w:r>
        <w:rPr>
          <w:lang w:val="fr-FR"/>
        </w:rPr>
        <w:tab/>
      </w:r>
      <w:r>
        <w:rPr>
          <w:lang w:val="fr-FR"/>
        </w:rPr>
        <w:tab/>
        <w:t>25</w:t>
      </w:r>
      <w:r>
        <w:rPr>
          <w:lang w:val="fr-FR"/>
        </w:rPr>
        <w:tab/>
        <w:t>8</w:t>
      </w:r>
    </w:p>
    <w:p w14:paraId="77DA8EF7" w14:textId="77777777" w:rsidR="008A51D7" w:rsidRDefault="008A51D7">
      <w:pPr>
        <w:suppressAutoHyphens w:val="0"/>
        <w:kinsoku/>
        <w:overflowPunct/>
        <w:autoSpaceDE/>
        <w:autoSpaceDN/>
        <w:adjustRightInd/>
        <w:snapToGrid/>
        <w:spacing w:after="200" w:line="276" w:lineRule="auto"/>
        <w:rPr>
          <w:lang w:val="fr-FR"/>
        </w:rPr>
      </w:pPr>
      <w:r>
        <w:rPr>
          <w:lang w:val="fr-FR"/>
        </w:rPr>
        <w:br w:type="page"/>
      </w:r>
    </w:p>
    <w:p w14:paraId="16AB985D" w14:textId="77777777" w:rsidR="002A2902" w:rsidRPr="00AE0017" w:rsidRDefault="002A2902" w:rsidP="002A2902">
      <w:pPr>
        <w:tabs>
          <w:tab w:val="right" w:leader="dot" w:pos="7654"/>
          <w:tab w:val="right" w:pos="8929"/>
          <w:tab w:val="right" w:pos="9638"/>
        </w:tabs>
        <w:spacing w:after="120"/>
        <w:ind w:left="1559" w:hanging="425"/>
      </w:pPr>
      <w:r>
        <w:rPr>
          <w:lang w:val="fr-FR"/>
        </w:rPr>
        <w:lastRenderedPageBreak/>
        <w:t>E.</w:t>
      </w:r>
      <w:r>
        <w:rPr>
          <w:lang w:val="fr-FR"/>
        </w:rPr>
        <w:tab/>
        <w:t xml:space="preserve">Utilisation de méthodes d’expérimentation non animales pour le classement </w:t>
      </w:r>
      <w:r>
        <w:rPr>
          <w:lang w:val="fr-FR"/>
        </w:rPr>
        <w:br/>
        <w:t>des dangers pour la santé</w:t>
      </w:r>
      <w:r>
        <w:rPr>
          <w:lang w:val="fr-FR"/>
        </w:rPr>
        <w:tab/>
      </w:r>
      <w:r>
        <w:rPr>
          <w:lang w:val="fr-FR"/>
        </w:rPr>
        <w:tab/>
        <w:t>26</w:t>
      </w:r>
      <w:r>
        <w:rPr>
          <w:lang w:val="fr-FR"/>
        </w:rPr>
        <w:tab/>
        <w:t>8</w:t>
      </w:r>
    </w:p>
    <w:p w14:paraId="5000DA5C" w14:textId="77777777" w:rsidR="002A2902" w:rsidRPr="00AE0017" w:rsidRDefault="002A2902" w:rsidP="002A2902">
      <w:pPr>
        <w:tabs>
          <w:tab w:val="right" w:leader="dot" w:pos="7654"/>
          <w:tab w:val="right" w:pos="8929"/>
          <w:tab w:val="right" w:pos="9638"/>
        </w:tabs>
        <w:spacing w:after="120"/>
        <w:ind w:left="1559" w:hanging="425"/>
      </w:pPr>
      <w:r>
        <w:rPr>
          <w:lang w:val="fr-FR"/>
        </w:rPr>
        <w:t>F.</w:t>
      </w:r>
      <w:r>
        <w:rPr>
          <w:lang w:val="fr-FR"/>
        </w:rPr>
        <w:tab/>
        <w:t>Questions pratiques de classement</w:t>
      </w:r>
      <w:r>
        <w:rPr>
          <w:lang w:val="fr-FR"/>
        </w:rPr>
        <w:tab/>
      </w:r>
      <w:r>
        <w:rPr>
          <w:lang w:val="fr-FR"/>
        </w:rPr>
        <w:tab/>
        <w:t>27</w:t>
      </w:r>
      <w:r>
        <w:rPr>
          <w:lang w:val="fr-FR"/>
        </w:rPr>
        <w:tab/>
        <w:t>8</w:t>
      </w:r>
    </w:p>
    <w:p w14:paraId="4BC5EC90" w14:textId="77777777" w:rsidR="002A2902" w:rsidRPr="00AE0017" w:rsidRDefault="002A2902" w:rsidP="002A2902">
      <w:pPr>
        <w:tabs>
          <w:tab w:val="right" w:leader="dot" w:pos="7654"/>
          <w:tab w:val="right" w:pos="8929"/>
          <w:tab w:val="right" w:pos="9638"/>
        </w:tabs>
        <w:spacing w:after="120"/>
        <w:ind w:left="1559" w:hanging="425"/>
      </w:pPr>
      <w:r>
        <w:rPr>
          <w:lang w:val="fr-FR"/>
        </w:rPr>
        <w:t>G.</w:t>
      </w:r>
      <w:r>
        <w:rPr>
          <w:lang w:val="fr-FR"/>
        </w:rPr>
        <w:tab/>
        <w:t>Danger par aspiration</w:t>
      </w:r>
      <w:r>
        <w:rPr>
          <w:lang w:val="fr-FR"/>
        </w:rPr>
        <w:tab/>
      </w:r>
      <w:r>
        <w:rPr>
          <w:lang w:val="fr-FR"/>
        </w:rPr>
        <w:tab/>
        <w:t>28</w:t>
      </w:r>
      <w:r>
        <w:rPr>
          <w:lang w:val="fr-FR"/>
        </w:rPr>
        <w:tab/>
        <w:t>8</w:t>
      </w:r>
    </w:p>
    <w:p w14:paraId="031134CC" w14:textId="77777777" w:rsidR="002A2902" w:rsidRPr="00AE0017" w:rsidRDefault="002A2902" w:rsidP="002A2902">
      <w:pPr>
        <w:tabs>
          <w:tab w:val="right" w:leader="dot" w:pos="7654"/>
          <w:tab w:val="right" w:pos="8929"/>
          <w:tab w:val="right" w:pos="9638"/>
        </w:tabs>
        <w:spacing w:after="120"/>
        <w:ind w:left="1559" w:hanging="425"/>
      </w:pPr>
      <w:r>
        <w:rPr>
          <w:lang w:val="fr-FR"/>
        </w:rPr>
        <w:t>H.</w:t>
      </w:r>
      <w:r>
        <w:rPr>
          <w:lang w:val="fr-FR"/>
        </w:rPr>
        <w:tab/>
        <w:t>Nanomatériaux</w:t>
      </w:r>
      <w:r>
        <w:rPr>
          <w:lang w:val="fr-FR"/>
        </w:rPr>
        <w:tab/>
      </w:r>
      <w:r>
        <w:rPr>
          <w:lang w:val="fr-FR"/>
        </w:rPr>
        <w:tab/>
        <w:t>29</w:t>
      </w:r>
      <w:r>
        <w:rPr>
          <w:lang w:val="fr-FR"/>
        </w:rPr>
        <w:tab/>
        <w:t>9</w:t>
      </w:r>
    </w:p>
    <w:p w14:paraId="4623197A" w14:textId="77777777" w:rsidR="002A2902" w:rsidRPr="00AE0017" w:rsidRDefault="002A2902" w:rsidP="002A2902">
      <w:pPr>
        <w:tabs>
          <w:tab w:val="right" w:leader="dot" w:pos="7654"/>
          <w:tab w:val="right" w:pos="8929"/>
          <w:tab w:val="right" w:pos="9638"/>
        </w:tabs>
        <w:spacing w:after="120"/>
        <w:ind w:left="1559" w:hanging="425"/>
      </w:pPr>
      <w:r>
        <w:rPr>
          <w:lang w:val="fr-FR"/>
        </w:rPr>
        <w:t>I.</w:t>
      </w:r>
      <w:r>
        <w:rPr>
          <w:lang w:val="fr-FR"/>
        </w:rPr>
        <w:tab/>
      </w:r>
      <w:r w:rsidRPr="00BA777A">
        <w:rPr>
          <w:lang w:val="fr-FR"/>
        </w:rPr>
        <w:t>Autres questions</w:t>
      </w:r>
      <w:r>
        <w:rPr>
          <w:lang w:val="fr-FR"/>
        </w:rPr>
        <w:tab/>
      </w:r>
      <w:r>
        <w:rPr>
          <w:lang w:val="fr-FR"/>
        </w:rPr>
        <w:tab/>
        <w:t>30−36</w:t>
      </w:r>
      <w:r>
        <w:rPr>
          <w:lang w:val="fr-FR"/>
        </w:rPr>
        <w:tab/>
        <w:t>9</w:t>
      </w:r>
    </w:p>
    <w:p w14:paraId="4B952CF9" w14:textId="77777777" w:rsidR="002A2902" w:rsidRPr="00AE0017" w:rsidRDefault="002A2902" w:rsidP="002A2902">
      <w:pPr>
        <w:tabs>
          <w:tab w:val="right" w:leader="dot" w:pos="7654"/>
          <w:tab w:val="right" w:pos="8929"/>
          <w:tab w:val="right" w:pos="9638"/>
        </w:tabs>
        <w:spacing w:after="120"/>
        <w:ind w:left="1984" w:hanging="425"/>
      </w:pPr>
      <w:r>
        <w:rPr>
          <w:lang w:val="fr-FR"/>
        </w:rPr>
        <w:t>1.</w:t>
      </w:r>
      <w:r>
        <w:rPr>
          <w:lang w:val="fr-FR"/>
        </w:rPr>
        <w:tab/>
        <w:t xml:space="preserve">Définitions et utilisation de sigles, acronymes et abréviations </w:t>
      </w:r>
      <w:r>
        <w:rPr>
          <w:lang w:val="fr-FR"/>
        </w:rPr>
        <w:br/>
        <w:t>dans le SGH</w:t>
      </w:r>
      <w:r>
        <w:rPr>
          <w:lang w:val="fr-FR"/>
        </w:rPr>
        <w:tab/>
      </w:r>
      <w:r>
        <w:rPr>
          <w:lang w:val="fr-FR"/>
        </w:rPr>
        <w:tab/>
        <w:t>30</w:t>
      </w:r>
      <w:r>
        <w:rPr>
          <w:lang w:val="fr-FR"/>
        </w:rPr>
        <w:tab/>
        <w:t>9</w:t>
      </w:r>
    </w:p>
    <w:p w14:paraId="34EB1A29" w14:textId="77777777" w:rsidR="002A2902" w:rsidRPr="00AE0017" w:rsidRDefault="002A2902" w:rsidP="002A2902">
      <w:pPr>
        <w:tabs>
          <w:tab w:val="right" w:leader="dot" w:pos="7654"/>
          <w:tab w:val="right" w:pos="8929"/>
          <w:tab w:val="right" w:pos="9638"/>
        </w:tabs>
        <w:spacing w:after="120"/>
        <w:ind w:left="1984" w:hanging="425"/>
      </w:pPr>
      <w:r>
        <w:rPr>
          <w:lang w:val="fr-FR"/>
        </w:rPr>
        <w:t>2.</w:t>
      </w:r>
      <w:r>
        <w:rPr>
          <w:lang w:val="fr-FR"/>
        </w:rPr>
        <w:tab/>
        <w:t>Révision des diagrammes de décision</w:t>
      </w:r>
      <w:r>
        <w:rPr>
          <w:lang w:val="fr-FR"/>
        </w:rPr>
        <w:tab/>
      </w:r>
      <w:r>
        <w:rPr>
          <w:lang w:val="fr-FR"/>
        </w:rPr>
        <w:tab/>
        <w:t>31−33</w:t>
      </w:r>
      <w:r>
        <w:rPr>
          <w:lang w:val="fr-FR"/>
        </w:rPr>
        <w:tab/>
        <w:t>9</w:t>
      </w:r>
    </w:p>
    <w:p w14:paraId="3A57583C" w14:textId="77777777" w:rsidR="002A2902" w:rsidRPr="00AE0017" w:rsidRDefault="002A2902" w:rsidP="002A2902">
      <w:pPr>
        <w:tabs>
          <w:tab w:val="right" w:leader="dot" w:pos="7654"/>
          <w:tab w:val="right" w:pos="8929"/>
          <w:tab w:val="right" w:pos="9638"/>
        </w:tabs>
        <w:spacing w:after="120"/>
        <w:ind w:left="1984" w:hanging="425"/>
      </w:pPr>
      <w:r>
        <w:rPr>
          <w:lang w:val="fr-FR"/>
        </w:rPr>
        <w:t>3.</w:t>
      </w:r>
      <w:r>
        <w:rPr>
          <w:lang w:val="fr-FR"/>
        </w:rPr>
        <w:tab/>
        <w:t xml:space="preserve">Étiquetage pour le milieu de travail : éclaircissements à apporter </w:t>
      </w:r>
      <w:r>
        <w:rPr>
          <w:lang w:val="fr-FR"/>
        </w:rPr>
        <w:br/>
        <w:t>au 1.4.10.5.5.1</w:t>
      </w:r>
      <w:r>
        <w:rPr>
          <w:lang w:val="fr-FR"/>
        </w:rPr>
        <w:tab/>
      </w:r>
      <w:r>
        <w:rPr>
          <w:lang w:val="fr-FR"/>
        </w:rPr>
        <w:tab/>
        <w:t>34</w:t>
      </w:r>
      <w:r>
        <w:rPr>
          <w:lang w:val="fr-FR"/>
        </w:rPr>
        <w:tab/>
        <w:t>9</w:t>
      </w:r>
    </w:p>
    <w:p w14:paraId="43E0B842" w14:textId="77777777" w:rsidR="002A2902" w:rsidRPr="00AE0017" w:rsidRDefault="002A2902" w:rsidP="002A2902">
      <w:pPr>
        <w:tabs>
          <w:tab w:val="right" w:leader="dot" w:pos="7654"/>
          <w:tab w:val="right" w:pos="8929"/>
          <w:tab w:val="right" w:pos="9638"/>
        </w:tabs>
        <w:spacing w:after="120"/>
        <w:ind w:left="1984" w:hanging="425"/>
      </w:pPr>
      <w:r>
        <w:rPr>
          <w:lang w:val="fr-FR"/>
        </w:rPr>
        <w:t>4.</w:t>
      </w:r>
      <w:r>
        <w:rPr>
          <w:lang w:val="fr-FR"/>
        </w:rPr>
        <w:tab/>
        <w:t xml:space="preserve">Précision concernant les critères de classification de la mutagénicité </w:t>
      </w:r>
      <w:r>
        <w:rPr>
          <w:lang w:val="fr-FR"/>
        </w:rPr>
        <w:br/>
        <w:t>sur les cellules germinales dans la catégorie 1B</w:t>
      </w:r>
      <w:r>
        <w:rPr>
          <w:lang w:val="fr-FR"/>
        </w:rPr>
        <w:tab/>
      </w:r>
      <w:r>
        <w:rPr>
          <w:lang w:val="fr-FR"/>
        </w:rPr>
        <w:tab/>
        <w:t>35</w:t>
      </w:r>
      <w:r>
        <w:rPr>
          <w:lang w:val="fr-FR"/>
        </w:rPr>
        <w:tab/>
        <w:t>10</w:t>
      </w:r>
    </w:p>
    <w:p w14:paraId="1F099A3D" w14:textId="77777777" w:rsidR="002A2902" w:rsidRPr="00AE0017" w:rsidRDefault="002A2902" w:rsidP="002A2902">
      <w:pPr>
        <w:tabs>
          <w:tab w:val="right" w:leader="dot" w:pos="7654"/>
          <w:tab w:val="right" w:pos="8929"/>
          <w:tab w:val="right" w:pos="9638"/>
        </w:tabs>
        <w:spacing w:after="120"/>
        <w:ind w:left="1984" w:hanging="425"/>
      </w:pPr>
      <w:r>
        <w:rPr>
          <w:lang w:val="fr-FR"/>
        </w:rPr>
        <w:t>5.</w:t>
      </w:r>
      <w:r>
        <w:rPr>
          <w:lang w:val="fr-FR"/>
        </w:rPr>
        <w:tab/>
        <w:t>Nouvelles propositions</w:t>
      </w:r>
      <w:r>
        <w:rPr>
          <w:lang w:val="fr-FR"/>
        </w:rPr>
        <w:tab/>
      </w:r>
      <w:r>
        <w:rPr>
          <w:lang w:val="fr-FR"/>
        </w:rPr>
        <w:tab/>
        <w:t>36</w:t>
      </w:r>
      <w:r>
        <w:rPr>
          <w:lang w:val="fr-FR"/>
        </w:rPr>
        <w:tab/>
        <w:t>10</w:t>
      </w:r>
    </w:p>
    <w:p w14:paraId="4E6EDCF8" w14:textId="77777777" w:rsidR="002A2902" w:rsidRPr="00AE0017" w:rsidRDefault="002A2902" w:rsidP="002A2902">
      <w:pPr>
        <w:tabs>
          <w:tab w:val="right" w:pos="850"/>
          <w:tab w:val="right" w:leader="dot" w:pos="7654"/>
          <w:tab w:val="right" w:pos="8929"/>
          <w:tab w:val="right" w:pos="9638"/>
        </w:tabs>
        <w:spacing w:after="120"/>
        <w:ind w:left="1134" w:hanging="1134"/>
      </w:pPr>
      <w:r>
        <w:rPr>
          <w:lang w:val="fr-FR"/>
        </w:rPr>
        <w:tab/>
        <w:t>VI.</w:t>
      </w:r>
      <w:r>
        <w:rPr>
          <w:lang w:val="fr-FR"/>
        </w:rPr>
        <w:tab/>
        <w:t>Questions relatives à la communication des dangers (point 4 de l’ordre du jour)</w:t>
      </w:r>
      <w:r>
        <w:rPr>
          <w:lang w:val="fr-FR"/>
        </w:rPr>
        <w:tab/>
      </w:r>
      <w:r>
        <w:rPr>
          <w:lang w:val="fr-FR"/>
        </w:rPr>
        <w:tab/>
        <w:t>37−43</w:t>
      </w:r>
      <w:r>
        <w:rPr>
          <w:lang w:val="fr-FR"/>
        </w:rPr>
        <w:tab/>
        <w:t>10</w:t>
      </w:r>
    </w:p>
    <w:p w14:paraId="0E1FE286" w14:textId="77777777" w:rsidR="002A2902" w:rsidRPr="00AE0017" w:rsidRDefault="002A2902" w:rsidP="002A2902">
      <w:pPr>
        <w:tabs>
          <w:tab w:val="right" w:leader="dot" w:pos="7654"/>
          <w:tab w:val="right" w:pos="8929"/>
          <w:tab w:val="right" w:pos="9638"/>
        </w:tabs>
        <w:spacing w:after="120"/>
        <w:ind w:left="1559" w:hanging="425"/>
      </w:pPr>
      <w:r>
        <w:rPr>
          <w:lang w:val="fr-FR"/>
        </w:rPr>
        <w:t>A.</w:t>
      </w:r>
      <w:r>
        <w:rPr>
          <w:lang w:val="fr-FR"/>
        </w:rPr>
        <w:tab/>
        <w:t>Questions pratiques d’étiquetage</w:t>
      </w:r>
      <w:r>
        <w:rPr>
          <w:lang w:val="fr-FR"/>
        </w:rPr>
        <w:tab/>
      </w:r>
      <w:r>
        <w:rPr>
          <w:lang w:val="fr-FR"/>
        </w:rPr>
        <w:tab/>
        <w:t>37</w:t>
      </w:r>
      <w:r>
        <w:rPr>
          <w:lang w:val="fr-FR"/>
        </w:rPr>
        <w:tab/>
        <w:t>10</w:t>
      </w:r>
    </w:p>
    <w:p w14:paraId="7841ECA4" w14:textId="77777777" w:rsidR="002A2902" w:rsidRPr="00AE0017" w:rsidRDefault="002A2902" w:rsidP="002A2902">
      <w:pPr>
        <w:tabs>
          <w:tab w:val="right" w:leader="dot" w:pos="7654"/>
          <w:tab w:val="right" w:pos="8929"/>
          <w:tab w:val="right" w:pos="9638"/>
        </w:tabs>
        <w:spacing w:after="120"/>
        <w:ind w:left="1559" w:hanging="425"/>
      </w:pPr>
      <w:r>
        <w:rPr>
          <w:lang w:val="fr-FR"/>
        </w:rPr>
        <w:t>B.</w:t>
      </w:r>
      <w:r>
        <w:rPr>
          <w:lang w:val="fr-FR"/>
        </w:rPr>
        <w:tab/>
        <w:t xml:space="preserve">Amélioration des annexes 1 à 3 et poursuite de la rationalisation des conseils </w:t>
      </w:r>
      <w:r>
        <w:rPr>
          <w:lang w:val="fr-FR"/>
        </w:rPr>
        <w:br/>
        <w:t>de prudence</w:t>
      </w:r>
      <w:r>
        <w:rPr>
          <w:lang w:val="fr-FR"/>
        </w:rPr>
        <w:tab/>
      </w:r>
      <w:r>
        <w:rPr>
          <w:lang w:val="fr-FR"/>
        </w:rPr>
        <w:tab/>
        <w:t>38</w:t>
      </w:r>
      <w:r>
        <w:rPr>
          <w:lang w:val="fr-FR"/>
        </w:rPr>
        <w:tab/>
        <w:t>10</w:t>
      </w:r>
    </w:p>
    <w:p w14:paraId="1420581A" w14:textId="77777777" w:rsidR="002A2902" w:rsidRPr="00AE0017" w:rsidRDefault="002A2902" w:rsidP="002A2902">
      <w:pPr>
        <w:tabs>
          <w:tab w:val="right" w:leader="dot" w:pos="7654"/>
          <w:tab w:val="right" w:pos="8929"/>
          <w:tab w:val="right" w:pos="9638"/>
        </w:tabs>
        <w:spacing w:after="120"/>
        <w:ind w:left="1559" w:hanging="425"/>
      </w:pPr>
      <w:r>
        <w:rPr>
          <w:lang w:val="fr-FR"/>
        </w:rPr>
        <w:t>C.</w:t>
      </w:r>
      <w:r>
        <w:rPr>
          <w:lang w:val="fr-FR"/>
        </w:rPr>
        <w:tab/>
        <w:t>Révision de la sous-section A4.3.3.2.3 de l’annexe 4</w:t>
      </w:r>
      <w:r>
        <w:rPr>
          <w:lang w:val="fr-FR"/>
        </w:rPr>
        <w:tab/>
      </w:r>
      <w:r>
        <w:rPr>
          <w:lang w:val="fr-FR"/>
        </w:rPr>
        <w:tab/>
        <w:t>39</w:t>
      </w:r>
      <w:r>
        <w:rPr>
          <w:lang w:val="fr-FR"/>
        </w:rPr>
        <w:tab/>
        <w:t>10</w:t>
      </w:r>
    </w:p>
    <w:p w14:paraId="37E08F20" w14:textId="77777777" w:rsidR="002A2902" w:rsidRPr="00AE0017" w:rsidRDefault="002A2902" w:rsidP="002A2902">
      <w:pPr>
        <w:tabs>
          <w:tab w:val="right" w:leader="dot" w:pos="7654"/>
          <w:tab w:val="right" w:pos="8929"/>
          <w:tab w:val="right" w:pos="9638"/>
        </w:tabs>
        <w:spacing w:after="120"/>
        <w:ind w:left="1559" w:hanging="425"/>
      </w:pPr>
      <w:r>
        <w:rPr>
          <w:lang w:val="fr-FR"/>
        </w:rPr>
        <w:t>D.</w:t>
      </w:r>
      <w:r>
        <w:rPr>
          <w:lang w:val="fr-FR"/>
        </w:rPr>
        <w:tab/>
      </w:r>
      <w:r w:rsidRPr="00BA777A">
        <w:rPr>
          <w:lang w:val="fr-FR"/>
        </w:rPr>
        <w:t>Autres questions</w:t>
      </w:r>
      <w:r>
        <w:rPr>
          <w:lang w:val="fr-FR"/>
        </w:rPr>
        <w:tab/>
      </w:r>
      <w:r>
        <w:rPr>
          <w:lang w:val="fr-FR"/>
        </w:rPr>
        <w:tab/>
        <w:t>40−42</w:t>
      </w:r>
      <w:r>
        <w:rPr>
          <w:lang w:val="fr-FR"/>
        </w:rPr>
        <w:tab/>
        <w:t>11</w:t>
      </w:r>
    </w:p>
    <w:p w14:paraId="3CDF8283" w14:textId="77777777" w:rsidR="002A2902" w:rsidRPr="00AE0017" w:rsidRDefault="002A2902" w:rsidP="002A2902">
      <w:pPr>
        <w:tabs>
          <w:tab w:val="right" w:leader="dot" w:pos="7654"/>
          <w:tab w:val="right" w:pos="8929"/>
          <w:tab w:val="right" w:pos="9638"/>
        </w:tabs>
        <w:spacing w:after="120"/>
        <w:ind w:left="1984" w:hanging="425"/>
      </w:pPr>
      <w:r>
        <w:rPr>
          <w:lang w:val="fr-FR"/>
        </w:rPr>
        <w:t>1.</w:t>
      </w:r>
      <w:r>
        <w:rPr>
          <w:lang w:val="fr-FR"/>
        </w:rPr>
        <w:tab/>
      </w:r>
      <w:r>
        <w:rPr>
          <w:bCs/>
          <w:lang w:val="fr-FR"/>
        </w:rPr>
        <w:t xml:space="preserve">Examen et mise à jour des références aux documents d’orientation </w:t>
      </w:r>
      <w:r>
        <w:rPr>
          <w:bCs/>
          <w:lang w:val="fr-FR"/>
        </w:rPr>
        <w:br/>
        <w:t xml:space="preserve">et aux directives relatives aux essais dans les annexes 9 et 10 </w:t>
      </w:r>
      <w:r>
        <w:rPr>
          <w:bCs/>
          <w:lang w:val="fr-FR"/>
        </w:rPr>
        <w:br/>
        <w:t>du SGH</w:t>
      </w:r>
      <w:r>
        <w:rPr>
          <w:lang w:val="fr-FR"/>
        </w:rPr>
        <w:tab/>
      </w:r>
      <w:r>
        <w:rPr>
          <w:lang w:val="fr-FR"/>
        </w:rPr>
        <w:tab/>
        <w:t>40−41</w:t>
      </w:r>
      <w:r>
        <w:rPr>
          <w:lang w:val="fr-FR"/>
        </w:rPr>
        <w:tab/>
        <w:t>11</w:t>
      </w:r>
    </w:p>
    <w:p w14:paraId="659EA4CB" w14:textId="77777777" w:rsidR="002A2902" w:rsidRPr="00AE0017" w:rsidRDefault="002A2902" w:rsidP="002A2902">
      <w:pPr>
        <w:tabs>
          <w:tab w:val="right" w:leader="dot" w:pos="7654"/>
          <w:tab w:val="right" w:pos="8929"/>
          <w:tab w:val="right" w:pos="9638"/>
        </w:tabs>
        <w:spacing w:after="120"/>
        <w:ind w:left="1984" w:hanging="425"/>
      </w:pPr>
      <w:r>
        <w:rPr>
          <w:lang w:val="fr-FR"/>
        </w:rPr>
        <w:t>2.</w:t>
      </w:r>
      <w:r>
        <w:rPr>
          <w:lang w:val="fr-FR"/>
        </w:rPr>
        <w:tab/>
      </w:r>
      <w:r>
        <w:rPr>
          <w:bCs/>
          <w:lang w:val="fr-FR"/>
        </w:rPr>
        <w:t xml:space="preserve">Alignement de l’annexe 9 (sect. 9.7) et de l’annexe 10 (sur les métaux </w:t>
      </w:r>
      <w:r>
        <w:rPr>
          <w:bCs/>
          <w:lang w:val="fr-FR"/>
        </w:rPr>
        <w:br/>
        <w:t xml:space="preserve">et les composés métalliques) sur les critères du chapitre 4.1 </w:t>
      </w:r>
      <w:r>
        <w:rPr>
          <w:bCs/>
          <w:lang w:val="fr-FR"/>
        </w:rPr>
        <w:br/>
        <w:t xml:space="preserve">et sur les orientations générales concernant les dangers </w:t>
      </w:r>
      <w:r>
        <w:rPr>
          <w:bCs/>
          <w:lang w:val="fr-FR"/>
        </w:rPr>
        <w:br/>
        <w:t>pour l’environnement</w:t>
      </w:r>
      <w:r>
        <w:rPr>
          <w:lang w:val="fr-FR"/>
        </w:rPr>
        <w:tab/>
      </w:r>
      <w:r>
        <w:rPr>
          <w:lang w:val="fr-FR"/>
        </w:rPr>
        <w:tab/>
        <w:t>42</w:t>
      </w:r>
      <w:r>
        <w:rPr>
          <w:lang w:val="fr-FR"/>
        </w:rPr>
        <w:tab/>
        <w:t>11</w:t>
      </w:r>
    </w:p>
    <w:p w14:paraId="1224EB59" w14:textId="77777777" w:rsidR="002A2902" w:rsidRPr="00AE0017" w:rsidRDefault="002A2902" w:rsidP="002A2902">
      <w:pPr>
        <w:tabs>
          <w:tab w:val="right" w:leader="dot" w:pos="7654"/>
          <w:tab w:val="right" w:pos="8929"/>
          <w:tab w:val="right" w:pos="9638"/>
        </w:tabs>
        <w:spacing w:after="120"/>
        <w:ind w:left="1559" w:hanging="425"/>
      </w:pPr>
      <w:r>
        <w:rPr>
          <w:lang w:val="fr-FR"/>
        </w:rPr>
        <w:t>E.</w:t>
      </w:r>
      <w:r>
        <w:rPr>
          <w:lang w:val="fr-FR"/>
        </w:rPr>
        <w:tab/>
        <w:t>Nouvelles propositions</w:t>
      </w:r>
      <w:r>
        <w:rPr>
          <w:lang w:val="fr-FR"/>
        </w:rPr>
        <w:tab/>
      </w:r>
      <w:r>
        <w:rPr>
          <w:lang w:val="fr-FR"/>
        </w:rPr>
        <w:tab/>
        <w:t>43</w:t>
      </w:r>
      <w:r>
        <w:rPr>
          <w:lang w:val="fr-FR"/>
        </w:rPr>
        <w:tab/>
        <w:t>11</w:t>
      </w:r>
    </w:p>
    <w:p w14:paraId="2D656284" w14:textId="77777777" w:rsidR="002A2902" w:rsidRPr="00AE0017" w:rsidRDefault="002A2902" w:rsidP="002A2902">
      <w:pPr>
        <w:tabs>
          <w:tab w:val="right" w:pos="850"/>
          <w:tab w:val="right" w:leader="dot" w:pos="7654"/>
          <w:tab w:val="right" w:pos="8929"/>
          <w:tab w:val="right" w:pos="9638"/>
        </w:tabs>
        <w:spacing w:after="120"/>
        <w:ind w:left="1134" w:hanging="1134"/>
      </w:pPr>
      <w:r>
        <w:rPr>
          <w:lang w:val="fr-FR"/>
        </w:rPr>
        <w:tab/>
        <w:t>VII.</w:t>
      </w:r>
      <w:r>
        <w:rPr>
          <w:lang w:val="fr-FR"/>
        </w:rPr>
        <w:tab/>
        <w:t>Mise en œuvre du SGH (point 5 de l’ordre du jour)</w:t>
      </w:r>
      <w:r>
        <w:rPr>
          <w:lang w:val="fr-FR"/>
        </w:rPr>
        <w:tab/>
      </w:r>
      <w:r>
        <w:rPr>
          <w:lang w:val="fr-FR"/>
        </w:rPr>
        <w:tab/>
        <w:t>44−50</w:t>
      </w:r>
      <w:r>
        <w:rPr>
          <w:lang w:val="fr-FR"/>
        </w:rPr>
        <w:tab/>
        <w:t>11</w:t>
      </w:r>
    </w:p>
    <w:p w14:paraId="258129BD" w14:textId="77777777" w:rsidR="002A2902" w:rsidRPr="00AE0017" w:rsidRDefault="002A2902" w:rsidP="002A2902">
      <w:pPr>
        <w:tabs>
          <w:tab w:val="right" w:leader="dot" w:pos="7654"/>
          <w:tab w:val="right" w:pos="8929"/>
          <w:tab w:val="right" w:pos="9638"/>
        </w:tabs>
        <w:spacing w:after="120"/>
        <w:ind w:left="1559" w:hanging="425"/>
      </w:pPr>
      <w:r>
        <w:rPr>
          <w:lang w:val="fr-FR"/>
        </w:rPr>
        <w:t>A.</w:t>
      </w:r>
      <w:r>
        <w:rPr>
          <w:lang w:val="fr-FR"/>
        </w:rPr>
        <w:tab/>
        <w:t xml:space="preserve">Élaboration éventuelle d’une liste de produits chimiques classés </w:t>
      </w:r>
      <w:r>
        <w:rPr>
          <w:lang w:val="fr-FR"/>
        </w:rPr>
        <w:br/>
        <w:t>conformément au SGH</w:t>
      </w:r>
      <w:r>
        <w:rPr>
          <w:lang w:val="fr-FR"/>
        </w:rPr>
        <w:tab/>
      </w:r>
      <w:r>
        <w:rPr>
          <w:lang w:val="fr-FR"/>
        </w:rPr>
        <w:tab/>
        <w:t>44−45</w:t>
      </w:r>
      <w:r>
        <w:rPr>
          <w:lang w:val="fr-FR"/>
        </w:rPr>
        <w:tab/>
        <w:t>11</w:t>
      </w:r>
    </w:p>
    <w:p w14:paraId="672AEB95" w14:textId="77777777" w:rsidR="002A2902" w:rsidRPr="00AE0017" w:rsidRDefault="002A2902" w:rsidP="002A2902">
      <w:pPr>
        <w:tabs>
          <w:tab w:val="right" w:leader="dot" w:pos="7654"/>
          <w:tab w:val="right" w:pos="8929"/>
          <w:tab w:val="right" w:pos="9638"/>
        </w:tabs>
        <w:spacing w:after="120"/>
        <w:ind w:left="1559" w:hanging="425"/>
      </w:pPr>
      <w:r>
        <w:rPr>
          <w:lang w:val="fr-FR"/>
        </w:rPr>
        <w:t>B.</w:t>
      </w:r>
      <w:r>
        <w:rPr>
          <w:lang w:val="fr-FR"/>
        </w:rPr>
        <w:tab/>
        <w:t>Rapports relatifs à l’état de la mise en œuvre</w:t>
      </w:r>
      <w:r>
        <w:rPr>
          <w:lang w:val="fr-FR"/>
        </w:rPr>
        <w:tab/>
      </w:r>
      <w:r>
        <w:rPr>
          <w:lang w:val="fr-FR"/>
        </w:rPr>
        <w:tab/>
        <w:t>46−48</w:t>
      </w:r>
      <w:r>
        <w:rPr>
          <w:lang w:val="fr-FR"/>
        </w:rPr>
        <w:tab/>
        <w:t>12</w:t>
      </w:r>
    </w:p>
    <w:p w14:paraId="749CAE9C" w14:textId="77777777" w:rsidR="002A2902" w:rsidRPr="00AE0017" w:rsidRDefault="002A2902" w:rsidP="002A2902">
      <w:pPr>
        <w:tabs>
          <w:tab w:val="right" w:leader="dot" w:pos="7654"/>
          <w:tab w:val="right" w:pos="8929"/>
          <w:tab w:val="right" w:pos="9638"/>
        </w:tabs>
        <w:spacing w:after="120"/>
        <w:ind w:left="1559" w:hanging="425"/>
      </w:pPr>
      <w:r>
        <w:rPr>
          <w:lang w:val="fr-FR"/>
        </w:rPr>
        <w:t>C.</w:t>
      </w:r>
      <w:r>
        <w:rPr>
          <w:lang w:val="fr-FR"/>
        </w:rPr>
        <w:tab/>
        <w:t>Coopération avec d’autres organes ou organisations internationales</w:t>
      </w:r>
      <w:r>
        <w:rPr>
          <w:lang w:val="fr-FR"/>
        </w:rPr>
        <w:tab/>
      </w:r>
      <w:r>
        <w:rPr>
          <w:lang w:val="fr-FR"/>
        </w:rPr>
        <w:tab/>
        <w:t>49</w:t>
      </w:r>
      <w:r>
        <w:rPr>
          <w:lang w:val="fr-FR"/>
        </w:rPr>
        <w:tab/>
        <w:t>12</w:t>
      </w:r>
    </w:p>
    <w:p w14:paraId="39E37DB3" w14:textId="77777777" w:rsidR="002A2902" w:rsidRPr="00AE0017" w:rsidRDefault="002A2902" w:rsidP="002A2902">
      <w:pPr>
        <w:tabs>
          <w:tab w:val="right" w:leader="dot" w:pos="7654"/>
          <w:tab w:val="right" w:pos="8929"/>
          <w:tab w:val="right" w:pos="9638"/>
        </w:tabs>
        <w:spacing w:after="120"/>
        <w:ind w:left="1559" w:hanging="425"/>
      </w:pPr>
      <w:r>
        <w:rPr>
          <w:lang w:val="fr-FR"/>
        </w:rPr>
        <w:t>D.</w:t>
      </w:r>
      <w:r>
        <w:rPr>
          <w:lang w:val="fr-FR"/>
        </w:rPr>
        <w:tab/>
        <w:t>Autres questions</w:t>
      </w:r>
      <w:r>
        <w:rPr>
          <w:lang w:val="fr-FR"/>
        </w:rPr>
        <w:tab/>
      </w:r>
      <w:r>
        <w:rPr>
          <w:lang w:val="fr-FR"/>
        </w:rPr>
        <w:tab/>
        <w:t>50</w:t>
      </w:r>
      <w:r>
        <w:rPr>
          <w:lang w:val="fr-FR"/>
        </w:rPr>
        <w:tab/>
        <w:t>12</w:t>
      </w:r>
    </w:p>
    <w:p w14:paraId="675A0C93" w14:textId="77777777" w:rsidR="002A2902" w:rsidRPr="00AE0017" w:rsidRDefault="002A2902" w:rsidP="002A2902">
      <w:pPr>
        <w:tabs>
          <w:tab w:val="right" w:pos="850"/>
          <w:tab w:val="right" w:leader="dot" w:pos="7654"/>
          <w:tab w:val="right" w:pos="8929"/>
          <w:tab w:val="right" w:pos="9638"/>
        </w:tabs>
        <w:spacing w:after="120"/>
        <w:ind w:left="1134" w:hanging="1134"/>
      </w:pPr>
      <w:r>
        <w:rPr>
          <w:lang w:val="fr-FR"/>
        </w:rPr>
        <w:tab/>
        <w:t>VIII.</w:t>
      </w:r>
      <w:r>
        <w:rPr>
          <w:lang w:val="fr-FR"/>
        </w:rPr>
        <w:tab/>
        <w:t xml:space="preserve">Mise au point de directives pour l’application des critères du SGH </w:t>
      </w:r>
      <w:r>
        <w:rPr>
          <w:lang w:val="fr-FR"/>
        </w:rPr>
        <w:br/>
        <w:t>(point 6 de l’ordre du jour)</w:t>
      </w:r>
      <w:r>
        <w:rPr>
          <w:lang w:val="fr-FR"/>
        </w:rPr>
        <w:tab/>
      </w:r>
      <w:r>
        <w:rPr>
          <w:lang w:val="fr-FR"/>
        </w:rPr>
        <w:tab/>
        <w:t>51</w:t>
      </w:r>
      <w:r>
        <w:rPr>
          <w:lang w:val="fr-FR"/>
        </w:rPr>
        <w:tab/>
        <w:t>12</w:t>
      </w:r>
    </w:p>
    <w:p w14:paraId="04A1475C" w14:textId="77777777" w:rsidR="002A2902" w:rsidRPr="00AE0017" w:rsidRDefault="002A2902" w:rsidP="002A2902">
      <w:pPr>
        <w:tabs>
          <w:tab w:val="right" w:pos="850"/>
          <w:tab w:val="right" w:leader="dot" w:pos="7654"/>
          <w:tab w:val="right" w:pos="8929"/>
          <w:tab w:val="right" w:pos="9638"/>
        </w:tabs>
        <w:spacing w:after="120"/>
        <w:ind w:left="1134" w:hanging="1134"/>
      </w:pPr>
      <w:r>
        <w:rPr>
          <w:lang w:val="fr-FR"/>
        </w:rPr>
        <w:tab/>
        <w:t>IX.</w:t>
      </w:r>
      <w:r>
        <w:rPr>
          <w:lang w:val="fr-FR"/>
        </w:rPr>
        <w:tab/>
        <w:t>Renforcement des capacités (point 7 de l’ordre du jour)</w:t>
      </w:r>
      <w:r>
        <w:rPr>
          <w:lang w:val="fr-FR"/>
        </w:rPr>
        <w:tab/>
      </w:r>
      <w:r>
        <w:rPr>
          <w:lang w:val="fr-FR"/>
        </w:rPr>
        <w:tab/>
        <w:t>52−53</w:t>
      </w:r>
      <w:r>
        <w:rPr>
          <w:lang w:val="fr-FR"/>
        </w:rPr>
        <w:tab/>
        <w:t>12</w:t>
      </w:r>
    </w:p>
    <w:p w14:paraId="3A3B53BD" w14:textId="77777777" w:rsidR="002A2902" w:rsidRPr="00AE0017" w:rsidRDefault="002A2902" w:rsidP="002A2902">
      <w:pPr>
        <w:tabs>
          <w:tab w:val="right" w:pos="850"/>
          <w:tab w:val="right" w:leader="dot" w:pos="7654"/>
          <w:tab w:val="right" w:pos="8929"/>
          <w:tab w:val="right" w:pos="9638"/>
        </w:tabs>
        <w:spacing w:after="120"/>
        <w:ind w:left="1134" w:hanging="1134"/>
      </w:pPr>
      <w:r>
        <w:rPr>
          <w:lang w:val="fr-FR"/>
        </w:rPr>
        <w:tab/>
        <w:t>X.</w:t>
      </w:r>
      <w:r>
        <w:rPr>
          <w:lang w:val="fr-FR"/>
        </w:rPr>
        <w:tab/>
        <w:t xml:space="preserve">Programme de travail pour l’exercice biennal 2021-2022 </w:t>
      </w:r>
      <w:r>
        <w:rPr>
          <w:lang w:val="fr-FR"/>
        </w:rPr>
        <w:br/>
        <w:t>(point 8 de l’ordre du jour)</w:t>
      </w:r>
      <w:r>
        <w:rPr>
          <w:lang w:val="fr-FR"/>
        </w:rPr>
        <w:tab/>
      </w:r>
      <w:r>
        <w:rPr>
          <w:lang w:val="fr-FR"/>
        </w:rPr>
        <w:tab/>
        <w:t>54−55</w:t>
      </w:r>
      <w:r>
        <w:rPr>
          <w:lang w:val="fr-FR"/>
        </w:rPr>
        <w:tab/>
        <w:t>13</w:t>
      </w:r>
    </w:p>
    <w:p w14:paraId="11083FCC" w14:textId="77777777" w:rsidR="002A2902" w:rsidRPr="00AE0017" w:rsidRDefault="002A2902" w:rsidP="002A2902">
      <w:pPr>
        <w:tabs>
          <w:tab w:val="right" w:pos="850"/>
          <w:tab w:val="right" w:leader="dot" w:pos="7654"/>
          <w:tab w:val="right" w:pos="8929"/>
          <w:tab w:val="right" w:pos="9638"/>
        </w:tabs>
        <w:spacing w:after="120"/>
        <w:ind w:left="1134" w:hanging="1134"/>
      </w:pPr>
      <w:r>
        <w:rPr>
          <w:lang w:val="fr-FR"/>
        </w:rPr>
        <w:tab/>
        <w:t>XI.</w:t>
      </w:r>
      <w:r>
        <w:rPr>
          <w:lang w:val="fr-FR"/>
        </w:rPr>
        <w:tab/>
        <w:t xml:space="preserve">Projet de résolution 2021/… du Conseil économique et social </w:t>
      </w:r>
      <w:r>
        <w:rPr>
          <w:lang w:val="fr-FR"/>
        </w:rPr>
        <w:br/>
        <w:t>(point 9 de l’ordre du jour)</w:t>
      </w:r>
      <w:r>
        <w:rPr>
          <w:lang w:val="fr-FR"/>
        </w:rPr>
        <w:tab/>
      </w:r>
      <w:r>
        <w:rPr>
          <w:lang w:val="fr-FR"/>
        </w:rPr>
        <w:tab/>
        <w:t>56</w:t>
      </w:r>
      <w:r>
        <w:rPr>
          <w:lang w:val="fr-FR"/>
        </w:rPr>
        <w:tab/>
        <w:t>13</w:t>
      </w:r>
    </w:p>
    <w:p w14:paraId="04842930" w14:textId="77777777" w:rsidR="002A2902" w:rsidRPr="00AE0017" w:rsidRDefault="002A2902" w:rsidP="002A2902">
      <w:pPr>
        <w:tabs>
          <w:tab w:val="right" w:pos="850"/>
          <w:tab w:val="right" w:leader="dot" w:pos="7654"/>
          <w:tab w:val="right" w:pos="8929"/>
          <w:tab w:val="right" w:pos="9638"/>
        </w:tabs>
        <w:spacing w:after="120"/>
        <w:ind w:left="1134" w:hanging="1134"/>
      </w:pPr>
      <w:r>
        <w:rPr>
          <w:lang w:val="fr-FR"/>
        </w:rPr>
        <w:tab/>
        <w:t>XII.</w:t>
      </w:r>
      <w:r>
        <w:rPr>
          <w:lang w:val="fr-FR"/>
        </w:rPr>
        <w:tab/>
        <w:t xml:space="preserve">Élection du Bureau pour l’exercice biennal 2021-2022 </w:t>
      </w:r>
      <w:r>
        <w:rPr>
          <w:lang w:val="fr-FR"/>
        </w:rPr>
        <w:br/>
        <w:t>(point 10 de l’ordre du jour)</w:t>
      </w:r>
      <w:r>
        <w:rPr>
          <w:lang w:val="fr-FR"/>
        </w:rPr>
        <w:tab/>
      </w:r>
      <w:r>
        <w:rPr>
          <w:lang w:val="fr-FR"/>
        </w:rPr>
        <w:tab/>
        <w:t>57−58</w:t>
      </w:r>
      <w:r>
        <w:rPr>
          <w:lang w:val="fr-FR"/>
        </w:rPr>
        <w:tab/>
        <w:t>13</w:t>
      </w:r>
    </w:p>
    <w:p w14:paraId="5D2CD321" w14:textId="77777777" w:rsidR="002A2902" w:rsidRPr="00AE0017" w:rsidRDefault="002A2902" w:rsidP="002A2902">
      <w:pPr>
        <w:tabs>
          <w:tab w:val="right" w:pos="850"/>
          <w:tab w:val="right" w:leader="dot" w:pos="7654"/>
          <w:tab w:val="right" w:pos="8929"/>
          <w:tab w:val="right" w:pos="9638"/>
        </w:tabs>
        <w:spacing w:after="120"/>
        <w:ind w:left="1134" w:hanging="1134"/>
      </w:pPr>
      <w:r>
        <w:rPr>
          <w:lang w:val="fr-FR"/>
        </w:rPr>
        <w:tab/>
        <w:t>XIII.</w:t>
      </w:r>
      <w:r>
        <w:rPr>
          <w:lang w:val="fr-FR"/>
        </w:rPr>
        <w:tab/>
        <w:t>Questions diverses (point 11 de l’ordre du jour)</w:t>
      </w:r>
      <w:r>
        <w:rPr>
          <w:lang w:val="fr-FR"/>
        </w:rPr>
        <w:tab/>
      </w:r>
      <w:r>
        <w:rPr>
          <w:lang w:val="fr-FR"/>
        </w:rPr>
        <w:tab/>
        <w:t>59−61</w:t>
      </w:r>
      <w:r>
        <w:rPr>
          <w:lang w:val="fr-FR"/>
        </w:rPr>
        <w:tab/>
        <w:t>14</w:t>
      </w:r>
    </w:p>
    <w:p w14:paraId="1BAC77C6" w14:textId="77777777" w:rsidR="002A2902" w:rsidRPr="00AE0017" w:rsidRDefault="002A2902" w:rsidP="002A2902">
      <w:pPr>
        <w:tabs>
          <w:tab w:val="right" w:leader="dot" w:pos="7654"/>
          <w:tab w:val="right" w:pos="8929"/>
          <w:tab w:val="right" w:pos="9638"/>
        </w:tabs>
        <w:spacing w:after="120"/>
        <w:ind w:left="1559" w:hanging="425"/>
      </w:pPr>
      <w:r>
        <w:rPr>
          <w:lang w:val="fr-FR"/>
        </w:rPr>
        <w:t>A.</w:t>
      </w:r>
      <w:r>
        <w:rPr>
          <w:lang w:val="fr-FR"/>
        </w:rPr>
        <w:tab/>
        <w:t>Hommages</w:t>
      </w:r>
      <w:r>
        <w:rPr>
          <w:lang w:val="fr-FR"/>
        </w:rPr>
        <w:tab/>
      </w:r>
      <w:r>
        <w:rPr>
          <w:lang w:val="fr-FR"/>
        </w:rPr>
        <w:tab/>
        <w:t>59−60</w:t>
      </w:r>
      <w:r>
        <w:rPr>
          <w:lang w:val="fr-FR"/>
        </w:rPr>
        <w:tab/>
        <w:t>14</w:t>
      </w:r>
    </w:p>
    <w:p w14:paraId="427BB827" w14:textId="77777777" w:rsidR="002A2902" w:rsidRPr="00AE0017" w:rsidRDefault="002A2902" w:rsidP="002A2902">
      <w:pPr>
        <w:tabs>
          <w:tab w:val="right" w:leader="dot" w:pos="7654"/>
          <w:tab w:val="right" w:pos="8929"/>
          <w:tab w:val="right" w:pos="9638"/>
        </w:tabs>
        <w:spacing w:after="120"/>
        <w:ind w:left="1559" w:hanging="425"/>
      </w:pPr>
      <w:r>
        <w:rPr>
          <w:lang w:val="fr-FR"/>
        </w:rPr>
        <w:lastRenderedPageBreak/>
        <w:t>B.</w:t>
      </w:r>
      <w:r>
        <w:rPr>
          <w:lang w:val="fr-FR"/>
        </w:rPr>
        <w:tab/>
        <w:t>Dates de la session suivante et date limite de soumission des documents</w:t>
      </w:r>
      <w:r>
        <w:rPr>
          <w:lang w:val="fr-FR"/>
        </w:rPr>
        <w:tab/>
      </w:r>
      <w:r>
        <w:rPr>
          <w:lang w:val="fr-FR"/>
        </w:rPr>
        <w:tab/>
        <w:t>61</w:t>
      </w:r>
      <w:r>
        <w:rPr>
          <w:lang w:val="fr-FR"/>
        </w:rPr>
        <w:tab/>
        <w:t>14</w:t>
      </w:r>
    </w:p>
    <w:p w14:paraId="1F54861D" w14:textId="77777777" w:rsidR="002A2902" w:rsidRPr="00AE0017" w:rsidRDefault="002A2902" w:rsidP="002A2902">
      <w:pPr>
        <w:tabs>
          <w:tab w:val="right" w:pos="850"/>
          <w:tab w:val="right" w:leader="dot" w:pos="7654"/>
          <w:tab w:val="right" w:pos="8929"/>
          <w:tab w:val="right" w:pos="9638"/>
        </w:tabs>
        <w:spacing w:after="120"/>
        <w:ind w:left="1134" w:hanging="1134"/>
      </w:pPr>
      <w:r>
        <w:rPr>
          <w:lang w:val="fr-FR"/>
        </w:rPr>
        <w:tab/>
        <w:t>XIV.</w:t>
      </w:r>
      <w:r>
        <w:rPr>
          <w:lang w:val="fr-FR"/>
        </w:rPr>
        <w:tab/>
        <w:t>Adoption du rapport (point 12 de l’ordre du jour)</w:t>
      </w:r>
      <w:r>
        <w:rPr>
          <w:lang w:val="fr-FR"/>
        </w:rPr>
        <w:tab/>
      </w:r>
      <w:r>
        <w:rPr>
          <w:lang w:val="fr-FR"/>
        </w:rPr>
        <w:tab/>
        <w:t>62</w:t>
      </w:r>
      <w:r>
        <w:rPr>
          <w:lang w:val="fr-FR"/>
        </w:rPr>
        <w:tab/>
        <w:t>14</w:t>
      </w:r>
    </w:p>
    <w:p w14:paraId="08A9C721" w14:textId="77777777" w:rsidR="002A2902" w:rsidRPr="00AE0017" w:rsidRDefault="002A2902" w:rsidP="002A2902">
      <w:pPr>
        <w:tabs>
          <w:tab w:val="right" w:pos="850"/>
          <w:tab w:val="left" w:pos="1134"/>
          <w:tab w:val="left" w:pos="1559"/>
          <w:tab w:val="left" w:pos="1984"/>
          <w:tab w:val="left" w:leader="dot" w:pos="7654"/>
          <w:tab w:val="right" w:pos="8929"/>
          <w:tab w:val="right" w:pos="9638"/>
        </w:tabs>
        <w:spacing w:after="120"/>
        <w:ind w:left="1560" w:hanging="1560"/>
      </w:pPr>
      <w:r>
        <w:rPr>
          <w:lang w:val="fr-FR"/>
        </w:rPr>
        <w:t xml:space="preserve">Annexes </w:t>
      </w:r>
    </w:p>
    <w:p w14:paraId="7448E020" w14:textId="77777777" w:rsidR="002A2902" w:rsidRPr="00AE0017" w:rsidRDefault="002A2902" w:rsidP="002A2902">
      <w:pPr>
        <w:tabs>
          <w:tab w:val="right" w:pos="850"/>
          <w:tab w:val="right" w:leader="dot" w:pos="8929"/>
          <w:tab w:val="right" w:pos="9638"/>
        </w:tabs>
        <w:spacing w:after="120"/>
        <w:ind w:left="1134" w:hanging="1134"/>
      </w:pPr>
      <w:r>
        <w:rPr>
          <w:lang w:val="fr-FR"/>
        </w:rPr>
        <w:tab/>
        <w:t>I.</w:t>
      </w:r>
      <w:r>
        <w:rPr>
          <w:lang w:val="fr-FR"/>
        </w:rPr>
        <w:tab/>
      </w:r>
      <w:r w:rsidRPr="00412DEA">
        <w:t>Projet</w:t>
      </w:r>
      <w:r w:rsidRPr="004867C2">
        <w:rPr>
          <w:lang w:val="fr-FR"/>
        </w:rPr>
        <w:t xml:space="preserve"> d</w:t>
      </w:r>
      <w:r>
        <w:rPr>
          <w:lang w:val="fr-FR"/>
        </w:rPr>
        <w:t>’</w:t>
      </w:r>
      <w:r w:rsidRPr="004867C2">
        <w:rPr>
          <w:lang w:val="fr-FR"/>
        </w:rPr>
        <w:t>amendements à la huitième édition révisée du SGH (ST/SG/AC.10/30/Rev.8)</w:t>
      </w:r>
      <w:r>
        <w:rPr>
          <w:lang w:val="fr-FR"/>
        </w:rPr>
        <w:tab/>
      </w:r>
      <w:r>
        <w:rPr>
          <w:lang w:val="fr-FR"/>
        </w:rPr>
        <w:tab/>
        <w:t>15</w:t>
      </w:r>
    </w:p>
    <w:p w14:paraId="2ACB3319" w14:textId="77777777" w:rsidR="002A2902" w:rsidRPr="00AE0017" w:rsidRDefault="002A2902" w:rsidP="002A2902">
      <w:pPr>
        <w:tabs>
          <w:tab w:val="right" w:pos="850"/>
          <w:tab w:val="right" w:leader="dot" w:pos="8929"/>
          <w:tab w:val="right" w:pos="9638"/>
        </w:tabs>
        <w:spacing w:after="120"/>
        <w:ind w:left="1134" w:hanging="1134"/>
      </w:pPr>
      <w:r>
        <w:rPr>
          <w:lang w:val="fr-FR"/>
        </w:rPr>
        <w:tab/>
        <w:t>II.</w:t>
      </w:r>
      <w:r>
        <w:rPr>
          <w:lang w:val="fr-FR"/>
        </w:rPr>
        <w:tab/>
      </w:r>
      <w:r w:rsidRPr="004867C2">
        <w:rPr>
          <w:lang w:val="fr-FR"/>
        </w:rPr>
        <w:t>Programme de travail du Sous-Comité pour la période biennale 2021-2022</w:t>
      </w:r>
      <w:r>
        <w:rPr>
          <w:lang w:val="fr-FR"/>
        </w:rPr>
        <w:tab/>
      </w:r>
      <w:r>
        <w:rPr>
          <w:lang w:val="fr-FR"/>
        </w:rPr>
        <w:tab/>
        <w:t>21</w:t>
      </w:r>
    </w:p>
    <w:p w14:paraId="50740924" w14:textId="77777777" w:rsidR="00D9689A" w:rsidRDefault="00D9689A">
      <w:pPr>
        <w:suppressAutoHyphens w:val="0"/>
        <w:kinsoku/>
        <w:overflowPunct/>
        <w:autoSpaceDE/>
        <w:autoSpaceDN/>
        <w:adjustRightInd/>
        <w:snapToGrid/>
        <w:spacing w:after="200" w:line="276" w:lineRule="auto"/>
        <w:rPr>
          <w:b/>
          <w:sz w:val="28"/>
          <w:lang w:val="fr-FR"/>
        </w:rPr>
      </w:pPr>
      <w:r>
        <w:rPr>
          <w:lang w:val="fr-FR"/>
        </w:rPr>
        <w:br w:type="page"/>
      </w:r>
    </w:p>
    <w:p w14:paraId="0E8F99BA" w14:textId="77777777" w:rsidR="002A2200" w:rsidRPr="00AE0017" w:rsidRDefault="002A2200" w:rsidP="002A2200">
      <w:pPr>
        <w:pStyle w:val="HChG"/>
      </w:pPr>
      <w:r>
        <w:rPr>
          <w:lang w:val="fr-FR"/>
        </w:rPr>
        <w:lastRenderedPageBreak/>
        <w:tab/>
        <w:t>I.</w:t>
      </w:r>
      <w:r>
        <w:rPr>
          <w:lang w:val="fr-FR"/>
        </w:rPr>
        <w:tab/>
      </w:r>
      <w:r>
        <w:rPr>
          <w:bCs/>
          <w:lang w:val="fr-FR"/>
        </w:rPr>
        <w:t>Participation</w:t>
      </w:r>
    </w:p>
    <w:p w14:paraId="36091A69" w14:textId="77777777" w:rsidR="002A2200" w:rsidRPr="00AE0017" w:rsidRDefault="002A2200" w:rsidP="002A2200">
      <w:pPr>
        <w:pStyle w:val="SingleTxtG"/>
      </w:pPr>
      <w:r>
        <w:rPr>
          <w:lang w:val="fr-FR"/>
        </w:rPr>
        <w:t>1.</w:t>
      </w:r>
      <w:r>
        <w:rPr>
          <w:lang w:val="fr-FR"/>
        </w:rPr>
        <w:tab/>
        <w:t>Le Sous-Comité d</w:t>
      </w:r>
      <w:r w:rsidR="00412DEA">
        <w:rPr>
          <w:lang w:val="fr-FR"/>
        </w:rPr>
        <w:t>’</w:t>
      </w:r>
      <w:r>
        <w:rPr>
          <w:lang w:val="fr-FR"/>
        </w:rPr>
        <w:t>experts du Système général harmonisé de classification et d</w:t>
      </w:r>
      <w:r w:rsidR="00412DEA">
        <w:rPr>
          <w:lang w:val="fr-FR"/>
        </w:rPr>
        <w:t>’</w:t>
      </w:r>
      <w:r>
        <w:rPr>
          <w:lang w:val="fr-FR"/>
        </w:rPr>
        <w:t>étiquetage des produits chimiques a tenu sa trente-neuvième session du 9 au 11 décembre 2020, sous la présidence de M</w:t>
      </w:r>
      <w:r>
        <w:rPr>
          <w:vertAlign w:val="superscript"/>
          <w:lang w:val="fr-FR"/>
        </w:rPr>
        <w:t>me</w:t>
      </w:r>
      <w:r>
        <w:rPr>
          <w:lang w:val="fr-FR"/>
        </w:rPr>
        <w:t xml:space="preserve"> Maureen Ruskin (États-Unis d</w:t>
      </w:r>
      <w:r w:rsidR="00412DEA">
        <w:rPr>
          <w:lang w:val="fr-FR"/>
        </w:rPr>
        <w:t>’</w:t>
      </w:r>
      <w:r>
        <w:rPr>
          <w:lang w:val="fr-FR"/>
        </w:rPr>
        <w:t>Amérique).</w:t>
      </w:r>
    </w:p>
    <w:p w14:paraId="1646FD92" w14:textId="77777777" w:rsidR="002A2200" w:rsidRPr="00AE0017" w:rsidRDefault="002A2200" w:rsidP="002A2200">
      <w:pPr>
        <w:pStyle w:val="SingleTxtG"/>
      </w:pPr>
      <w:r>
        <w:rPr>
          <w:lang w:val="fr-FR"/>
        </w:rPr>
        <w:t>2.</w:t>
      </w:r>
      <w:r>
        <w:rPr>
          <w:lang w:val="fr-FR"/>
        </w:rPr>
        <w:tab/>
        <w:t>Ont participé à la session des experts des pays suivants : Afrique du Sud, Allemagne, Argentine, Australie, Autriche, Brésil, Canada, Chine, Espagne, États-Unis d</w:t>
      </w:r>
      <w:r w:rsidR="00412DEA">
        <w:rPr>
          <w:lang w:val="fr-FR"/>
        </w:rPr>
        <w:t>’</w:t>
      </w:r>
      <w:r>
        <w:rPr>
          <w:lang w:val="fr-FR"/>
        </w:rPr>
        <w:t>Amérique, Finlande, France, Italie, Japon, Norvège, Nouvelle-Zélande, Pays-Bas, Pologne, République de Corée, Royaume-Uni de Grande-Bretagne et d</w:t>
      </w:r>
      <w:r w:rsidR="00412DEA">
        <w:rPr>
          <w:lang w:val="fr-FR"/>
        </w:rPr>
        <w:t>’</w:t>
      </w:r>
      <w:r>
        <w:rPr>
          <w:lang w:val="fr-FR"/>
        </w:rPr>
        <w:t>Irlande du Nord, Serbie, Suède et Zambie.</w:t>
      </w:r>
    </w:p>
    <w:p w14:paraId="3C7A9232" w14:textId="77777777" w:rsidR="002A2200" w:rsidRPr="00AE0017" w:rsidRDefault="002A2200" w:rsidP="004F36B2">
      <w:pPr>
        <w:pStyle w:val="SingleTxtG"/>
      </w:pPr>
      <w:r>
        <w:rPr>
          <w:lang w:val="fr-FR"/>
        </w:rPr>
        <w:t>3.</w:t>
      </w:r>
      <w:r>
        <w:rPr>
          <w:lang w:val="fr-FR"/>
        </w:rPr>
        <w:tab/>
        <w:t>Conformément à l</w:t>
      </w:r>
      <w:r w:rsidR="00412DEA">
        <w:rPr>
          <w:lang w:val="fr-FR"/>
        </w:rPr>
        <w:t>’</w:t>
      </w:r>
      <w:r>
        <w:rPr>
          <w:lang w:val="fr-FR"/>
        </w:rPr>
        <w:t xml:space="preserve">article 72 du Règlement intérieur du Conseil économique et social, y ont également participé des observateurs </w:t>
      </w:r>
      <w:r w:rsidR="004F36B2">
        <w:rPr>
          <w:lang w:val="fr-FR"/>
        </w:rPr>
        <w:t xml:space="preserve">du </w:t>
      </w:r>
      <w:r w:rsidR="004F36B2" w:rsidRPr="004F36B2">
        <w:t xml:space="preserve">Chili, </w:t>
      </w:r>
      <w:r w:rsidR="004F36B2">
        <w:t xml:space="preserve">du </w:t>
      </w:r>
      <w:r w:rsidR="004F36B2" w:rsidRPr="004F36B2">
        <w:t xml:space="preserve">Myanmar, </w:t>
      </w:r>
      <w:r w:rsidR="004F36B2">
        <w:t xml:space="preserve">du </w:t>
      </w:r>
      <w:r w:rsidR="004F36B2" w:rsidRPr="004F36B2">
        <w:t xml:space="preserve">Pérou, </w:t>
      </w:r>
      <w:r w:rsidR="004F36B2">
        <w:t xml:space="preserve">des </w:t>
      </w:r>
      <w:r w:rsidR="004F36B2" w:rsidRPr="004F36B2">
        <w:t xml:space="preserve">Philippines </w:t>
      </w:r>
      <w:r w:rsidR="004F36B2">
        <w:t xml:space="preserve">et de la </w:t>
      </w:r>
      <w:r w:rsidR="004F36B2" w:rsidRPr="004F36B2">
        <w:t>Suisse</w:t>
      </w:r>
      <w:r>
        <w:rPr>
          <w:lang w:val="fr-FR"/>
        </w:rPr>
        <w:t>.</w:t>
      </w:r>
    </w:p>
    <w:p w14:paraId="45475EEE" w14:textId="77777777" w:rsidR="002A2200" w:rsidRPr="00AE0017" w:rsidRDefault="002A2200" w:rsidP="002A2200">
      <w:pPr>
        <w:pStyle w:val="SingleTxtG"/>
      </w:pPr>
      <w:r>
        <w:rPr>
          <w:lang w:val="fr-FR"/>
        </w:rPr>
        <w:t>4.</w:t>
      </w:r>
      <w:r>
        <w:rPr>
          <w:lang w:val="fr-FR"/>
        </w:rPr>
        <w:tab/>
        <w:t>Étaient également représentées les organisations intergouvernementales suivantes : Organisation de coopération et de développement économiques (OCDE) et Union européenne (UE).</w:t>
      </w:r>
    </w:p>
    <w:p w14:paraId="5E11B756" w14:textId="77777777" w:rsidR="002A2200" w:rsidRPr="00AE0017" w:rsidRDefault="002A2200" w:rsidP="002A2200">
      <w:pPr>
        <w:pStyle w:val="SingleTxtG"/>
      </w:pPr>
      <w:r>
        <w:rPr>
          <w:lang w:val="fr-FR"/>
        </w:rPr>
        <w:t>5.</w:t>
      </w:r>
      <w:r>
        <w:rPr>
          <w:lang w:val="fr-FR"/>
        </w:rPr>
        <w:tab/>
        <w:t>Ont participé aux débats sur les points intéressant leur organisation des représentants des organisations non gouvernementales suivantes : Australian Explosives Industry and Safety Group Incorporated (AEISG) ; Compressed Gas Association (CGA) ; CropLife International ; Conseil consultatif des marchandises dangereuses (DGAC) ; Association européenne des fournisseurs de l</w:t>
      </w:r>
      <w:r w:rsidR="00412DEA">
        <w:rPr>
          <w:lang w:val="fr-FR"/>
        </w:rPr>
        <w:t>’</w:t>
      </w:r>
      <w:r>
        <w:rPr>
          <w:lang w:val="fr-FR"/>
        </w:rPr>
        <w:t>automobile (CLEPA) ; Conseil européen de l</w:t>
      </w:r>
      <w:r w:rsidR="00412DEA">
        <w:rPr>
          <w:lang w:val="fr-FR"/>
        </w:rPr>
        <w:t>’</w:t>
      </w:r>
      <w:r>
        <w:rPr>
          <w:lang w:val="fr-FR"/>
        </w:rPr>
        <w:t>industrie chimique (CEFIC) ; Association européenne des gaz industriels (EIGA) ; Fédération européenne des aérosols (FEA) ; Fédération des industries de peintures et revêtements du Mercosul (FIPRM) ; Association internationale de la savonnerie, de la détergence et des produits d</w:t>
      </w:r>
      <w:r w:rsidR="00412DEA">
        <w:rPr>
          <w:lang w:val="fr-FR"/>
        </w:rPr>
        <w:t>’</w:t>
      </w:r>
      <w:r>
        <w:rPr>
          <w:lang w:val="fr-FR"/>
        </w:rPr>
        <w:t>entretien (AISE) ; Conseil international des mines et des métaux (CIMM) ; Association internationale de l</w:t>
      </w:r>
      <w:r w:rsidR="00412DEA">
        <w:rPr>
          <w:lang w:val="fr-FR"/>
        </w:rPr>
        <w:t>’</w:t>
      </w:r>
      <w:r>
        <w:rPr>
          <w:lang w:val="fr-FR"/>
        </w:rPr>
        <w:t>industrie pétrolière pour la conservation de l</w:t>
      </w:r>
      <w:r w:rsidR="00412DEA">
        <w:rPr>
          <w:lang w:val="fr-FR"/>
        </w:rPr>
        <w:t>’</w:t>
      </w:r>
      <w:r>
        <w:rPr>
          <w:lang w:val="fr-FR"/>
        </w:rPr>
        <w:t>environnement (IPIECA) ; Institute of Makers of Explosives (IME) ; Responsible Packaging Management Association of Southern Africa (RPMASA) ; Sporting Arms and Ammunition Manufacturers</w:t>
      </w:r>
      <w:r w:rsidR="00412DEA">
        <w:rPr>
          <w:lang w:val="fr-FR"/>
        </w:rPr>
        <w:t>’</w:t>
      </w:r>
      <w:r>
        <w:rPr>
          <w:lang w:val="fr-FR"/>
        </w:rPr>
        <w:t xml:space="preserve"> Institute (SAAMI) ; et World Coatings Council (anciennement IPPIC).</w:t>
      </w:r>
    </w:p>
    <w:p w14:paraId="68B34724" w14:textId="77777777" w:rsidR="002A2200" w:rsidRPr="00AE0017" w:rsidRDefault="002A2200" w:rsidP="002A2200">
      <w:pPr>
        <w:pStyle w:val="HChG"/>
      </w:pPr>
      <w:r>
        <w:rPr>
          <w:lang w:val="fr-FR"/>
        </w:rPr>
        <w:tab/>
        <w:t>II.</w:t>
      </w:r>
      <w:r>
        <w:rPr>
          <w:lang w:val="fr-FR"/>
        </w:rPr>
        <w:tab/>
      </w:r>
      <w:r>
        <w:rPr>
          <w:bCs/>
          <w:lang w:val="fr-FR"/>
        </w:rPr>
        <w:t>Questions d</w:t>
      </w:r>
      <w:r w:rsidR="00412DEA">
        <w:rPr>
          <w:bCs/>
          <w:lang w:val="fr-FR"/>
        </w:rPr>
        <w:t>’</w:t>
      </w:r>
      <w:r>
        <w:rPr>
          <w:bCs/>
          <w:lang w:val="fr-FR"/>
        </w:rPr>
        <w:t>organisation</w:t>
      </w:r>
    </w:p>
    <w:p w14:paraId="40BD154E" w14:textId="77777777" w:rsidR="002A2200" w:rsidRPr="00AE0017" w:rsidRDefault="002A2200" w:rsidP="00687C30">
      <w:pPr>
        <w:pStyle w:val="SingleTxtG"/>
        <w:tabs>
          <w:tab w:val="clear" w:pos="2268"/>
          <w:tab w:val="clear" w:pos="2835"/>
        </w:tabs>
        <w:ind w:left="3402" w:hanging="2268"/>
        <w:jc w:val="left"/>
      </w:pPr>
      <w:r>
        <w:rPr>
          <w:i/>
          <w:iCs/>
          <w:lang w:val="fr-FR"/>
        </w:rPr>
        <w:t>Document informel</w:t>
      </w:r>
      <w:r w:rsidR="004F36B2">
        <w:rPr>
          <w:i/>
          <w:iCs/>
          <w:lang w:val="fr-FR"/>
        </w:rPr>
        <w:t> </w:t>
      </w:r>
      <w:r>
        <w:rPr>
          <w:i/>
          <w:iCs/>
          <w:lang w:val="fr-FR"/>
        </w:rPr>
        <w:t>:</w:t>
      </w:r>
      <w:r>
        <w:rPr>
          <w:lang w:val="fr-FR"/>
        </w:rPr>
        <w:tab/>
        <w:t>INF.17 (secrétariat)</w:t>
      </w:r>
      <w:r w:rsidR="004F36B2">
        <w:rPr>
          <w:lang w:val="fr-FR"/>
        </w:rPr>
        <w:t>.</w:t>
      </w:r>
    </w:p>
    <w:p w14:paraId="30E73A63" w14:textId="77777777" w:rsidR="002A2200" w:rsidRPr="00AE0017" w:rsidRDefault="002A2200" w:rsidP="004F36B2">
      <w:pPr>
        <w:pStyle w:val="SingleTxtG"/>
      </w:pPr>
      <w:r>
        <w:rPr>
          <w:lang w:val="fr-FR"/>
        </w:rPr>
        <w:t>6.</w:t>
      </w:r>
      <w:r>
        <w:rPr>
          <w:lang w:val="fr-FR"/>
        </w:rPr>
        <w:tab/>
        <w:t>En raison de l</w:t>
      </w:r>
      <w:r w:rsidR="00412DEA">
        <w:rPr>
          <w:lang w:val="fr-FR"/>
        </w:rPr>
        <w:t>’</w:t>
      </w:r>
      <w:r>
        <w:rPr>
          <w:lang w:val="fr-FR"/>
        </w:rPr>
        <w:t>apparition et de l</w:t>
      </w:r>
      <w:r w:rsidR="00412DEA">
        <w:rPr>
          <w:lang w:val="fr-FR"/>
        </w:rPr>
        <w:t>’</w:t>
      </w:r>
      <w:r>
        <w:rPr>
          <w:lang w:val="fr-FR"/>
        </w:rPr>
        <w:t xml:space="preserve">évolution de la pandémie de COVID-19 au cours du premier semestre </w:t>
      </w:r>
      <w:r w:rsidR="004F36B2">
        <w:rPr>
          <w:lang w:val="fr-FR"/>
        </w:rPr>
        <w:t xml:space="preserve">de </w:t>
      </w:r>
      <w:r>
        <w:rPr>
          <w:lang w:val="fr-FR"/>
        </w:rPr>
        <w:t>2020, la trente-neuvième session du Sous-Comité, initialement prévue du 8 au 10 juillet 2020, a été reportée à décembre. Pour aider le Sous-Comité à progresser dans l</w:t>
      </w:r>
      <w:r w:rsidR="00412DEA">
        <w:rPr>
          <w:lang w:val="fr-FR"/>
        </w:rPr>
        <w:t>’</w:t>
      </w:r>
      <w:r>
        <w:rPr>
          <w:lang w:val="fr-FR"/>
        </w:rPr>
        <w:t>examen des propositions déjà soumises pour la session de juillet, le secrétariat a mis en place une plateforme en ligne permett</w:t>
      </w:r>
      <w:r w:rsidR="004F36B2">
        <w:rPr>
          <w:lang w:val="fr-FR"/>
        </w:rPr>
        <w:t>a</w:t>
      </w:r>
      <w:r>
        <w:rPr>
          <w:lang w:val="fr-FR"/>
        </w:rPr>
        <w:t>nt d</w:t>
      </w:r>
      <w:r w:rsidR="00412DEA">
        <w:rPr>
          <w:lang w:val="fr-FR"/>
        </w:rPr>
        <w:t>’</w:t>
      </w:r>
      <w:r>
        <w:rPr>
          <w:lang w:val="fr-FR"/>
        </w:rPr>
        <w:t xml:space="preserve">échanger des observations par écrit et a organisé des réunions virtuelles informelles concernant les propositions pour lesquelles des échanges supplémentaires étaient nécessaires afin de préciser les </w:t>
      </w:r>
      <w:r w:rsidRPr="00FD12DA">
        <w:rPr>
          <w:lang w:val="fr-FR"/>
        </w:rPr>
        <w:t xml:space="preserve">observations </w:t>
      </w:r>
      <w:r>
        <w:rPr>
          <w:lang w:val="fr-FR"/>
        </w:rPr>
        <w:t>écrites reçues. À la suite de ces échanges, plusieurs propositions ont été modifiées pour tenir compte des observations reçues et ont été soumises en tant que révisions ou additifs aux documents originaux, pour examen à la session de décembre.</w:t>
      </w:r>
    </w:p>
    <w:p w14:paraId="31B7B4C4" w14:textId="77777777" w:rsidR="002A2200" w:rsidRPr="00AE0017" w:rsidRDefault="002A2200" w:rsidP="004F36B2">
      <w:pPr>
        <w:pStyle w:val="SingleTxtG"/>
      </w:pPr>
      <w:r>
        <w:rPr>
          <w:lang w:val="fr-FR"/>
        </w:rPr>
        <w:t>7.</w:t>
      </w:r>
      <w:r>
        <w:rPr>
          <w:lang w:val="fr-FR"/>
        </w:rPr>
        <w:tab/>
        <w:t>Après la date limite de soumission des documents officiels, le secrétariat a été informé que, en raison d</w:t>
      </w:r>
      <w:r w:rsidR="00412DEA">
        <w:rPr>
          <w:lang w:val="fr-FR"/>
        </w:rPr>
        <w:t>’</w:t>
      </w:r>
      <w:r>
        <w:rPr>
          <w:lang w:val="fr-FR"/>
        </w:rPr>
        <w:t>une combinaison de mesures d</w:t>
      </w:r>
      <w:r w:rsidR="00412DEA">
        <w:rPr>
          <w:lang w:val="fr-FR"/>
        </w:rPr>
        <w:t>’</w:t>
      </w:r>
      <w:r>
        <w:rPr>
          <w:lang w:val="fr-FR"/>
        </w:rPr>
        <w:t>intervention relatives à la pandémie de COVID-19, de contraintes financières consécutives à la crise de liquidités à laquelle était confrontée l</w:t>
      </w:r>
      <w:r w:rsidR="00412DEA">
        <w:rPr>
          <w:lang w:val="fr-FR"/>
        </w:rPr>
        <w:t>’</w:t>
      </w:r>
      <w:r>
        <w:rPr>
          <w:lang w:val="fr-FR"/>
        </w:rPr>
        <w:t>ONU, des travaux de rénovation en cours au Palais des Nations dans le cadre du Plan stratégique patrimonial et de contraintes techniques liées au nombre de salles de réunion disponibles pour des réunions hybrides, la part des services de réunion avec interprétation allouée aux réunions dont la Commission économique pour l</w:t>
      </w:r>
      <w:r w:rsidR="00412DEA">
        <w:rPr>
          <w:lang w:val="fr-FR"/>
        </w:rPr>
        <w:t>’</w:t>
      </w:r>
      <w:r>
        <w:rPr>
          <w:lang w:val="fr-FR"/>
        </w:rPr>
        <w:t>Europe assurait le service avait été considérablement réduite pour le dernier trimestre de 2020. Dans ce contexte et compte tenu des quarantaines et des restrictions de voyage en vigueur dans le monde entier, le secrétariat a consulté les services de conférence sur les options disponibles pour adapter l</w:t>
      </w:r>
      <w:r w:rsidR="00412DEA">
        <w:rPr>
          <w:lang w:val="fr-FR"/>
        </w:rPr>
        <w:t>’</w:t>
      </w:r>
      <w:r w:rsidRPr="00BC2539">
        <w:rPr>
          <w:lang w:val="fr-FR"/>
        </w:rPr>
        <w:t>or</w:t>
      </w:r>
      <w:r>
        <w:rPr>
          <w:lang w:val="fr-FR"/>
        </w:rPr>
        <w:t>ganisation de la trente-neuvième session.</w:t>
      </w:r>
    </w:p>
    <w:p w14:paraId="6F9EA402" w14:textId="77777777" w:rsidR="002A2200" w:rsidRPr="00AE0017" w:rsidRDefault="002A2200" w:rsidP="004F36B2">
      <w:pPr>
        <w:pStyle w:val="SingleTxtG"/>
      </w:pPr>
      <w:r>
        <w:rPr>
          <w:lang w:val="fr-FR"/>
        </w:rPr>
        <w:t>8.</w:t>
      </w:r>
      <w:r>
        <w:rPr>
          <w:lang w:val="fr-FR"/>
        </w:rPr>
        <w:tab/>
        <w:t>Le 12 octobre 2020, la Présidente a envoyé à tous les participants aux travaux du Sous</w:t>
      </w:r>
      <w:r w:rsidR="004F36B2">
        <w:rPr>
          <w:lang w:val="fr-FR"/>
        </w:rPr>
        <w:noBreakHyphen/>
      </w:r>
      <w:r>
        <w:rPr>
          <w:lang w:val="fr-FR"/>
        </w:rPr>
        <w:t>Comité pendant l</w:t>
      </w:r>
      <w:r w:rsidR="00412DEA">
        <w:rPr>
          <w:lang w:val="fr-FR"/>
        </w:rPr>
        <w:t>’</w:t>
      </w:r>
      <w:r>
        <w:rPr>
          <w:lang w:val="fr-FR"/>
        </w:rPr>
        <w:t xml:space="preserve">exercice biennal 2019-2020 et aux Missions permanentes de leurs </w:t>
      </w:r>
      <w:r>
        <w:rPr>
          <w:lang w:val="fr-FR"/>
        </w:rPr>
        <w:lastRenderedPageBreak/>
        <w:t>pays auprès de l</w:t>
      </w:r>
      <w:r w:rsidR="00412DEA">
        <w:rPr>
          <w:lang w:val="fr-FR"/>
        </w:rPr>
        <w:t>’</w:t>
      </w:r>
      <w:r>
        <w:rPr>
          <w:lang w:val="fr-FR"/>
        </w:rPr>
        <w:t xml:space="preserve">Office des Nations </w:t>
      </w:r>
      <w:r w:rsidR="004F36B2">
        <w:rPr>
          <w:lang w:val="fr-FR"/>
        </w:rPr>
        <w:t>U</w:t>
      </w:r>
      <w:r>
        <w:rPr>
          <w:lang w:val="fr-FR"/>
        </w:rPr>
        <w:t>nies à Genève une lettre comportant une proposition d</w:t>
      </w:r>
      <w:r w:rsidR="00412DEA">
        <w:rPr>
          <w:lang w:val="fr-FR"/>
        </w:rPr>
        <w:t>’</w:t>
      </w:r>
      <w:r>
        <w:rPr>
          <w:lang w:val="fr-FR"/>
        </w:rPr>
        <w:t>organisation des travaux de la trente-neuvième session accompagnée d</w:t>
      </w:r>
      <w:r w:rsidR="00412DEA">
        <w:rPr>
          <w:lang w:val="fr-FR"/>
        </w:rPr>
        <w:t>’</w:t>
      </w:r>
      <w:r>
        <w:rPr>
          <w:lang w:val="fr-FR"/>
        </w:rPr>
        <w:t>une demande d</w:t>
      </w:r>
      <w:r w:rsidR="00412DEA">
        <w:rPr>
          <w:lang w:val="fr-FR"/>
        </w:rPr>
        <w:t>’</w:t>
      </w:r>
      <w:r>
        <w:rPr>
          <w:lang w:val="fr-FR"/>
        </w:rPr>
        <w:t>examen dans le cadre d</w:t>
      </w:r>
      <w:r w:rsidR="00412DEA">
        <w:rPr>
          <w:lang w:val="fr-FR"/>
        </w:rPr>
        <w:t>’</w:t>
      </w:r>
      <w:r>
        <w:rPr>
          <w:lang w:val="fr-FR"/>
        </w:rPr>
        <w:t>une procédure d</w:t>
      </w:r>
      <w:r w:rsidR="00412DEA">
        <w:rPr>
          <w:lang w:val="fr-FR"/>
        </w:rPr>
        <w:t>’</w:t>
      </w:r>
      <w:r>
        <w:rPr>
          <w:lang w:val="fr-FR"/>
        </w:rPr>
        <w:t>approbation tacite. En l</w:t>
      </w:r>
      <w:r w:rsidR="00412DEA">
        <w:rPr>
          <w:lang w:val="fr-FR"/>
        </w:rPr>
        <w:t>’</w:t>
      </w:r>
      <w:r>
        <w:rPr>
          <w:lang w:val="fr-FR"/>
        </w:rPr>
        <w:t>absence d</w:t>
      </w:r>
      <w:r w:rsidR="00412DEA">
        <w:rPr>
          <w:lang w:val="fr-FR"/>
        </w:rPr>
        <w:t>’</w:t>
      </w:r>
      <w:r>
        <w:rPr>
          <w:lang w:val="fr-FR"/>
        </w:rPr>
        <w:t>objections reçues dans le délai imparti, les modalités de travail proposées ont été considérées comme acceptées.</w:t>
      </w:r>
    </w:p>
    <w:p w14:paraId="3406D4A4" w14:textId="77777777" w:rsidR="002A2200" w:rsidRPr="00AE0017" w:rsidRDefault="002A2200" w:rsidP="004F36B2">
      <w:pPr>
        <w:pStyle w:val="SingleTxtG"/>
      </w:pPr>
      <w:r>
        <w:rPr>
          <w:lang w:val="fr-FR"/>
        </w:rPr>
        <w:t>9.</w:t>
      </w:r>
      <w:r>
        <w:rPr>
          <w:lang w:val="fr-FR"/>
        </w:rPr>
        <w:tab/>
        <w:t>En conséquence, le secrétariat a remis en place la plateforme en ligne pour l</w:t>
      </w:r>
      <w:r w:rsidR="00412DEA">
        <w:rPr>
          <w:lang w:val="fr-FR"/>
        </w:rPr>
        <w:t>’</w:t>
      </w:r>
      <w:r>
        <w:rPr>
          <w:lang w:val="fr-FR"/>
        </w:rPr>
        <w:t>échange d</w:t>
      </w:r>
      <w:r w:rsidR="00412DEA">
        <w:rPr>
          <w:lang w:val="fr-FR"/>
        </w:rPr>
        <w:t>’</w:t>
      </w:r>
      <w:r>
        <w:rPr>
          <w:lang w:val="fr-FR"/>
        </w:rPr>
        <w:t>observations écrites sur toutes les propositions soumises pour examen à la trente-neuvième session, dès lors prévue en décembre, et a pris les dispositions nécessaires pour organiser celle-ci de manière à permettre la participation à distance ou sur place et en combinant réunions informelles et officielles, comme indiqué dans le document informel INF.17.</w:t>
      </w:r>
    </w:p>
    <w:p w14:paraId="0518716C" w14:textId="77777777" w:rsidR="002A2200" w:rsidRPr="00AE0017" w:rsidRDefault="002A2200" w:rsidP="004F36B2">
      <w:pPr>
        <w:pStyle w:val="HChG"/>
      </w:pPr>
      <w:r>
        <w:rPr>
          <w:lang w:val="fr-FR"/>
        </w:rPr>
        <w:tab/>
        <w:t>III.</w:t>
      </w:r>
      <w:r>
        <w:rPr>
          <w:lang w:val="fr-FR"/>
        </w:rPr>
        <w:tab/>
        <w:t>Adoption de l</w:t>
      </w:r>
      <w:r w:rsidR="00412DEA">
        <w:rPr>
          <w:lang w:val="fr-FR"/>
        </w:rPr>
        <w:t>’</w:t>
      </w:r>
      <w:r>
        <w:rPr>
          <w:lang w:val="fr-FR"/>
        </w:rPr>
        <w:t>ordre du jour (point 1 de l</w:t>
      </w:r>
      <w:r w:rsidR="00412DEA">
        <w:rPr>
          <w:lang w:val="fr-FR"/>
        </w:rPr>
        <w:t>’</w:t>
      </w:r>
      <w:r>
        <w:rPr>
          <w:lang w:val="fr-FR"/>
        </w:rPr>
        <w:t>ordre du jour)</w:t>
      </w:r>
    </w:p>
    <w:p w14:paraId="15C3E78C" w14:textId="77777777" w:rsidR="002A2200" w:rsidRPr="00AE0017" w:rsidRDefault="002A2200" w:rsidP="00687C30">
      <w:pPr>
        <w:pStyle w:val="SingleTxtG"/>
        <w:tabs>
          <w:tab w:val="clear" w:pos="2268"/>
          <w:tab w:val="clear" w:pos="2835"/>
        </w:tabs>
        <w:ind w:left="3402" w:hanging="2268"/>
        <w:jc w:val="left"/>
      </w:pPr>
      <w:r>
        <w:rPr>
          <w:i/>
          <w:iCs/>
          <w:lang w:val="fr-FR"/>
        </w:rPr>
        <w:t>Document</w:t>
      </w:r>
      <w:r w:rsidR="004F36B2">
        <w:rPr>
          <w:i/>
          <w:iCs/>
          <w:lang w:val="fr-FR"/>
        </w:rPr>
        <w:t>s </w:t>
      </w:r>
      <w:r>
        <w:rPr>
          <w:i/>
          <w:iCs/>
          <w:lang w:val="fr-FR"/>
        </w:rPr>
        <w:t>:</w:t>
      </w:r>
      <w:r>
        <w:rPr>
          <w:lang w:val="fr-FR"/>
        </w:rPr>
        <w:tab/>
        <w:t>ST/SG/AC.10/C.4/77/Rev.1 et Add.1 (secrétariat)</w:t>
      </w:r>
      <w:r w:rsidR="004F36B2">
        <w:rPr>
          <w:lang w:val="fr-FR"/>
        </w:rPr>
        <w:t>.</w:t>
      </w:r>
    </w:p>
    <w:p w14:paraId="179698E3" w14:textId="77777777" w:rsidR="002A2200" w:rsidRPr="00AE0017" w:rsidRDefault="002A2200" w:rsidP="00687C30">
      <w:pPr>
        <w:pStyle w:val="SingleTxtG"/>
        <w:tabs>
          <w:tab w:val="clear" w:pos="2268"/>
          <w:tab w:val="clear" w:pos="2835"/>
        </w:tabs>
        <w:ind w:left="3402" w:hanging="2268"/>
        <w:jc w:val="left"/>
      </w:pPr>
      <w:r>
        <w:rPr>
          <w:i/>
          <w:iCs/>
          <w:lang w:val="fr-FR"/>
        </w:rPr>
        <w:t>Documents informels</w:t>
      </w:r>
      <w:r w:rsidR="004F36B2">
        <w:rPr>
          <w:i/>
          <w:iCs/>
          <w:lang w:val="fr-FR"/>
        </w:rPr>
        <w:t> </w:t>
      </w:r>
      <w:r>
        <w:rPr>
          <w:i/>
          <w:iCs/>
          <w:lang w:val="fr-FR"/>
        </w:rPr>
        <w:t>:</w:t>
      </w:r>
      <w:r>
        <w:rPr>
          <w:lang w:val="fr-FR"/>
        </w:rPr>
        <w:tab/>
        <w:t>INF.1</w:t>
      </w:r>
      <w:r w:rsidRPr="00B8043C">
        <w:rPr>
          <w:lang w:val="fr-FR"/>
        </w:rPr>
        <w:t xml:space="preserve"> (secrétariat)</w:t>
      </w:r>
      <w:r>
        <w:rPr>
          <w:lang w:val="fr-FR"/>
        </w:rPr>
        <w:br/>
        <w:t>INF.2</w:t>
      </w:r>
      <w:r w:rsidRPr="00B8043C">
        <w:rPr>
          <w:lang w:val="fr-FR"/>
        </w:rPr>
        <w:t xml:space="preserve"> (secrétariat)</w:t>
      </w:r>
      <w:r>
        <w:rPr>
          <w:lang w:val="fr-FR"/>
        </w:rPr>
        <w:br/>
        <w:t>INF.35 (secrétariat)</w:t>
      </w:r>
      <w:r w:rsidR="004F36B2">
        <w:rPr>
          <w:lang w:val="fr-FR"/>
        </w:rPr>
        <w:t>.</w:t>
      </w:r>
    </w:p>
    <w:p w14:paraId="07740AB2" w14:textId="77777777" w:rsidR="002A2200" w:rsidRPr="00AE0017" w:rsidRDefault="002A2200" w:rsidP="004F36B2">
      <w:pPr>
        <w:pStyle w:val="SingleTxtG"/>
      </w:pPr>
      <w:r>
        <w:rPr>
          <w:lang w:val="fr-FR"/>
        </w:rPr>
        <w:t>10.</w:t>
      </w:r>
      <w:r>
        <w:rPr>
          <w:lang w:val="fr-FR"/>
        </w:rPr>
        <w:tab/>
        <w:t>Le Sous-Comité a adopté l</w:t>
      </w:r>
      <w:r w:rsidR="00412DEA">
        <w:rPr>
          <w:lang w:val="fr-FR"/>
        </w:rPr>
        <w:t>’</w:t>
      </w:r>
      <w:r>
        <w:rPr>
          <w:lang w:val="fr-FR"/>
        </w:rPr>
        <w:t>ordre du jour provisoire établi par le secrétariat après l</w:t>
      </w:r>
      <w:r w:rsidR="00412DEA">
        <w:rPr>
          <w:lang w:val="fr-FR"/>
        </w:rPr>
        <w:t>’</w:t>
      </w:r>
      <w:r>
        <w:rPr>
          <w:lang w:val="fr-FR"/>
        </w:rPr>
        <w:t>avoir modifié afin de tenir compte des documents informels INF.1 à INF.37. Le document informel INF.11 dans lequel figure le calendrier des débats informels tenus en juillet en préparation de la trente-neuvième session n</w:t>
      </w:r>
      <w:r w:rsidR="00412DEA">
        <w:rPr>
          <w:lang w:val="fr-FR"/>
        </w:rPr>
        <w:t>’</w:t>
      </w:r>
      <w:r>
        <w:rPr>
          <w:lang w:val="fr-FR"/>
        </w:rPr>
        <w:t>était plus d</w:t>
      </w:r>
      <w:r w:rsidR="00412DEA">
        <w:rPr>
          <w:lang w:val="fr-FR"/>
        </w:rPr>
        <w:t>’</w:t>
      </w:r>
      <w:r>
        <w:rPr>
          <w:lang w:val="fr-FR"/>
        </w:rPr>
        <w:t>actualité et n</w:t>
      </w:r>
      <w:r w:rsidR="00412DEA">
        <w:rPr>
          <w:lang w:val="fr-FR"/>
        </w:rPr>
        <w:t>’</w:t>
      </w:r>
      <w:r>
        <w:rPr>
          <w:lang w:val="fr-FR"/>
        </w:rPr>
        <w:t>a pas été examiné pendant la session.</w:t>
      </w:r>
    </w:p>
    <w:p w14:paraId="09CAF40F" w14:textId="77777777" w:rsidR="002A2200" w:rsidRPr="00AE0017" w:rsidRDefault="002A2200" w:rsidP="00687C30">
      <w:pPr>
        <w:pStyle w:val="HChG"/>
      </w:pPr>
      <w:r>
        <w:rPr>
          <w:lang w:val="fr-FR"/>
        </w:rPr>
        <w:tab/>
        <w:t>IV.</w:t>
      </w:r>
      <w:r>
        <w:rPr>
          <w:lang w:val="fr-FR"/>
        </w:rPr>
        <w:tab/>
        <w:t>Recommandations formulées par le Sous-Comité lors</w:t>
      </w:r>
      <w:r w:rsidR="00687C30">
        <w:rPr>
          <w:lang w:val="fr-FR"/>
        </w:rPr>
        <w:t xml:space="preserve"> </w:t>
      </w:r>
      <w:r w:rsidR="00687C30">
        <w:rPr>
          <w:lang w:val="fr-FR"/>
        </w:rPr>
        <w:br/>
      </w:r>
      <w:r>
        <w:rPr>
          <w:lang w:val="fr-FR"/>
        </w:rPr>
        <w:t>de</w:t>
      </w:r>
      <w:r w:rsidR="00687C30">
        <w:rPr>
          <w:lang w:val="fr-FR"/>
        </w:rPr>
        <w:t xml:space="preserve"> </w:t>
      </w:r>
      <w:r>
        <w:rPr>
          <w:lang w:val="fr-FR"/>
        </w:rPr>
        <w:t>ses</w:t>
      </w:r>
      <w:r w:rsidR="00687C30">
        <w:rPr>
          <w:lang w:val="fr-FR"/>
        </w:rPr>
        <w:t xml:space="preserve"> </w:t>
      </w:r>
      <w:r>
        <w:rPr>
          <w:lang w:val="fr-FR"/>
        </w:rPr>
        <w:t xml:space="preserve">trente-septième et trente-huitième sessions </w:t>
      </w:r>
      <w:r w:rsidR="00687C30">
        <w:rPr>
          <w:lang w:val="fr-FR"/>
        </w:rPr>
        <w:br/>
      </w:r>
      <w:r>
        <w:rPr>
          <w:lang w:val="fr-FR"/>
        </w:rPr>
        <w:t>(point 2 de l</w:t>
      </w:r>
      <w:r w:rsidR="00412DEA">
        <w:rPr>
          <w:lang w:val="fr-FR"/>
        </w:rPr>
        <w:t>’</w:t>
      </w:r>
      <w:r>
        <w:rPr>
          <w:lang w:val="fr-FR"/>
        </w:rPr>
        <w:t>ordre du jour)</w:t>
      </w:r>
    </w:p>
    <w:p w14:paraId="4A018910" w14:textId="77777777" w:rsidR="002A2200" w:rsidRPr="00AE0017" w:rsidRDefault="002A2200" w:rsidP="00687C30">
      <w:pPr>
        <w:pStyle w:val="SingleTxtG"/>
        <w:tabs>
          <w:tab w:val="clear" w:pos="2268"/>
          <w:tab w:val="clear" w:pos="2835"/>
        </w:tabs>
        <w:ind w:left="3402" w:hanging="2268"/>
        <w:jc w:val="left"/>
      </w:pPr>
      <w:r>
        <w:rPr>
          <w:i/>
          <w:iCs/>
          <w:lang w:val="fr-FR"/>
        </w:rPr>
        <w:t>Document</w:t>
      </w:r>
      <w:r w:rsidR="00687C30">
        <w:rPr>
          <w:i/>
          <w:iCs/>
          <w:lang w:val="fr-FR"/>
        </w:rPr>
        <w:t> </w:t>
      </w:r>
      <w:r>
        <w:rPr>
          <w:i/>
          <w:iCs/>
          <w:lang w:val="fr-FR"/>
        </w:rPr>
        <w:t>:</w:t>
      </w:r>
      <w:r>
        <w:rPr>
          <w:lang w:val="fr-FR"/>
        </w:rPr>
        <w:tab/>
        <w:t>ST/SG/AC.10/C.4/2020/15 (secrétariat)</w:t>
      </w:r>
      <w:r w:rsidR="00687C30">
        <w:rPr>
          <w:lang w:val="fr-FR"/>
        </w:rPr>
        <w:t>.</w:t>
      </w:r>
    </w:p>
    <w:p w14:paraId="37F40BB2" w14:textId="77777777" w:rsidR="002A2200" w:rsidRPr="00AE0017" w:rsidRDefault="002A2200" w:rsidP="00687C30">
      <w:pPr>
        <w:pStyle w:val="SingleTxtG"/>
        <w:rPr>
          <w:bCs/>
        </w:rPr>
      </w:pPr>
      <w:r>
        <w:rPr>
          <w:lang w:val="fr-FR"/>
        </w:rPr>
        <w:t>11.</w:t>
      </w:r>
      <w:r>
        <w:rPr>
          <w:lang w:val="fr-FR"/>
        </w:rPr>
        <w:tab/>
        <w:t>Le Sous-Comité a confirmé les décisions prises lors de ses trente-septième et trente</w:t>
      </w:r>
      <w:r w:rsidR="00687C30">
        <w:rPr>
          <w:lang w:val="fr-FR"/>
        </w:rPr>
        <w:noBreakHyphen/>
      </w:r>
      <w:proofErr w:type="gramStart"/>
      <w:r>
        <w:rPr>
          <w:lang w:val="fr-FR"/>
        </w:rPr>
        <w:t>huitième sessions</w:t>
      </w:r>
      <w:proofErr w:type="gramEnd"/>
      <w:r>
        <w:rPr>
          <w:lang w:val="fr-FR"/>
        </w:rPr>
        <w:t xml:space="preserve"> dans le document ST/SG/AC.10/C.4/2020/15, moyennant une correction de la matrice </w:t>
      </w:r>
      <w:r w:rsidRPr="00687C30">
        <w:t>des</w:t>
      </w:r>
      <w:r>
        <w:rPr>
          <w:lang w:val="fr-FR"/>
        </w:rPr>
        <w:t xml:space="preserve"> conseils de prudence</w:t>
      </w:r>
      <w:r w:rsidRPr="00AE0017">
        <w:t xml:space="preserve"> </w:t>
      </w:r>
      <w:r w:rsidRPr="00974D58">
        <w:rPr>
          <w:lang w:val="fr-FR"/>
        </w:rPr>
        <w:t>figurant</w:t>
      </w:r>
      <w:r>
        <w:rPr>
          <w:lang w:val="fr-FR"/>
        </w:rPr>
        <w:t xml:space="preserve"> à l</w:t>
      </w:r>
      <w:r w:rsidR="00412DEA">
        <w:rPr>
          <w:lang w:val="fr-FR"/>
        </w:rPr>
        <w:t>’</w:t>
      </w:r>
      <w:r>
        <w:rPr>
          <w:lang w:val="fr-FR"/>
        </w:rPr>
        <w:t>annexe 3 et de la note figurant sous le tableau A1.5 à l</w:t>
      </w:r>
      <w:r w:rsidR="00412DEA">
        <w:rPr>
          <w:lang w:val="fr-FR"/>
        </w:rPr>
        <w:t>’</w:t>
      </w:r>
      <w:r>
        <w:rPr>
          <w:lang w:val="fr-FR"/>
        </w:rPr>
        <w:t xml:space="preserve">annexe 1 (voir annexe I). </w:t>
      </w:r>
    </w:p>
    <w:p w14:paraId="2871802F" w14:textId="77777777" w:rsidR="002A2200" w:rsidRPr="00AE0017" w:rsidRDefault="002A2200" w:rsidP="00687C30">
      <w:pPr>
        <w:pStyle w:val="HChG"/>
      </w:pPr>
      <w:r>
        <w:rPr>
          <w:lang w:val="fr-FR"/>
        </w:rPr>
        <w:tab/>
        <w:t>V.</w:t>
      </w:r>
      <w:r>
        <w:rPr>
          <w:lang w:val="fr-FR"/>
        </w:rPr>
        <w:tab/>
        <w:t>Critères de classification et communication des dangers s</w:t>
      </w:r>
      <w:r w:rsidR="00412DEA">
        <w:rPr>
          <w:lang w:val="fr-FR"/>
        </w:rPr>
        <w:t>’</w:t>
      </w:r>
      <w:r>
        <w:rPr>
          <w:lang w:val="fr-FR"/>
        </w:rPr>
        <w:t>y </w:t>
      </w:r>
      <w:r w:rsidRPr="00687C30">
        <w:t>rapportant</w:t>
      </w:r>
      <w:r>
        <w:rPr>
          <w:lang w:val="fr-FR"/>
        </w:rPr>
        <w:t xml:space="preserve"> (point 3 de l</w:t>
      </w:r>
      <w:r w:rsidR="00412DEA">
        <w:rPr>
          <w:lang w:val="fr-FR"/>
        </w:rPr>
        <w:t>’</w:t>
      </w:r>
      <w:r>
        <w:rPr>
          <w:lang w:val="fr-FR"/>
        </w:rPr>
        <w:t>ordre du jour)</w:t>
      </w:r>
    </w:p>
    <w:p w14:paraId="254F60B8" w14:textId="77777777" w:rsidR="002A2200" w:rsidRPr="00AE0017" w:rsidRDefault="002A2200" w:rsidP="002A2200">
      <w:pPr>
        <w:pStyle w:val="H1G"/>
      </w:pPr>
      <w:r>
        <w:rPr>
          <w:lang w:val="fr-FR"/>
        </w:rPr>
        <w:tab/>
        <w:t>A.</w:t>
      </w:r>
      <w:r>
        <w:rPr>
          <w:lang w:val="fr-FR"/>
        </w:rPr>
        <w:tab/>
      </w:r>
      <w:bookmarkStart w:id="0" w:name="_Hlk66863991"/>
      <w:r>
        <w:rPr>
          <w:bCs/>
          <w:lang w:val="fr-FR"/>
        </w:rPr>
        <w:t>Travaux du Sous-Comité d</w:t>
      </w:r>
      <w:r w:rsidR="00412DEA">
        <w:rPr>
          <w:bCs/>
          <w:lang w:val="fr-FR"/>
        </w:rPr>
        <w:t>’</w:t>
      </w:r>
      <w:r>
        <w:rPr>
          <w:bCs/>
          <w:lang w:val="fr-FR"/>
        </w:rPr>
        <w:t xml:space="preserve">experts du transport des marchandises dangereuses (Sous-Comité TMD) sur des questions intéressant </w:t>
      </w:r>
      <w:r w:rsidR="00687C30">
        <w:rPr>
          <w:bCs/>
          <w:lang w:val="fr-FR"/>
        </w:rPr>
        <w:br/>
      </w:r>
      <w:r>
        <w:rPr>
          <w:bCs/>
          <w:lang w:val="fr-FR"/>
        </w:rPr>
        <w:t>le Sous</w:t>
      </w:r>
      <w:r>
        <w:rPr>
          <w:bCs/>
          <w:lang w:val="fr-FR"/>
        </w:rPr>
        <w:noBreakHyphen/>
        <w:t>Comité d</w:t>
      </w:r>
      <w:r w:rsidR="00412DEA">
        <w:rPr>
          <w:bCs/>
          <w:lang w:val="fr-FR"/>
        </w:rPr>
        <w:t>’</w:t>
      </w:r>
      <w:r>
        <w:rPr>
          <w:bCs/>
          <w:lang w:val="fr-FR"/>
        </w:rPr>
        <w:t xml:space="preserve">experts du Système général harmonisé </w:t>
      </w:r>
      <w:r w:rsidR="00687C30">
        <w:rPr>
          <w:bCs/>
          <w:lang w:val="fr-FR"/>
        </w:rPr>
        <w:br/>
      </w:r>
      <w:r>
        <w:rPr>
          <w:bCs/>
          <w:lang w:val="fr-FR"/>
        </w:rPr>
        <w:t>de classification et d</w:t>
      </w:r>
      <w:r w:rsidR="00412DEA">
        <w:rPr>
          <w:bCs/>
          <w:lang w:val="fr-FR"/>
        </w:rPr>
        <w:t>’</w:t>
      </w:r>
      <w:r>
        <w:rPr>
          <w:bCs/>
          <w:lang w:val="fr-FR"/>
        </w:rPr>
        <w:t xml:space="preserve">étiquetage des produits chimiques </w:t>
      </w:r>
      <w:r w:rsidR="00687C30">
        <w:rPr>
          <w:bCs/>
          <w:lang w:val="fr-FR"/>
        </w:rPr>
        <w:br/>
      </w:r>
      <w:r>
        <w:rPr>
          <w:bCs/>
          <w:lang w:val="fr-FR"/>
        </w:rPr>
        <w:t>(Sous-Comité SGH)</w:t>
      </w:r>
      <w:bookmarkEnd w:id="0"/>
    </w:p>
    <w:p w14:paraId="713E3DEB" w14:textId="77777777" w:rsidR="002A2200" w:rsidRPr="00AE0017" w:rsidRDefault="002A2200" w:rsidP="00687C30">
      <w:pPr>
        <w:pStyle w:val="H23G"/>
      </w:pPr>
      <w:r>
        <w:rPr>
          <w:lang w:val="fr-FR"/>
        </w:rPr>
        <w:tab/>
        <w:t>1.</w:t>
      </w:r>
      <w:r>
        <w:rPr>
          <w:lang w:val="fr-FR"/>
        </w:rPr>
        <w:tab/>
        <w:t xml:space="preserve">Manuel </w:t>
      </w:r>
      <w:r w:rsidRPr="00687C30">
        <w:t>d</w:t>
      </w:r>
      <w:r w:rsidR="00412DEA">
        <w:t>’</w:t>
      </w:r>
      <w:r w:rsidRPr="00687C30">
        <w:t>épreuves</w:t>
      </w:r>
      <w:r>
        <w:rPr>
          <w:lang w:val="fr-FR"/>
        </w:rPr>
        <w:t xml:space="preserve"> et de critères, révision des épreuves de la série H : détermination de la température de décomposition auto</w:t>
      </w:r>
      <w:r w:rsidR="00687C30">
        <w:rPr>
          <w:lang w:val="fr-FR"/>
        </w:rPr>
        <w:t>-</w:t>
      </w:r>
      <w:r>
        <w:rPr>
          <w:lang w:val="fr-FR"/>
        </w:rPr>
        <w:t>accélérée</w:t>
      </w:r>
    </w:p>
    <w:p w14:paraId="7BDA60B8" w14:textId="77777777" w:rsidR="002A2200" w:rsidRPr="00AE0017" w:rsidRDefault="002A2200" w:rsidP="00687C30">
      <w:pPr>
        <w:pStyle w:val="SingleTxtG"/>
        <w:tabs>
          <w:tab w:val="clear" w:pos="2268"/>
          <w:tab w:val="clear" w:pos="2835"/>
        </w:tabs>
        <w:ind w:left="3402" w:hanging="2268"/>
        <w:jc w:val="left"/>
      </w:pPr>
      <w:r>
        <w:rPr>
          <w:i/>
          <w:iCs/>
          <w:lang w:val="fr-FR"/>
        </w:rPr>
        <w:t>Documents</w:t>
      </w:r>
      <w:r w:rsidR="00687C30">
        <w:rPr>
          <w:i/>
          <w:iCs/>
          <w:lang w:val="fr-FR"/>
        </w:rPr>
        <w:t> </w:t>
      </w:r>
      <w:r>
        <w:rPr>
          <w:i/>
          <w:iCs/>
          <w:lang w:val="fr-FR"/>
        </w:rPr>
        <w:t>:</w:t>
      </w:r>
      <w:r>
        <w:rPr>
          <w:lang w:val="fr-FR"/>
        </w:rPr>
        <w:tab/>
        <w:t>ST/SG/AC.10/C.4/2020/4 et Add.1 (Président du Groupe de travail des explosifs)</w:t>
      </w:r>
      <w:r w:rsidR="00687C30">
        <w:rPr>
          <w:lang w:val="fr-FR"/>
        </w:rPr>
        <w:t>.</w:t>
      </w:r>
    </w:p>
    <w:p w14:paraId="03BD78E5" w14:textId="77777777" w:rsidR="002A2200" w:rsidRPr="00AE0017" w:rsidRDefault="002A2200" w:rsidP="00687C30">
      <w:pPr>
        <w:pStyle w:val="SingleTxtG"/>
        <w:tabs>
          <w:tab w:val="clear" w:pos="2268"/>
          <w:tab w:val="clear" w:pos="2835"/>
        </w:tabs>
        <w:ind w:left="3402" w:hanging="2268"/>
        <w:jc w:val="left"/>
      </w:pPr>
      <w:r>
        <w:rPr>
          <w:i/>
          <w:iCs/>
          <w:lang w:val="fr-FR"/>
        </w:rPr>
        <w:t>Document</w:t>
      </w:r>
      <w:r w:rsidR="00687C30">
        <w:rPr>
          <w:i/>
          <w:iCs/>
          <w:lang w:val="fr-FR"/>
        </w:rPr>
        <w:t>s</w:t>
      </w:r>
      <w:r>
        <w:rPr>
          <w:i/>
          <w:iCs/>
          <w:lang w:val="fr-FR"/>
        </w:rPr>
        <w:t xml:space="preserve"> informel</w:t>
      </w:r>
      <w:r w:rsidR="00687C30">
        <w:rPr>
          <w:i/>
          <w:iCs/>
          <w:lang w:val="fr-FR"/>
        </w:rPr>
        <w:t>s </w:t>
      </w:r>
      <w:r>
        <w:rPr>
          <w:i/>
          <w:iCs/>
          <w:lang w:val="fr-FR"/>
        </w:rPr>
        <w:t>:</w:t>
      </w:r>
      <w:r>
        <w:rPr>
          <w:lang w:val="fr-FR"/>
        </w:rPr>
        <w:tab/>
        <w:t>INF.3 (Président du Groupe de travail des explosifs)</w:t>
      </w:r>
      <w:r w:rsidR="00687C30">
        <w:rPr>
          <w:lang w:val="fr-FR"/>
        </w:rPr>
        <w:br/>
      </w:r>
      <w:r>
        <w:rPr>
          <w:lang w:val="fr-FR"/>
        </w:rPr>
        <w:t>INF.36 (secrétariat), par. 5</w:t>
      </w:r>
      <w:r w:rsidR="00687C30">
        <w:rPr>
          <w:lang w:val="fr-FR"/>
        </w:rPr>
        <w:t>.</w:t>
      </w:r>
    </w:p>
    <w:p w14:paraId="16D39B06" w14:textId="77777777" w:rsidR="002A2200" w:rsidRPr="00AE0017" w:rsidRDefault="002A2200" w:rsidP="002A2200">
      <w:pPr>
        <w:pStyle w:val="SingleTxtG"/>
      </w:pPr>
      <w:r>
        <w:rPr>
          <w:lang w:val="fr-FR"/>
        </w:rPr>
        <w:t>12.</w:t>
      </w:r>
      <w:r>
        <w:rPr>
          <w:lang w:val="fr-FR"/>
        </w:rPr>
        <w:tab/>
        <w:t xml:space="preserve">Le Sous-Comité a été informé que le Sous-Comité TMD avait approuvé la recommandation de son Groupe de travail des explosifs tendant à modifier les épreuves de la </w:t>
      </w:r>
      <w:r>
        <w:rPr>
          <w:lang w:val="fr-FR"/>
        </w:rPr>
        <w:lastRenderedPageBreak/>
        <w:t>série H à la section 28 du Manuel d</w:t>
      </w:r>
      <w:r w:rsidR="00412DEA">
        <w:rPr>
          <w:lang w:val="fr-FR"/>
        </w:rPr>
        <w:t>’</w:t>
      </w:r>
      <w:r>
        <w:rPr>
          <w:lang w:val="fr-FR"/>
        </w:rPr>
        <w:t>épreuves et de critères, tel que proposé dans les documents ST/SG/AC.10/C.4/2020/4 et Add.1, et a souscrit à cette décision</w:t>
      </w:r>
      <w:r>
        <w:rPr>
          <w:rStyle w:val="FootnoteReference"/>
          <w:lang w:val="fr-FR"/>
        </w:rPr>
        <w:footnoteReference w:id="2"/>
      </w:r>
      <w:r>
        <w:rPr>
          <w:lang w:val="fr-FR"/>
        </w:rPr>
        <w:t xml:space="preserve">. </w:t>
      </w:r>
    </w:p>
    <w:p w14:paraId="4EEEE0A3" w14:textId="77777777" w:rsidR="002A2200" w:rsidRPr="00AE0017" w:rsidRDefault="002A2200" w:rsidP="00687C30">
      <w:pPr>
        <w:pStyle w:val="H23G"/>
      </w:pPr>
      <w:r>
        <w:rPr>
          <w:lang w:val="fr-FR"/>
        </w:rPr>
        <w:tab/>
        <w:t>2.</w:t>
      </w:r>
      <w:r>
        <w:rPr>
          <w:lang w:val="fr-FR"/>
        </w:rPr>
        <w:tab/>
        <w:t>Épreuves relatives aux matières comburantes liquides ou solides : amélioration de la prise en considération de la taille des particules, des matières friables ou des matières enrobées</w:t>
      </w:r>
    </w:p>
    <w:p w14:paraId="3D2CB48B" w14:textId="77777777" w:rsidR="002A2200" w:rsidRPr="00AE0017" w:rsidRDefault="002A2200" w:rsidP="00687C30">
      <w:pPr>
        <w:pStyle w:val="SingleTxtG"/>
        <w:tabs>
          <w:tab w:val="clear" w:pos="2268"/>
          <w:tab w:val="clear" w:pos="2835"/>
        </w:tabs>
        <w:ind w:left="3402" w:hanging="2268"/>
        <w:jc w:val="left"/>
      </w:pPr>
      <w:r>
        <w:rPr>
          <w:i/>
          <w:iCs/>
          <w:lang w:val="fr-FR"/>
        </w:rPr>
        <w:t>Document</w:t>
      </w:r>
      <w:r w:rsidR="00687C30">
        <w:rPr>
          <w:i/>
          <w:iCs/>
          <w:lang w:val="fr-FR"/>
        </w:rPr>
        <w:t> </w:t>
      </w:r>
      <w:r>
        <w:rPr>
          <w:i/>
          <w:iCs/>
          <w:lang w:val="fr-FR"/>
        </w:rPr>
        <w:t>:</w:t>
      </w:r>
      <w:r>
        <w:rPr>
          <w:lang w:val="fr-FR"/>
        </w:rPr>
        <w:tab/>
        <w:t>ST/SG/AC.10/C.4/2020/9 (France)</w:t>
      </w:r>
      <w:r w:rsidR="00687C30">
        <w:rPr>
          <w:lang w:val="fr-FR"/>
        </w:rPr>
        <w:t>.</w:t>
      </w:r>
    </w:p>
    <w:p w14:paraId="7716FE7A" w14:textId="77777777" w:rsidR="002A2200" w:rsidRPr="00AE0017" w:rsidRDefault="002A2200" w:rsidP="00687C30">
      <w:pPr>
        <w:pStyle w:val="SingleTxtG"/>
        <w:tabs>
          <w:tab w:val="clear" w:pos="2268"/>
          <w:tab w:val="clear" w:pos="2835"/>
        </w:tabs>
        <w:ind w:left="3402" w:hanging="2268"/>
        <w:jc w:val="left"/>
      </w:pPr>
      <w:r>
        <w:rPr>
          <w:i/>
          <w:iCs/>
          <w:lang w:val="fr-FR"/>
        </w:rPr>
        <w:t>Document informel</w:t>
      </w:r>
      <w:r w:rsidR="00687C30">
        <w:rPr>
          <w:i/>
          <w:iCs/>
          <w:lang w:val="fr-FR"/>
        </w:rPr>
        <w:t> </w:t>
      </w:r>
      <w:r>
        <w:rPr>
          <w:i/>
          <w:iCs/>
          <w:lang w:val="fr-FR"/>
        </w:rPr>
        <w:t>:</w:t>
      </w:r>
      <w:r>
        <w:rPr>
          <w:lang w:val="fr-FR"/>
        </w:rPr>
        <w:tab/>
        <w:t>INF.36 (secrétariat), par. 6</w:t>
      </w:r>
      <w:r w:rsidR="00687C30">
        <w:rPr>
          <w:lang w:val="fr-FR"/>
        </w:rPr>
        <w:t>.</w:t>
      </w:r>
    </w:p>
    <w:p w14:paraId="482D812F" w14:textId="77777777" w:rsidR="002A2200" w:rsidRPr="00AE0017" w:rsidRDefault="002A2200" w:rsidP="002A2200">
      <w:pPr>
        <w:pStyle w:val="SingleTxtG"/>
      </w:pPr>
      <w:r>
        <w:rPr>
          <w:lang w:val="fr-FR"/>
        </w:rPr>
        <w:t>13.</w:t>
      </w:r>
      <w:r>
        <w:rPr>
          <w:lang w:val="fr-FR"/>
        </w:rPr>
        <w:tab/>
        <w:t>Le Sous-Comité a pris note du résultat des débats tenus à ce sujet par le Sous-Comité TMD et a approuvé la recommandation de celui-ci tendant à ce que soit insérée une note dans la section 34 du Manuel d</w:t>
      </w:r>
      <w:r w:rsidR="00412DEA">
        <w:rPr>
          <w:lang w:val="fr-FR"/>
        </w:rPr>
        <w:t>’</w:t>
      </w:r>
      <w:r>
        <w:rPr>
          <w:lang w:val="fr-FR"/>
        </w:rPr>
        <w:t>épreuves et de critères</w:t>
      </w:r>
      <w:r>
        <w:rPr>
          <w:rStyle w:val="FootnoteReference"/>
          <w:lang w:val="fr-FR"/>
        </w:rPr>
        <w:footnoteReference w:id="3"/>
      </w:r>
      <w:r>
        <w:rPr>
          <w:lang w:val="fr-FR"/>
        </w:rPr>
        <w:t xml:space="preserve">. </w:t>
      </w:r>
    </w:p>
    <w:p w14:paraId="14C1D373" w14:textId="77777777" w:rsidR="002A2200" w:rsidRPr="00AE0017" w:rsidRDefault="002A2200" w:rsidP="002A2200">
      <w:pPr>
        <w:pStyle w:val="H1G"/>
      </w:pPr>
      <w:r>
        <w:rPr>
          <w:lang w:val="fr-FR"/>
        </w:rPr>
        <w:tab/>
        <w:t>B.</w:t>
      </w:r>
      <w:r>
        <w:rPr>
          <w:lang w:val="fr-FR"/>
        </w:rPr>
        <w:tab/>
      </w:r>
      <w:r>
        <w:rPr>
          <w:bCs/>
          <w:lang w:val="fr-FR"/>
        </w:rPr>
        <w:t>Révision du chapitre 2.1</w:t>
      </w:r>
    </w:p>
    <w:p w14:paraId="6AD9A16A" w14:textId="77777777" w:rsidR="002A2200" w:rsidRPr="00AE0017" w:rsidRDefault="002A2200" w:rsidP="00687C30">
      <w:pPr>
        <w:pStyle w:val="SingleTxtG"/>
        <w:tabs>
          <w:tab w:val="clear" w:pos="2268"/>
          <w:tab w:val="clear" w:pos="2835"/>
        </w:tabs>
        <w:ind w:left="3402" w:hanging="2268"/>
        <w:jc w:val="left"/>
        <w:rPr>
          <w:b/>
        </w:rPr>
      </w:pPr>
      <w:r>
        <w:rPr>
          <w:i/>
          <w:iCs/>
          <w:lang w:val="fr-FR"/>
        </w:rPr>
        <w:t>Documents</w:t>
      </w:r>
      <w:r w:rsidR="00687C30">
        <w:rPr>
          <w:i/>
          <w:iCs/>
          <w:lang w:val="fr-FR"/>
        </w:rPr>
        <w:t> </w:t>
      </w:r>
      <w:r>
        <w:rPr>
          <w:i/>
          <w:iCs/>
          <w:lang w:val="fr-FR"/>
        </w:rPr>
        <w:t>:</w:t>
      </w:r>
      <w:r>
        <w:rPr>
          <w:lang w:val="fr-FR"/>
        </w:rPr>
        <w:tab/>
        <w:t>ST/SG/AC.10/C.4/2020/5 et Add.1 (Suède)</w:t>
      </w:r>
      <w:r w:rsidRPr="00AE0017">
        <w:rPr>
          <w:b/>
        </w:rPr>
        <w:br/>
      </w:r>
      <w:r>
        <w:rPr>
          <w:lang w:val="fr-FR"/>
        </w:rPr>
        <w:t>ST/SG/AC.10/C.4/2020/8 et Add.1 (Suède)</w:t>
      </w:r>
      <w:r w:rsidRPr="00AE0017">
        <w:rPr>
          <w:b/>
        </w:rPr>
        <w:br/>
      </w:r>
      <w:r>
        <w:rPr>
          <w:lang w:val="fr-FR"/>
        </w:rPr>
        <w:t>ST/SG/AC.10/C.4/2020/16 (Suède)</w:t>
      </w:r>
      <w:r>
        <w:rPr>
          <w:lang w:val="fr-FR"/>
        </w:rPr>
        <w:br/>
        <w:t>ST/SG/AC.10/C.4/2020/18 (Suède)</w:t>
      </w:r>
      <w:r w:rsidR="00687C30">
        <w:rPr>
          <w:lang w:val="fr-FR"/>
        </w:rPr>
        <w:t>.</w:t>
      </w:r>
    </w:p>
    <w:p w14:paraId="3A125A04" w14:textId="77777777" w:rsidR="002A2200" w:rsidRPr="00AE0017" w:rsidRDefault="002A2200" w:rsidP="00687C30">
      <w:pPr>
        <w:pStyle w:val="SingleTxtG"/>
        <w:tabs>
          <w:tab w:val="clear" w:pos="2268"/>
          <w:tab w:val="clear" w:pos="2835"/>
        </w:tabs>
        <w:ind w:left="3402" w:hanging="2268"/>
        <w:jc w:val="left"/>
      </w:pPr>
      <w:r>
        <w:rPr>
          <w:i/>
          <w:iCs/>
          <w:lang w:val="fr-FR"/>
        </w:rPr>
        <w:t>Documents informels</w:t>
      </w:r>
      <w:r w:rsidR="00687C30">
        <w:rPr>
          <w:i/>
          <w:iCs/>
          <w:lang w:val="fr-FR"/>
        </w:rPr>
        <w:t> </w:t>
      </w:r>
      <w:r>
        <w:rPr>
          <w:i/>
          <w:iCs/>
          <w:lang w:val="fr-FR"/>
        </w:rPr>
        <w:t>:</w:t>
      </w:r>
      <w:r>
        <w:rPr>
          <w:lang w:val="fr-FR"/>
        </w:rPr>
        <w:tab/>
        <w:t>INF.14 (Suède)</w:t>
      </w:r>
      <w:r>
        <w:rPr>
          <w:lang w:val="fr-FR"/>
        </w:rPr>
        <w:br/>
        <w:t>INF.16 (Suède)</w:t>
      </w:r>
      <w:r>
        <w:rPr>
          <w:lang w:val="fr-FR"/>
        </w:rPr>
        <w:br/>
        <w:t>INF.19 (Suède)</w:t>
      </w:r>
      <w:r>
        <w:rPr>
          <w:lang w:val="fr-FR"/>
        </w:rPr>
        <w:br/>
        <w:t>INF.22 (Allemagne)</w:t>
      </w:r>
      <w:r>
        <w:rPr>
          <w:lang w:val="fr-FR"/>
        </w:rPr>
        <w:br/>
        <w:t>INF.25 (Suède)</w:t>
      </w:r>
      <w:r>
        <w:rPr>
          <w:lang w:val="fr-FR"/>
        </w:rPr>
        <w:br/>
        <w:t>INF.29 (Suède)</w:t>
      </w:r>
      <w:r>
        <w:rPr>
          <w:lang w:val="fr-FR"/>
        </w:rPr>
        <w:br/>
        <w:t>INF.30 (Suède)</w:t>
      </w:r>
      <w:r>
        <w:rPr>
          <w:lang w:val="fr-FR"/>
        </w:rPr>
        <w:br/>
        <w:t>INF.36 (secrétariat), par. 7</w:t>
      </w:r>
      <w:r w:rsidR="00687C30">
        <w:rPr>
          <w:lang w:val="fr-FR"/>
        </w:rPr>
        <w:t>.</w:t>
      </w:r>
    </w:p>
    <w:p w14:paraId="6D1424B1" w14:textId="77777777" w:rsidR="00614F2E" w:rsidRDefault="002A2200" w:rsidP="00687C30">
      <w:pPr>
        <w:pStyle w:val="SingleTxtG"/>
        <w:tabs>
          <w:tab w:val="clear" w:pos="2268"/>
          <w:tab w:val="clear" w:pos="2835"/>
        </w:tabs>
        <w:ind w:left="3402" w:hanging="2268"/>
        <w:jc w:val="left"/>
        <w:rPr>
          <w:lang w:val="fr-FR"/>
        </w:rPr>
      </w:pPr>
      <w:r>
        <w:rPr>
          <w:i/>
          <w:iCs/>
          <w:lang w:val="fr-FR"/>
        </w:rPr>
        <w:t>Documents de référence :</w:t>
      </w:r>
      <w:r>
        <w:rPr>
          <w:i/>
          <w:iCs/>
          <w:lang w:val="fr-FR"/>
        </w:rPr>
        <w:tab/>
      </w:r>
      <w:r>
        <w:rPr>
          <w:lang w:val="fr-FR"/>
        </w:rPr>
        <w:t>ST/SG/AC.10/C.4/2020/7 (Suède)</w:t>
      </w:r>
      <w:r w:rsidR="00614F2E">
        <w:rPr>
          <w:lang w:val="fr-FR"/>
        </w:rPr>
        <w:t>.</w:t>
      </w:r>
    </w:p>
    <w:p w14:paraId="38D080F4" w14:textId="77777777" w:rsidR="002A2200" w:rsidRPr="00AE0017" w:rsidRDefault="002A2200" w:rsidP="00687C30">
      <w:pPr>
        <w:pStyle w:val="SingleTxtG"/>
        <w:tabs>
          <w:tab w:val="clear" w:pos="2268"/>
          <w:tab w:val="clear" w:pos="2835"/>
        </w:tabs>
        <w:ind w:left="3402" w:hanging="2268"/>
        <w:jc w:val="left"/>
      </w:pPr>
      <w:r w:rsidRPr="00614F2E">
        <w:rPr>
          <w:i/>
          <w:iCs/>
          <w:lang w:val="fr-FR"/>
        </w:rPr>
        <w:t>Documents informels</w:t>
      </w:r>
      <w:r w:rsidR="00614F2E">
        <w:rPr>
          <w:lang w:val="fr-FR"/>
        </w:rPr>
        <w:t> </w:t>
      </w:r>
      <w:r w:rsidR="00614F2E" w:rsidRPr="00614F2E">
        <w:rPr>
          <w:i/>
          <w:iCs/>
          <w:lang w:val="fr-FR"/>
        </w:rPr>
        <w:t>:</w:t>
      </w:r>
      <w:r w:rsidR="00614F2E">
        <w:rPr>
          <w:lang w:val="fr-FR"/>
        </w:rPr>
        <w:tab/>
      </w:r>
      <w:r>
        <w:rPr>
          <w:lang w:val="fr-FR"/>
        </w:rPr>
        <w:t>INF.10 (États-Unis d</w:t>
      </w:r>
      <w:r w:rsidR="00412DEA">
        <w:rPr>
          <w:lang w:val="fr-FR"/>
        </w:rPr>
        <w:t>’</w:t>
      </w:r>
      <w:r>
        <w:rPr>
          <w:lang w:val="fr-FR"/>
        </w:rPr>
        <w:t xml:space="preserve">Amérique, IME, SAAMI), </w:t>
      </w:r>
      <w:r>
        <w:rPr>
          <w:lang w:val="fr-FR"/>
        </w:rPr>
        <w:br/>
        <w:t>INF.13 (Suède)</w:t>
      </w:r>
      <w:r w:rsidR="00614F2E">
        <w:rPr>
          <w:lang w:val="fr-FR"/>
        </w:rPr>
        <w:t>.</w:t>
      </w:r>
    </w:p>
    <w:p w14:paraId="31EFE4C9" w14:textId="77777777" w:rsidR="002A2200" w:rsidRPr="00AE0017" w:rsidRDefault="002A2200" w:rsidP="002A2200">
      <w:pPr>
        <w:pStyle w:val="SingleTxtG"/>
      </w:pPr>
      <w:r>
        <w:rPr>
          <w:lang w:val="fr-FR"/>
        </w:rPr>
        <w:t>14.</w:t>
      </w:r>
      <w:r>
        <w:rPr>
          <w:lang w:val="fr-FR"/>
        </w:rPr>
        <w:tab/>
        <w:t xml:space="preserve">Le Sous-Comité a été informé que le Sous-Comité TMD appuyait et approuvait les recommandations de son Groupe de travail des explosifs concernant la proposition de révision du chapitre 2.1 du SGH. </w:t>
      </w:r>
    </w:p>
    <w:p w14:paraId="5B28CC2F" w14:textId="77777777" w:rsidR="002A2200" w:rsidRPr="00AE0017" w:rsidRDefault="002A2200" w:rsidP="002A2200">
      <w:pPr>
        <w:pStyle w:val="SingleTxtG"/>
      </w:pPr>
      <w:r>
        <w:rPr>
          <w:lang w:val="fr-FR"/>
        </w:rPr>
        <w:t>15.</w:t>
      </w:r>
      <w:r>
        <w:rPr>
          <w:lang w:val="fr-FR"/>
        </w:rPr>
        <w:tab/>
        <w:t>La proposition de révision du chapitre 2.1 a reçu un appui général au sein du Sous</w:t>
      </w:r>
      <w:r w:rsidR="00614F2E">
        <w:rPr>
          <w:lang w:val="fr-FR"/>
        </w:rPr>
        <w:noBreakHyphen/>
      </w:r>
      <w:r>
        <w:rPr>
          <w:lang w:val="fr-FR"/>
        </w:rPr>
        <w:t xml:space="preserve">Comité. Il a été rappelé que les critères actuels de classification des matières et objets explosibles étaient issus des règlements relatifs aux transports, dans lesquels ces </w:t>
      </w:r>
      <w:r w:rsidRPr="00907A3C">
        <w:rPr>
          <w:lang w:val="fr-FR"/>
        </w:rPr>
        <w:t xml:space="preserve">matières et objets </w:t>
      </w:r>
      <w:r>
        <w:rPr>
          <w:lang w:val="fr-FR"/>
        </w:rPr>
        <w:t xml:space="preserve">sont censés être manipulés dans leur configuration de transport. La plupart des experts qui ont exprimé un avis ont estimé que le nouveau système de classification améliorerait la sécurité, car il répondrait mieux aux nécessités des secteurs ou des étapes du cycle de vie des </w:t>
      </w:r>
      <w:r w:rsidRPr="00907A3C">
        <w:rPr>
          <w:lang w:val="fr-FR"/>
        </w:rPr>
        <w:t xml:space="preserve">matières et objets </w:t>
      </w:r>
      <w:r>
        <w:rPr>
          <w:lang w:val="fr-FR"/>
        </w:rPr>
        <w:t xml:space="preserve">explosibles dans lesquels ceux-ci ne se trouvent pas dans une configuration de transport (par exemple lors de leur fabrication, </w:t>
      </w:r>
      <w:r w:rsidRPr="00907A3C">
        <w:rPr>
          <w:lang w:val="fr-FR"/>
        </w:rPr>
        <w:t xml:space="preserve">leur </w:t>
      </w:r>
      <w:r>
        <w:rPr>
          <w:lang w:val="fr-FR"/>
        </w:rPr>
        <w:t xml:space="preserve">traitement, </w:t>
      </w:r>
      <w:r w:rsidRPr="00907A3C">
        <w:rPr>
          <w:lang w:val="fr-FR"/>
        </w:rPr>
        <w:t xml:space="preserve">leur </w:t>
      </w:r>
      <w:r>
        <w:rPr>
          <w:lang w:val="fr-FR"/>
        </w:rPr>
        <w:t xml:space="preserve">approvisionnement ou </w:t>
      </w:r>
      <w:r w:rsidRPr="00907A3C">
        <w:rPr>
          <w:lang w:val="fr-FR"/>
        </w:rPr>
        <w:t xml:space="preserve">leur </w:t>
      </w:r>
      <w:r>
        <w:rPr>
          <w:lang w:val="fr-FR"/>
        </w:rPr>
        <w:t xml:space="preserve">utilisation), sans modifier les critères de classification pour le transport. </w:t>
      </w:r>
    </w:p>
    <w:p w14:paraId="472E06C2" w14:textId="77777777" w:rsidR="002A2200" w:rsidRPr="00AE0017" w:rsidRDefault="002A2200" w:rsidP="00614F2E">
      <w:pPr>
        <w:pStyle w:val="SingleTxtG"/>
      </w:pPr>
      <w:r>
        <w:rPr>
          <w:lang w:val="fr-FR"/>
        </w:rPr>
        <w:t>16.</w:t>
      </w:r>
      <w:r>
        <w:rPr>
          <w:lang w:val="fr-FR"/>
        </w:rPr>
        <w:tab/>
        <w:t>Tout en exprimant son appui de principe à la révision du chapitre 2.1, l</w:t>
      </w:r>
      <w:r w:rsidR="00412DEA">
        <w:rPr>
          <w:lang w:val="fr-FR"/>
        </w:rPr>
        <w:t>’</w:t>
      </w:r>
      <w:r>
        <w:rPr>
          <w:lang w:val="fr-FR"/>
        </w:rPr>
        <w:t>experte de la Chine s</w:t>
      </w:r>
      <w:r w:rsidR="00412DEA">
        <w:rPr>
          <w:lang w:val="fr-FR"/>
        </w:rPr>
        <w:t>’</w:t>
      </w:r>
      <w:r>
        <w:rPr>
          <w:lang w:val="fr-FR"/>
        </w:rPr>
        <w:t xml:space="preserve">est </w:t>
      </w:r>
      <w:proofErr w:type="gramStart"/>
      <w:r>
        <w:rPr>
          <w:lang w:val="fr-FR"/>
        </w:rPr>
        <w:t>dite</w:t>
      </w:r>
      <w:proofErr w:type="gramEnd"/>
      <w:r>
        <w:rPr>
          <w:lang w:val="fr-FR"/>
        </w:rPr>
        <w:t xml:space="preserve"> préoccupée par l</w:t>
      </w:r>
      <w:r w:rsidR="00412DEA">
        <w:rPr>
          <w:lang w:val="fr-FR"/>
        </w:rPr>
        <w:t>’</w:t>
      </w:r>
      <w:r>
        <w:rPr>
          <w:lang w:val="fr-FR"/>
        </w:rPr>
        <w:t xml:space="preserve">incidence que le nouveau système de classement pourrait avoir sur certains types de </w:t>
      </w:r>
      <w:r w:rsidRPr="00907A3C">
        <w:rPr>
          <w:lang w:val="fr-FR"/>
        </w:rPr>
        <w:t>matières et objets explosibles</w:t>
      </w:r>
      <w:r>
        <w:rPr>
          <w:lang w:val="fr-FR"/>
        </w:rPr>
        <w:t>, et en particulier les artifices de divertissement classés conformément aux critères du tableau de classement par défaut du 2.1.3.5 du Règlement type. Elle s</w:t>
      </w:r>
      <w:r w:rsidR="00412DEA">
        <w:rPr>
          <w:lang w:val="fr-FR"/>
        </w:rPr>
        <w:t>’</w:t>
      </w:r>
      <w:r>
        <w:rPr>
          <w:lang w:val="fr-FR"/>
        </w:rPr>
        <w:t>est également inquiétée des difficultés que présenterait la mise en œuvre</w:t>
      </w:r>
      <w:r w:rsidRPr="00F05234">
        <w:rPr>
          <w:lang w:val="fr-FR"/>
        </w:rPr>
        <w:t xml:space="preserve"> </w:t>
      </w:r>
      <w:r>
        <w:rPr>
          <w:lang w:val="fr-FR"/>
        </w:rPr>
        <w:t>au niveau national du nouveau système de classification du SGH, et a estimé que des orientations pourraient être élaborées pour appuyer cette mise en œuvre.</w:t>
      </w:r>
    </w:p>
    <w:p w14:paraId="4BC61898" w14:textId="77777777" w:rsidR="002A2200" w:rsidRPr="00AE0017" w:rsidRDefault="002A2200" w:rsidP="00614F2E">
      <w:pPr>
        <w:pStyle w:val="SingleTxtG"/>
      </w:pPr>
      <w:r>
        <w:rPr>
          <w:lang w:val="fr-FR"/>
        </w:rPr>
        <w:lastRenderedPageBreak/>
        <w:t>17.</w:t>
      </w:r>
      <w:r>
        <w:rPr>
          <w:lang w:val="fr-FR"/>
        </w:rPr>
        <w:tab/>
        <w:t>En réponse aux préoccupations exprimées par l</w:t>
      </w:r>
      <w:r w:rsidR="00412DEA">
        <w:rPr>
          <w:lang w:val="fr-FR"/>
        </w:rPr>
        <w:t>’</w:t>
      </w:r>
      <w:r>
        <w:rPr>
          <w:lang w:val="fr-FR"/>
        </w:rPr>
        <w:t xml:space="preserve">experte de la Chine sur la manière dont le nouveau système de classification traitait les </w:t>
      </w:r>
      <w:r w:rsidRPr="00FA0000">
        <w:rPr>
          <w:lang w:val="fr-FR"/>
        </w:rPr>
        <w:t xml:space="preserve">matières et objets explosibles </w:t>
      </w:r>
      <w:r>
        <w:rPr>
          <w:lang w:val="fr-FR"/>
        </w:rPr>
        <w:t>classés par analogie ou conformément aux critères de classification par défaut du Règlement type, il a été souligné que ce cas était prévu par le nouveau 2.1.1.3.1, dans lequel était indiquée la précision suivante : «</w:t>
      </w:r>
      <w:r w:rsidR="00614F2E">
        <w:rPr>
          <w:lang w:val="fr-FR"/>
        </w:rPr>
        <w:t> </w:t>
      </w:r>
      <w:r>
        <w:rPr>
          <w:lang w:val="fr-FR"/>
        </w:rPr>
        <w:t>Les données d</w:t>
      </w:r>
      <w:r w:rsidR="00412DEA">
        <w:rPr>
          <w:lang w:val="fr-FR"/>
        </w:rPr>
        <w:t>’</w:t>
      </w:r>
      <w:r>
        <w:rPr>
          <w:lang w:val="fr-FR"/>
        </w:rPr>
        <w:t>épreuve ne sont pas requises lorsque la classification par jugement d</w:t>
      </w:r>
      <w:r w:rsidR="00412DEA">
        <w:rPr>
          <w:lang w:val="fr-FR"/>
        </w:rPr>
        <w:t>’</w:t>
      </w:r>
      <w:r>
        <w:rPr>
          <w:lang w:val="fr-FR"/>
        </w:rPr>
        <w:t>expert est possible sur la base des informations disponibles provenant d</w:t>
      </w:r>
      <w:r w:rsidR="00412DEA">
        <w:rPr>
          <w:lang w:val="fr-FR"/>
        </w:rPr>
        <w:t>’</w:t>
      </w:r>
      <w:r>
        <w:rPr>
          <w:lang w:val="fr-FR"/>
        </w:rPr>
        <w:t>épreuves et de caractérisations antérieures. On peut éventuellement procéder par analogie avec des matières ou objets explosibles éprouvés, en appréciant si les éventuelles modifications de la configuration peuvent avoir une incidence sur le danger présenté par comparaison avec la configuration éprouvée.</w:t>
      </w:r>
      <w:r w:rsidR="00614F2E">
        <w:rPr>
          <w:lang w:val="fr-FR"/>
        </w:rPr>
        <w:t> </w:t>
      </w:r>
      <w:r>
        <w:rPr>
          <w:lang w:val="fr-FR"/>
        </w:rPr>
        <w:t>»</w:t>
      </w:r>
      <w:r w:rsidR="00614F2E">
        <w:rPr>
          <w:lang w:val="fr-FR"/>
        </w:rPr>
        <w:t>.</w:t>
      </w:r>
    </w:p>
    <w:p w14:paraId="09AA4A13" w14:textId="77777777" w:rsidR="002A2200" w:rsidRPr="00AE0017" w:rsidRDefault="002A2200" w:rsidP="00ED59A4">
      <w:pPr>
        <w:pStyle w:val="SingleTxtG"/>
      </w:pPr>
      <w:r>
        <w:rPr>
          <w:lang w:val="fr-FR"/>
        </w:rPr>
        <w:t>18.</w:t>
      </w:r>
      <w:r>
        <w:rPr>
          <w:lang w:val="fr-FR"/>
        </w:rPr>
        <w:tab/>
        <w:t>En ce qui concernait l</w:t>
      </w:r>
      <w:r w:rsidR="00412DEA">
        <w:rPr>
          <w:lang w:val="fr-FR"/>
        </w:rPr>
        <w:t>’</w:t>
      </w:r>
      <w:r>
        <w:rPr>
          <w:lang w:val="fr-FR"/>
        </w:rPr>
        <w:t>élaboration d</w:t>
      </w:r>
      <w:r w:rsidR="00412DEA">
        <w:rPr>
          <w:lang w:val="fr-FR"/>
        </w:rPr>
        <w:t>’</w:t>
      </w:r>
      <w:r>
        <w:rPr>
          <w:lang w:val="fr-FR"/>
        </w:rPr>
        <w:t>orientations, il a été souligné que le texte du 2.1.4.3 pouvait être utile pour comprendre la manière dont devrait être appliqué le nouveau système de classification. Il a toutefois été reconnu que des orientations supplémentaires pourraient être élaborées et l</w:t>
      </w:r>
      <w:r w:rsidR="00412DEA">
        <w:rPr>
          <w:lang w:val="fr-FR"/>
        </w:rPr>
        <w:t>’</w:t>
      </w:r>
      <w:r>
        <w:rPr>
          <w:lang w:val="fr-FR"/>
        </w:rPr>
        <w:t>expert des États-Unis d</w:t>
      </w:r>
      <w:r w:rsidR="00412DEA">
        <w:rPr>
          <w:lang w:val="fr-FR"/>
        </w:rPr>
        <w:t>’</w:t>
      </w:r>
      <w:r>
        <w:rPr>
          <w:lang w:val="fr-FR"/>
        </w:rPr>
        <w:t>Amérique a accepté de travailler sur ce sujet avec d</w:t>
      </w:r>
      <w:r w:rsidR="00412DEA">
        <w:rPr>
          <w:lang w:val="fr-FR"/>
        </w:rPr>
        <w:t>’</w:t>
      </w:r>
      <w:r>
        <w:rPr>
          <w:lang w:val="fr-FR"/>
        </w:rPr>
        <w:t xml:space="preserve">autres parties intéressées au cours de </w:t>
      </w:r>
      <w:r w:rsidRPr="002832BC">
        <w:rPr>
          <w:lang w:val="fr-FR"/>
        </w:rPr>
        <w:t>l</w:t>
      </w:r>
      <w:r w:rsidR="00412DEA">
        <w:rPr>
          <w:lang w:val="fr-FR"/>
        </w:rPr>
        <w:t>’</w:t>
      </w:r>
      <w:r w:rsidRPr="002832BC">
        <w:rPr>
          <w:lang w:val="fr-FR"/>
        </w:rPr>
        <w:t>exercice biennal</w:t>
      </w:r>
      <w:r>
        <w:rPr>
          <w:lang w:val="fr-FR"/>
        </w:rPr>
        <w:t xml:space="preserve"> suivant.</w:t>
      </w:r>
    </w:p>
    <w:p w14:paraId="64E87FFC" w14:textId="77777777" w:rsidR="002A2200" w:rsidRPr="00AE0017" w:rsidRDefault="002A2200" w:rsidP="00ED59A4">
      <w:pPr>
        <w:pStyle w:val="SingleTxtG"/>
      </w:pPr>
      <w:r>
        <w:rPr>
          <w:lang w:val="fr-FR"/>
        </w:rPr>
        <w:t>19.</w:t>
      </w:r>
      <w:r>
        <w:rPr>
          <w:lang w:val="fr-FR"/>
        </w:rPr>
        <w:tab/>
        <w:t xml:space="preserve">En ce qui concernait le texte relatif aux </w:t>
      </w:r>
      <w:r w:rsidRPr="00080001">
        <w:rPr>
          <w:lang w:val="fr-FR"/>
        </w:rPr>
        <w:t xml:space="preserve">matières et objets explosibles </w:t>
      </w:r>
      <w:r>
        <w:rPr>
          <w:lang w:val="fr-FR"/>
        </w:rPr>
        <w:t>autres que ceux de la classe 1 dans la section 2.1.1.2.3, et en particulier les paragraphes relatifs aux objets explosibles affectés à la classe 9 lors du transport, certains experts ont estimé qu</w:t>
      </w:r>
      <w:r w:rsidR="00412DEA">
        <w:rPr>
          <w:lang w:val="fr-FR"/>
        </w:rPr>
        <w:t>’</w:t>
      </w:r>
      <w:r>
        <w:rPr>
          <w:lang w:val="fr-FR"/>
        </w:rPr>
        <w:t>il pourrait nécessiter un examen plus approfondi. Toutefois, d</w:t>
      </w:r>
      <w:r w:rsidR="00412DEA">
        <w:rPr>
          <w:lang w:val="fr-FR"/>
        </w:rPr>
        <w:t>’</w:t>
      </w:r>
      <w:r>
        <w:rPr>
          <w:lang w:val="fr-FR"/>
        </w:rPr>
        <w:t>autres experts se sont prononcés en faveur de l</w:t>
      </w:r>
      <w:r w:rsidR="00412DEA">
        <w:rPr>
          <w:lang w:val="fr-FR"/>
        </w:rPr>
        <w:t>’</w:t>
      </w:r>
      <w:r>
        <w:rPr>
          <w:lang w:val="fr-FR"/>
        </w:rPr>
        <w:t>adoption du texte, étant entendu que les travaux visant à l</w:t>
      </w:r>
      <w:r w:rsidR="00412DEA">
        <w:rPr>
          <w:lang w:val="fr-FR"/>
        </w:rPr>
        <w:t>’</w:t>
      </w:r>
      <w:r>
        <w:rPr>
          <w:lang w:val="fr-FR"/>
        </w:rPr>
        <w:t xml:space="preserve">affiner pourraient se poursuivre, si nécessaire, au cours de </w:t>
      </w:r>
      <w:r w:rsidRPr="002832BC">
        <w:rPr>
          <w:lang w:val="fr-FR"/>
        </w:rPr>
        <w:t>l</w:t>
      </w:r>
      <w:r w:rsidR="00412DEA">
        <w:rPr>
          <w:lang w:val="fr-FR"/>
        </w:rPr>
        <w:t>’</w:t>
      </w:r>
      <w:r w:rsidRPr="002832BC">
        <w:rPr>
          <w:lang w:val="fr-FR"/>
        </w:rPr>
        <w:t>exercice biennal</w:t>
      </w:r>
      <w:r w:rsidRPr="00AE0017">
        <w:t xml:space="preserve"> </w:t>
      </w:r>
      <w:r w:rsidRPr="00FA0000">
        <w:rPr>
          <w:lang w:val="fr-FR"/>
        </w:rPr>
        <w:t>suivant</w:t>
      </w:r>
      <w:r>
        <w:rPr>
          <w:lang w:val="fr-FR"/>
        </w:rPr>
        <w:t>.</w:t>
      </w:r>
    </w:p>
    <w:p w14:paraId="4682D285" w14:textId="77777777" w:rsidR="002A2200" w:rsidRPr="00AE0017" w:rsidRDefault="002A2200" w:rsidP="00ED59A4">
      <w:pPr>
        <w:pStyle w:val="SingleTxtG"/>
      </w:pPr>
      <w:r>
        <w:rPr>
          <w:lang w:val="fr-FR"/>
        </w:rPr>
        <w:t>20.</w:t>
      </w:r>
      <w:r>
        <w:rPr>
          <w:lang w:val="fr-FR"/>
        </w:rPr>
        <w:tab/>
        <w:t>À l</w:t>
      </w:r>
      <w:r w:rsidR="00412DEA">
        <w:rPr>
          <w:lang w:val="fr-FR"/>
        </w:rPr>
        <w:t>’</w:t>
      </w:r>
      <w:r>
        <w:rPr>
          <w:lang w:val="fr-FR"/>
        </w:rPr>
        <w:t>issue d</w:t>
      </w:r>
      <w:r w:rsidR="00412DEA">
        <w:rPr>
          <w:lang w:val="fr-FR"/>
        </w:rPr>
        <w:t>’</w:t>
      </w:r>
      <w:r>
        <w:rPr>
          <w:lang w:val="fr-FR"/>
        </w:rPr>
        <w:t>un échange de vues, le Sous-Comité a adopté :</w:t>
      </w:r>
    </w:p>
    <w:p w14:paraId="23D30858" w14:textId="77777777" w:rsidR="002A2200" w:rsidRPr="00AE0017" w:rsidRDefault="002A2200" w:rsidP="00ED59A4">
      <w:pPr>
        <w:pStyle w:val="SingleTxtG"/>
        <w:ind w:left="2268" w:hanging="567"/>
      </w:pPr>
      <w:r>
        <w:rPr>
          <w:lang w:val="fr-FR"/>
        </w:rPr>
        <w:t>a)</w:t>
      </w:r>
      <w:r>
        <w:rPr>
          <w:lang w:val="fr-FR"/>
        </w:rPr>
        <w:tab/>
        <w:t>Les modifications apportées au chapitre 2.1 dans les documents ST/SG/AC.10/C.4/2020/5 et Add.1 tel que modifié par le document informel INF.29 (par. 7 et 8) et tel que récapitulé dans le document informel INF.30 (voir annexe I) ;</w:t>
      </w:r>
    </w:p>
    <w:p w14:paraId="71F3CB24" w14:textId="77777777" w:rsidR="002A2200" w:rsidRPr="00AE0017" w:rsidRDefault="002A2200" w:rsidP="00ED59A4">
      <w:pPr>
        <w:pStyle w:val="SingleTxtG"/>
        <w:ind w:left="2268" w:hanging="567"/>
      </w:pPr>
      <w:r>
        <w:rPr>
          <w:lang w:val="fr-FR"/>
        </w:rPr>
        <w:t>b)</w:t>
      </w:r>
      <w:r>
        <w:rPr>
          <w:lang w:val="fr-FR"/>
        </w:rPr>
        <w:tab/>
        <w:t xml:space="preserve">Les diagrammes de décision figurant dans le document ST/SG/AC.10/C.4/2020/18 tel que modifié par les documents informels INF.22 (par. 5) et INF.25 (moyennant les modifications apportées par le Groupe de travail des explosifs et approuvées par le Sous-Comité TMD), tels que récapitulés dans le document informel INF.30 (voir annexe I) ; </w:t>
      </w:r>
    </w:p>
    <w:p w14:paraId="30C5269B" w14:textId="77777777" w:rsidR="002A2200" w:rsidRPr="00AE0017" w:rsidRDefault="002A2200" w:rsidP="00ED59A4">
      <w:pPr>
        <w:pStyle w:val="SingleTxtG"/>
        <w:ind w:left="2268" w:hanging="567"/>
      </w:pPr>
      <w:r>
        <w:rPr>
          <w:lang w:val="fr-FR"/>
        </w:rPr>
        <w:t>c)</w:t>
      </w:r>
      <w:r>
        <w:rPr>
          <w:lang w:val="fr-FR"/>
        </w:rPr>
        <w:tab/>
        <w:t>Les modifications apportées à la section 2 de l</w:t>
      </w:r>
      <w:r w:rsidR="00412DEA">
        <w:rPr>
          <w:lang w:val="fr-FR"/>
        </w:rPr>
        <w:t>’</w:t>
      </w:r>
      <w:r>
        <w:rPr>
          <w:lang w:val="fr-FR"/>
        </w:rPr>
        <w:t>annexe 3 du SGH dans les documents ST/SG/AC.10/C.4/2020/8 et Add.1, moyennant une condition relative à l</w:t>
      </w:r>
      <w:r w:rsidR="00412DEA">
        <w:rPr>
          <w:lang w:val="fr-FR"/>
        </w:rPr>
        <w:t>’</w:t>
      </w:r>
      <w:r>
        <w:rPr>
          <w:lang w:val="fr-FR"/>
        </w:rPr>
        <w:t>utilisation supplémentaire pour le conseil de prudence P236 afin qu</w:t>
      </w:r>
      <w:r w:rsidR="00412DEA">
        <w:rPr>
          <w:lang w:val="fr-FR"/>
        </w:rPr>
        <w:t>’</w:t>
      </w:r>
      <w:r>
        <w:rPr>
          <w:lang w:val="fr-FR"/>
        </w:rPr>
        <w:t>il ne s</w:t>
      </w:r>
      <w:r w:rsidR="00412DEA">
        <w:rPr>
          <w:lang w:val="fr-FR"/>
        </w:rPr>
        <w:t>’</w:t>
      </w:r>
      <w:r>
        <w:rPr>
          <w:lang w:val="fr-FR"/>
        </w:rPr>
        <w:t>applique qu</w:t>
      </w:r>
      <w:r w:rsidR="00412DEA">
        <w:rPr>
          <w:lang w:val="fr-FR"/>
        </w:rPr>
        <w:t>’</w:t>
      </w:r>
      <w:r>
        <w:rPr>
          <w:lang w:val="fr-FR"/>
        </w:rPr>
        <w:t xml:space="preserve">aux </w:t>
      </w:r>
      <w:r w:rsidRPr="00080001">
        <w:rPr>
          <w:lang w:val="fr-FR"/>
        </w:rPr>
        <w:t xml:space="preserve">matières et objets explosibles </w:t>
      </w:r>
      <w:r>
        <w:rPr>
          <w:lang w:val="fr-FR"/>
        </w:rPr>
        <w:t>de la classe 1 lors du transport (voir annexe I).</w:t>
      </w:r>
    </w:p>
    <w:p w14:paraId="1666CBF9" w14:textId="77777777" w:rsidR="002A2200" w:rsidRPr="00AE0017" w:rsidRDefault="002A2200" w:rsidP="00ED59A4">
      <w:pPr>
        <w:pStyle w:val="SingleTxtG"/>
      </w:pPr>
      <w:r>
        <w:rPr>
          <w:lang w:val="fr-FR"/>
        </w:rPr>
        <w:t>21.</w:t>
      </w:r>
      <w:r>
        <w:rPr>
          <w:lang w:val="fr-FR"/>
        </w:rPr>
        <w:tab/>
        <w:t xml:space="preserve">Le Sous-Comité a également adopté les matrices pour les </w:t>
      </w:r>
      <w:r w:rsidRPr="009F37DA">
        <w:rPr>
          <w:lang w:val="fr-FR"/>
        </w:rPr>
        <w:t xml:space="preserve">matières et objets explosibles </w:t>
      </w:r>
      <w:r>
        <w:rPr>
          <w:lang w:val="fr-FR"/>
        </w:rPr>
        <w:t>figurant dans le document informel INF.16 tel que modifié moyennant la condition</w:t>
      </w:r>
      <w:r w:rsidRPr="009F37DA">
        <w:rPr>
          <w:lang w:val="fr-FR"/>
        </w:rPr>
        <w:t xml:space="preserve"> </w:t>
      </w:r>
      <w:r>
        <w:rPr>
          <w:lang w:val="fr-FR"/>
        </w:rPr>
        <w:t>supplémentaire relative à l</w:t>
      </w:r>
      <w:r w:rsidR="00412DEA">
        <w:rPr>
          <w:lang w:val="fr-FR"/>
        </w:rPr>
        <w:t>’</w:t>
      </w:r>
      <w:r>
        <w:rPr>
          <w:lang w:val="fr-FR"/>
        </w:rPr>
        <w:t xml:space="preserve">utilisation pour le conseil de prudence P236 (voir annexe I). </w:t>
      </w:r>
    </w:p>
    <w:p w14:paraId="00ABC3C3" w14:textId="77777777" w:rsidR="002A2200" w:rsidRPr="00AE0017" w:rsidRDefault="002A2200" w:rsidP="00ED59A4">
      <w:pPr>
        <w:pStyle w:val="SingleTxtG"/>
      </w:pPr>
      <w:r>
        <w:rPr>
          <w:lang w:val="fr-FR"/>
        </w:rPr>
        <w:t>22.</w:t>
      </w:r>
      <w:r>
        <w:rPr>
          <w:lang w:val="fr-FR"/>
        </w:rPr>
        <w:tab/>
        <w:t>À la suite de l</w:t>
      </w:r>
      <w:r w:rsidR="00412DEA">
        <w:rPr>
          <w:lang w:val="fr-FR"/>
        </w:rPr>
        <w:t>’</w:t>
      </w:r>
      <w:r>
        <w:rPr>
          <w:lang w:val="fr-FR"/>
        </w:rPr>
        <w:t>adoption du nouveau chapitre 2.1 du SGH, le Sous-Comité a confirmé que le Manuel d</w:t>
      </w:r>
      <w:r w:rsidR="00412DEA">
        <w:rPr>
          <w:lang w:val="fr-FR"/>
        </w:rPr>
        <w:t>’</w:t>
      </w:r>
      <w:r>
        <w:rPr>
          <w:lang w:val="fr-FR"/>
        </w:rPr>
        <w:t>épreuves et de critères devrait être modifié en conséquence, comme proposé dans le document ST/SG/AC.10/C.4/2020/16, moyennant les modifications apportées à la case 19 des figures 10.2, 10.6 b) et 10.7 b) et la référence au paragraphe 2.1.1.2.1 de la section</w:t>
      </w:r>
      <w:r w:rsidR="00737B0D">
        <w:rPr>
          <w:lang w:val="fr-FR"/>
        </w:rPr>
        <w:t> </w:t>
      </w:r>
      <w:r>
        <w:rPr>
          <w:lang w:val="fr-FR"/>
        </w:rPr>
        <w:t>10.4.1.1, tel</w:t>
      </w:r>
      <w:r w:rsidR="00737B0D">
        <w:rPr>
          <w:lang w:val="fr-FR"/>
        </w:rPr>
        <w:t>les</w:t>
      </w:r>
      <w:r>
        <w:rPr>
          <w:lang w:val="fr-FR"/>
        </w:rPr>
        <w:t xml:space="preserve"> que recommandé</w:t>
      </w:r>
      <w:r w:rsidR="00737B0D">
        <w:rPr>
          <w:lang w:val="fr-FR"/>
        </w:rPr>
        <w:t>es</w:t>
      </w:r>
      <w:r>
        <w:rPr>
          <w:lang w:val="fr-FR"/>
        </w:rPr>
        <w:t xml:space="preserve"> par le Groupe de travail des explosifs et approuvées par le Sous-Comité TMD</w:t>
      </w:r>
      <w:r>
        <w:rPr>
          <w:rStyle w:val="FootnoteReference"/>
          <w:lang w:val="fr-FR"/>
        </w:rPr>
        <w:footnoteReference w:id="4"/>
      </w:r>
      <w:r>
        <w:rPr>
          <w:lang w:val="fr-FR"/>
        </w:rPr>
        <w:t>.</w:t>
      </w:r>
    </w:p>
    <w:p w14:paraId="5881BB13" w14:textId="77777777" w:rsidR="002A2200" w:rsidRPr="00AE0017" w:rsidRDefault="002A2200" w:rsidP="00737B0D">
      <w:pPr>
        <w:pStyle w:val="SingleTxtG"/>
      </w:pPr>
      <w:r w:rsidRPr="00737B0D">
        <w:rPr>
          <w:lang w:val="fr-FR"/>
        </w:rPr>
        <w:t>23.</w:t>
      </w:r>
      <w:r w:rsidRPr="00737B0D">
        <w:rPr>
          <w:lang w:val="fr-FR"/>
        </w:rPr>
        <w:tab/>
        <w:t>Le Sous-Comité a exprimé sa gratitude à l</w:t>
      </w:r>
      <w:r w:rsidR="00412DEA">
        <w:rPr>
          <w:lang w:val="fr-FR"/>
        </w:rPr>
        <w:t>’</w:t>
      </w:r>
      <w:r w:rsidRPr="00737B0D">
        <w:rPr>
          <w:lang w:val="fr-FR"/>
        </w:rPr>
        <w:t xml:space="preserve">expert de la Suède qui avait dirigé les travaux sur cette question au cours des six années précédentes, tant au sein du Sous-Comité </w:t>
      </w:r>
      <w:r>
        <w:rPr>
          <w:lang w:val="fr-FR"/>
        </w:rPr>
        <w:t>(en tant que responsable du groupe informel par correspondance) qu</w:t>
      </w:r>
      <w:r w:rsidR="00412DEA">
        <w:rPr>
          <w:lang w:val="fr-FR"/>
        </w:rPr>
        <w:t>’</w:t>
      </w:r>
      <w:r>
        <w:rPr>
          <w:lang w:val="fr-FR"/>
        </w:rPr>
        <w:t xml:space="preserve">au sein du Groupe de travail des explosifs du Sous-Comité TMD. Des remerciements ont également été adressés au Président du Groupe de travail des explosifs (M. Ed de Jong) et à tous ceux qui avaient </w:t>
      </w:r>
      <w:r>
        <w:rPr>
          <w:lang w:val="fr-FR"/>
        </w:rPr>
        <w:lastRenderedPageBreak/>
        <w:t>participé ou contribué aux travaux sur ce sujet. Il a été souligné que l</w:t>
      </w:r>
      <w:r w:rsidR="00412DEA">
        <w:rPr>
          <w:lang w:val="fr-FR"/>
        </w:rPr>
        <w:t>’</w:t>
      </w:r>
      <w:r>
        <w:rPr>
          <w:lang w:val="fr-FR"/>
        </w:rPr>
        <w:t>achèvement des travaux à la satisfaction de toutes les parties prenantes n</w:t>
      </w:r>
      <w:r w:rsidR="00412DEA">
        <w:rPr>
          <w:lang w:val="fr-FR"/>
        </w:rPr>
        <w:t>’</w:t>
      </w:r>
      <w:r>
        <w:rPr>
          <w:lang w:val="fr-FR"/>
        </w:rPr>
        <w:t>avait été possible que grâce à l</w:t>
      </w:r>
      <w:r w:rsidR="00412DEA">
        <w:rPr>
          <w:lang w:val="fr-FR"/>
        </w:rPr>
        <w:t>’</w:t>
      </w:r>
      <w:r>
        <w:rPr>
          <w:lang w:val="fr-FR"/>
        </w:rPr>
        <w:t>excellente collaboration entre les deux sous-comités sous la direction et la coordination de l</w:t>
      </w:r>
      <w:r w:rsidR="00412DEA">
        <w:rPr>
          <w:lang w:val="fr-FR"/>
        </w:rPr>
        <w:t>’</w:t>
      </w:r>
      <w:r>
        <w:rPr>
          <w:lang w:val="fr-FR"/>
        </w:rPr>
        <w:t>expert de la Suède.</w:t>
      </w:r>
    </w:p>
    <w:p w14:paraId="03F29A54" w14:textId="77777777" w:rsidR="002A2200" w:rsidRPr="00AE0017" w:rsidRDefault="002A2200" w:rsidP="002A2200">
      <w:pPr>
        <w:pStyle w:val="H1G"/>
      </w:pPr>
      <w:r>
        <w:rPr>
          <w:lang w:val="fr-FR"/>
        </w:rPr>
        <w:tab/>
        <w:t>C.</w:t>
      </w:r>
      <w:r>
        <w:rPr>
          <w:lang w:val="fr-FR"/>
        </w:rPr>
        <w:tab/>
      </w:r>
      <w:bookmarkStart w:id="1" w:name="_Hlk66864105"/>
      <w:r>
        <w:rPr>
          <w:bCs/>
          <w:lang w:val="fr-FR"/>
        </w:rPr>
        <w:t>Clarification du paragraphe 2.9.3.4.3.4 du Règlement type et du paragraphe 4.1.3.3.4 du SGH</w:t>
      </w:r>
      <w:bookmarkStart w:id="2" w:name="_Hlk38294103"/>
      <w:bookmarkStart w:id="3" w:name="_Hlk38287150"/>
      <w:bookmarkEnd w:id="1"/>
      <w:bookmarkEnd w:id="2"/>
      <w:bookmarkEnd w:id="3"/>
    </w:p>
    <w:p w14:paraId="0D173FF7" w14:textId="77777777" w:rsidR="002A2200" w:rsidRPr="00AE0017" w:rsidRDefault="002A2200" w:rsidP="00737B0D">
      <w:pPr>
        <w:pStyle w:val="SingleTxtG"/>
        <w:tabs>
          <w:tab w:val="clear" w:pos="2268"/>
          <w:tab w:val="clear" w:pos="2835"/>
        </w:tabs>
        <w:ind w:left="3402" w:hanging="2268"/>
        <w:jc w:val="left"/>
      </w:pPr>
      <w:r>
        <w:rPr>
          <w:i/>
          <w:iCs/>
          <w:lang w:val="fr-FR"/>
        </w:rPr>
        <w:t>Documents</w:t>
      </w:r>
      <w:r w:rsidR="00737B0D">
        <w:rPr>
          <w:i/>
          <w:iCs/>
          <w:lang w:val="fr-FR"/>
        </w:rPr>
        <w:t> </w:t>
      </w:r>
      <w:r>
        <w:rPr>
          <w:i/>
          <w:iCs/>
          <w:lang w:val="fr-FR"/>
        </w:rPr>
        <w:t>:</w:t>
      </w:r>
      <w:r>
        <w:rPr>
          <w:lang w:val="fr-FR"/>
        </w:rPr>
        <w:tab/>
      </w:r>
      <w:r>
        <w:rPr>
          <w:lang w:val="fr-FR"/>
        </w:rPr>
        <w:tab/>
        <w:t>ST/SG/AC.10/C.4/2020/10 et Add.1 (Chine)</w:t>
      </w:r>
      <w:r w:rsidR="00737B0D">
        <w:rPr>
          <w:lang w:val="fr-FR"/>
        </w:rPr>
        <w:t>.</w:t>
      </w:r>
    </w:p>
    <w:p w14:paraId="4FFDAA17" w14:textId="77777777" w:rsidR="002A2200" w:rsidRPr="00AE0017" w:rsidRDefault="002A2200" w:rsidP="00737B0D">
      <w:pPr>
        <w:pStyle w:val="SingleTxtG"/>
        <w:tabs>
          <w:tab w:val="clear" w:pos="2268"/>
          <w:tab w:val="clear" w:pos="2835"/>
        </w:tabs>
        <w:ind w:left="3402" w:hanging="2268"/>
        <w:jc w:val="left"/>
      </w:pPr>
      <w:r>
        <w:rPr>
          <w:i/>
          <w:iCs/>
          <w:lang w:val="fr-FR"/>
        </w:rPr>
        <w:t>Document informel</w:t>
      </w:r>
      <w:r w:rsidR="00737B0D">
        <w:rPr>
          <w:i/>
          <w:iCs/>
          <w:lang w:val="fr-FR"/>
        </w:rPr>
        <w:t> </w:t>
      </w:r>
      <w:r>
        <w:rPr>
          <w:i/>
          <w:iCs/>
          <w:lang w:val="fr-FR"/>
        </w:rPr>
        <w:t>:</w:t>
      </w:r>
      <w:r>
        <w:rPr>
          <w:lang w:val="fr-FR"/>
        </w:rPr>
        <w:tab/>
        <w:t>INF.36 (secrétariat), par. 8</w:t>
      </w:r>
      <w:r w:rsidR="00737B0D">
        <w:rPr>
          <w:lang w:val="fr-FR"/>
        </w:rPr>
        <w:t>.</w:t>
      </w:r>
    </w:p>
    <w:p w14:paraId="51731982" w14:textId="77777777" w:rsidR="002A2200" w:rsidRPr="00AE0017" w:rsidRDefault="002A2200" w:rsidP="00737B0D">
      <w:pPr>
        <w:pStyle w:val="SingleTxtG"/>
      </w:pPr>
      <w:r>
        <w:rPr>
          <w:lang w:val="fr-FR"/>
        </w:rPr>
        <w:t>24.</w:t>
      </w:r>
      <w:r>
        <w:rPr>
          <w:lang w:val="fr-FR"/>
        </w:rPr>
        <w:tab/>
        <w:t>Le Sous-Comité a été informé que le Sous-Comité TMD avait adopté l</w:t>
      </w:r>
      <w:r w:rsidR="00412DEA">
        <w:rPr>
          <w:lang w:val="fr-FR"/>
        </w:rPr>
        <w:t>’</w:t>
      </w:r>
      <w:r>
        <w:rPr>
          <w:lang w:val="fr-FR"/>
        </w:rPr>
        <w:t>amendement au paragraphe 2.9.3.4.3.4 du Règlement type conformément à l</w:t>
      </w:r>
      <w:r w:rsidR="00412DEA">
        <w:rPr>
          <w:lang w:val="fr-FR"/>
        </w:rPr>
        <w:t>’</w:t>
      </w:r>
      <w:r>
        <w:rPr>
          <w:lang w:val="fr-FR"/>
        </w:rPr>
        <w:t>option 2 du paragraphe 6 du document ST/SG/AC.10/C.4/2020/10. Reconnaissant que le texte du paragraphe 4.1.3.3.4 du SGH n</w:t>
      </w:r>
      <w:r w:rsidR="00412DEA">
        <w:rPr>
          <w:lang w:val="fr-FR"/>
        </w:rPr>
        <w:t>’</w:t>
      </w:r>
      <w:r>
        <w:rPr>
          <w:lang w:val="fr-FR"/>
        </w:rPr>
        <w:t>était pas aligné sur les critères du tableau 4.1.1 b) i), le Sous-Comité a décidé de le modifier en conséquence, comme proposé au paragraphe 7 du document ST/SG/AC.10/C.4/</w:t>
      </w:r>
      <w:r w:rsidR="00737B0D">
        <w:rPr>
          <w:lang w:val="fr-FR"/>
        </w:rPr>
        <w:br/>
      </w:r>
      <w:r>
        <w:rPr>
          <w:lang w:val="fr-FR"/>
        </w:rPr>
        <w:t>2020/10 (voir annexe I).</w:t>
      </w:r>
    </w:p>
    <w:p w14:paraId="47A6724F" w14:textId="77777777" w:rsidR="002A2200" w:rsidRPr="00AE0017" w:rsidRDefault="002A2200" w:rsidP="002A2200">
      <w:pPr>
        <w:pStyle w:val="H1G"/>
      </w:pPr>
      <w:bookmarkStart w:id="4" w:name="_Hlk38287170"/>
      <w:r>
        <w:rPr>
          <w:lang w:val="fr-FR"/>
        </w:rPr>
        <w:tab/>
        <w:t>D.</w:t>
      </w:r>
      <w:r>
        <w:rPr>
          <w:lang w:val="fr-FR"/>
        </w:rPr>
        <w:tab/>
      </w:r>
      <w:r>
        <w:rPr>
          <w:bCs/>
          <w:lang w:val="fr-FR"/>
        </w:rPr>
        <w:t>Classification simultanée dans les classes de danger physique et ordre de prépondérance des dangers</w:t>
      </w:r>
      <w:bookmarkEnd w:id="4"/>
    </w:p>
    <w:p w14:paraId="577C119F" w14:textId="77777777" w:rsidR="002A2200" w:rsidRPr="00AE0017" w:rsidRDefault="002A2200" w:rsidP="00737B0D">
      <w:pPr>
        <w:pStyle w:val="SingleTxtG"/>
      </w:pPr>
      <w:r>
        <w:rPr>
          <w:lang w:val="fr-FR"/>
        </w:rPr>
        <w:t>25.</w:t>
      </w:r>
      <w:r>
        <w:rPr>
          <w:lang w:val="fr-FR"/>
        </w:rPr>
        <w:tab/>
        <w:t>L</w:t>
      </w:r>
      <w:r w:rsidR="00412DEA">
        <w:rPr>
          <w:lang w:val="fr-FR"/>
        </w:rPr>
        <w:t>’</w:t>
      </w:r>
      <w:r>
        <w:rPr>
          <w:lang w:val="fr-FR"/>
        </w:rPr>
        <w:t>experte de l</w:t>
      </w:r>
      <w:r w:rsidR="00412DEA">
        <w:rPr>
          <w:lang w:val="fr-FR"/>
        </w:rPr>
        <w:t>’</w:t>
      </w:r>
      <w:r>
        <w:rPr>
          <w:lang w:val="fr-FR"/>
        </w:rPr>
        <w:t xml:space="preserve">Allemagne a informé le Sous-Comité que les travaux sur ce sujet se poursuivraient au cours de </w:t>
      </w:r>
      <w:r w:rsidRPr="009D536D">
        <w:rPr>
          <w:lang w:val="fr-FR"/>
        </w:rPr>
        <w:t>l</w:t>
      </w:r>
      <w:r w:rsidR="00412DEA">
        <w:rPr>
          <w:lang w:val="fr-FR"/>
        </w:rPr>
        <w:t>’</w:t>
      </w:r>
      <w:r w:rsidRPr="009D536D">
        <w:rPr>
          <w:lang w:val="fr-FR"/>
        </w:rPr>
        <w:t>exercice biennal</w:t>
      </w:r>
      <w:r>
        <w:rPr>
          <w:lang w:val="fr-FR"/>
        </w:rPr>
        <w:t xml:space="preserve"> suivant et a invité tous les experts intéressés à la contacter (M</w:t>
      </w:r>
      <w:r>
        <w:rPr>
          <w:vertAlign w:val="superscript"/>
          <w:lang w:val="fr-FR"/>
        </w:rPr>
        <w:t>me</w:t>
      </w:r>
      <w:r>
        <w:rPr>
          <w:lang w:val="fr-FR"/>
        </w:rPr>
        <w:t xml:space="preserve"> Cordula Wilrich). Le Sous-Comité a décidé de maintenir ce point à son programme de travail pour </w:t>
      </w:r>
      <w:r w:rsidRPr="009D536D">
        <w:rPr>
          <w:lang w:val="fr-FR"/>
        </w:rPr>
        <w:t>l</w:t>
      </w:r>
      <w:r w:rsidR="00412DEA">
        <w:rPr>
          <w:lang w:val="fr-FR"/>
        </w:rPr>
        <w:t>’</w:t>
      </w:r>
      <w:r w:rsidRPr="009D536D">
        <w:rPr>
          <w:lang w:val="fr-FR"/>
        </w:rPr>
        <w:t>exercice biennal</w:t>
      </w:r>
      <w:r>
        <w:rPr>
          <w:lang w:val="fr-FR"/>
        </w:rPr>
        <w:t xml:space="preserve"> 2021-2022 (voir annexe II).</w:t>
      </w:r>
    </w:p>
    <w:p w14:paraId="4DBCE132" w14:textId="77777777" w:rsidR="002A2200" w:rsidRPr="00AE0017" w:rsidRDefault="002A2200" w:rsidP="002A2200">
      <w:pPr>
        <w:pStyle w:val="H1G"/>
      </w:pPr>
      <w:r>
        <w:rPr>
          <w:lang w:val="fr-FR"/>
        </w:rPr>
        <w:tab/>
        <w:t>E.</w:t>
      </w:r>
      <w:r>
        <w:rPr>
          <w:lang w:val="fr-FR"/>
        </w:rPr>
        <w:tab/>
      </w:r>
      <w:r>
        <w:rPr>
          <w:bCs/>
          <w:lang w:val="fr-FR"/>
        </w:rPr>
        <w:t>Utilisation de méthodes d</w:t>
      </w:r>
      <w:r w:rsidR="00412DEA">
        <w:rPr>
          <w:bCs/>
          <w:lang w:val="fr-FR"/>
        </w:rPr>
        <w:t>’</w:t>
      </w:r>
      <w:r>
        <w:rPr>
          <w:bCs/>
          <w:lang w:val="fr-FR"/>
        </w:rPr>
        <w:t>expérimentation non animales pour le classement des dangers pour la santé</w:t>
      </w:r>
      <w:bookmarkStart w:id="5" w:name="_Hlk38287182"/>
      <w:bookmarkEnd w:id="5"/>
    </w:p>
    <w:p w14:paraId="62180C3C" w14:textId="77777777" w:rsidR="002A2200" w:rsidRPr="00AE0017" w:rsidRDefault="002A2200" w:rsidP="00737B0D">
      <w:pPr>
        <w:pStyle w:val="SingleTxtG"/>
        <w:tabs>
          <w:tab w:val="clear" w:pos="2268"/>
          <w:tab w:val="clear" w:pos="2835"/>
        </w:tabs>
        <w:ind w:left="3402" w:hanging="2268"/>
        <w:jc w:val="left"/>
      </w:pPr>
      <w:r>
        <w:rPr>
          <w:i/>
          <w:iCs/>
          <w:lang w:val="fr-FR"/>
        </w:rPr>
        <w:t>Documents informels</w:t>
      </w:r>
      <w:r w:rsidR="00737B0D">
        <w:rPr>
          <w:i/>
          <w:iCs/>
          <w:lang w:val="fr-FR"/>
        </w:rPr>
        <w:t> </w:t>
      </w:r>
      <w:r>
        <w:rPr>
          <w:i/>
          <w:iCs/>
          <w:lang w:val="fr-FR"/>
        </w:rPr>
        <w:t>:</w:t>
      </w:r>
      <w:r>
        <w:rPr>
          <w:i/>
          <w:iCs/>
          <w:lang w:val="fr-FR"/>
        </w:rPr>
        <w:tab/>
      </w:r>
      <w:r>
        <w:rPr>
          <w:lang w:val="fr-FR"/>
        </w:rPr>
        <w:t>INF.12 et Rev.1 (Royaume-Uni, Pays-Bas)</w:t>
      </w:r>
      <w:r w:rsidR="00737B0D">
        <w:rPr>
          <w:lang w:val="fr-FR"/>
        </w:rPr>
        <w:br/>
      </w:r>
      <w:r>
        <w:rPr>
          <w:lang w:val="fr-FR"/>
        </w:rPr>
        <w:tab/>
        <w:t>INF.26 (Royaume-Uni, Pays-Bas)</w:t>
      </w:r>
      <w:r w:rsidR="00737B0D">
        <w:rPr>
          <w:lang w:val="fr-FR"/>
        </w:rPr>
        <w:t>.</w:t>
      </w:r>
    </w:p>
    <w:p w14:paraId="4F9A482A" w14:textId="77777777" w:rsidR="002A2200" w:rsidRPr="00AE0017" w:rsidRDefault="002A2200" w:rsidP="00737B0D">
      <w:pPr>
        <w:pStyle w:val="SingleTxtG"/>
      </w:pPr>
      <w:r>
        <w:rPr>
          <w:lang w:val="fr-FR"/>
        </w:rPr>
        <w:t>26.</w:t>
      </w:r>
      <w:r>
        <w:rPr>
          <w:lang w:val="fr-FR"/>
        </w:rPr>
        <w:tab/>
        <w:t>Le Sous-Comité a pris note des rapports d</w:t>
      </w:r>
      <w:r w:rsidR="00412DEA">
        <w:rPr>
          <w:lang w:val="fr-FR"/>
        </w:rPr>
        <w:t>’</w:t>
      </w:r>
      <w:r>
        <w:rPr>
          <w:lang w:val="fr-FR"/>
        </w:rPr>
        <w:t>activité figurant dans les documents informels INF.12 et Rev.1, et a approuvé le mandat révisé des travaux du groupe de travail informel des méthodes d</w:t>
      </w:r>
      <w:r w:rsidR="00412DEA">
        <w:rPr>
          <w:lang w:val="fr-FR"/>
        </w:rPr>
        <w:t>’</w:t>
      </w:r>
      <w:r>
        <w:rPr>
          <w:lang w:val="fr-FR"/>
        </w:rPr>
        <w:t xml:space="preserve">expérimentation non animales pour </w:t>
      </w:r>
      <w:r w:rsidRPr="009D536D">
        <w:rPr>
          <w:lang w:val="fr-FR"/>
        </w:rPr>
        <w:t>l</w:t>
      </w:r>
      <w:r w:rsidR="00412DEA">
        <w:rPr>
          <w:lang w:val="fr-FR"/>
        </w:rPr>
        <w:t>’</w:t>
      </w:r>
      <w:r w:rsidRPr="009D536D">
        <w:rPr>
          <w:lang w:val="fr-FR"/>
        </w:rPr>
        <w:t>exercice biennal</w:t>
      </w:r>
      <w:r>
        <w:rPr>
          <w:lang w:val="fr-FR"/>
        </w:rPr>
        <w:t xml:space="preserve"> 2021-2022 figurant dans le document informel INF.26 (voir annexe II).</w:t>
      </w:r>
    </w:p>
    <w:p w14:paraId="6CCF6273" w14:textId="77777777" w:rsidR="002A2200" w:rsidRPr="00AE0017" w:rsidRDefault="002A2200" w:rsidP="009801F5">
      <w:pPr>
        <w:pStyle w:val="H1G"/>
      </w:pPr>
      <w:r>
        <w:rPr>
          <w:lang w:val="fr-FR"/>
        </w:rPr>
        <w:tab/>
        <w:t>F.</w:t>
      </w:r>
      <w:r>
        <w:rPr>
          <w:lang w:val="fr-FR"/>
        </w:rPr>
        <w:tab/>
        <w:t>Questions pratiques de classement</w:t>
      </w:r>
    </w:p>
    <w:p w14:paraId="6B00C4E5" w14:textId="77777777" w:rsidR="002A2200" w:rsidRPr="00AE0017" w:rsidRDefault="002A2200" w:rsidP="00737B0D">
      <w:pPr>
        <w:pStyle w:val="SingleTxtG"/>
        <w:tabs>
          <w:tab w:val="clear" w:pos="2268"/>
          <w:tab w:val="clear" w:pos="2835"/>
        </w:tabs>
        <w:ind w:left="3402" w:hanging="2268"/>
        <w:jc w:val="left"/>
      </w:pPr>
      <w:r>
        <w:rPr>
          <w:i/>
          <w:iCs/>
          <w:lang w:val="fr-FR"/>
        </w:rPr>
        <w:t>Documents</w:t>
      </w:r>
      <w:r w:rsidR="00DD0AA5">
        <w:rPr>
          <w:i/>
          <w:iCs/>
          <w:lang w:val="fr-FR"/>
        </w:rPr>
        <w:t> </w:t>
      </w:r>
      <w:r>
        <w:rPr>
          <w:i/>
          <w:iCs/>
          <w:lang w:val="fr-FR"/>
        </w:rPr>
        <w:t>:</w:t>
      </w:r>
      <w:r>
        <w:rPr>
          <w:lang w:val="fr-FR"/>
        </w:rPr>
        <w:tab/>
      </w:r>
      <w:r>
        <w:rPr>
          <w:lang w:val="fr-FR"/>
        </w:rPr>
        <w:tab/>
        <w:t>ST/SG/AC.10/C.4/2020/14 (États-Unis d</w:t>
      </w:r>
      <w:r w:rsidR="00412DEA">
        <w:rPr>
          <w:lang w:val="fr-FR"/>
        </w:rPr>
        <w:t>’</w:t>
      </w:r>
      <w:r>
        <w:rPr>
          <w:lang w:val="fr-FR"/>
        </w:rPr>
        <w:t>Amérique)</w:t>
      </w:r>
      <w:r w:rsidR="00DD0AA5">
        <w:rPr>
          <w:lang w:val="fr-FR"/>
        </w:rPr>
        <w:t>.</w:t>
      </w:r>
    </w:p>
    <w:p w14:paraId="178E6D6B" w14:textId="77777777" w:rsidR="002A2200" w:rsidRPr="00AE0017" w:rsidRDefault="002A2200" w:rsidP="00737B0D">
      <w:pPr>
        <w:pStyle w:val="SingleTxtG"/>
        <w:tabs>
          <w:tab w:val="clear" w:pos="2268"/>
          <w:tab w:val="clear" w:pos="2835"/>
        </w:tabs>
        <w:ind w:left="3402" w:hanging="2268"/>
        <w:jc w:val="left"/>
      </w:pPr>
      <w:r>
        <w:rPr>
          <w:i/>
          <w:iCs/>
          <w:lang w:val="fr-FR"/>
        </w:rPr>
        <w:t>Document informel</w:t>
      </w:r>
      <w:r w:rsidR="00DD0AA5">
        <w:rPr>
          <w:i/>
          <w:iCs/>
          <w:lang w:val="fr-FR"/>
        </w:rPr>
        <w:t> </w:t>
      </w:r>
      <w:r>
        <w:rPr>
          <w:i/>
          <w:iCs/>
          <w:lang w:val="fr-FR"/>
        </w:rPr>
        <w:t>:</w:t>
      </w:r>
      <w:r>
        <w:rPr>
          <w:lang w:val="fr-FR"/>
        </w:rPr>
        <w:tab/>
        <w:t>INF.32 (États-Unis d</w:t>
      </w:r>
      <w:r w:rsidR="00412DEA">
        <w:rPr>
          <w:lang w:val="fr-FR"/>
        </w:rPr>
        <w:t>’</w:t>
      </w:r>
      <w:r>
        <w:rPr>
          <w:lang w:val="fr-FR"/>
        </w:rPr>
        <w:t>Amérique)</w:t>
      </w:r>
      <w:r w:rsidR="00DD0AA5">
        <w:rPr>
          <w:lang w:val="fr-FR"/>
        </w:rPr>
        <w:t>.</w:t>
      </w:r>
    </w:p>
    <w:p w14:paraId="4E086ED2" w14:textId="77777777" w:rsidR="002A2200" w:rsidRPr="00AE0017" w:rsidRDefault="002A2200" w:rsidP="002A2200">
      <w:pPr>
        <w:pStyle w:val="SingleTxtG"/>
      </w:pPr>
      <w:r>
        <w:rPr>
          <w:lang w:val="fr-FR"/>
        </w:rPr>
        <w:t>27.</w:t>
      </w:r>
      <w:r>
        <w:rPr>
          <w:lang w:val="fr-FR"/>
        </w:rPr>
        <w:tab/>
        <w:t>Le Sous-Comité a adopté les exemples figurant dans le document ST/SG/AC.10/C.4/2020/14, moyennant les corrections figurant dans le document informel INF.32 (voir l</w:t>
      </w:r>
      <w:r w:rsidR="00412DEA">
        <w:rPr>
          <w:lang w:val="fr-FR"/>
        </w:rPr>
        <w:t>’</w:t>
      </w:r>
      <w:r>
        <w:rPr>
          <w:lang w:val="fr-FR"/>
        </w:rPr>
        <w:t>annexe I), et a invité le secrétariat à les ajouter à la liste des exemples concernant l</w:t>
      </w:r>
      <w:r w:rsidR="00412DEA">
        <w:rPr>
          <w:lang w:val="fr-FR"/>
        </w:rPr>
        <w:t>’</w:t>
      </w:r>
      <w:r>
        <w:rPr>
          <w:lang w:val="fr-FR"/>
        </w:rPr>
        <w:t>application des critères du SGH déjà disponibles sur la page Web d</w:t>
      </w:r>
      <w:r w:rsidR="00412DEA">
        <w:rPr>
          <w:lang w:val="fr-FR"/>
        </w:rPr>
        <w:t>’</w:t>
      </w:r>
      <w:r>
        <w:rPr>
          <w:lang w:val="fr-FR"/>
        </w:rPr>
        <w:t>orientations du SGH</w:t>
      </w:r>
      <w:r w:rsidRPr="00F9563A">
        <w:rPr>
          <w:rStyle w:val="FootnoteReference"/>
          <w:lang w:val="fr-FR"/>
        </w:rPr>
        <w:footnoteReference w:id="5"/>
      </w:r>
      <w:r>
        <w:rPr>
          <w:lang w:val="fr-FR"/>
        </w:rPr>
        <w:t>.</w:t>
      </w:r>
    </w:p>
    <w:p w14:paraId="34905D09" w14:textId="77777777" w:rsidR="002A2200" w:rsidRPr="009801F5" w:rsidRDefault="002A2200" w:rsidP="009801F5">
      <w:pPr>
        <w:pStyle w:val="H1G"/>
      </w:pPr>
      <w:r>
        <w:rPr>
          <w:lang w:val="fr-FR"/>
        </w:rPr>
        <w:tab/>
        <w:t>G.</w:t>
      </w:r>
      <w:r>
        <w:rPr>
          <w:lang w:val="fr-FR"/>
        </w:rPr>
        <w:tab/>
        <w:t>Danger par aspiration</w:t>
      </w:r>
    </w:p>
    <w:p w14:paraId="214DE795" w14:textId="77777777" w:rsidR="002A2200" w:rsidRPr="00AE0017" w:rsidRDefault="002A2200" w:rsidP="002A2200">
      <w:pPr>
        <w:pStyle w:val="SingleTxtG"/>
        <w:rPr>
          <w:iCs/>
        </w:rPr>
      </w:pPr>
      <w:r>
        <w:rPr>
          <w:lang w:val="fr-FR"/>
        </w:rPr>
        <w:t>28.</w:t>
      </w:r>
      <w:r>
        <w:rPr>
          <w:lang w:val="fr-FR"/>
        </w:rPr>
        <w:tab/>
        <w:t>La représentante du World Coatings Council (anciennement IPPIC) a informé le Sous</w:t>
      </w:r>
      <w:r w:rsidR="00DD0AA5">
        <w:rPr>
          <w:lang w:val="fr-FR"/>
        </w:rPr>
        <w:noBreakHyphen/>
      </w:r>
      <w:r>
        <w:rPr>
          <w:lang w:val="fr-FR"/>
        </w:rPr>
        <w:t>Comité que la collecte d</w:t>
      </w:r>
      <w:r w:rsidR="00412DEA">
        <w:rPr>
          <w:lang w:val="fr-FR"/>
        </w:rPr>
        <w:t>’</w:t>
      </w:r>
      <w:r>
        <w:rPr>
          <w:lang w:val="fr-FR"/>
        </w:rPr>
        <w:t xml:space="preserve">informations et de données était toujours en cours et a suggéré </w:t>
      </w:r>
      <w:r>
        <w:rPr>
          <w:lang w:val="fr-FR"/>
        </w:rPr>
        <w:lastRenderedPageBreak/>
        <w:t>que le point soit retiré du programme de travail pour le moment. Elle a indiqué que le Sous</w:t>
      </w:r>
      <w:r w:rsidR="00DD0AA5">
        <w:rPr>
          <w:lang w:val="fr-FR"/>
        </w:rPr>
        <w:noBreakHyphen/>
      </w:r>
      <w:r>
        <w:rPr>
          <w:lang w:val="fr-FR"/>
        </w:rPr>
        <w:t xml:space="preserve">Comité serait tenu informé de tout progrès réalisé sur ce sujet. </w:t>
      </w:r>
    </w:p>
    <w:p w14:paraId="44B9F347" w14:textId="77777777" w:rsidR="002A2200" w:rsidRPr="00AE0017" w:rsidRDefault="002A2200" w:rsidP="002A2200">
      <w:pPr>
        <w:pStyle w:val="H1G"/>
        <w:keepLines w:val="0"/>
      </w:pPr>
      <w:r>
        <w:rPr>
          <w:lang w:val="fr-FR"/>
        </w:rPr>
        <w:tab/>
        <w:t>H.</w:t>
      </w:r>
      <w:r>
        <w:rPr>
          <w:lang w:val="fr-FR"/>
        </w:rPr>
        <w:tab/>
      </w:r>
      <w:r>
        <w:rPr>
          <w:bCs/>
          <w:lang w:val="fr-FR"/>
        </w:rPr>
        <w:t>Nanomatériaux</w:t>
      </w:r>
    </w:p>
    <w:p w14:paraId="2CB6D4D1" w14:textId="77777777" w:rsidR="002A2200" w:rsidRPr="00AE0017" w:rsidRDefault="002A2200" w:rsidP="002A2200">
      <w:pPr>
        <w:pStyle w:val="SingleTxtG"/>
      </w:pPr>
      <w:r>
        <w:rPr>
          <w:lang w:val="fr-FR"/>
        </w:rPr>
        <w:t>29.</w:t>
      </w:r>
      <w:r>
        <w:rPr>
          <w:lang w:val="fr-FR"/>
        </w:rPr>
        <w:tab/>
        <w:t>Ce sujet a été abordé au titre du point 8 de l</w:t>
      </w:r>
      <w:r w:rsidR="00412DEA">
        <w:rPr>
          <w:lang w:val="fr-FR"/>
        </w:rPr>
        <w:t>’</w:t>
      </w:r>
      <w:r>
        <w:rPr>
          <w:lang w:val="fr-FR"/>
        </w:rPr>
        <w:t>ordre du jour (voir par. 54 c)).</w:t>
      </w:r>
    </w:p>
    <w:p w14:paraId="7D0F3096" w14:textId="77777777" w:rsidR="002A2200" w:rsidRPr="00AE0017" w:rsidRDefault="002A2200" w:rsidP="00DD0AA5">
      <w:pPr>
        <w:pStyle w:val="H1G"/>
      </w:pPr>
      <w:r>
        <w:rPr>
          <w:lang w:val="fr-FR"/>
        </w:rPr>
        <w:tab/>
        <w:t>I.</w:t>
      </w:r>
      <w:r>
        <w:rPr>
          <w:lang w:val="fr-FR"/>
        </w:rPr>
        <w:tab/>
      </w:r>
      <w:r w:rsidRPr="00BA777A">
        <w:rPr>
          <w:lang w:val="fr-FR"/>
        </w:rPr>
        <w:t>Autres questions</w:t>
      </w:r>
    </w:p>
    <w:p w14:paraId="4AC7E274" w14:textId="77777777" w:rsidR="002A2200" w:rsidRPr="00AE0017" w:rsidRDefault="002A2200" w:rsidP="002A2200">
      <w:pPr>
        <w:pStyle w:val="H23G"/>
      </w:pPr>
      <w:r>
        <w:rPr>
          <w:lang w:val="fr-FR"/>
        </w:rPr>
        <w:tab/>
        <w:t>1.</w:t>
      </w:r>
      <w:r>
        <w:rPr>
          <w:lang w:val="fr-FR"/>
        </w:rPr>
        <w:tab/>
      </w:r>
      <w:r>
        <w:rPr>
          <w:bCs/>
          <w:lang w:val="fr-FR"/>
        </w:rPr>
        <w:t>Définitions et utilisation de sigles, acronymes et abréviations dans le SGH</w:t>
      </w:r>
    </w:p>
    <w:p w14:paraId="71474EA2" w14:textId="77777777" w:rsidR="002A2200" w:rsidRPr="00AE0017" w:rsidRDefault="002A2200" w:rsidP="00DD0AA5">
      <w:pPr>
        <w:pStyle w:val="SingleTxtG"/>
        <w:tabs>
          <w:tab w:val="clear" w:pos="2268"/>
          <w:tab w:val="clear" w:pos="2835"/>
        </w:tabs>
        <w:ind w:left="3402" w:hanging="2268"/>
        <w:jc w:val="left"/>
      </w:pPr>
      <w:r>
        <w:rPr>
          <w:i/>
          <w:iCs/>
          <w:lang w:val="fr-FR"/>
        </w:rPr>
        <w:t>Documents</w:t>
      </w:r>
      <w:r w:rsidR="00DD0AA5">
        <w:rPr>
          <w:i/>
          <w:iCs/>
          <w:lang w:val="fr-FR"/>
        </w:rPr>
        <w:t> </w:t>
      </w:r>
      <w:r>
        <w:rPr>
          <w:i/>
          <w:iCs/>
          <w:lang w:val="fr-FR"/>
        </w:rPr>
        <w:t>:</w:t>
      </w:r>
      <w:r>
        <w:rPr>
          <w:lang w:val="fr-FR"/>
        </w:rPr>
        <w:tab/>
      </w:r>
      <w:r>
        <w:rPr>
          <w:lang w:val="fr-FR"/>
        </w:rPr>
        <w:tab/>
        <w:t>ST/SG/AC.10/C.4/2020/2 (secrétariat)</w:t>
      </w:r>
      <w:r w:rsidR="00DD0AA5">
        <w:rPr>
          <w:lang w:val="fr-FR"/>
        </w:rPr>
        <w:br/>
      </w:r>
      <w:r>
        <w:rPr>
          <w:lang w:val="fr-FR"/>
        </w:rPr>
        <w:tab/>
        <w:t>ST/SG/AC.10/C.4/2020/11 et Add.1 (Allemagne)</w:t>
      </w:r>
      <w:r w:rsidR="00DD0AA5">
        <w:rPr>
          <w:lang w:val="fr-FR"/>
        </w:rPr>
        <w:t>.</w:t>
      </w:r>
    </w:p>
    <w:p w14:paraId="57A09C87" w14:textId="77777777" w:rsidR="002A2200" w:rsidRPr="00AE0017" w:rsidRDefault="002A2200" w:rsidP="00DD0AA5">
      <w:pPr>
        <w:pStyle w:val="SingleTxtG"/>
        <w:tabs>
          <w:tab w:val="clear" w:pos="2268"/>
          <w:tab w:val="clear" w:pos="2835"/>
        </w:tabs>
        <w:ind w:left="3402" w:hanging="2268"/>
        <w:jc w:val="left"/>
      </w:pPr>
      <w:r>
        <w:rPr>
          <w:i/>
          <w:iCs/>
          <w:lang w:val="fr-FR"/>
        </w:rPr>
        <w:t>Document informel</w:t>
      </w:r>
      <w:r w:rsidR="00DD0AA5">
        <w:rPr>
          <w:i/>
          <w:iCs/>
          <w:lang w:val="fr-FR"/>
        </w:rPr>
        <w:t> </w:t>
      </w:r>
      <w:r>
        <w:rPr>
          <w:i/>
          <w:iCs/>
          <w:lang w:val="fr-FR"/>
        </w:rPr>
        <w:t>:</w:t>
      </w:r>
      <w:r>
        <w:rPr>
          <w:i/>
          <w:iCs/>
          <w:lang w:val="fr-FR"/>
        </w:rPr>
        <w:tab/>
      </w:r>
      <w:r>
        <w:rPr>
          <w:lang w:val="fr-FR"/>
        </w:rPr>
        <w:t>INF.18 (Canada)</w:t>
      </w:r>
      <w:r w:rsidR="00DD0AA5">
        <w:rPr>
          <w:lang w:val="fr-FR"/>
        </w:rPr>
        <w:t>.</w:t>
      </w:r>
    </w:p>
    <w:p w14:paraId="47A1D4AA" w14:textId="77777777" w:rsidR="002A2200" w:rsidRPr="00AE0017" w:rsidRDefault="002A2200" w:rsidP="002A2200">
      <w:pPr>
        <w:pStyle w:val="SingleTxtG"/>
      </w:pPr>
      <w:r>
        <w:rPr>
          <w:lang w:val="fr-FR"/>
        </w:rPr>
        <w:t>30.</w:t>
      </w:r>
      <w:r>
        <w:rPr>
          <w:lang w:val="fr-FR"/>
        </w:rPr>
        <w:tab/>
        <w:t>Le Sous-Comité a adopté les propositions figurant aux paragraphes 5, 6, 8, 9 et 10 du document ST/SG/AC.10/C.4/2020/2 ainsi que la proposition figurant au paragraphe 7 des documents ST/SG/AC.10/C.4/2020/11 et Add.1 moyennant une modification du texte proposé pour la note d</w:t>
      </w:r>
      <w:r w:rsidR="00412DEA">
        <w:rPr>
          <w:lang w:val="fr-FR"/>
        </w:rPr>
        <w:t>’</w:t>
      </w:r>
      <w:r>
        <w:rPr>
          <w:lang w:val="fr-FR"/>
        </w:rPr>
        <w:t>introduction au chapitre 1.2, comme proposé dans le document informel INF.18 (voir annexe I).</w:t>
      </w:r>
    </w:p>
    <w:p w14:paraId="26684DA2" w14:textId="77777777" w:rsidR="002A2200" w:rsidRPr="00AE0017" w:rsidRDefault="002A2200" w:rsidP="002A2200">
      <w:pPr>
        <w:pStyle w:val="H23G"/>
      </w:pPr>
      <w:r>
        <w:rPr>
          <w:lang w:val="fr-FR"/>
        </w:rPr>
        <w:tab/>
        <w:t>2.</w:t>
      </w:r>
      <w:r>
        <w:rPr>
          <w:lang w:val="fr-FR"/>
        </w:rPr>
        <w:tab/>
      </w:r>
      <w:r>
        <w:rPr>
          <w:bCs/>
          <w:lang w:val="fr-FR"/>
        </w:rPr>
        <w:t>Révision des diagrammes de décision</w:t>
      </w:r>
    </w:p>
    <w:p w14:paraId="0A770B75" w14:textId="77777777" w:rsidR="002A2200" w:rsidRPr="00AE0017" w:rsidRDefault="002A2200" w:rsidP="00DD0AA5">
      <w:pPr>
        <w:pStyle w:val="SingleTxtG"/>
        <w:tabs>
          <w:tab w:val="clear" w:pos="2268"/>
          <w:tab w:val="clear" w:pos="2835"/>
        </w:tabs>
        <w:ind w:left="3402" w:hanging="2268"/>
        <w:jc w:val="left"/>
      </w:pPr>
      <w:r>
        <w:rPr>
          <w:i/>
          <w:iCs/>
          <w:lang w:val="fr-FR"/>
        </w:rPr>
        <w:t>Documents</w:t>
      </w:r>
      <w:r w:rsidR="00DD0AA5">
        <w:rPr>
          <w:i/>
          <w:iCs/>
          <w:lang w:val="fr-FR"/>
        </w:rPr>
        <w:t> </w:t>
      </w:r>
      <w:r>
        <w:rPr>
          <w:i/>
          <w:iCs/>
          <w:lang w:val="fr-FR"/>
        </w:rPr>
        <w:t>:</w:t>
      </w:r>
      <w:r>
        <w:rPr>
          <w:lang w:val="fr-FR"/>
        </w:rPr>
        <w:tab/>
        <w:t>ST/SG/AC.10/C.4/2020/3 et</w:t>
      </w:r>
      <w:r w:rsidRPr="00AE0017">
        <w:t xml:space="preserve"> </w:t>
      </w:r>
      <w:r>
        <w:rPr>
          <w:lang w:val="fr-FR"/>
        </w:rPr>
        <w:t>Add.1 (secrétariat)</w:t>
      </w:r>
      <w:r w:rsidR="00DD0AA5">
        <w:rPr>
          <w:lang w:val="fr-FR"/>
        </w:rPr>
        <w:t>.</w:t>
      </w:r>
    </w:p>
    <w:p w14:paraId="13FF458C" w14:textId="77777777" w:rsidR="002A2200" w:rsidRPr="00AE0017" w:rsidRDefault="002A2200" w:rsidP="00DD0AA5">
      <w:pPr>
        <w:pStyle w:val="SingleTxtG"/>
        <w:tabs>
          <w:tab w:val="clear" w:pos="2268"/>
          <w:tab w:val="clear" w:pos="2835"/>
        </w:tabs>
        <w:ind w:left="3402" w:hanging="2268"/>
        <w:jc w:val="left"/>
        <w:rPr>
          <w:iCs/>
        </w:rPr>
      </w:pPr>
      <w:r>
        <w:rPr>
          <w:i/>
          <w:iCs/>
          <w:lang w:val="fr-FR"/>
        </w:rPr>
        <w:t>Documents informels</w:t>
      </w:r>
      <w:r w:rsidR="00DD0AA5">
        <w:rPr>
          <w:i/>
          <w:iCs/>
          <w:lang w:val="fr-FR"/>
        </w:rPr>
        <w:t> </w:t>
      </w:r>
      <w:r>
        <w:rPr>
          <w:i/>
          <w:iCs/>
          <w:lang w:val="fr-FR"/>
        </w:rPr>
        <w:t>:</w:t>
      </w:r>
      <w:r>
        <w:rPr>
          <w:i/>
          <w:iCs/>
          <w:lang w:val="fr-FR"/>
        </w:rPr>
        <w:tab/>
      </w:r>
      <w:r>
        <w:rPr>
          <w:lang w:val="fr-FR"/>
        </w:rPr>
        <w:t xml:space="preserve">INF.5 (secrétariat), </w:t>
      </w:r>
      <w:r>
        <w:rPr>
          <w:lang w:val="fr-FR"/>
        </w:rPr>
        <w:br/>
        <w:t>INF.6 (Allemagne)</w:t>
      </w:r>
      <w:r>
        <w:rPr>
          <w:lang w:val="fr-FR"/>
        </w:rPr>
        <w:br/>
        <w:t>INF.8 (secrétariat)</w:t>
      </w:r>
      <w:r w:rsidR="00DD0AA5">
        <w:rPr>
          <w:lang w:val="fr-FR"/>
        </w:rPr>
        <w:t>.</w:t>
      </w:r>
    </w:p>
    <w:p w14:paraId="431BCE9F" w14:textId="77777777" w:rsidR="002A2200" w:rsidRPr="00AE0017" w:rsidRDefault="002A2200" w:rsidP="002A2200">
      <w:pPr>
        <w:pStyle w:val="SingleTxtG"/>
      </w:pPr>
      <w:r>
        <w:rPr>
          <w:lang w:val="fr-FR"/>
        </w:rPr>
        <w:t>31.</w:t>
      </w:r>
      <w:r>
        <w:rPr>
          <w:lang w:val="fr-FR"/>
        </w:rPr>
        <w:tab/>
        <w:t>Le Sous-Comité a adopté la proposition figurant au paragraphe 3 du document ST/SG/AC.10/C.4/2020/3, moyennant les modifications et corrections supplémentaires figurant aux paragraphes 3, 5 et 6 du document ST/SG/AC.10/C.4/2020/3/Add.1, et la correction de la version française du diagramme de décision 2.3.1 c) figurant dans le document informel INF.5 (voir annexe I).</w:t>
      </w:r>
    </w:p>
    <w:p w14:paraId="1CD27D89" w14:textId="77777777" w:rsidR="002A2200" w:rsidRPr="00AE0017" w:rsidRDefault="002A2200" w:rsidP="002A2200">
      <w:pPr>
        <w:pStyle w:val="SingleTxtG"/>
      </w:pPr>
      <w:r>
        <w:rPr>
          <w:lang w:val="fr-FR"/>
        </w:rPr>
        <w:t>32.</w:t>
      </w:r>
      <w:r>
        <w:rPr>
          <w:lang w:val="fr-FR"/>
        </w:rPr>
        <w:tab/>
        <w:t>En ce qui concernait les modifications corrélatives proposées en rapport avec la proposition du paragraphe 5 du document ST/SG/AC.10/C.4/2020/3/Add.1, le Sous-Comité a estimé qu</w:t>
      </w:r>
      <w:r w:rsidR="00412DEA">
        <w:rPr>
          <w:lang w:val="fr-FR"/>
        </w:rPr>
        <w:t>’</w:t>
      </w:r>
      <w:r>
        <w:rPr>
          <w:lang w:val="fr-FR"/>
        </w:rPr>
        <w:t xml:space="preserve">elles méritaient une réflexion plus approfondie et a décidé de les traiter au cours de </w:t>
      </w:r>
      <w:r w:rsidRPr="009D536D">
        <w:rPr>
          <w:lang w:val="fr-FR"/>
        </w:rPr>
        <w:t>l</w:t>
      </w:r>
      <w:r w:rsidR="00412DEA">
        <w:rPr>
          <w:lang w:val="fr-FR"/>
        </w:rPr>
        <w:t>’</w:t>
      </w:r>
      <w:r w:rsidRPr="009D536D">
        <w:rPr>
          <w:lang w:val="fr-FR"/>
        </w:rPr>
        <w:t>exercice biennal</w:t>
      </w:r>
      <w:r>
        <w:rPr>
          <w:lang w:val="fr-FR"/>
        </w:rPr>
        <w:t xml:space="preserve"> suivant. </w:t>
      </w:r>
    </w:p>
    <w:p w14:paraId="5226A717" w14:textId="77777777" w:rsidR="002A2200" w:rsidRPr="00AE0017" w:rsidRDefault="002A2200" w:rsidP="002A2200">
      <w:pPr>
        <w:pStyle w:val="SingleTxtG"/>
      </w:pPr>
      <w:r>
        <w:rPr>
          <w:lang w:val="fr-FR"/>
        </w:rPr>
        <w:t>33.</w:t>
      </w:r>
      <w:r>
        <w:rPr>
          <w:lang w:val="fr-FR"/>
        </w:rPr>
        <w:tab/>
        <w:t>Le Sous-Comité s</w:t>
      </w:r>
      <w:r w:rsidR="00412DEA">
        <w:rPr>
          <w:lang w:val="fr-FR"/>
        </w:rPr>
        <w:t>’</w:t>
      </w:r>
      <w:r>
        <w:rPr>
          <w:lang w:val="fr-FR"/>
        </w:rPr>
        <w:t>est félicité des informations communiquées par l</w:t>
      </w:r>
      <w:r w:rsidR="00412DEA">
        <w:rPr>
          <w:lang w:val="fr-FR"/>
        </w:rPr>
        <w:t>’</w:t>
      </w:r>
      <w:r>
        <w:rPr>
          <w:lang w:val="fr-FR"/>
        </w:rPr>
        <w:t>experte de l</w:t>
      </w:r>
      <w:r w:rsidR="00412DEA">
        <w:rPr>
          <w:lang w:val="fr-FR"/>
        </w:rPr>
        <w:t>’</w:t>
      </w:r>
      <w:r>
        <w:rPr>
          <w:lang w:val="fr-FR"/>
        </w:rPr>
        <w:t xml:space="preserve">Allemagne sur son intention de travailler au cours de </w:t>
      </w:r>
      <w:r w:rsidRPr="009D536D">
        <w:rPr>
          <w:lang w:val="fr-FR"/>
        </w:rPr>
        <w:t>l</w:t>
      </w:r>
      <w:r w:rsidR="00412DEA">
        <w:rPr>
          <w:lang w:val="fr-FR"/>
        </w:rPr>
        <w:t>’</w:t>
      </w:r>
      <w:r w:rsidRPr="009D536D">
        <w:rPr>
          <w:lang w:val="fr-FR"/>
        </w:rPr>
        <w:t xml:space="preserve">exercice biennal suivant </w:t>
      </w:r>
      <w:r>
        <w:rPr>
          <w:lang w:val="fr-FR"/>
        </w:rPr>
        <w:t>sur les principes généraux de conception, de présentation et de structuration des diagrammes de décision exposés dans le document informel INF.6, en vue de les améliorer.</w:t>
      </w:r>
    </w:p>
    <w:p w14:paraId="2FE511A5" w14:textId="77777777" w:rsidR="002A2200" w:rsidRPr="00AE0017" w:rsidRDefault="002A2200" w:rsidP="002A2200">
      <w:pPr>
        <w:pStyle w:val="H23G"/>
      </w:pPr>
      <w:r>
        <w:rPr>
          <w:lang w:val="fr-FR"/>
        </w:rPr>
        <w:tab/>
        <w:t>3.</w:t>
      </w:r>
      <w:r>
        <w:rPr>
          <w:lang w:val="fr-FR"/>
        </w:rPr>
        <w:tab/>
      </w:r>
      <w:r>
        <w:rPr>
          <w:bCs/>
          <w:lang w:val="fr-FR"/>
        </w:rPr>
        <w:t>Étiquetage pour le milieu de travail : éclaircissements à apporter au 1.4.10.5.5.1</w:t>
      </w:r>
    </w:p>
    <w:p w14:paraId="01E2BD30" w14:textId="77777777" w:rsidR="002A2200" w:rsidRPr="00AE0017" w:rsidRDefault="002A2200" w:rsidP="00DD0AA5">
      <w:pPr>
        <w:pStyle w:val="SingleTxtG"/>
        <w:tabs>
          <w:tab w:val="clear" w:pos="2268"/>
          <w:tab w:val="clear" w:pos="2835"/>
        </w:tabs>
        <w:ind w:left="3402" w:hanging="2268"/>
        <w:jc w:val="left"/>
      </w:pPr>
      <w:r>
        <w:rPr>
          <w:i/>
          <w:iCs/>
          <w:lang w:val="fr-FR"/>
        </w:rPr>
        <w:t>Documents</w:t>
      </w:r>
      <w:r w:rsidR="00DD0AA5">
        <w:rPr>
          <w:i/>
          <w:iCs/>
          <w:lang w:val="fr-FR"/>
        </w:rPr>
        <w:t> </w:t>
      </w:r>
      <w:r>
        <w:rPr>
          <w:i/>
          <w:iCs/>
          <w:lang w:val="fr-FR"/>
        </w:rPr>
        <w:t>:</w:t>
      </w:r>
      <w:r>
        <w:rPr>
          <w:lang w:val="fr-FR"/>
        </w:rPr>
        <w:tab/>
        <w:t>ST/SG/AC.10/C.4/2020/6 et Add.1 (secrétariat)</w:t>
      </w:r>
      <w:r w:rsidR="00DD0AA5">
        <w:rPr>
          <w:lang w:val="fr-FR"/>
        </w:rPr>
        <w:t>.</w:t>
      </w:r>
    </w:p>
    <w:p w14:paraId="72809088" w14:textId="77777777" w:rsidR="002A2200" w:rsidRPr="00AE0017" w:rsidRDefault="002A2200" w:rsidP="002A2200">
      <w:pPr>
        <w:pStyle w:val="SingleTxtG"/>
        <w:tabs>
          <w:tab w:val="left" w:pos="2410"/>
        </w:tabs>
      </w:pPr>
      <w:r>
        <w:rPr>
          <w:lang w:val="fr-FR"/>
        </w:rPr>
        <w:t>34.</w:t>
      </w:r>
      <w:r>
        <w:rPr>
          <w:lang w:val="fr-FR"/>
        </w:rPr>
        <w:tab/>
      </w:r>
      <w:proofErr w:type="gramStart"/>
      <w:r>
        <w:rPr>
          <w:lang w:val="fr-FR"/>
        </w:rPr>
        <w:t>Suite à une</w:t>
      </w:r>
      <w:proofErr w:type="gramEnd"/>
      <w:r>
        <w:rPr>
          <w:lang w:val="fr-FR"/>
        </w:rPr>
        <w:t xml:space="preserve"> demande d</w:t>
      </w:r>
      <w:r w:rsidR="00412DEA">
        <w:rPr>
          <w:lang w:val="fr-FR"/>
        </w:rPr>
        <w:t>’</w:t>
      </w:r>
      <w:r>
        <w:rPr>
          <w:lang w:val="fr-FR"/>
        </w:rPr>
        <w:t>éclaircissements de la part de l</w:t>
      </w:r>
      <w:r w:rsidR="00412DEA">
        <w:rPr>
          <w:lang w:val="fr-FR"/>
        </w:rPr>
        <w:t>’</w:t>
      </w:r>
      <w:r>
        <w:rPr>
          <w:lang w:val="fr-FR"/>
        </w:rPr>
        <w:t>expert des Pays-Bas, le Sous</w:t>
      </w:r>
      <w:r w:rsidR="00DD0AA5">
        <w:rPr>
          <w:lang w:val="fr-FR"/>
        </w:rPr>
        <w:noBreakHyphen/>
      </w:r>
      <w:r>
        <w:rPr>
          <w:lang w:val="fr-FR"/>
        </w:rPr>
        <w:t>Comité a confirmé que dans le contexte du paragraphe 1.4.10.5.5.1, le terme « décantation » signifiait le transfert d</w:t>
      </w:r>
      <w:r w:rsidR="00412DEA">
        <w:rPr>
          <w:lang w:val="fr-FR"/>
        </w:rPr>
        <w:t>’</w:t>
      </w:r>
      <w:r>
        <w:rPr>
          <w:lang w:val="fr-FR"/>
        </w:rPr>
        <w:t>un produit chimique de son récipient initial à un récipient provisoire et non la séparation des composants d</w:t>
      </w:r>
      <w:r w:rsidR="00412DEA">
        <w:rPr>
          <w:lang w:val="fr-FR"/>
        </w:rPr>
        <w:t>’</w:t>
      </w:r>
      <w:r>
        <w:rPr>
          <w:lang w:val="fr-FR"/>
        </w:rPr>
        <w:t>un mélange. Il a été souligné que l</w:t>
      </w:r>
      <w:r w:rsidR="00412DEA">
        <w:rPr>
          <w:lang w:val="fr-FR"/>
        </w:rPr>
        <w:t>’</w:t>
      </w:r>
      <w:r>
        <w:rPr>
          <w:lang w:val="fr-FR"/>
        </w:rPr>
        <w:t>objectif principal des dispositions de ce paragraphe était de garantir que les travailleurs puissent facilement obtenir les informations sur les dangers du produit chimique une fois qu</w:t>
      </w:r>
      <w:r w:rsidR="00412DEA">
        <w:rPr>
          <w:lang w:val="fr-FR"/>
        </w:rPr>
        <w:t>’</w:t>
      </w:r>
      <w:r>
        <w:rPr>
          <w:lang w:val="fr-FR"/>
        </w:rPr>
        <w:t>il a été placé dans un récipient temporaire non étiqueté. Pour ces raisons, le Sous-Comité a adopté l</w:t>
      </w:r>
      <w:r w:rsidR="00412DEA">
        <w:rPr>
          <w:lang w:val="fr-FR"/>
        </w:rPr>
        <w:t>’</w:t>
      </w:r>
      <w:r>
        <w:rPr>
          <w:lang w:val="fr-FR"/>
        </w:rPr>
        <w:t>option 3 b) ainsi que la proposition figurant au paragraphe 6 du document ST/SG/AC.10/C.4/2020/6/Add.1 (voir annexe I), car il était entendu que l</w:t>
      </w:r>
      <w:r w:rsidR="00412DEA">
        <w:rPr>
          <w:lang w:val="fr-FR"/>
        </w:rPr>
        <w:t>’</w:t>
      </w:r>
      <w:r>
        <w:rPr>
          <w:lang w:val="fr-FR"/>
        </w:rPr>
        <w:t>identificateur de produit (tel que défini à la section A4.3.1 de l</w:t>
      </w:r>
      <w:r w:rsidR="00412DEA">
        <w:rPr>
          <w:lang w:val="fr-FR"/>
        </w:rPr>
        <w:t>’</w:t>
      </w:r>
      <w:r>
        <w:rPr>
          <w:lang w:val="fr-FR"/>
        </w:rPr>
        <w:t>annexe 4 du SGH) permettrait d</w:t>
      </w:r>
      <w:r w:rsidR="00412DEA">
        <w:rPr>
          <w:lang w:val="fr-FR"/>
        </w:rPr>
        <w:t>’</w:t>
      </w:r>
      <w:r>
        <w:rPr>
          <w:lang w:val="fr-FR"/>
        </w:rPr>
        <w:t>identifier sans équivoque le produit chimique, tout en permettant aux autorités compétentes de laisser aux fournisseurs la possibilité d</w:t>
      </w:r>
      <w:r w:rsidR="00412DEA">
        <w:rPr>
          <w:lang w:val="fr-FR"/>
        </w:rPr>
        <w:t>’</w:t>
      </w:r>
      <w:r>
        <w:rPr>
          <w:lang w:val="fr-FR"/>
        </w:rPr>
        <w:t>utiliser l</w:t>
      </w:r>
      <w:r w:rsidR="00412DEA">
        <w:rPr>
          <w:lang w:val="fr-FR"/>
        </w:rPr>
        <w:t>’</w:t>
      </w:r>
      <w:r>
        <w:rPr>
          <w:lang w:val="fr-FR"/>
        </w:rPr>
        <w:t xml:space="preserve">autre méthode décrite au paragraphe 1.4.10.5.2 d) iii) du SGH. </w:t>
      </w:r>
    </w:p>
    <w:p w14:paraId="4935B728" w14:textId="77777777" w:rsidR="002A2200" w:rsidRPr="00AE0017" w:rsidRDefault="009801F5" w:rsidP="002A2200">
      <w:pPr>
        <w:pStyle w:val="H23G"/>
      </w:pPr>
      <w:r>
        <w:rPr>
          <w:lang w:val="fr-FR"/>
        </w:rPr>
        <w:lastRenderedPageBreak/>
        <w:tab/>
      </w:r>
      <w:r w:rsidR="002A2200">
        <w:rPr>
          <w:lang w:val="fr-FR"/>
        </w:rPr>
        <w:t>4.</w:t>
      </w:r>
      <w:r w:rsidR="002A2200">
        <w:rPr>
          <w:lang w:val="fr-FR"/>
        </w:rPr>
        <w:tab/>
      </w:r>
      <w:r w:rsidR="002A2200">
        <w:rPr>
          <w:bCs/>
          <w:lang w:val="fr-FR"/>
        </w:rPr>
        <w:t>Précision concernant les critères de classification de la mutagénicité sur les cellules germinales dans la catégorie 1B</w:t>
      </w:r>
    </w:p>
    <w:p w14:paraId="2CC04CC7" w14:textId="77777777" w:rsidR="002A2200" w:rsidRPr="00AE0017" w:rsidRDefault="002A2200" w:rsidP="00DD0AA5">
      <w:pPr>
        <w:pStyle w:val="SingleTxtG"/>
        <w:tabs>
          <w:tab w:val="clear" w:pos="2268"/>
          <w:tab w:val="clear" w:pos="2835"/>
        </w:tabs>
        <w:ind w:left="3402" w:hanging="2268"/>
        <w:jc w:val="left"/>
      </w:pPr>
      <w:r>
        <w:rPr>
          <w:i/>
          <w:iCs/>
          <w:lang w:val="fr-FR"/>
        </w:rPr>
        <w:t>Documents</w:t>
      </w:r>
      <w:r w:rsidR="00DD0AA5">
        <w:rPr>
          <w:i/>
          <w:iCs/>
          <w:lang w:val="fr-FR"/>
        </w:rPr>
        <w:t> </w:t>
      </w:r>
      <w:r>
        <w:rPr>
          <w:i/>
          <w:iCs/>
          <w:lang w:val="fr-FR"/>
        </w:rPr>
        <w:t>:</w:t>
      </w:r>
      <w:r>
        <w:rPr>
          <w:lang w:val="fr-FR"/>
        </w:rPr>
        <w:tab/>
        <w:t>ST/SG/AC.10/C.4/2020/13 et Add.1 (Union européenne)</w:t>
      </w:r>
      <w:r w:rsidR="00DD0AA5">
        <w:rPr>
          <w:lang w:val="fr-FR"/>
        </w:rPr>
        <w:t>.</w:t>
      </w:r>
    </w:p>
    <w:p w14:paraId="684E4090" w14:textId="77777777" w:rsidR="002A2200" w:rsidRPr="00AE0017" w:rsidRDefault="002A2200" w:rsidP="00DD0AA5">
      <w:pPr>
        <w:pStyle w:val="SingleTxtG"/>
        <w:tabs>
          <w:tab w:val="clear" w:pos="2268"/>
          <w:tab w:val="clear" w:pos="2835"/>
        </w:tabs>
        <w:ind w:left="3402" w:hanging="2268"/>
        <w:jc w:val="left"/>
      </w:pPr>
      <w:r>
        <w:rPr>
          <w:i/>
          <w:iCs/>
          <w:lang w:val="fr-FR"/>
        </w:rPr>
        <w:t>Document informel</w:t>
      </w:r>
      <w:r w:rsidR="00DD0AA5">
        <w:rPr>
          <w:i/>
          <w:iCs/>
          <w:lang w:val="fr-FR"/>
        </w:rPr>
        <w:t> </w:t>
      </w:r>
      <w:r>
        <w:rPr>
          <w:i/>
          <w:iCs/>
          <w:lang w:val="fr-FR"/>
        </w:rPr>
        <w:t>:</w:t>
      </w:r>
      <w:r>
        <w:rPr>
          <w:lang w:val="fr-FR"/>
        </w:rPr>
        <w:tab/>
        <w:t>INF.37 (Union européenne)</w:t>
      </w:r>
      <w:r w:rsidR="00DD0AA5">
        <w:rPr>
          <w:lang w:val="fr-FR"/>
        </w:rPr>
        <w:t>.</w:t>
      </w:r>
    </w:p>
    <w:p w14:paraId="1D0FBF16" w14:textId="77777777" w:rsidR="002A2200" w:rsidRPr="00AE0017" w:rsidRDefault="002A2200" w:rsidP="00DD0AA5">
      <w:pPr>
        <w:pStyle w:val="SingleTxtG"/>
        <w:tabs>
          <w:tab w:val="clear" w:pos="2268"/>
          <w:tab w:val="clear" w:pos="2835"/>
        </w:tabs>
        <w:ind w:left="3402" w:hanging="2268"/>
        <w:jc w:val="left"/>
        <w:rPr>
          <w:iCs/>
        </w:rPr>
      </w:pPr>
      <w:r>
        <w:rPr>
          <w:i/>
          <w:iCs/>
          <w:lang w:val="fr-FR"/>
        </w:rPr>
        <w:t>Document de référence :</w:t>
      </w:r>
      <w:r>
        <w:rPr>
          <w:lang w:val="fr-FR"/>
        </w:rPr>
        <w:tab/>
        <w:t>INF.7 (Allemagne)</w:t>
      </w:r>
      <w:r w:rsidR="00DD0AA5">
        <w:rPr>
          <w:lang w:val="fr-FR"/>
        </w:rPr>
        <w:t>.</w:t>
      </w:r>
    </w:p>
    <w:p w14:paraId="0022829E" w14:textId="77777777" w:rsidR="002A2200" w:rsidRPr="00AE0017" w:rsidRDefault="002A2200" w:rsidP="002A2200">
      <w:pPr>
        <w:pStyle w:val="SingleTxtG"/>
      </w:pPr>
      <w:r>
        <w:rPr>
          <w:lang w:val="fr-FR"/>
        </w:rPr>
        <w:t>35.</w:t>
      </w:r>
      <w:r>
        <w:rPr>
          <w:lang w:val="fr-FR"/>
        </w:rPr>
        <w:tab/>
        <w:t>Le Sous-Comité a donné son accord de principe à la proposition de traiter cette question au sein d</w:t>
      </w:r>
      <w:r w:rsidR="00412DEA">
        <w:rPr>
          <w:lang w:val="fr-FR"/>
        </w:rPr>
        <w:t>’</w:t>
      </w:r>
      <w:r>
        <w:rPr>
          <w:lang w:val="fr-FR"/>
        </w:rPr>
        <w:t>un groupe de travail informel, tel que décrit dans le document informel INF.37, à condition que l</w:t>
      </w:r>
      <w:r w:rsidR="00412DEA">
        <w:rPr>
          <w:lang w:val="fr-FR"/>
        </w:rPr>
        <w:t>’</w:t>
      </w:r>
      <w:r>
        <w:rPr>
          <w:lang w:val="fr-FR"/>
        </w:rPr>
        <w:t>OCDE participe aux travaux. Le Sous-Comité a été informé que la première tâche du groupe de travail informel serait de débattre et convenir du cahier des charges de ses travaux sur la base du projet figurant dans le document informel INF.37 et en tenant compte des observations faites par le Sous-Comité, par exemple de débattre de tous travaux visant à saisir les méthodes d</w:t>
      </w:r>
      <w:r w:rsidR="00412DEA">
        <w:rPr>
          <w:lang w:val="fr-FR"/>
        </w:rPr>
        <w:t>’</w:t>
      </w:r>
      <w:r>
        <w:rPr>
          <w:lang w:val="fr-FR"/>
        </w:rPr>
        <w:t>essai sur les animaux avec le groupe de travail informel des méthodes d</w:t>
      </w:r>
      <w:r w:rsidR="00412DEA">
        <w:rPr>
          <w:lang w:val="fr-FR"/>
        </w:rPr>
        <w:t>’</w:t>
      </w:r>
      <w:r>
        <w:rPr>
          <w:lang w:val="fr-FR"/>
        </w:rPr>
        <w:t>expérimentation non animales. Le groupe de travail informel transmettrait le cahier des charges convenu et un programme de travail détaillé au Sous-Comité pour examen lors d</w:t>
      </w:r>
      <w:r w:rsidR="00412DEA">
        <w:rPr>
          <w:lang w:val="fr-FR"/>
        </w:rPr>
        <w:t>’</w:t>
      </w:r>
      <w:r>
        <w:rPr>
          <w:lang w:val="fr-FR"/>
        </w:rPr>
        <w:t xml:space="preserve">une future session. Il a été noté que les travaux du groupe de travail informel seraient organisés par le Centre commun de recherche (CCR) de la Commission européenne. </w:t>
      </w:r>
    </w:p>
    <w:p w14:paraId="46F98FC9" w14:textId="77777777" w:rsidR="002A2200" w:rsidRPr="00AE0017" w:rsidRDefault="002A2200" w:rsidP="002A2200">
      <w:pPr>
        <w:pStyle w:val="H23G"/>
        <w:rPr>
          <w:iCs/>
        </w:rPr>
      </w:pPr>
      <w:r>
        <w:rPr>
          <w:lang w:val="fr-FR"/>
        </w:rPr>
        <w:tab/>
        <w:t>5.</w:t>
      </w:r>
      <w:r>
        <w:rPr>
          <w:lang w:val="fr-FR"/>
        </w:rPr>
        <w:tab/>
      </w:r>
      <w:r>
        <w:rPr>
          <w:bCs/>
          <w:lang w:val="fr-FR"/>
        </w:rPr>
        <w:t>Nouvelles propositions</w:t>
      </w:r>
    </w:p>
    <w:p w14:paraId="6F0DE830" w14:textId="77777777" w:rsidR="002A2200" w:rsidRPr="00AE0017" w:rsidRDefault="002A2200" w:rsidP="002A2200">
      <w:pPr>
        <w:pStyle w:val="SingleTxtG"/>
      </w:pPr>
      <w:r>
        <w:rPr>
          <w:lang w:val="fr-FR"/>
        </w:rPr>
        <w:t>36.</w:t>
      </w:r>
      <w:r>
        <w:rPr>
          <w:lang w:val="fr-FR"/>
        </w:rPr>
        <w:tab/>
        <w:t>Aucun document n</w:t>
      </w:r>
      <w:r w:rsidR="00412DEA">
        <w:rPr>
          <w:lang w:val="fr-FR"/>
        </w:rPr>
        <w:t>’</w:t>
      </w:r>
      <w:r>
        <w:rPr>
          <w:lang w:val="fr-FR"/>
        </w:rPr>
        <w:t>ayant été soumis au titre de ce point de l</w:t>
      </w:r>
      <w:r w:rsidR="00412DEA">
        <w:rPr>
          <w:lang w:val="fr-FR"/>
        </w:rPr>
        <w:t>’</w:t>
      </w:r>
      <w:r>
        <w:rPr>
          <w:lang w:val="fr-FR"/>
        </w:rPr>
        <w:t>ordre du jour, la question n</w:t>
      </w:r>
      <w:r w:rsidR="00412DEA">
        <w:rPr>
          <w:lang w:val="fr-FR"/>
        </w:rPr>
        <w:t>’</w:t>
      </w:r>
      <w:r>
        <w:rPr>
          <w:lang w:val="fr-FR"/>
        </w:rPr>
        <w:t>a pas été abordée.</w:t>
      </w:r>
    </w:p>
    <w:p w14:paraId="03915D52" w14:textId="77777777" w:rsidR="002A2200" w:rsidRPr="00AE0017" w:rsidRDefault="002A2200" w:rsidP="002A2200">
      <w:pPr>
        <w:pStyle w:val="HChG"/>
      </w:pPr>
      <w:r>
        <w:rPr>
          <w:lang w:val="fr-FR"/>
        </w:rPr>
        <w:tab/>
        <w:t>VI.</w:t>
      </w:r>
      <w:r>
        <w:rPr>
          <w:lang w:val="fr-FR"/>
        </w:rPr>
        <w:tab/>
      </w:r>
      <w:r>
        <w:rPr>
          <w:bCs/>
          <w:lang w:val="fr-FR"/>
        </w:rPr>
        <w:t>Questions relatives à la communication des dangers (point 4 de l</w:t>
      </w:r>
      <w:r w:rsidR="00412DEA">
        <w:rPr>
          <w:bCs/>
          <w:lang w:val="fr-FR"/>
        </w:rPr>
        <w:t>’</w:t>
      </w:r>
      <w:r>
        <w:rPr>
          <w:bCs/>
          <w:lang w:val="fr-FR"/>
        </w:rPr>
        <w:t>ordre du jour)</w:t>
      </w:r>
    </w:p>
    <w:p w14:paraId="7AB5CB35" w14:textId="77777777" w:rsidR="002A2200" w:rsidRPr="00AE0017" w:rsidRDefault="002A2200" w:rsidP="002A2200">
      <w:pPr>
        <w:pStyle w:val="H1G"/>
      </w:pPr>
      <w:r>
        <w:rPr>
          <w:lang w:val="fr-FR"/>
        </w:rPr>
        <w:tab/>
        <w:t>A.</w:t>
      </w:r>
      <w:r>
        <w:rPr>
          <w:lang w:val="fr-FR"/>
        </w:rPr>
        <w:tab/>
      </w:r>
      <w:r>
        <w:rPr>
          <w:bCs/>
          <w:lang w:val="fr-FR"/>
        </w:rPr>
        <w:t>Questions pratiques d</w:t>
      </w:r>
      <w:r w:rsidR="00412DEA">
        <w:rPr>
          <w:bCs/>
          <w:lang w:val="fr-FR"/>
        </w:rPr>
        <w:t>’</w:t>
      </w:r>
      <w:r>
        <w:rPr>
          <w:bCs/>
          <w:lang w:val="fr-FR"/>
        </w:rPr>
        <w:t>étiquetage</w:t>
      </w:r>
    </w:p>
    <w:p w14:paraId="2B41A7D7" w14:textId="77777777" w:rsidR="002A2200" w:rsidRPr="00AE0017" w:rsidRDefault="002A2200" w:rsidP="00DD0AA5">
      <w:pPr>
        <w:pStyle w:val="SingleTxtG"/>
        <w:tabs>
          <w:tab w:val="clear" w:pos="2268"/>
          <w:tab w:val="clear" w:pos="2835"/>
        </w:tabs>
        <w:ind w:left="3402" w:hanging="2268"/>
        <w:jc w:val="left"/>
      </w:pPr>
      <w:r>
        <w:rPr>
          <w:i/>
          <w:iCs/>
          <w:lang w:val="fr-FR"/>
        </w:rPr>
        <w:t>Document informel</w:t>
      </w:r>
      <w:r w:rsidR="00DD0AA5">
        <w:rPr>
          <w:i/>
          <w:iCs/>
          <w:lang w:val="fr-FR"/>
        </w:rPr>
        <w:t> </w:t>
      </w:r>
      <w:r>
        <w:rPr>
          <w:i/>
          <w:iCs/>
          <w:lang w:val="fr-FR"/>
        </w:rPr>
        <w:t>:</w:t>
      </w:r>
      <w:r>
        <w:rPr>
          <w:lang w:val="fr-FR"/>
        </w:rPr>
        <w:tab/>
        <w:t>INF.28 (CEFIC)</w:t>
      </w:r>
      <w:r w:rsidR="00DD0AA5">
        <w:rPr>
          <w:lang w:val="fr-FR"/>
        </w:rPr>
        <w:t>.</w:t>
      </w:r>
    </w:p>
    <w:p w14:paraId="10D0B90D" w14:textId="77777777" w:rsidR="002A2200" w:rsidRPr="00AE0017" w:rsidRDefault="002A2200" w:rsidP="002A2200">
      <w:pPr>
        <w:pStyle w:val="SingleTxtG"/>
      </w:pPr>
      <w:r>
        <w:rPr>
          <w:lang w:val="fr-FR"/>
        </w:rPr>
        <w:t>37.</w:t>
      </w:r>
      <w:r>
        <w:rPr>
          <w:lang w:val="fr-FR"/>
        </w:rPr>
        <w:tab/>
        <w:t>Le Sous-Comité a décidé que les travaux sur les questions pratiques d</w:t>
      </w:r>
      <w:r w:rsidR="00412DEA">
        <w:rPr>
          <w:lang w:val="fr-FR"/>
        </w:rPr>
        <w:t>’</w:t>
      </w:r>
      <w:r>
        <w:rPr>
          <w:lang w:val="fr-FR"/>
        </w:rPr>
        <w:t>étiquetage devraient se poursuivre au cours de l</w:t>
      </w:r>
      <w:r w:rsidR="00412DEA">
        <w:rPr>
          <w:lang w:val="fr-FR"/>
        </w:rPr>
        <w:t>’</w:t>
      </w:r>
      <w:r>
        <w:rPr>
          <w:lang w:val="fr-FR"/>
        </w:rPr>
        <w:t>exercice biennal 2021-2022 (voir l</w:t>
      </w:r>
      <w:r w:rsidR="00412DEA">
        <w:rPr>
          <w:lang w:val="fr-FR"/>
        </w:rPr>
        <w:t>’</w:t>
      </w:r>
      <w:r>
        <w:rPr>
          <w:lang w:val="fr-FR"/>
        </w:rPr>
        <w:t>annexe II) conformément au mandat et au programme de travail figurant aux paragraphes 5 et 6 du document informel INF.28 et a noté que le CEFIC continuerait de diriger ces travaux.</w:t>
      </w:r>
    </w:p>
    <w:p w14:paraId="3257E850" w14:textId="77777777" w:rsidR="002A2200" w:rsidRPr="00AE0017" w:rsidRDefault="000555A1" w:rsidP="000555A1">
      <w:pPr>
        <w:pStyle w:val="H1G"/>
      </w:pPr>
      <w:r>
        <w:rPr>
          <w:lang w:val="fr-FR"/>
        </w:rPr>
        <w:tab/>
      </w:r>
      <w:r w:rsidR="002A2200">
        <w:rPr>
          <w:lang w:val="fr-FR"/>
        </w:rPr>
        <w:t>B.</w:t>
      </w:r>
      <w:r w:rsidR="002A2200">
        <w:rPr>
          <w:lang w:val="fr-FR"/>
        </w:rPr>
        <w:tab/>
        <w:t>Amélioration des annexes 1 à 3 et poursuite de la rationalisation des conseils de prudence</w:t>
      </w:r>
    </w:p>
    <w:p w14:paraId="71780E91" w14:textId="77777777" w:rsidR="002A2200" w:rsidRPr="00AE0017" w:rsidRDefault="002A2200" w:rsidP="000555A1">
      <w:pPr>
        <w:pStyle w:val="SingleTxtG"/>
        <w:tabs>
          <w:tab w:val="clear" w:pos="2268"/>
          <w:tab w:val="clear" w:pos="2835"/>
        </w:tabs>
        <w:ind w:left="3402" w:hanging="2268"/>
        <w:jc w:val="left"/>
      </w:pPr>
      <w:r>
        <w:rPr>
          <w:i/>
          <w:iCs/>
          <w:lang w:val="fr-FR"/>
        </w:rPr>
        <w:t>Document</w:t>
      </w:r>
      <w:r w:rsidR="000555A1">
        <w:rPr>
          <w:i/>
          <w:iCs/>
          <w:lang w:val="fr-FR"/>
        </w:rPr>
        <w:t> </w:t>
      </w:r>
      <w:r>
        <w:rPr>
          <w:i/>
          <w:iCs/>
          <w:lang w:val="fr-FR"/>
        </w:rPr>
        <w:t>:</w:t>
      </w:r>
      <w:r>
        <w:rPr>
          <w:lang w:val="fr-FR"/>
        </w:rPr>
        <w:tab/>
      </w:r>
      <w:r>
        <w:rPr>
          <w:lang w:val="fr-FR"/>
        </w:rPr>
        <w:tab/>
        <w:t>ST/SG/AC.10/C.4/2020/12 (Royaume-Uni)</w:t>
      </w:r>
      <w:r w:rsidR="000555A1">
        <w:rPr>
          <w:lang w:val="fr-FR"/>
        </w:rPr>
        <w:t>.</w:t>
      </w:r>
    </w:p>
    <w:p w14:paraId="25D3B1C9" w14:textId="77777777" w:rsidR="002A2200" w:rsidRPr="00AE0017" w:rsidRDefault="002A2200" w:rsidP="000555A1">
      <w:pPr>
        <w:pStyle w:val="SingleTxtG"/>
        <w:tabs>
          <w:tab w:val="clear" w:pos="2268"/>
          <w:tab w:val="clear" w:pos="2835"/>
        </w:tabs>
        <w:ind w:left="3402" w:hanging="2268"/>
        <w:jc w:val="left"/>
      </w:pPr>
      <w:r>
        <w:rPr>
          <w:i/>
          <w:iCs/>
          <w:lang w:val="fr-FR"/>
        </w:rPr>
        <w:t>Documents informels</w:t>
      </w:r>
      <w:r w:rsidR="000555A1">
        <w:rPr>
          <w:i/>
          <w:iCs/>
          <w:lang w:val="fr-FR"/>
        </w:rPr>
        <w:t> </w:t>
      </w:r>
      <w:r>
        <w:rPr>
          <w:i/>
          <w:iCs/>
          <w:lang w:val="fr-FR"/>
        </w:rPr>
        <w:t>:</w:t>
      </w:r>
      <w:r>
        <w:rPr>
          <w:lang w:val="fr-FR"/>
        </w:rPr>
        <w:tab/>
        <w:t>INF.4 (Royaume-Uni)</w:t>
      </w:r>
      <w:r>
        <w:rPr>
          <w:lang w:val="fr-FR"/>
        </w:rPr>
        <w:br/>
        <w:t>INF.20 (Royaume-Uni)</w:t>
      </w:r>
      <w:r w:rsidR="000555A1">
        <w:rPr>
          <w:lang w:val="fr-FR"/>
        </w:rPr>
        <w:t>.</w:t>
      </w:r>
    </w:p>
    <w:p w14:paraId="45582F15" w14:textId="77777777" w:rsidR="002A2200" w:rsidRPr="00AE0017" w:rsidRDefault="002A2200" w:rsidP="002A2200">
      <w:pPr>
        <w:pStyle w:val="SingleTxtG"/>
      </w:pPr>
      <w:r>
        <w:rPr>
          <w:lang w:val="fr-FR"/>
        </w:rPr>
        <w:t>38.</w:t>
      </w:r>
      <w:r>
        <w:rPr>
          <w:lang w:val="fr-FR"/>
        </w:rPr>
        <w:tab/>
        <w:t>Le Sous-Comité a pris note de l</w:t>
      </w:r>
      <w:r w:rsidR="00412DEA">
        <w:rPr>
          <w:lang w:val="fr-FR"/>
        </w:rPr>
        <w:t>’</w:t>
      </w:r>
      <w:r>
        <w:rPr>
          <w:lang w:val="fr-FR"/>
        </w:rPr>
        <w:t>état d</w:t>
      </w:r>
      <w:r w:rsidR="00412DEA">
        <w:rPr>
          <w:lang w:val="fr-FR"/>
        </w:rPr>
        <w:t>’</w:t>
      </w:r>
      <w:r>
        <w:rPr>
          <w:lang w:val="fr-FR"/>
        </w:rPr>
        <w:t>avancement des travaux du groupe de travail informel de l</w:t>
      </w:r>
      <w:r w:rsidR="00412DEA">
        <w:rPr>
          <w:lang w:val="fr-FR"/>
        </w:rPr>
        <w:t>’</w:t>
      </w:r>
      <w:r>
        <w:rPr>
          <w:lang w:val="fr-FR"/>
        </w:rPr>
        <w:t>amélioration des annexes 1 à 3 du SGH dans le document informel INF.20 et a adopté les amendements à l</w:t>
      </w:r>
      <w:r w:rsidR="00412DEA">
        <w:rPr>
          <w:lang w:val="fr-FR"/>
        </w:rPr>
        <w:t>’</w:t>
      </w:r>
      <w:r>
        <w:rPr>
          <w:lang w:val="fr-FR"/>
        </w:rPr>
        <w:t xml:space="preserve">annexe 3 figurant aux paragraphes 6 à 9 du document ST/SG/AC.10/C.4/2020/12 (voir annexe I). </w:t>
      </w:r>
    </w:p>
    <w:p w14:paraId="631301E8" w14:textId="77777777" w:rsidR="002A2200" w:rsidRPr="00AE0017" w:rsidRDefault="002A2200" w:rsidP="002A2200">
      <w:pPr>
        <w:pStyle w:val="H1G"/>
      </w:pPr>
      <w:r>
        <w:rPr>
          <w:lang w:val="fr-FR"/>
        </w:rPr>
        <w:tab/>
        <w:t>C.</w:t>
      </w:r>
      <w:r>
        <w:rPr>
          <w:lang w:val="fr-FR"/>
        </w:rPr>
        <w:tab/>
      </w:r>
      <w:r>
        <w:rPr>
          <w:bCs/>
          <w:lang w:val="fr-FR"/>
        </w:rPr>
        <w:t>Révision de la sous-section A4.3.3.2.3 de l</w:t>
      </w:r>
      <w:r w:rsidR="00412DEA">
        <w:rPr>
          <w:bCs/>
          <w:lang w:val="fr-FR"/>
        </w:rPr>
        <w:t>’</w:t>
      </w:r>
      <w:r>
        <w:rPr>
          <w:bCs/>
          <w:lang w:val="fr-FR"/>
        </w:rPr>
        <w:t>annexe 4</w:t>
      </w:r>
    </w:p>
    <w:p w14:paraId="6B3D13D8" w14:textId="77777777" w:rsidR="002A2200" w:rsidRPr="00AE0017" w:rsidRDefault="002A2200" w:rsidP="002A2200">
      <w:pPr>
        <w:pStyle w:val="SingleTxtG"/>
      </w:pPr>
      <w:r>
        <w:rPr>
          <w:lang w:val="fr-FR"/>
        </w:rPr>
        <w:t>39.</w:t>
      </w:r>
      <w:r>
        <w:rPr>
          <w:lang w:val="fr-FR"/>
        </w:rPr>
        <w:tab/>
        <w:t>Le représentant du CEFIC a informé le Sous-Comité qu</w:t>
      </w:r>
      <w:r w:rsidR="00412DEA">
        <w:rPr>
          <w:lang w:val="fr-FR"/>
        </w:rPr>
        <w:t>’</w:t>
      </w:r>
      <w:r>
        <w:rPr>
          <w:lang w:val="fr-FR"/>
        </w:rPr>
        <w:t>il n</w:t>
      </w:r>
      <w:r w:rsidR="00412DEA">
        <w:rPr>
          <w:lang w:val="fr-FR"/>
        </w:rPr>
        <w:t>’</w:t>
      </w:r>
      <w:r>
        <w:rPr>
          <w:lang w:val="fr-FR"/>
        </w:rPr>
        <w:t xml:space="preserve">était pas prévu de travailler sur ce sujet au cours de </w:t>
      </w:r>
      <w:r w:rsidRPr="009D536D">
        <w:rPr>
          <w:lang w:val="fr-FR"/>
        </w:rPr>
        <w:t>l</w:t>
      </w:r>
      <w:r w:rsidR="00412DEA">
        <w:rPr>
          <w:lang w:val="fr-FR"/>
        </w:rPr>
        <w:t>’</w:t>
      </w:r>
      <w:r w:rsidRPr="009D536D">
        <w:rPr>
          <w:lang w:val="fr-FR"/>
        </w:rPr>
        <w:t>exercice biennal suivant</w:t>
      </w:r>
      <w:r>
        <w:rPr>
          <w:lang w:val="fr-FR"/>
        </w:rPr>
        <w:t>. En conséquence, le Sous-Comité a décidé de supprimer ce point de son programme de travail pour l</w:t>
      </w:r>
      <w:r w:rsidR="00412DEA">
        <w:rPr>
          <w:lang w:val="fr-FR"/>
        </w:rPr>
        <w:t>’</w:t>
      </w:r>
      <w:r>
        <w:rPr>
          <w:lang w:val="fr-FR"/>
        </w:rPr>
        <w:t>exercice biennal 2021</w:t>
      </w:r>
      <w:r w:rsidR="000555A1">
        <w:rPr>
          <w:lang w:val="fr-FR"/>
        </w:rPr>
        <w:noBreakHyphen/>
      </w:r>
      <w:r>
        <w:rPr>
          <w:lang w:val="fr-FR"/>
        </w:rPr>
        <w:t xml:space="preserve">2022. </w:t>
      </w:r>
    </w:p>
    <w:p w14:paraId="212F3B42" w14:textId="77777777" w:rsidR="002A2200" w:rsidRPr="00AE0017" w:rsidRDefault="002A2200" w:rsidP="002A2200">
      <w:pPr>
        <w:pStyle w:val="H1G"/>
      </w:pPr>
      <w:r>
        <w:rPr>
          <w:lang w:val="fr-FR"/>
        </w:rPr>
        <w:lastRenderedPageBreak/>
        <w:tab/>
        <w:t>D.</w:t>
      </w:r>
      <w:r>
        <w:rPr>
          <w:lang w:val="fr-FR"/>
        </w:rPr>
        <w:tab/>
      </w:r>
      <w:r w:rsidRPr="00BA777A">
        <w:rPr>
          <w:bCs/>
          <w:lang w:val="fr-FR"/>
        </w:rPr>
        <w:t>Autres questions</w:t>
      </w:r>
    </w:p>
    <w:p w14:paraId="2C011B22" w14:textId="77777777" w:rsidR="002A2200" w:rsidRPr="00AE0017" w:rsidRDefault="002A2200" w:rsidP="002A2200">
      <w:pPr>
        <w:pStyle w:val="H23G"/>
      </w:pPr>
      <w:r>
        <w:rPr>
          <w:lang w:val="fr-FR"/>
        </w:rPr>
        <w:tab/>
        <w:t>1.</w:t>
      </w:r>
      <w:r>
        <w:rPr>
          <w:lang w:val="fr-FR"/>
        </w:rPr>
        <w:tab/>
      </w:r>
      <w:bookmarkStart w:id="6" w:name="_Hlk66864387"/>
      <w:r>
        <w:rPr>
          <w:bCs/>
          <w:lang w:val="fr-FR"/>
        </w:rPr>
        <w:t>Examen et mise à jour des références aux documents d</w:t>
      </w:r>
      <w:r w:rsidR="00412DEA">
        <w:rPr>
          <w:bCs/>
          <w:lang w:val="fr-FR"/>
        </w:rPr>
        <w:t>’</w:t>
      </w:r>
      <w:r>
        <w:rPr>
          <w:bCs/>
          <w:lang w:val="fr-FR"/>
        </w:rPr>
        <w:t>orientation et aux directives relatives aux essais dans les annexes 9 et 10 du SGH</w:t>
      </w:r>
      <w:bookmarkEnd w:id="6"/>
    </w:p>
    <w:p w14:paraId="417ABE1E" w14:textId="77777777" w:rsidR="002A2200" w:rsidRPr="00AE0017" w:rsidRDefault="002A2200" w:rsidP="000555A1">
      <w:pPr>
        <w:pStyle w:val="SingleTxtG"/>
        <w:tabs>
          <w:tab w:val="clear" w:pos="2268"/>
          <w:tab w:val="clear" w:pos="2835"/>
        </w:tabs>
        <w:ind w:left="3402" w:hanging="2268"/>
        <w:jc w:val="left"/>
      </w:pPr>
      <w:r>
        <w:rPr>
          <w:i/>
          <w:iCs/>
          <w:lang w:val="fr-FR"/>
        </w:rPr>
        <w:t>Document</w:t>
      </w:r>
      <w:r w:rsidR="000555A1">
        <w:rPr>
          <w:i/>
          <w:iCs/>
          <w:lang w:val="fr-FR"/>
        </w:rPr>
        <w:t> </w:t>
      </w:r>
      <w:r>
        <w:rPr>
          <w:i/>
          <w:iCs/>
          <w:lang w:val="fr-FR"/>
        </w:rPr>
        <w:t>:</w:t>
      </w:r>
      <w:r>
        <w:rPr>
          <w:lang w:val="fr-FR"/>
        </w:rPr>
        <w:tab/>
      </w:r>
      <w:r>
        <w:rPr>
          <w:lang w:val="fr-FR"/>
        </w:rPr>
        <w:tab/>
        <w:t>ST/SG/AC.10/C.4/2020/1 (secrétariat)</w:t>
      </w:r>
      <w:r w:rsidR="000555A1">
        <w:rPr>
          <w:lang w:val="fr-FR"/>
        </w:rPr>
        <w:t>.</w:t>
      </w:r>
    </w:p>
    <w:p w14:paraId="1CDC6BC7" w14:textId="77777777" w:rsidR="002A2200" w:rsidRPr="00AE0017" w:rsidRDefault="002A2200" w:rsidP="002A2200">
      <w:pPr>
        <w:pStyle w:val="SingleTxtG"/>
      </w:pPr>
      <w:r>
        <w:rPr>
          <w:lang w:val="fr-FR"/>
        </w:rPr>
        <w:t>40.</w:t>
      </w:r>
      <w:r>
        <w:rPr>
          <w:lang w:val="fr-FR"/>
        </w:rPr>
        <w:tab/>
        <w:t>Le Sous-Comité a adopté les modifications proposées conformément à l</w:t>
      </w:r>
      <w:r w:rsidR="00412DEA">
        <w:rPr>
          <w:lang w:val="fr-FR"/>
        </w:rPr>
        <w:t>’</w:t>
      </w:r>
      <w:r>
        <w:rPr>
          <w:lang w:val="fr-FR"/>
        </w:rPr>
        <w:t>option 2 dans le document ST/SG/AC.10/C.4/2020/1 (voir annexe I). Il a estimé que la démarche proposée était conforme aux vues exprimées à sa vingt-huitième session (voir ST/SG/AC.10/C.4/56, par.</w:t>
      </w:r>
      <w:r w:rsidR="000555A1">
        <w:rPr>
          <w:lang w:val="fr-FR"/>
        </w:rPr>
        <w:t> </w:t>
      </w:r>
      <w:r>
        <w:rPr>
          <w:lang w:val="fr-FR"/>
        </w:rPr>
        <w:t>41) quant à l</w:t>
      </w:r>
      <w:r w:rsidR="00412DEA">
        <w:rPr>
          <w:lang w:val="fr-FR"/>
        </w:rPr>
        <w:t>’</w:t>
      </w:r>
      <w:r>
        <w:rPr>
          <w:lang w:val="fr-FR"/>
        </w:rPr>
        <w:t>importance de dater les méthodes d</w:t>
      </w:r>
      <w:r w:rsidR="00412DEA">
        <w:rPr>
          <w:lang w:val="fr-FR"/>
        </w:rPr>
        <w:t>’</w:t>
      </w:r>
      <w:r>
        <w:rPr>
          <w:lang w:val="fr-FR"/>
        </w:rPr>
        <w:t>essai et qu</w:t>
      </w:r>
      <w:r w:rsidR="00412DEA">
        <w:rPr>
          <w:lang w:val="fr-FR"/>
        </w:rPr>
        <w:t>’</w:t>
      </w:r>
      <w:r>
        <w:rPr>
          <w:lang w:val="fr-FR"/>
        </w:rPr>
        <w:t>elle éviterait la répétition fastidieuse des notes de bas de page dans les annexes 9 et 10. Il a également été noté que le fait de fournir toutes les références au même endroit faciliterait les mises à jour futures. Les délégations ont été invitées à examiner les moyens de s</w:t>
      </w:r>
      <w:r w:rsidR="00412DEA">
        <w:rPr>
          <w:lang w:val="fr-FR"/>
        </w:rPr>
        <w:t>’</w:t>
      </w:r>
      <w:r>
        <w:rPr>
          <w:lang w:val="fr-FR"/>
        </w:rPr>
        <w:t xml:space="preserve">assurer que les références soient régulièrement révisées et mises à jour. </w:t>
      </w:r>
    </w:p>
    <w:p w14:paraId="4F1F73D4" w14:textId="77777777" w:rsidR="002A2200" w:rsidRPr="00AE0017" w:rsidRDefault="002A2200" w:rsidP="002A2200">
      <w:pPr>
        <w:pStyle w:val="SingleTxtG"/>
      </w:pPr>
      <w:r>
        <w:rPr>
          <w:lang w:val="fr-FR"/>
        </w:rPr>
        <w:t>41.</w:t>
      </w:r>
      <w:r>
        <w:rPr>
          <w:lang w:val="fr-FR"/>
        </w:rPr>
        <w:tab/>
        <w:t>Sur la question de l</w:t>
      </w:r>
      <w:r w:rsidR="00412DEA">
        <w:rPr>
          <w:lang w:val="fr-FR"/>
        </w:rPr>
        <w:t>’</w:t>
      </w:r>
      <w:r>
        <w:rPr>
          <w:lang w:val="fr-FR"/>
        </w:rPr>
        <w:t>applicabilité des anciennes versions aux nouvelles versions d</w:t>
      </w:r>
      <w:r w:rsidR="00412DEA">
        <w:rPr>
          <w:lang w:val="fr-FR"/>
        </w:rPr>
        <w:t>’</w:t>
      </w:r>
      <w:r>
        <w:rPr>
          <w:lang w:val="fr-FR"/>
        </w:rPr>
        <w:t>une norme ou d</w:t>
      </w:r>
      <w:r w:rsidR="00412DEA">
        <w:rPr>
          <w:lang w:val="fr-FR"/>
        </w:rPr>
        <w:t>’</w:t>
      </w:r>
      <w:r>
        <w:rPr>
          <w:lang w:val="fr-FR"/>
        </w:rPr>
        <w:t xml:space="preserve">une directive </w:t>
      </w:r>
      <w:r w:rsidRPr="002A2B8E">
        <w:rPr>
          <w:lang w:val="fr-FR"/>
        </w:rPr>
        <w:t>relative aux</w:t>
      </w:r>
      <w:r>
        <w:rPr>
          <w:lang w:val="fr-FR"/>
        </w:rPr>
        <w:t xml:space="preserve"> essais, la Présidente, s</w:t>
      </w:r>
      <w:r w:rsidR="00412DEA">
        <w:rPr>
          <w:lang w:val="fr-FR"/>
        </w:rPr>
        <w:t>’</w:t>
      </w:r>
      <w:r>
        <w:rPr>
          <w:lang w:val="fr-FR"/>
        </w:rPr>
        <w:t>appuyant sur son expérience de responsable de la réglementation dans son pays, a indiqué que lorsqu</w:t>
      </w:r>
      <w:r w:rsidR="00412DEA">
        <w:rPr>
          <w:lang w:val="fr-FR"/>
        </w:rPr>
        <w:t>’</w:t>
      </w:r>
      <w:r>
        <w:rPr>
          <w:lang w:val="fr-FR"/>
        </w:rPr>
        <w:t xml:space="preserve">une norme ou une directive </w:t>
      </w:r>
      <w:r w:rsidRPr="005B1A24">
        <w:rPr>
          <w:lang w:val="fr-FR"/>
        </w:rPr>
        <w:t xml:space="preserve">relative aux essais </w:t>
      </w:r>
      <w:r>
        <w:rPr>
          <w:lang w:val="fr-FR"/>
        </w:rPr>
        <w:t>était promulguée par référence dans un texte réglementaire, seule la version particulière qui y était mentionnée devenait obligatoire. Une version plus récente était</w:t>
      </w:r>
      <w:r w:rsidRPr="00D576E8">
        <w:rPr>
          <w:lang w:val="fr-FR"/>
        </w:rPr>
        <w:t xml:space="preserve"> </w:t>
      </w:r>
      <w:r>
        <w:rPr>
          <w:lang w:val="fr-FR"/>
        </w:rPr>
        <w:t>toutefois autorisée, pour autant qu</w:t>
      </w:r>
      <w:r w:rsidR="00412DEA">
        <w:rPr>
          <w:lang w:val="fr-FR"/>
        </w:rPr>
        <w:t>’</w:t>
      </w:r>
      <w:r>
        <w:rPr>
          <w:lang w:val="fr-FR"/>
        </w:rPr>
        <w:t>elle soit équivalente. Il a été établi que d</w:t>
      </w:r>
      <w:r w:rsidR="00412DEA">
        <w:rPr>
          <w:lang w:val="fr-FR"/>
        </w:rPr>
        <w:t>’</w:t>
      </w:r>
      <w:r>
        <w:rPr>
          <w:lang w:val="fr-FR"/>
        </w:rPr>
        <w:t xml:space="preserve">autres pays pouvaient en disposer différemment. </w:t>
      </w:r>
    </w:p>
    <w:p w14:paraId="04AB713F" w14:textId="77777777" w:rsidR="002A2200" w:rsidRPr="00AE0017" w:rsidRDefault="002A2200" w:rsidP="002A2200">
      <w:pPr>
        <w:pStyle w:val="H23G"/>
      </w:pPr>
      <w:r>
        <w:rPr>
          <w:lang w:val="fr-FR"/>
        </w:rPr>
        <w:tab/>
        <w:t>2.</w:t>
      </w:r>
      <w:r>
        <w:rPr>
          <w:lang w:val="fr-FR"/>
        </w:rPr>
        <w:tab/>
      </w:r>
      <w:bookmarkStart w:id="7" w:name="_Hlk66864426"/>
      <w:r>
        <w:rPr>
          <w:bCs/>
          <w:lang w:val="fr-FR"/>
        </w:rPr>
        <w:t>Alignement de l</w:t>
      </w:r>
      <w:r w:rsidR="00412DEA">
        <w:rPr>
          <w:bCs/>
          <w:lang w:val="fr-FR"/>
        </w:rPr>
        <w:t>’</w:t>
      </w:r>
      <w:r>
        <w:rPr>
          <w:bCs/>
          <w:lang w:val="fr-FR"/>
        </w:rPr>
        <w:t>annexe 9 (sec</w:t>
      </w:r>
      <w:r w:rsidR="000555A1">
        <w:rPr>
          <w:bCs/>
          <w:lang w:val="fr-FR"/>
        </w:rPr>
        <w:t>t.</w:t>
      </w:r>
      <w:r>
        <w:rPr>
          <w:bCs/>
          <w:lang w:val="fr-FR"/>
        </w:rPr>
        <w:t xml:space="preserve"> 9.7) et de l</w:t>
      </w:r>
      <w:r w:rsidR="00412DEA">
        <w:rPr>
          <w:bCs/>
          <w:lang w:val="fr-FR"/>
        </w:rPr>
        <w:t>’</w:t>
      </w:r>
      <w:r>
        <w:rPr>
          <w:bCs/>
          <w:lang w:val="fr-FR"/>
        </w:rPr>
        <w:t>annexe 10 (sur les métaux et les composés métalliques) sur les critères du chapitre 4.1 et sur les orientations générales concernant les dangers pour l</w:t>
      </w:r>
      <w:r w:rsidR="00412DEA">
        <w:rPr>
          <w:bCs/>
          <w:lang w:val="fr-FR"/>
        </w:rPr>
        <w:t>’</w:t>
      </w:r>
      <w:r>
        <w:rPr>
          <w:bCs/>
          <w:lang w:val="fr-FR"/>
        </w:rPr>
        <w:t>environnement</w:t>
      </w:r>
      <w:bookmarkEnd w:id="7"/>
    </w:p>
    <w:p w14:paraId="40244093" w14:textId="77777777" w:rsidR="002A2200" w:rsidRPr="00AE0017" w:rsidRDefault="002A2200" w:rsidP="000555A1">
      <w:pPr>
        <w:pStyle w:val="SingleTxtG"/>
        <w:tabs>
          <w:tab w:val="clear" w:pos="2268"/>
          <w:tab w:val="clear" w:pos="2835"/>
        </w:tabs>
        <w:ind w:left="3402" w:hanging="2268"/>
        <w:jc w:val="left"/>
      </w:pPr>
      <w:r>
        <w:rPr>
          <w:i/>
          <w:iCs/>
          <w:lang w:val="fr-FR"/>
        </w:rPr>
        <w:t>Documents informels</w:t>
      </w:r>
      <w:r w:rsidR="000555A1">
        <w:rPr>
          <w:i/>
          <w:iCs/>
          <w:lang w:val="fr-FR"/>
        </w:rPr>
        <w:t> </w:t>
      </w:r>
      <w:r>
        <w:rPr>
          <w:i/>
          <w:iCs/>
          <w:lang w:val="fr-FR"/>
        </w:rPr>
        <w:t>:</w:t>
      </w:r>
      <w:r>
        <w:rPr>
          <w:lang w:val="fr-FR"/>
        </w:rPr>
        <w:tab/>
        <w:t>INF.9 et Rev.1 (ICMM)</w:t>
      </w:r>
      <w:r w:rsidR="000555A1">
        <w:rPr>
          <w:lang w:val="fr-FR"/>
        </w:rPr>
        <w:t>.</w:t>
      </w:r>
    </w:p>
    <w:p w14:paraId="49CE1434" w14:textId="77777777" w:rsidR="002A2200" w:rsidRPr="00AE0017" w:rsidRDefault="002A2200" w:rsidP="002A2200">
      <w:pPr>
        <w:pStyle w:val="SingleTxtG"/>
      </w:pPr>
      <w:r>
        <w:rPr>
          <w:lang w:val="fr-FR"/>
        </w:rPr>
        <w:t>42.</w:t>
      </w:r>
      <w:r>
        <w:rPr>
          <w:lang w:val="fr-FR"/>
        </w:rPr>
        <w:tab/>
        <w:t>Le Sous-Comité a pris note des informations fournies et a décidé de maintenir ce point à son programme de travail pour l</w:t>
      </w:r>
      <w:r w:rsidR="00412DEA">
        <w:rPr>
          <w:lang w:val="fr-FR"/>
        </w:rPr>
        <w:t>’</w:t>
      </w:r>
      <w:r>
        <w:rPr>
          <w:lang w:val="fr-FR"/>
        </w:rPr>
        <w:t>exercice biennal 2021-2022 (voir annexe II).</w:t>
      </w:r>
    </w:p>
    <w:p w14:paraId="01E9EFB4" w14:textId="77777777" w:rsidR="002A2200" w:rsidRPr="00AE0017" w:rsidRDefault="002A2200" w:rsidP="002A2200">
      <w:pPr>
        <w:pStyle w:val="H1G"/>
      </w:pPr>
      <w:r>
        <w:rPr>
          <w:lang w:val="fr-FR"/>
        </w:rPr>
        <w:tab/>
        <w:t>E.</w:t>
      </w:r>
      <w:r>
        <w:rPr>
          <w:lang w:val="fr-FR"/>
        </w:rPr>
        <w:tab/>
      </w:r>
      <w:r>
        <w:rPr>
          <w:bCs/>
          <w:lang w:val="fr-FR"/>
        </w:rPr>
        <w:t>Nouvelles propositions</w:t>
      </w:r>
    </w:p>
    <w:p w14:paraId="069D7395" w14:textId="77777777" w:rsidR="002A2200" w:rsidRPr="00AE0017" w:rsidRDefault="002A2200" w:rsidP="002A2200">
      <w:pPr>
        <w:pStyle w:val="SingleTxtG"/>
      </w:pPr>
      <w:r>
        <w:rPr>
          <w:lang w:val="fr-FR"/>
        </w:rPr>
        <w:t>43.</w:t>
      </w:r>
      <w:r>
        <w:rPr>
          <w:lang w:val="fr-FR"/>
        </w:rPr>
        <w:tab/>
        <w:t>Aucun document n</w:t>
      </w:r>
      <w:r w:rsidR="00412DEA">
        <w:rPr>
          <w:lang w:val="fr-FR"/>
        </w:rPr>
        <w:t>’</w:t>
      </w:r>
      <w:r>
        <w:rPr>
          <w:lang w:val="fr-FR"/>
        </w:rPr>
        <w:t>ayant été soumis, aucun échange de vues n</w:t>
      </w:r>
      <w:r w:rsidR="00412DEA">
        <w:rPr>
          <w:lang w:val="fr-FR"/>
        </w:rPr>
        <w:t>’</w:t>
      </w:r>
      <w:r>
        <w:rPr>
          <w:lang w:val="fr-FR"/>
        </w:rPr>
        <w:t>a eu lieu au titre de ce point de l</w:t>
      </w:r>
      <w:r w:rsidR="00412DEA">
        <w:rPr>
          <w:lang w:val="fr-FR"/>
        </w:rPr>
        <w:t>’</w:t>
      </w:r>
      <w:r>
        <w:rPr>
          <w:lang w:val="fr-FR"/>
        </w:rPr>
        <w:t>ordre du jour.</w:t>
      </w:r>
    </w:p>
    <w:p w14:paraId="6167CE88" w14:textId="77777777" w:rsidR="002A2200" w:rsidRPr="00AE0017" w:rsidRDefault="002A2200" w:rsidP="002A2200">
      <w:pPr>
        <w:pStyle w:val="HChG"/>
      </w:pPr>
      <w:r>
        <w:rPr>
          <w:lang w:val="fr-FR"/>
        </w:rPr>
        <w:tab/>
        <w:t>VII.</w:t>
      </w:r>
      <w:r>
        <w:rPr>
          <w:lang w:val="fr-FR"/>
        </w:rPr>
        <w:tab/>
      </w:r>
      <w:r>
        <w:rPr>
          <w:bCs/>
          <w:lang w:val="fr-FR"/>
        </w:rPr>
        <w:t>Mise en œuvre du SGH (point 5 de l</w:t>
      </w:r>
      <w:r w:rsidR="00412DEA">
        <w:rPr>
          <w:bCs/>
          <w:lang w:val="fr-FR"/>
        </w:rPr>
        <w:t>’</w:t>
      </w:r>
      <w:r>
        <w:rPr>
          <w:bCs/>
          <w:lang w:val="fr-FR"/>
        </w:rPr>
        <w:t>ordre du jour)</w:t>
      </w:r>
    </w:p>
    <w:p w14:paraId="666B191A" w14:textId="77777777" w:rsidR="002A2200" w:rsidRPr="00AE0017" w:rsidRDefault="002A2200" w:rsidP="002A2200">
      <w:pPr>
        <w:pStyle w:val="H1G"/>
      </w:pPr>
      <w:r>
        <w:rPr>
          <w:lang w:val="fr-FR"/>
        </w:rPr>
        <w:tab/>
        <w:t>A.</w:t>
      </w:r>
      <w:r>
        <w:rPr>
          <w:lang w:val="fr-FR"/>
        </w:rPr>
        <w:tab/>
      </w:r>
      <w:r>
        <w:rPr>
          <w:bCs/>
          <w:lang w:val="fr-FR"/>
        </w:rPr>
        <w:t>Élaboration éventuelle d</w:t>
      </w:r>
      <w:r w:rsidR="00412DEA">
        <w:rPr>
          <w:bCs/>
          <w:lang w:val="fr-FR"/>
        </w:rPr>
        <w:t>’</w:t>
      </w:r>
      <w:r>
        <w:rPr>
          <w:bCs/>
          <w:lang w:val="fr-FR"/>
        </w:rPr>
        <w:t>une liste de produits chimiques classés conformément au SGH</w:t>
      </w:r>
    </w:p>
    <w:p w14:paraId="35AEE5F8" w14:textId="77777777" w:rsidR="002A2200" w:rsidRPr="00AE0017" w:rsidRDefault="002A2200" w:rsidP="000555A1">
      <w:pPr>
        <w:pStyle w:val="SingleTxtG"/>
        <w:tabs>
          <w:tab w:val="clear" w:pos="2268"/>
          <w:tab w:val="clear" w:pos="2835"/>
        </w:tabs>
        <w:ind w:left="3402" w:hanging="2268"/>
        <w:jc w:val="left"/>
      </w:pPr>
      <w:r>
        <w:rPr>
          <w:i/>
          <w:iCs/>
          <w:lang w:val="fr-FR"/>
        </w:rPr>
        <w:t>Document</w:t>
      </w:r>
      <w:r w:rsidR="000555A1">
        <w:rPr>
          <w:i/>
          <w:iCs/>
          <w:lang w:val="fr-FR"/>
        </w:rPr>
        <w:t> </w:t>
      </w:r>
      <w:r>
        <w:rPr>
          <w:i/>
          <w:iCs/>
          <w:lang w:val="fr-FR"/>
        </w:rPr>
        <w:t>:</w:t>
      </w:r>
      <w:r>
        <w:rPr>
          <w:lang w:val="fr-FR"/>
        </w:rPr>
        <w:tab/>
      </w:r>
      <w:r>
        <w:rPr>
          <w:lang w:val="fr-FR"/>
        </w:rPr>
        <w:tab/>
        <w:t>ST/SG/AC.10/C.4/2020/17 (Canada, États-Unis d</w:t>
      </w:r>
      <w:r w:rsidR="00412DEA">
        <w:rPr>
          <w:lang w:val="fr-FR"/>
        </w:rPr>
        <w:t>’</w:t>
      </w:r>
      <w:r>
        <w:rPr>
          <w:lang w:val="fr-FR"/>
        </w:rPr>
        <w:t>Amérique)</w:t>
      </w:r>
      <w:r w:rsidR="000555A1">
        <w:rPr>
          <w:lang w:val="fr-FR"/>
        </w:rPr>
        <w:t>.</w:t>
      </w:r>
    </w:p>
    <w:p w14:paraId="11B927AC" w14:textId="77777777" w:rsidR="002A2200" w:rsidRPr="00AE0017" w:rsidRDefault="002A2200" w:rsidP="002A2200">
      <w:pPr>
        <w:pStyle w:val="SingleTxtG"/>
      </w:pPr>
      <w:r>
        <w:rPr>
          <w:lang w:val="fr-FR"/>
        </w:rPr>
        <w:t>44.</w:t>
      </w:r>
      <w:r>
        <w:rPr>
          <w:lang w:val="fr-FR"/>
        </w:rPr>
        <w:tab/>
        <w:t>Le Sous-Comité a pris note de l</w:t>
      </w:r>
      <w:r w:rsidR="00412DEA">
        <w:rPr>
          <w:lang w:val="fr-FR"/>
        </w:rPr>
        <w:t>’</w:t>
      </w:r>
      <w:r>
        <w:rPr>
          <w:lang w:val="fr-FR"/>
        </w:rPr>
        <w:t>état d</w:t>
      </w:r>
      <w:r w:rsidR="00412DEA">
        <w:rPr>
          <w:lang w:val="fr-FR"/>
        </w:rPr>
        <w:t>’</w:t>
      </w:r>
      <w:r>
        <w:rPr>
          <w:lang w:val="fr-FR"/>
        </w:rPr>
        <w:t>avancement des travaux du groupe informel par correspondance chargé d</w:t>
      </w:r>
      <w:r w:rsidR="00412DEA">
        <w:rPr>
          <w:lang w:val="fr-FR"/>
        </w:rPr>
        <w:t>’</w:t>
      </w:r>
      <w:r>
        <w:rPr>
          <w:lang w:val="fr-FR"/>
        </w:rPr>
        <w:t>élaborer une liste mondiale de produits chimiques classés conformément au SGH, présenté aux paragraphes 1 à 7 du document ST/SG/AC.10/C.4/2020/17, et a convenu que les travaux se poursuivraient au cours de l</w:t>
      </w:r>
      <w:r w:rsidR="00412DEA">
        <w:rPr>
          <w:lang w:val="fr-FR"/>
        </w:rPr>
        <w:t>’</w:t>
      </w:r>
      <w:r>
        <w:rPr>
          <w:lang w:val="fr-FR"/>
        </w:rPr>
        <w:t>exercice biennal 2021-2022, conformément aux axes de travail indiqués dans l</w:t>
      </w:r>
      <w:r w:rsidR="00412DEA">
        <w:rPr>
          <w:lang w:val="fr-FR"/>
        </w:rPr>
        <w:t>’</w:t>
      </w:r>
      <w:r>
        <w:rPr>
          <w:lang w:val="fr-FR"/>
        </w:rPr>
        <w:t xml:space="preserve">annexe de ce document (voir annexe II). </w:t>
      </w:r>
    </w:p>
    <w:p w14:paraId="0733BD64" w14:textId="77777777" w:rsidR="002A2200" w:rsidRPr="00AE0017" w:rsidRDefault="002A2200" w:rsidP="002A2200">
      <w:pPr>
        <w:pStyle w:val="SingleTxtG"/>
      </w:pPr>
      <w:r>
        <w:rPr>
          <w:lang w:val="fr-FR"/>
        </w:rPr>
        <w:t>45.</w:t>
      </w:r>
      <w:r>
        <w:rPr>
          <w:lang w:val="fr-FR"/>
        </w:rPr>
        <w:tab/>
        <w:t>L</w:t>
      </w:r>
      <w:r w:rsidR="00412DEA">
        <w:rPr>
          <w:lang w:val="fr-FR"/>
        </w:rPr>
        <w:t>’</w:t>
      </w:r>
      <w:r>
        <w:rPr>
          <w:lang w:val="fr-FR"/>
        </w:rPr>
        <w:t>expert de la Suède a informé le Sous-Comité que l</w:t>
      </w:r>
      <w:r w:rsidR="00412DEA">
        <w:rPr>
          <w:lang w:val="fr-FR"/>
        </w:rPr>
        <w:t>’</w:t>
      </w:r>
      <w:r>
        <w:rPr>
          <w:lang w:val="fr-FR"/>
        </w:rPr>
        <w:t>étude mentionnée aux paragraphes</w:t>
      </w:r>
      <w:r w:rsidR="000555A1">
        <w:rPr>
          <w:lang w:val="fr-FR"/>
        </w:rPr>
        <w:t> </w:t>
      </w:r>
      <w:r>
        <w:rPr>
          <w:lang w:val="fr-FR"/>
        </w:rPr>
        <w:t xml:space="preserve">5 à 7 du document était au stade de la rédaction finale et serait communiquée au Sous-Comité à sa quarantième session. </w:t>
      </w:r>
    </w:p>
    <w:p w14:paraId="66F558E0" w14:textId="77777777" w:rsidR="002A2200" w:rsidRPr="00AE0017" w:rsidRDefault="002A2200" w:rsidP="002A2200">
      <w:pPr>
        <w:pStyle w:val="H1G"/>
      </w:pPr>
      <w:r>
        <w:rPr>
          <w:lang w:val="fr-FR"/>
        </w:rPr>
        <w:lastRenderedPageBreak/>
        <w:tab/>
        <w:t>B.</w:t>
      </w:r>
      <w:r>
        <w:rPr>
          <w:lang w:val="fr-FR"/>
        </w:rPr>
        <w:tab/>
      </w:r>
      <w:r>
        <w:rPr>
          <w:bCs/>
          <w:lang w:val="fr-FR"/>
        </w:rPr>
        <w:t>Rapports relatifs à l</w:t>
      </w:r>
      <w:r w:rsidR="00412DEA">
        <w:rPr>
          <w:bCs/>
          <w:lang w:val="fr-FR"/>
        </w:rPr>
        <w:t>’</w:t>
      </w:r>
      <w:r>
        <w:rPr>
          <w:bCs/>
          <w:lang w:val="fr-FR"/>
        </w:rPr>
        <w:t>état de la mise en œuvre</w:t>
      </w:r>
    </w:p>
    <w:p w14:paraId="6D5F8860" w14:textId="77777777" w:rsidR="002A2200" w:rsidRPr="00AE0017" w:rsidRDefault="002A2200" w:rsidP="000555A1">
      <w:pPr>
        <w:pStyle w:val="SingleTxtG"/>
        <w:keepNext/>
        <w:tabs>
          <w:tab w:val="clear" w:pos="2268"/>
          <w:tab w:val="clear" w:pos="2835"/>
        </w:tabs>
        <w:ind w:left="3402" w:hanging="2268"/>
        <w:jc w:val="left"/>
      </w:pPr>
      <w:r>
        <w:rPr>
          <w:i/>
          <w:iCs/>
          <w:lang w:val="fr-FR"/>
        </w:rPr>
        <w:t>Documents informels</w:t>
      </w:r>
      <w:r w:rsidR="000555A1">
        <w:rPr>
          <w:i/>
          <w:iCs/>
          <w:lang w:val="fr-FR"/>
        </w:rPr>
        <w:t> </w:t>
      </w:r>
      <w:r>
        <w:rPr>
          <w:i/>
          <w:iCs/>
          <w:lang w:val="fr-FR"/>
        </w:rPr>
        <w:t>:</w:t>
      </w:r>
      <w:r>
        <w:rPr>
          <w:lang w:val="fr-FR"/>
        </w:rPr>
        <w:tab/>
        <w:t>INF.33 et Add.1 et 2 (secrétariat)</w:t>
      </w:r>
      <w:r w:rsidR="000555A1">
        <w:rPr>
          <w:lang w:val="fr-FR"/>
        </w:rPr>
        <w:t>.</w:t>
      </w:r>
    </w:p>
    <w:p w14:paraId="04FFC683" w14:textId="77777777" w:rsidR="002A2200" w:rsidRPr="00AE0017" w:rsidRDefault="002A2200" w:rsidP="002A2200">
      <w:pPr>
        <w:pStyle w:val="SingleTxtG"/>
      </w:pPr>
      <w:r>
        <w:rPr>
          <w:lang w:val="fr-FR"/>
        </w:rPr>
        <w:t>46.</w:t>
      </w:r>
      <w:r>
        <w:rPr>
          <w:lang w:val="fr-FR"/>
        </w:rPr>
        <w:tab/>
        <w:t>Le Sous-Comité s</w:t>
      </w:r>
      <w:r w:rsidR="00412DEA">
        <w:rPr>
          <w:lang w:val="fr-FR"/>
        </w:rPr>
        <w:t>’</w:t>
      </w:r>
      <w:r>
        <w:rPr>
          <w:lang w:val="fr-FR"/>
        </w:rPr>
        <w:t>est félicité du travail accompli par le secrétariat pour mettre à jour les informations sur l</w:t>
      </w:r>
      <w:r w:rsidR="00412DEA">
        <w:rPr>
          <w:lang w:val="fr-FR"/>
        </w:rPr>
        <w:t>’</w:t>
      </w:r>
      <w:r>
        <w:rPr>
          <w:lang w:val="fr-FR"/>
        </w:rPr>
        <w:t xml:space="preserve">état de la mise en œuvre du SGH dans le monde. Il a été noté que le « nombre de pays ayant mis en œuvre le SGH » avait été inclus par les organisations membres du Programme interorganisations pour la gestion rationnelle des produits chimiques dans la liste des indicateurs permettant de suivre les progrès réalisés en matière de gestion rationnelle des produits chimiques et des déchets. </w:t>
      </w:r>
    </w:p>
    <w:p w14:paraId="636F37F9" w14:textId="77777777" w:rsidR="002A2200" w:rsidRPr="00AE0017" w:rsidRDefault="002A2200" w:rsidP="002A2200">
      <w:pPr>
        <w:pStyle w:val="SingleTxtG"/>
      </w:pPr>
      <w:r>
        <w:rPr>
          <w:lang w:val="fr-FR"/>
        </w:rPr>
        <w:t>47.</w:t>
      </w:r>
      <w:r>
        <w:rPr>
          <w:lang w:val="fr-FR"/>
        </w:rPr>
        <w:tab/>
        <w:t>Considérant la nécessité d</w:t>
      </w:r>
      <w:r w:rsidR="00412DEA">
        <w:rPr>
          <w:lang w:val="fr-FR"/>
        </w:rPr>
        <w:t>’</w:t>
      </w:r>
      <w:r>
        <w:rPr>
          <w:lang w:val="fr-FR"/>
        </w:rPr>
        <w:t>une stratégie harmonisée pour la collecte des données, le Sous-Comité s</w:t>
      </w:r>
      <w:r w:rsidR="00412DEA">
        <w:rPr>
          <w:lang w:val="fr-FR"/>
        </w:rPr>
        <w:t>’</w:t>
      </w:r>
      <w:r>
        <w:rPr>
          <w:lang w:val="fr-FR"/>
        </w:rPr>
        <w:t>est félicité de la proposition du secrétariat d</w:t>
      </w:r>
      <w:r w:rsidR="00412DEA">
        <w:rPr>
          <w:lang w:val="fr-FR"/>
        </w:rPr>
        <w:t>’</w:t>
      </w:r>
      <w:r>
        <w:rPr>
          <w:lang w:val="fr-FR"/>
        </w:rPr>
        <w:t>élaborer et de mettre à disposition sur le site Web, pour en faciliter l</w:t>
      </w:r>
      <w:r w:rsidR="00412DEA">
        <w:rPr>
          <w:lang w:val="fr-FR"/>
        </w:rPr>
        <w:t>’</w:t>
      </w:r>
      <w:r>
        <w:rPr>
          <w:lang w:val="fr-FR"/>
        </w:rPr>
        <w:t>accès, un formulaire de demande d</w:t>
      </w:r>
      <w:r w:rsidR="00412DEA">
        <w:rPr>
          <w:lang w:val="fr-FR"/>
        </w:rPr>
        <w:t>’</w:t>
      </w:r>
      <w:r>
        <w:rPr>
          <w:lang w:val="fr-FR"/>
        </w:rPr>
        <w:t>informations sur les points énumérés au paragraphe 18 du document informel INF.33. Le secrétariat compilerait les informations reçues, les actualiserait sur le site Web et en rendrait compte au Sous</w:t>
      </w:r>
      <w:r w:rsidR="003607A1">
        <w:rPr>
          <w:lang w:val="fr-FR"/>
        </w:rPr>
        <w:noBreakHyphen/>
      </w:r>
      <w:r>
        <w:rPr>
          <w:lang w:val="fr-FR"/>
        </w:rPr>
        <w:t>Comité, le cas échéant. Dans l</w:t>
      </w:r>
      <w:r w:rsidR="00412DEA">
        <w:rPr>
          <w:lang w:val="fr-FR"/>
        </w:rPr>
        <w:t>’</w:t>
      </w:r>
      <w:r>
        <w:rPr>
          <w:lang w:val="fr-FR"/>
        </w:rPr>
        <w:t>intervalle, les participants aux travaux du Sous-Comité ont été invités à réviser les informations fournies dans le document informel INF.33/Add.2 et à faire tenir leurs commentaires au secrétariat avant la fin du mois de janvier 2021. Les informations actualisées seraient présentées sur le site Web de la CEE</w:t>
      </w:r>
      <w:r w:rsidRPr="00A3230A">
        <w:rPr>
          <w:rStyle w:val="FootnoteReference"/>
          <w:lang w:val="fr-FR"/>
        </w:rPr>
        <w:footnoteReference w:id="6"/>
      </w:r>
      <w:r>
        <w:rPr>
          <w:lang w:val="fr-FR"/>
        </w:rPr>
        <w:t>. Il a été souligné que certaines informations sur l</w:t>
      </w:r>
      <w:r w:rsidR="00412DEA">
        <w:rPr>
          <w:lang w:val="fr-FR"/>
        </w:rPr>
        <w:t>’</w:t>
      </w:r>
      <w:r>
        <w:rPr>
          <w:lang w:val="fr-FR"/>
        </w:rPr>
        <w:t xml:space="preserve">état de la mise en œuvre du SGH dans les pays qui ne participaient pas aux travaux du Sous-Comité pouvaient se trouver dans les rapports des organisations régionales (par exemple la Coopération économique Asie-Pacifique (APEC)). </w:t>
      </w:r>
    </w:p>
    <w:p w14:paraId="3CC347FD" w14:textId="77777777" w:rsidR="002A2200" w:rsidRPr="00AE0017" w:rsidRDefault="002A2200" w:rsidP="002A2200">
      <w:pPr>
        <w:pStyle w:val="SingleTxtG"/>
      </w:pPr>
      <w:r>
        <w:rPr>
          <w:lang w:val="fr-FR"/>
        </w:rPr>
        <w:t>48.</w:t>
      </w:r>
      <w:r>
        <w:rPr>
          <w:lang w:val="fr-FR"/>
        </w:rPr>
        <w:tab/>
        <w:t>Le Sous-Comité a été informé que le Sous-Comité TMD avait décidé d</w:t>
      </w:r>
      <w:r w:rsidR="00412DEA">
        <w:rPr>
          <w:lang w:val="fr-FR"/>
        </w:rPr>
        <w:t>’</w:t>
      </w:r>
      <w:r>
        <w:rPr>
          <w:lang w:val="fr-FR"/>
        </w:rPr>
        <w:t>inscrire à son ordre du jour un point permanent sur la mise en œuvre du Règlement type, à titre de point de départ pour réfléchir à la manière de recueillir et compiler les informations. Il a été noté que les informations recueillies par le secrétariat sur l</w:t>
      </w:r>
      <w:r w:rsidR="00412DEA">
        <w:rPr>
          <w:lang w:val="fr-FR"/>
        </w:rPr>
        <w:t>’</w:t>
      </w:r>
      <w:r>
        <w:rPr>
          <w:lang w:val="fr-FR"/>
        </w:rPr>
        <w:t>état de la mise en œuvre du SGH comportaient également des détails sur l</w:t>
      </w:r>
      <w:r w:rsidR="00412DEA">
        <w:rPr>
          <w:lang w:val="fr-FR"/>
        </w:rPr>
        <w:t>’</w:t>
      </w:r>
      <w:r>
        <w:rPr>
          <w:lang w:val="fr-FR"/>
        </w:rPr>
        <w:t>état de la mise en œuvre du Règlement type et d</w:t>
      </w:r>
      <w:r w:rsidR="00412DEA">
        <w:rPr>
          <w:lang w:val="fr-FR"/>
        </w:rPr>
        <w:t>’</w:t>
      </w:r>
      <w:r>
        <w:rPr>
          <w:lang w:val="fr-FR"/>
        </w:rPr>
        <w:t xml:space="preserve">autres instruments internationaux concernant le transport modal.  </w:t>
      </w:r>
    </w:p>
    <w:p w14:paraId="2AAD8A68" w14:textId="77777777" w:rsidR="002A2200" w:rsidRPr="00AE0017" w:rsidRDefault="002A2200" w:rsidP="002A2200">
      <w:pPr>
        <w:pStyle w:val="H1G"/>
      </w:pPr>
      <w:r>
        <w:rPr>
          <w:lang w:val="fr-FR"/>
        </w:rPr>
        <w:tab/>
        <w:t>C.</w:t>
      </w:r>
      <w:r>
        <w:rPr>
          <w:lang w:val="fr-FR"/>
        </w:rPr>
        <w:tab/>
      </w:r>
      <w:r>
        <w:rPr>
          <w:bCs/>
          <w:lang w:val="fr-FR"/>
        </w:rPr>
        <w:t>Coopération avec d</w:t>
      </w:r>
      <w:r w:rsidR="00412DEA">
        <w:rPr>
          <w:bCs/>
          <w:lang w:val="fr-FR"/>
        </w:rPr>
        <w:t>’</w:t>
      </w:r>
      <w:r>
        <w:rPr>
          <w:bCs/>
          <w:lang w:val="fr-FR"/>
        </w:rPr>
        <w:t>autres organes ou organisations internationales</w:t>
      </w:r>
    </w:p>
    <w:p w14:paraId="5EA374EC" w14:textId="77777777" w:rsidR="002A2200" w:rsidRPr="00AE0017" w:rsidRDefault="002A2200" w:rsidP="002A2200">
      <w:pPr>
        <w:pStyle w:val="SingleTxtG"/>
      </w:pPr>
      <w:r>
        <w:rPr>
          <w:lang w:val="fr-FR"/>
        </w:rPr>
        <w:t>49.</w:t>
      </w:r>
      <w:r>
        <w:rPr>
          <w:lang w:val="fr-FR"/>
        </w:rPr>
        <w:tab/>
        <w:t>Aucun document n</w:t>
      </w:r>
      <w:r w:rsidR="00412DEA">
        <w:rPr>
          <w:lang w:val="fr-FR"/>
        </w:rPr>
        <w:t>’</w:t>
      </w:r>
      <w:r>
        <w:rPr>
          <w:lang w:val="fr-FR"/>
        </w:rPr>
        <w:t>ayant été soumis, aucun échange de vues n</w:t>
      </w:r>
      <w:r w:rsidR="00412DEA">
        <w:rPr>
          <w:lang w:val="fr-FR"/>
        </w:rPr>
        <w:t>’</w:t>
      </w:r>
      <w:r>
        <w:rPr>
          <w:lang w:val="fr-FR"/>
        </w:rPr>
        <w:t>a eu lieu au titre de ce point de l</w:t>
      </w:r>
      <w:r w:rsidR="00412DEA">
        <w:rPr>
          <w:lang w:val="fr-FR"/>
        </w:rPr>
        <w:t>’</w:t>
      </w:r>
      <w:r>
        <w:rPr>
          <w:lang w:val="fr-FR"/>
        </w:rPr>
        <w:t>ordre du jour.</w:t>
      </w:r>
    </w:p>
    <w:p w14:paraId="3FC963F7" w14:textId="77777777" w:rsidR="002A2200" w:rsidRPr="00AE0017" w:rsidRDefault="002A2200" w:rsidP="002A2200">
      <w:pPr>
        <w:pStyle w:val="H1G"/>
      </w:pPr>
      <w:r>
        <w:rPr>
          <w:lang w:val="fr-FR"/>
        </w:rPr>
        <w:tab/>
        <w:t>D.</w:t>
      </w:r>
      <w:r>
        <w:rPr>
          <w:lang w:val="fr-FR"/>
        </w:rPr>
        <w:tab/>
      </w:r>
      <w:r>
        <w:rPr>
          <w:bCs/>
          <w:lang w:val="fr-FR"/>
        </w:rPr>
        <w:t>Autres questions</w:t>
      </w:r>
    </w:p>
    <w:p w14:paraId="2C0CD997" w14:textId="77777777" w:rsidR="002A2200" w:rsidRPr="00AE0017" w:rsidRDefault="002A2200" w:rsidP="002A2200">
      <w:pPr>
        <w:pStyle w:val="SingleTxtG"/>
      </w:pPr>
      <w:r>
        <w:rPr>
          <w:lang w:val="fr-FR"/>
        </w:rPr>
        <w:t>50.</w:t>
      </w:r>
      <w:r>
        <w:rPr>
          <w:lang w:val="fr-FR"/>
        </w:rPr>
        <w:tab/>
        <w:t>Aucun document n</w:t>
      </w:r>
      <w:r w:rsidR="00412DEA">
        <w:rPr>
          <w:lang w:val="fr-FR"/>
        </w:rPr>
        <w:t>’</w:t>
      </w:r>
      <w:r>
        <w:rPr>
          <w:lang w:val="fr-FR"/>
        </w:rPr>
        <w:t>ayant été soumis, aucun échange de vues n</w:t>
      </w:r>
      <w:r w:rsidR="00412DEA">
        <w:rPr>
          <w:lang w:val="fr-FR"/>
        </w:rPr>
        <w:t>’</w:t>
      </w:r>
      <w:r>
        <w:rPr>
          <w:lang w:val="fr-FR"/>
        </w:rPr>
        <w:t>a eu lieu au titre de ce point de l</w:t>
      </w:r>
      <w:r w:rsidR="00412DEA">
        <w:rPr>
          <w:lang w:val="fr-FR"/>
        </w:rPr>
        <w:t>’</w:t>
      </w:r>
      <w:r>
        <w:rPr>
          <w:lang w:val="fr-FR"/>
        </w:rPr>
        <w:t>ordre du jour.</w:t>
      </w:r>
    </w:p>
    <w:p w14:paraId="04044E0D" w14:textId="77777777" w:rsidR="002A2200" w:rsidRPr="00AE0017" w:rsidRDefault="002A2200" w:rsidP="002A2200">
      <w:pPr>
        <w:pStyle w:val="HChG"/>
      </w:pPr>
      <w:r>
        <w:rPr>
          <w:lang w:val="fr-FR"/>
        </w:rPr>
        <w:tab/>
        <w:t>VIII.</w:t>
      </w:r>
      <w:r>
        <w:rPr>
          <w:lang w:val="fr-FR"/>
        </w:rPr>
        <w:tab/>
      </w:r>
      <w:r>
        <w:rPr>
          <w:bCs/>
          <w:lang w:val="fr-FR"/>
        </w:rPr>
        <w:t>Mise au point de directives pour l</w:t>
      </w:r>
      <w:r w:rsidR="00412DEA">
        <w:rPr>
          <w:bCs/>
          <w:lang w:val="fr-FR"/>
        </w:rPr>
        <w:t>’</w:t>
      </w:r>
      <w:r>
        <w:rPr>
          <w:bCs/>
          <w:lang w:val="fr-FR"/>
        </w:rPr>
        <w:t>application des critères du SGH (point 6 de l</w:t>
      </w:r>
      <w:r w:rsidR="00412DEA">
        <w:rPr>
          <w:bCs/>
          <w:lang w:val="fr-FR"/>
        </w:rPr>
        <w:t>’</w:t>
      </w:r>
      <w:r>
        <w:rPr>
          <w:bCs/>
          <w:lang w:val="fr-FR"/>
        </w:rPr>
        <w:t>ordre du jour)</w:t>
      </w:r>
    </w:p>
    <w:p w14:paraId="3432F42F" w14:textId="77777777" w:rsidR="002A2200" w:rsidRPr="00AE0017" w:rsidRDefault="002A2200" w:rsidP="002A2200">
      <w:pPr>
        <w:pStyle w:val="SingleTxtG"/>
      </w:pPr>
      <w:r>
        <w:rPr>
          <w:lang w:val="fr-FR"/>
        </w:rPr>
        <w:t>51.</w:t>
      </w:r>
      <w:r>
        <w:rPr>
          <w:lang w:val="fr-FR"/>
        </w:rPr>
        <w:tab/>
        <w:t>Le Sous-Comité a examiné des exemples fournissant des orientations sur la manière d</w:t>
      </w:r>
      <w:r w:rsidR="00412DEA">
        <w:rPr>
          <w:lang w:val="fr-FR"/>
        </w:rPr>
        <w:t>’</w:t>
      </w:r>
      <w:r>
        <w:rPr>
          <w:lang w:val="fr-FR"/>
        </w:rPr>
        <w:t>interpréter certains des critères des chapitres 3.8 et 3.9 au titre du point 3 f) de l</w:t>
      </w:r>
      <w:r w:rsidR="00412DEA">
        <w:rPr>
          <w:lang w:val="fr-FR"/>
        </w:rPr>
        <w:t>’</w:t>
      </w:r>
      <w:r>
        <w:rPr>
          <w:lang w:val="fr-FR"/>
        </w:rPr>
        <w:t xml:space="preserve">ordre du jour (voir par. 27). </w:t>
      </w:r>
    </w:p>
    <w:p w14:paraId="21CE700A" w14:textId="77777777" w:rsidR="002A2200" w:rsidRPr="00AE0017" w:rsidRDefault="002A2200" w:rsidP="002A2200">
      <w:pPr>
        <w:pStyle w:val="HChG"/>
      </w:pPr>
      <w:r>
        <w:rPr>
          <w:lang w:val="fr-FR"/>
        </w:rPr>
        <w:tab/>
        <w:t>IX.</w:t>
      </w:r>
      <w:r>
        <w:rPr>
          <w:lang w:val="fr-FR"/>
        </w:rPr>
        <w:tab/>
      </w:r>
      <w:r>
        <w:rPr>
          <w:bCs/>
          <w:lang w:val="fr-FR"/>
        </w:rPr>
        <w:t>Renforcement des capacités (point 7 de l</w:t>
      </w:r>
      <w:r w:rsidR="00412DEA">
        <w:rPr>
          <w:bCs/>
          <w:lang w:val="fr-FR"/>
        </w:rPr>
        <w:t>’</w:t>
      </w:r>
      <w:r>
        <w:rPr>
          <w:bCs/>
          <w:lang w:val="fr-FR"/>
        </w:rPr>
        <w:t>ordre du jour)</w:t>
      </w:r>
    </w:p>
    <w:p w14:paraId="07ACF59F" w14:textId="77777777" w:rsidR="002A2200" w:rsidRPr="00AE0017" w:rsidRDefault="002A2200" w:rsidP="003607A1">
      <w:pPr>
        <w:pStyle w:val="SingleTxtG"/>
        <w:keepNext/>
        <w:tabs>
          <w:tab w:val="clear" w:pos="2268"/>
          <w:tab w:val="clear" w:pos="2835"/>
        </w:tabs>
        <w:ind w:left="3402" w:hanging="2268"/>
        <w:jc w:val="left"/>
      </w:pPr>
      <w:r>
        <w:rPr>
          <w:i/>
          <w:iCs/>
          <w:lang w:val="fr-FR"/>
        </w:rPr>
        <w:t>Document informel</w:t>
      </w:r>
      <w:r w:rsidR="003607A1">
        <w:rPr>
          <w:i/>
          <w:iCs/>
          <w:lang w:val="fr-FR"/>
        </w:rPr>
        <w:t> </w:t>
      </w:r>
      <w:r>
        <w:rPr>
          <w:i/>
          <w:iCs/>
          <w:lang w:val="fr-FR"/>
        </w:rPr>
        <w:t>:</w:t>
      </w:r>
      <w:r>
        <w:rPr>
          <w:lang w:val="fr-FR"/>
        </w:rPr>
        <w:tab/>
        <w:t>INF.34 (RPMASA)</w:t>
      </w:r>
      <w:r w:rsidR="003607A1">
        <w:rPr>
          <w:lang w:val="fr-FR"/>
        </w:rPr>
        <w:t>.</w:t>
      </w:r>
    </w:p>
    <w:p w14:paraId="11577AE7" w14:textId="77777777" w:rsidR="002A2200" w:rsidRPr="00AE0017" w:rsidRDefault="002A2200" w:rsidP="002A2200">
      <w:pPr>
        <w:pStyle w:val="SingleTxtG"/>
      </w:pPr>
      <w:r>
        <w:rPr>
          <w:lang w:val="fr-FR"/>
        </w:rPr>
        <w:t>52.</w:t>
      </w:r>
      <w:r>
        <w:rPr>
          <w:lang w:val="fr-FR"/>
        </w:rPr>
        <w:tab/>
        <w:t>Le Sous-Comité a pris note des informations fournies dans le document informel INF.34.</w:t>
      </w:r>
    </w:p>
    <w:p w14:paraId="6412B4DA" w14:textId="77777777" w:rsidR="002A2200" w:rsidRPr="00AE0017" w:rsidRDefault="002A2200" w:rsidP="002A2200">
      <w:pPr>
        <w:pStyle w:val="SingleTxtG"/>
      </w:pPr>
      <w:r>
        <w:rPr>
          <w:lang w:val="fr-FR"/>
        </w:rPr>
        <w:lastRenderedPageBreak/>
        <w:t>53.</w:t>
      </w:r>
      <w:r>
        <w:rPr>
          <w:lang w:val="fr-FR"/>
        </w:rPr>
        <w:tab/>
        <w:t>L</w:t>
      </w:r>
      <w:r w:rsidR="00412DEA">
        <w:rPr>
          <w:lang w:val="fr-FR"/>
        </w:rPr>
        <w:t>’</w:t>
      </w:r>
      <w:r>
        <w:rPr>
          <w:lang w:val="fr-FR"/>
        </w:rPr>
        <w:t>expert de l</w:t>
      </w:r>
      <w:r w:rsidR="00412DEA">
        <w:rPr>
          <w:lang w:val="fr-FR"/>
        </w:rPr>
        <w:t>’</w:t>
      </w:r>
      <w:r>
        <w:rPr>
          <w:lang w:val="fr-FR"/>
        </w:rPr>
        <w:t>Afrique du Sud a informé le Sous-Comité que la législation relative à l</w:t>
      </w:r>
      <w:r w:rsidR="00412DEA">
        <w:rPr>
          <w:lang w:val="fr-FR"/>
        </w:rPr>
        <w:t>’</w:t>
      </w:r>
      <w:r>
        <w:rPr>
          <w:lang w:val="fr-FR"/>
        </w:rPr>
        <w:t>étiquetage sur le lieu de travail, fondée sur la septième édition révisée du SGH et prévoyant une période transitoire de dix-huit mois, serait publiée prochainement et que la formation des inspecteurs du travail avait commencé en vue de sa mise en œuvre.</w:t>
      </w:r>
    </w:p>
    <w:p w14:paraId="3CB0ED3B" w14:textId="77777777" w:rsidR="002A2200" w:rsidRPr="00AE0017" w:rsidRDefault="002A2200" w:rsidP="00C27D1C">
      <w:pPr>
        <w:pStyle w:val="HChG"/>
      </w:pPr>
      <w:r>
        <w:rPr>
          <w:lang w:val="fr-FR"/>
        </w:rPr>
        <w:tab/>
        <w:t>X.</w:t>
      </w:r>
      <w:r>
        <w:rPr>
          <w:lang w:val="fr-FR"/>
        </w:rPr>
        <w:tab/>
        <w:t>Programme de travail pour l</w:t>
      </w:r>
      <w:r w:rsidR="00412DEA">
        <w:rPr>
          <w:lang w:val="fr-FR"/>
        </w:rPr>
        <w:t>’</w:t>
      </w:r>
      <w:r>
        <w:rPr>
          <w:lang w:val="fr-FR"/>
        </w:rPr>
        <w:t>exercice biennal 2021-2022 (point 8 de l</w:t>
      </w:r>
      <w:r w:rsidR="00412DEA">
        <w:rPr>
          <w:lang w:val="fr-FR"/>
        </w:rPr>
        <w:t>’</w:t>
      </w:r>
      <w:r>
        <w:rPr>
          <w:lang w:val="fr-FR"/>
        </w:rPr>
        <w:t>ordre du jour)</w:t>
      </w:r>
    </w:p>
    <w:p w14:paraId="6A89C8B2" w14:textId="77777777" w:rsidR="002A2200" w:rsidRPr="00C6275B" w:rsidRDefault="002A2200" w:rsidP="003607A1">
      <w:pPr>
        <w:pStyle w:val="SingleTxtG"/>
        <w:keepNext/>
        <w:tabs>
          <w:tab w:val="clear" w:pos="2268"/>
          <w:tab w:val="clear" w:pos="2835"/>
        </w:tabs>
        <w:ind w:left="3402" w:hanging="2268"/>
        <w:jc w:val="left"/>
      </w:pPr>
      <w:r>
        <w:rPr>
          <w:i/>
          <w:iCs/>
          <w:lang w:val="fr-FR"/>
        </w:rPr>
        <w:t>Documents informels</w:t>
      </w:r>
      <w:r w:rsidR="003607A1">
        <w:rPr>
          <w:i/>
          <w:iCs/>
          <w:lang w:val="fr-FR"/>
        </w:rPr>
        <w:t> </w:t>
      </w:r>
      <w:r>
        <w:rPr>
          <w:i/>
          <w:iCs/>
          <w:lang w:val="fr-FR"/>
        </w:rPr>
        <w:t>:</w:t>
      </w:r>
      <w:r>
        <w:rPr>
          <w:lang w:val="fr-FR"/>
        </w:rPr>
        <w:tab/>
      </w:r>
      <w:r>
        <w:rPr>
          <w:lang w:val="fr-FR"/>
        </w:rPr>
        <w:tab/>
        <w:t>INF.15 (Japon)</w:t>
      </w:r>
      <w:r>
        <w:rPr>
          <w:lang w:val="fr-FR"/>
        </w:rPr>
        <w:br/>
        <w:t>INF.21 (Royaume-Uni)</w:t>
      </w:r>
      <w:r>
        <w:rPr>
          <w:lang w:val="fr-FR"/>
        </w:rPr>
        <w:br/>
        <w:t>INF.23 (Allemagne)</w:t>
      </w:r>
      <w:r w:rsidRPr="00AE0017">
        <w:br/>
      </w:r>
      <w:r>
        <w:rPr>
          <w:lang w:val="fr-FR"/>
        </w:rPr>
        <w:t>INF.27 (Pays-Bas, Royaume-Uni)</w:t>
      </w:r>
      <w:r>
        <w:rPr>
          <w:lang w:val="fr-FR"/>
        </w:rPr>
        <w:br/>
      </w:r>
      <w:r w:rsidRPr="00C6275B">
        <w:rPr>
          <w:lang w:val="fr-FR"/>
        </w:rPr>
        <w:t>INF.31 (États-Unis d</w:t>
      </w:r>
      <w:r w:rsidR="00412DEA" w:rsidRPr="00C6275B">
        <w:rPr>
          <w:lang w:val="fr-FR"/>
        </w:rPr>
        <w:t>’</w:t>
      </w:r>
      <w:r w:rsidRPr="00C6275B">
        <w:rPr>
          <w:lang w:val="fr-FR"/>
        </w:rPr>
        <w:t>Amérique)</w:t>
      </w:r>
      <w:r w:rsidR="003607A1" w:rsidRPr="00C6275B">
        <w:rPr>
          <w:lang w:val="fr-FR"/>
        </w:rPr>
        <w:t>.</w:t>
      </w:r>
    </w:p>
    <w:p w14:paraId="42E553D1" w14:textId="77777777" w:rsidR="002A2200" w:rsidRPr="00C6275B" w:rsidRDefault="002A2200" w:rsidP="002A2200">
      <w:pPr>
        <w:pStyle w:val="SingleTxtG"/>
      </w:pPr>
      <w:r w:rsidRPr="00C6275B">
        <w:rPr>
          <w:lang w:val="fr-FR"/>
        </w:rPr>
        <w:t>54.</w:t>
      </w:r>
      <w:r w:rsidRPr="00C6275B">
        <w:rPr>
          <w:lang w:val="fr-FR"/>
        </w:rPr>
        <w:tab/>
        <w:t>Le Sous-Comité a accepté toutes les propositions examinées au titre de ce point de l</w:t>
      </w:r>
      <w:r w:rsidR="00412DEA" w:rsidRPr="00C6275B">
        <w:rPr>
          <w:lang w:val="fr-FR"/>
        </w:rPr>
        <w:t>’</w:t>
      </w:r>
      <w:r w:rsidRPr="00C6275B">
        <w:rPr>
          <w:lang w:val="fr-FR"/>
        </w:rPr>
        <w:t>ordre du jour, moyennant les commentaires et observations complémentaires suivants :</w:t>
      </w:r>
    </w:p>
    <w:p w14:paraId="72CD5C21" w14:textId="77777777" w:rsidR="002A2200" w:rsidRPr="00AE0017" w:rsidRDefault="002A2200" w:rsidP="00412DEA">
      <w:pPr>
        <w:pStyle w:val="SingleTxtG"/>
        <w:ind w:left="2268" w:hanging="567"/>
      </w:pPr>
      <w:r w:rsidRPr="00C6275B">
        <w:rPr>
          <w:lang w:val="fr-FR"/>
        </w:rPr>
        <w:t>a)</w:t>
      </w:r>
      <w:r w:rsidRPr="00C6275B">
        <w:rPr>
          <w:lang w:val="fr-FR"/>
        </w:rPr>
        <w:tab/>
        <w:t>Le Sous-Comité s</w:t>
      </w:r>
      <w:r w:rsidR="00412DEA" w:rsidRPr="00C6275B">
        <w:rPr>
          <w:lang w:val="fr-FR"/>
        </w:rPr>
        <w:t>’</w:t>
      </w:r>
      <w:r w:rsidRPr="00C6275B">
        <w:rPr>
          <w:lang w:val="fr-FR"/>
        </w:rPr>
        <w:t>est félicité de l</w:t>
      </w:r>
      <w:r w:rsidR="00412DEA" w:rsidRPr="00C6275B">
        <w:rPr>
          <w:lang w:val="fr-FR"/>
        </w:rPr>
        <w:t>’</w:t>
      </w:r>
      <w:r w:rsidRPr="00C6275B">
        <w:rPr>
          <w:lang w:val="fr-FR"/>
        </w:rPr>
        <w:t>offre du Japon de diriger les travaux visant</w:t>
      </w:r>
      <w:r>
        <w:rPr>
          <w:lang w:val="fr-FR"/>
        </w:rPr>
        <w:t xml:space="preserve"> à examiner l</w:t>
      </w:r>
      <w:r w:rsidR="00412DEA">
        <w:rPr>
          <w:lang w:val="fr-FR"/>
        </w:rPr>
        <w:t>’</w:t>
      </w:r>
      <w:r>
        <w:rPr>
          <w:lang w:val="fr-FR"/>
        </w:rPr>
        <w:t>applicabilité des essais des ganglions lymphatiques locaux (LLNA) pour la sous-catégorisation de la sensibilisation cutanée. Notant que cette question avait été examinée par le groupe d</w:t>
      </w:r>
      <w:r w:rsidR="00412DEA">
        <w:rPr>
          <w:lang w:val="fr-FR"/>
        </w:rPr>
        <w:t>’</w:t>
      </w:r>
      <w:r>
        <w:rPr>
          <w:lang w:val="fr-FR"/>
        </w:rPr>
        <w:t>experts de la sensibilisation de la peau de l</w:t>
      </w:r>
      <w:r w:rsidR="00412DEA">
        <w:rPr>
          <w:lang w:val="fr-FR"/>
        </w:rPr>
        <w:t>’</w:t>
      </w:r>
      <w:r>
        <w:rPr>
          <w:lang w:val="fr-FR"/>
        </w:rPr>
        <w:t>OCDE, le Sous-Comité a dans un premier temps invité l</w:t>
      </w:r>
      <w:r w:rsidR="00412DEA">
        <w:rPr>
          <w:lang w:val="fr-FR"/>
        </w:rPr>
        <w:t>’</w:t>
      </w:r>
      <w:r>
        <w:rPr>
          <w:lang w:val="fr-FR"/>
        </w:rPr>
        <w:t>expert du Japon à lui faire rapport, à sa quarantième session, sur les débats menés à ce sujet dans le cadre de l</w:t>
      </w:r>
      <w:r w:rsidR="00412DEA">
        <w:rPr>
          <w:lang w:val="fr-FR"/>
        </w:rPr>
        <w:t>’</w:t>
      </w:r>
      <w:r>
        <w:rPr>
          <w:lang w:val="fr-FR"/>
        </w:rPr>
        <w:t>OCDE et leurs résultats. Il a également été noté que les travaux menés par le Japon devaient être réalisés en parallèle et en coordination avec les travaux en cours sur les méthodes d</w:t>
      </w:r>
      <w:r w:rsidR="00412DEA">
        <w:rPr>
          <w:lang w:val="fr-FR"/>
        </w:rPr>
        <w:t>’</w:t>
      </w:r>
      <w:r>
        <w:rPr>
          <w:lang w:val="fr-FR"/>
        </w:rPr>
        <w:t xml:space="preserve">expérimentation non animales menés par le Royaume-Uni et les Pays-Bas ; </w:t>
      </w:r>
    </w:p>
    <w:p w14:paraId="4B544AB5" w14:textId="77777777" w:rsidR="002A2200" w:rsidRPr="00AE0017" w:rsidRDefault="002A2200" w:rsidP="00412DEA">
      <w:pPr>
        <w:pStyle w:val="SingleTxtG"/>
        <w:ind w:left="2268" w:hanging="567"/>
      </w:pPr>
      <w:r>
        <w:rPr>
          <w:lang w:val="fr-FR"/>
        </w:rPr>
        <w:t>b)</w:t>
      </w:r>
      <w:r>
        <w:rPr>
          <w:lang w:val="fr-FR"/>
        </w:rPr>
        <w:tab/>
        <w:t>Le Sous-Comité a noté que le groupe informel des questions pratiques de classement avait décidé d</w:t>
      </w:r>
      <w:r w:rsidR="00412DEA">
        <w:rPr>
          <w:lang w:val="fr-FR"/>
        </w:rPr>
        <w:t>’</w:t>
      </w:r>
      <w:r>
        <w:rPr>
          <w:lang w:val="fr-FR"/>
        </w:rPr>
        <w:t>aborder les travaux sur ce sujet proposés par l</w:t>
      </w:r>
      <w:r w:rsidR="00412DEA">
        <w:rPr>
          <w:lang w:val="fr-FR"/>
        </w:rPr>
        <w:t>’</w:t>
      </w:r>
      <w:r>
        <w:rPr>
          <w:lang w:val="fr-FR"/>
        </w:rPr>
        <w:t>Allemagne dans le document informel INF.23 (option 2) et les avait inclus dans sa proposition de programme de travail pour 2021-2022 dans le document informel INF.31 ;</w:t>
      </w:r>
    </w:p>
    <w:p w14:paraId="7BC2F12B" w14:textId="77777777" w:rsidR="002A2200" w:rsidRPr="00AE0017" w:rsidRDefault="002A2200" w:rsidP="00412DEA">
      <w:pPr>
        <w:pStyle w:val="SingleTxtG"/>
        <w:ind w:left="2268" w:hanging="567"/>
      </w:pPr>
      <w:r>
        <w:rPr>
          <w:lang w:val="fr-FR"/>
        </w:rPr>
        <w:t>c)</w:t>
      </w:r>
      <w:r>
        <w:rPr>
          <w:lang w:val="fr-FR"/>
        </w:rPr>
        <w:tab/>
        <w:t>À la suite d</w:t>
      </w:r>
      <w:r w:rsidR="00412DEA">
        <w:rPr>
          <w:lang w:val="fr-FR"/>
        </w:rPr>
        <w:t>’</w:t>
      </w:r>
      <w:r>
        <w:rPr>
          <w:lang w:val="fr-FR"/>
        </w:rPr>
        <w:t>une intervention de l</w:t>
      </w:r>
      <w:r w:rsidR="00412DEA">
        <w:rPr>
          <w:lang w:val="fr-FR"/>
        </w:rPr>
        <w:t>’</w:t>
      </w:r>
      <w:r>
        <w:rPr>
          <w:lang w:val="fr-FR"/>
        </w:rPr>
        <w:t>expert de la France, le Sous-Comité a décidé de maintenir le point sur les nanomatériaux dans son programme de travail pour l</w:t>
      </w:r>
      <w:r w:rsidR="00412DEA">
        <w:rPr>
          <w:lang w:val="fr-FR"/>
        </w:rPr>
        <w:t>’</w:t>
      </w:r>
      <w:r>
        <w:rPr>
          <w:lang w:val="fr-FR"/>
        </w:rPr>
        <w:t xml:space="preserve">exercice biennal 2021-2022. </w:t>
      </w:r>
    </w:p>
    <w:p w14:paraId="00AB02A6" w14:textId="77777777" w:rsidR="002A2200" w:rsidRPr="00AE0017" w:rsidRDefault="002A2200" w:rsidP="002A2200">
      <w:pPr>
        <w:pStyle w:val="SingleTxtG"/>
      </w:pPr>
      <w:r>
        <w:rPr>
          <w:lang w:val="fr-FR"/>
        </w:rPr>
        <w:t>55.</w:t>
      </w:r>
      <w:r>
        <w:rPr>
          <w:lang w:val="fr-FR"/>
        </w:rPr>
        <w:tab/>
        <w:t>Sur la base des propositions examinées et approuvées au titre du présent point de l</w:t>
      </w:r>
      <w:r w:rsidR="00412DEA">
        <w:rPr>
          <w:lang w:val="fr-FR"/>
        </w:rPr>
        <w:t>’</w:t>
      </w:r>
      <w:r>
        <w:rPr>
          <w:lang w:val="fr-FR"/>
        </w:rPr>
        <w:t>ordre du jour ainsi que d</w:t>
      </w:r>
      <w:r w:rsidR="00412DEA">
        <w:rPr>
          <w:lang w:val="fr-FR"/>
        </w:rPr>
        <w:t>’</w:t>
      </w:r>
      <w:r>
        <w:rPr>
          <w:lang w:val="fr-FR"/>
        </w:rPr>
        <w:t>autres points au cours de la session en cours et de sessions antérieures, le Sous-Comité a approuvé son programme de travail pour l</w:t>
      </w:r>
      <w:r w:rsidR="00412DEA">
        <w:rPr>
          <w:lang w:val="fr-FR"/>
        </w:rPr>
        <w:t>’</w:t>
      </w:r>
      <w:r>
        <w:rPr>
          <w:lang w:val="fr-FR"/>
        </w:rPr>
        <w:t>exercice biennal 2021-2022 (voir l</w:t>
      </w:r>
      <w:r w:rsidR="00412DEA">
        <w:rPr>
          <w:lang w:val="fr-FR"/>
        </w:rPr>
        <w:t>’</w:t>
      </w:r>
      <w:r>
        <w:rPr>
          <w:lang w:val="fr-FR"/>
        </w:rPr>
        <w:t>annexe II).</w:t>
      </w:r>
    </w:p>
    <w:p w14:paraId="3B914FE1" w14:textId="77777777" w:rsidR="002A2200" w:rsidRPr="00AE0017" w:rsidRDefault="002A2200" w:rsidP="00C27D1C">
      <w:pPr>
        <w:pStyle w:val="HChG"/>
      </w:pPr>
      <w:r>
        <w:rPr>
          <w:lang w:val="fr-FR"/>
        </w:rPr>
        <w:tab/>
        <w:t>XI.</w:t>
      </w:r>
      <w:r>
        <w:rPr>
          <w:lang w:val="fr-FR"/>
        </w:rPr>
        <w:tab/>
        <w:t xml:space="preserve">Projet de résolution 2021/… du Conseil économique et social (point 9 de </w:t>
      </w:r>
      <w:r w:rsidRPr="00C27D1C">
        <w:t>l</w:t>
      </w:r>
      <w:r w:rsidR="00412DEA" w:rsidRPr="00C27D1C">
        <w:t>’</w:t>
      </w:r>
      <w:r w:rsidRPr="00C27D1C">
        <w:t>ordre</w:t>
      </w:r>
      <w:r>
        <w:rPr>
          <w:lang w:val="fr-FR"/>
        </w:rPr>
        <w:t xml:space="preserve"> du jour)</w:t>
      </w:r>
    </w:p>
    <w:p w14:paraId="50B23FB5" w14:textId="77777777" w:rsidR="002A2200" w:rsidRPr="00AE0017" w:rsidRDefault="002A2200" w:rsidP="00412DEA">
      <w:pPr>
        <w:pStyle w:val="SingleTxtG"/>
        <w:keepNext/>
        <w:tabs>
          <w:tab w:val="clear" w:pos="2268"/>
          <w:tab w:val="clear" w:pos="2835"/>
        </w:tabs>
        <w:ind w:left="3402" w:hanging="2268"/>
        <w:jc w:val="left"/>
      </w:pPr>
      <w:r>
        <w:rPr>
          <w:i/>
          <w:iCs/>
          <w:lang w:val="fr-FR"/>
        </w:rPr>
        <w:t>Document informel</w:t>
      </w:r>
      <w:r w:rsidR="00412DEA">
        <w:rPr>
          <w:i/>
          <w:iCs/>
          <w:lang w:val="fr-FR"/>
        </w:rPr>
        <w:t> </w:t>
      </w:r>
      <w:r>
        <w:rPr>
          <w:i/>
          <w:iCs/>
          <w:lang w:val="fr-FR"/>
        </w:rPr>
        <w:t>:</w:t>
      </w:r>
      <w:r>
        <w:rPr>
          <w:lang w:val="fr-FR"/>
        </w:rPr>
        <w:tab/>
        <w:t>INF.24 (secrétariat)</w:t>
      </w:r>
      <w:r w:rsidR="00412DEA">
        <w:rPr>
          <w:lang w:val="fr-FR"/>
        </w:rPr>
        <w:t>.</w:t>
      </w:r>
    </w:p>
    <w:p w14:paraId="6142E74E" w14:textId="77777777" w:rsidR="002A2200" w:rsidRPr="00AE0017" w:rsidRDefault="002A2200" w:rsidP="002A2200">
      <w:pPr>
        <w:pStyle w:val="SingleTxtG"/>
      </w:pPr>
      <w:r>
        <w:rPr>
          <w:lang w:val="fr-FR"/>
        </w:rPr>
        <w:t>56.</w:t>
      </w:r>
      <w:r>
        <w:rPr>
          <w:lang w:val="fr-FR"/>
        </w:rPr>
        <w:tab/>
        <w:t>Le Sous-Comité a adopté la partie B du projet de résolution à soumettre au Conseil économique et social pour examen à sa session de 2021.</w:t>
      </w:r>
    </w:p>
    <w:p w14:paraId="5EB09265" w14:textId="77777777" w:rsidR="002A2200" w:rsidRPr="00AE0017" w:rsidRDefault="002A2200" w:rsidP="00C27D1C">
      <w:pPr>
        <w:pStyle w:val="HChG"/>
      </w:pPr>
      <w:r>
        <w:rPr>
          <w:lang w:val="fr-FR"/>
        </w:rPr>
        <w:tab/>
        <w:t>XII.</w:t>
      </w:r>
      <w:r>
        <w:rPr>
          <w:lang w:val="fr-FR"/>
        </w:rPr>
        <w:tab/>
        <w:t xml:space="preserve">Élection du </w:t>
      </w:r>
      <w:r w:rsidRPr="00C27D1C">
        <w:t>Bureau</w:t>
      </w:r>
      <w:r>
        <w:rPr>
          <w:lang w:val="fr-FR"/>
        </w:rPr>
        <w:t xml:space="preserve"> pour l</w:t>
      </w:r>
      <w:r w:rsidR="00412DEA">
        <w:rPr>
          <w:lang w:val="fr-FR"/>
        </w:rPr>
        <w:t>’</w:t>
      </w:r>
      <w:r>
        <w:rPr>
          <w:lang w:val="fr-FR"/>
        </w:rPr>
        <w:t>exercice biennal 2021-2022 (point 10 de l</w:t>
      </w:r>
      <w:r w:rsidR="00412DEA">
        <w:rPr>
          <w:lang w:val="fr-FR"/>
        </w:rPr>
        <w:t>’</w:t>
      </w:r>
      <w:r>
        <w:rPr>
          <w:lang w:val="fr-FR"/>
        </w:rPr>
        <w:t>ordre du jour)</w:t>
      </w:r>
    </w:p>
    <w:p w14:paraId="36ED1E95" w14:textId="77777777" w:rsidR="002A2200" w:rsidRPr="00AE0017" w:rsidRDefault="002A2200" w:rsidP="002A2200">
      <w:pPr>
        <w:pStyle w:val="SingleTxtG"/>
        <w:rPr>
          <w:rFonts w:eastAsia="Times New Roman"/>
        </w:rPr>
      </w:pPr>
      <w:r>
        <w:rPr>
          <w:lang w:val="fr-FR"/>
        </w:rPr>
        <w:t>57.</w:t>
      </w:r>
      <w:r>
        <w:rPr>
          <w:lang w:val="fr-FR"/>
        </w:rPr>
        <w:tab/>
        <w:t>Il a été rappelé que, conformément à l</w:t>
      </w:r>
      <w:r w:rsidR="00412DEA">
        <w:rPr>
          <w:lang w:val="fr-FR"/>
        </w:rPr>
        <w:t>’</w:t>
      </w:r>
      <w:r>
        <w:rPr>
          <w:lang w:val="fr-FR"/>
        </w:rPr>
        <w:t>article 68 du Règlement intérieur, «</w:t>
      </w:r>
      <w:r w:rsidR="0091043D">
        <w:rPr>
          <w:lang w:val="fr-FR"/>
        </w:rPr>
        <w:t> </w:t>
      </w:r>
      <w:r>
        <w:rPr>
          <w:lang w:val="fr-FR"/>
        </w:rPr>
        <w:t>les élections se font au scrutin secret, à moins que [le Sous-Comité] ne décide, en l</w:t>
      </w:r>
      <w:r w:rsidR="00412DEA">
        <w:rPr>
          <w:lang w:val="fr-FR"/>
        </w:rPr>
        <w:t>’</w:t>
      </w:r>
      <w:r>
        <w:rPr>
          <w:lang w:val="fr-FR"/>
        </w:rPr>
        <w:t>absence de toute objection, d</w:t>
      </w:r>
      <w:r w:rsidR="00412DEA">
        <w:rPr>
          <w:lang w:val="fr-FR"/>
        </w:rPr>
        <w:t>’</w:t>
      </w:r>
      <w:r>
        <w:rPr>
          <w:lang w:val="fr-FR"/>
        </w:rPr>
        <w:t>élire sans vote un candidat ou une liste de candidats sur lesquels il y a accord</w:t>
      </w:r>
      <w:r w:rsidR="0091043D">
        <w:rPr>
          <w:lang w:val="fr-FR"/>
        </w:rPr>
        <w:t> </w:t>
      </w:r>
      <w:r>
        <w:rPr>
          <w:lang w:val="fr-FR"/>
        </w:rPr>
        <w:t>». Il a été souligné que, étant donné qu</w:t>
      </w:r>
      <w:r w:rsidR="00412DEA">
        <w:rPr>
          <w:lang w:val="fr-FR"/>
        </w:rPr>
        <w:t>’</w:t>
      </w:r>
      <w:r>
        <w:rPr>
          <w:lang w:val="fr-FR"/>
        </w:rPr>
        <w:t>il n</w:t>
      </w:r>
      <w:r w:rsidR="00412DEA">
        <w:rPr>
          <w:lang w:val="fr-FR"/>
        </w:rPr>
        <w:t>’</w:t>
      </w:r>
      <w:r>
        <w:rPr>
          <w:lang w:val="fr-FR"/>
        </w:rPr>
        <w:t>était pas techniquement possible d</w:t>
      </w:r>
      <w:r w:rsidR="00412DEA">
        <w:rPr>
          <w:lang w:val="fr-FR"/>
        </w:rPr>
        <w:t>’</w:t>
      </w:r>
      <w:r>
        <w:rPr>
          <w:lang w:val="fr-FR"/>
        </w:rPr>
        <w:t xml:space="preserve">organiser un scrutin secret pendant la session officielle en ligne, le Sous-Comité ne pouvait </w:t>
      </w:r>
      <w:r>
        <w:rPr>
          <w:lang w:val="fr-FR"/>
        </w:rPr>
        <w:lastRenderedPageBreak/>
        <w:t>élire son bureau pour 2021-2022 que par acclamations, sur la base d</w:t>
      </w:r>
      <w:r w:rsidR="00412DEA">
        <w:rPr>
          <w:lang w:val="fr-FR"/>
        </w:rPr>
        <w:t>’</w:t>
      </w:r>
      <w:r>
        <w:rPr>
          <w:lang w:val="fr-FR"/>
        </w:rPr>
        <w:t xml:space="preserve">un candidat ou </w:t>
      </w:r>
      <w:proofErr w:type="gramStart"/>
      <w:r>
        <w:rPr>
          <w:lang w:val="fr-FR"/>
        </w:rPr>
        <w:t>d</w:t>
      </w:r>
      <w:r w:rsidR="00412DEA">
        <w:rPr>
          <w:lang w:val="fr-FR"/>
        </w:rPr>
        <w:t>’</w:t>
      </w:r>
      <w:r>
        <w:rPr>
          <w:lang w:val="fr-FR"/>
        </w:rPr>
        <w:t>une liste convenus</w:t>
      </w:r>
      <w:proofErr w:type="gramEnd"/>
      <w:r>
        <w:rPr>
          <w:lang w:val="fr-FR"/>
        </w:rPr>
        <w:t>, et à condition qu</w:t>
      </w:r>
      <w:r w:rsidR="00412DEA">
        <w:rPr>
          <w:lang w:val="fr-FR"/>
        </w:rPr>
        <w:t>’</w:t>
      </w:r>
      <w:r>
        <w:rPr>
          <w:lang w:val="fr-FR"/>
        </w:rPr>
        <w:t>aucune demande de scrutin secret n</w:t>
      </w:r>
      <w:r w:rsidR="00412DEA">
        <w:rPr>
          <w:lang w:val="fr-FR"/>
        </w:rPr>
        <w:t>’</w:t>
      </w:r>
      <w:r>
        <w:rPr>
          <w:lang w:val="fr-FR"/>
        </w:rPr>
        <w:t>ait été reçue. Au cas où un scrutin secret serait demandé, les élections seraient reportées jusqu</w:t>
      </w:r>
      <w:r w:rsidR="00412DEA">
        <w:rPr>
          <w:lang w:val="fr-FR"/>
        </w:rPr>
        <w:t>’</w:t>
      </w:r>
      <w:r>
        <w:rPr>
          <w:lang w:val="fr-FR"/>
        </w:rPr>
        <w:t xml:space="preserve">à la date la plus proche possible pour les organiser. </w:t>
      </w:r>
    </w:p>
    <w:p w14:paraId="41BB1791" w14:textId="77777777" w:rsidR="002A2200" w:rsidRPr="00AE0017" w:rsidRDefault="002A2200" w:rsidP="002A2200">
      <w:pPr>
        <w:pStyle w:val="SingleTxtG"/>
      </w:pPr>
      <w:r>
        <w:rPr>
          <w:lang w:val="fr-FR"/>
        </w:rPr>
        <w:t>58.</w:t>
      </w:r>
      <w:r>
        <w:rPr>
          <w:lang w:val="fr-FR"/>
        </w:rPr>
        <w:tab/>
        <w:t>Aucune demande de scrutin secret n</w:t>
      </w:r>
      <w:r w:rsidR="00412DEA">
        <w:rPr>
          <w:lang w:val="fr-FR"/>
        </w:rPr>
        <w:t>’</w:t>
      </w:r>
      <w:r>
        <w:rPr>
          <w:lang w:val="fr-FR"/>
        </w:rPr>
        <w:t xml:space="preserve">avait été faite. Le Sous-Comité a exprimé sa reconnaissance </w:t>
      </w:r>
      <w:r w:rsidRPr="00CB6BC2">
        <w:rPr>
          <w:lang w:val="fr-FR"/>
        </w:rPr>
        <w:t xml:space="preserve">à la Présidente </w:t>
      </w:r>
      <w:r>
        <w:rPr>
          <w:lang w:val="fr-FR"/>
        </w:rPr>
        <w:t>pour son dynamisme et son activité de coordination au cours de l</w:t>
      </w:r>
      <w:r w:rsidR="00412DEA">
        <w:rPr>
          <w:lang w:val="fr-FR"/>
        </w:rPr>
        <w:t>’</w:t>
      </w:r>
      <w:r>
        <w:rPr>
          <w:lang w:val="fr-FR"/>
        </w:rPr>
        <w:t>exercice 2019-2020, en particulier</w:t>
      </w:r>
      <w:r w:rsidRPr="00CB6BC2">
        <w:rPr>
          <w:lang w:val="fr-FR"/>
        </w:rPr>
        <w:t xml:space="preserve"> </w:t>
      </w:r>
      <w:r>
        <w:rPr>
          <w:lang w:val="fr-FR"/>
        </w:rPr>
        <w:t>compte tenu des défis exceptionnels auxquels le Sous</w:t>
      </w:r>
      <w:r w:rsidR="0091043D">
        <w:rPr>
          <w:lang w:val="fr-FR"/>
        </w:rPr>
        <w:noBreakHyphen/>
      </w:r>
      <w:r>
        <w:rPr>
          <w:lang w:val="fr-FR"/>
        </w:rPr>
        <w:t>Comité avait été confronté en raison de l</w:t>
      </w:r>
      <w:r w:rsidR="00412DEA">
        <w:rPr>
          <w:lang w:val="fr-FR"/>
        </w:rPr>
        <w:t>’</w:t>
      </w:r>
      <w:r>
        <w:rPr>
          <w:lang w:val="fr-FR"/>
        </w:rPr>
        <w:t>incidence de la pandémie sur l</w:t>
      </w:r>
      <w:r w:rsidR="00412DEA">
        <w:rPr>
          <w:lang w:val="fr-FR"/>
        </w:rPr>
        <w:t>’</w:t>
      </w:r>
      <w:r>
        <w:rPr>
          <w:lang w:val="fr-FR"/>
        </w:rPr>
        <w:t>organisation des sessions. Sur proposition de l</w:t>
      </w:r>
      <w:r w:rsidR="00412DEA">
        <w:rPr>
          <w:lang w:val="fr-FR"/>
        </w:rPr>
        <w:t>’</w:t>
      </w:r>
      <w:r>
        <w:rPr>
          <w:lang w:val="fr-FR"/>
        </w:rPr>
        <w:t>Allemagne et des États-Unis d</w:t>
      </w:r>
      <w:r w:rsidR="00412DEA">
        <w:rPr>
          <w:lang w:val="fr-FR"/>
        </w:rPr>
        <w:t>’</w:t>
      </w:r>
      <w:r>
        <w:rPr>
          <w:lang w:val="fr-FR"/>
        </w:rPr>
        <w:t>Amérique, tous deux appuyés par d</w:t>
      </w:r>
      <w:r w:rsidR="00412DEA">
        <w:rPr>
          <w:lang w:val="fr-FR"/>
        </w:rPr>
        <w:t>’</w:t>
      </w:r>
      <w:r>
        <w:rPr>
          <w:lang w:val="fr-FR"/>
        </w:rPr>
        <w:t>autres délégations, le Sous-Comité a réélu M</w:t>
      </w:r>
      <w:r>
        <w:rPr>
          <w:vertAlign w:val="superscript"/>
          <w:lang w:val="fr-FR"/>
        </w:rPr>
        <w:t>me</w:t>
      </w:r>
      <w:r>
        <w:rPr>
          <w:lang w:val="fr-FR"/>
        </w:rPr>
        <w:t xml:space="preserve"> Maureen Ruskin (États-Unis d</w:t>
      </w:r>
      <w:r w:rsidR="00412DEA">
        <w:rPr>
          <w:lang w:val="fr-FR"/>
        </w:rPr>
        <w:t>’</w:t>
      </w:r>
      <w:r>
        <w:rPr>
          <w:lang w:val="fr-FR"/>
        </w:rPr>
        <w:t>Amérique) Présidente et élu M</w:t>
      </w:r>
      <w:r>
        <w:rPr>
          <w:vertAlign w:val="superscript"/>
          <w:lang w:val="fr-FR"/>
        </w:rPr>
        <w:t>me</w:t>
      </w:r>
      <w:r>
        <w:rPr>
          <w:lang w:val="fr-FR"/>
        </w:rPr>
        <w:t xml:space="preserve"> Nina John (Autriche) Vice-Présidente pour l</w:t>
      </w:r>
      <w:r w:rsidR="00412DEA">
        <w:rPr>
          <w:lang w:val="fr-FR"/>
        </w:rPr>
        <w:t>’</w:t>
      </w:r>
      <w:r>
        <w:rPr>
          <w:lang w:val="fr-FR"/>
        </w:rPr>
        <w:t xml:space="preserve">exercice biennal 2021-2022. Les élections ont eu lieu par acclamations. </w:t>
      </w:r>
    </w:p>
    <w:p w14:paraId="4183DC8F" w14:textId="77777777" w:rsidR="002A2200" w:rsidRPr="00AE0017" w:rsidRDefault="002A2200" w:rsidP="002A2200">
      <w:pPr>
        <w:pStyle w:val="HChG"/>
      </w:pPr>
      <w:r>
        <w:rPr>
          <w:lang w:val="fr-FR"/>
        </w:rPr>
        <w:tab/>
        <w:t>XIII.</w:t>
      </w:r>
      <w:r>
        <w:rPr>
          <w:lang w:val="fr-FR"/>
        </w:rPr>
        <w:tab/>
      </w:r>
      <w:r>
        <w:rPr>
          <w:bCs/>
          <w:lang w:val="fr-FR"/>
        </w:rPr>
        <w:t>Questions diverses (point 11 de l</w:t>
      </w:r>
      <w:r w:rsidR="00412DEA">
        <w:rPr>
          <w:bCs/>
          <w:lang w:val="fr-FR"/>
        </w:rPr>
        <w:t>’</w:t>
      </w:r>
      <w:r>
        <w:rPr>
          <w:bCs/>
          <w:lang w:val="fr-FR"/>
        </w:rPr>
        <w:t>ordre du jour)</w:t>
      </w:r>
    </w:p>
    <w:p w14:paraId="7AB12D57" w14:textId="77777777" w:rsidR="002A2200" w:rsidRPr="00AE0017" w:rsidRDefault="002A2200" w:rsidP="002A2200">
      <w:pPr>
        <w:pStyle w:val="H1G"/>
      </w:pPr>
      <w:r>
        <w:rPr>
          <w:lang w:val="fr-FR"/>
        </w:rPr>
        <w:tab/>
        <w:t>A.</w:t>
      </w:r>
      <w:r>
        <w:rPr>
          <w:lang w:val="fr-FR"/>
        </w:rPr>
        <w:tab/>
      </w:r>
      <w:r>
        <w:rPr>
          <w:bCs/>
          <w:lang w:val="fr-FR"/>
        </w:rPr>
        <w:t>Hommages</w:t>
      </w:r>
      <w:r>
        <w:rPr>
          <w:lang w:val="fr-FR"/>
        </w:rPr>
        <w:t xml:space="preserve"> </w:t>
      </w:r>
    </w:p>
    <w:p w14:paraId="7A25692C" w14:textId="77777777" w:rsidR="002A2200" w:rsidRPr="00AE0017" w:rsidRDefault="002A2200" w:rsidP="002A2200">
      <w:pPr>
        <w:pStyle w:val="SingleTxtG"/>
      </w:pPr>
      <w:r>
        <w:rPr>
          <w:lang w:val="fr-FR"/>
        </w:rPr>
        <w:t>59.</w:t>
      </w:r>
      <w:r>
        <w:rPr>
          <w:lang w:val="fr-FR"/>
        </w:rPr>
        <w:tab/>
        <w:t>Le Sous-Comité a été informé que M</w:t>
      </w:r>
      <w:r>
        <w:rPr>
          <w:vertAlign w:val="superscript"/>
          <w:lang w:val="fr-FR"/>
        </w:rPr>
        <w:t>me</w:t>
      </w:r>
      <w:r>
        <w:rPr>
          <w:lang w:val="fr-FR"/>
        </w:rPr>
        <w:t xml:space="preserve"> Sabine Darschnik, qui participait à ses travaux en tant que cheffe de la délégation allemande depuis juillet 2014, et M. Lennart Dock, qui participait aux sessions depuis décembre 2003 et était devenu chef de la délégation suédoise depuis juillet 2008, prendraient bientôt leur retraite et ne participeraient plus aux sessions. Le Sous-Comité a également été informé que M. Paul Taylor, qui participait aux sessions en tant que chef de la délégation australienne depuis juillet 2017 et remplissait les fonctions de Vice</w:t>
      </w:r>
      <w:r w:rsidR="0091043D">
        <w:rPr>
          <w:lang w:val="fr-FR"/>
        </w:rPr>
        <w:noBreakHyphen/>
      </w:r>
      <w:r>
        <w:rPr>
          <w:lang w:val="fr-FR"/>
        </w:rPr>
        <w:t>Président du Sous-Comité depuis juillet 2019, avait accepté un nouveau rôle au sein d</w:t>
      </w:r>
      <w:r w:rsidR="00412DEA">
        <w:rPr>
          <w:lang w:val="fr-FR"/>
        </w:rPr>
        <w:t>’</w:t>
      </w:r>
      <w:r>
        <w:rPr>
          <w:lang w:val="fr-FR"/>
        </w:rPr>
        <w:t xml:space="preserve">un autre organe gouvernemental et ne participerait plus à ses travaux. </w:t>
      </w:r>
    </w:p>
    <w:p w14:paraId="0840C5E2" w14:textId="77777777" w:rsidR="002A2200" w:rsidRPr="00AE0017" w:rsidRDefault="002A2200" w:rsidP="002A2200">
      <w:pPr>
        <w:pStyle w:val="SingleTxtG"/>
      </w:pPr>
      <w:r>
        <w:rPr>
          <w:lang w:val="fr-FR"/>
        </w:rPr>
        <w:t>60.</w:t>
      </w:r>
      <w:r>
        <w:rPr>
          <w:lang w:val="fr-FR"/>
        </w:rPr>
        <w:tab/>
        <w:t xml:space="preserve">Le Sous-Comité leur a exprimé sa gratitude pour leur contribution à ses travaux et à la mise en œuvre du SGH et leur a souhaité bonne chance dans leurs activités futures. </w:t>
      </w:r>
    </w:p>
    <w:p w14:paraId="37F41D2F" w14:textId="77777777" w:rsidR="002A2200" w:rsidRPr="00AE0017" w:rsidRDefault="002A2200" w:rsidP="002A2200">
      <w:pPr>
        <w:pStyle w:val="H1G"/>
      </w:pPr>
      <w:r>
        <w:rPr>
          <w:lang w:val="fr-FR"/>
        </w:rPr>
        <w:tab/>
        <w:t>B.</w:t>
      </w:r>
      <w:r>
        <w:rPr>
          <w:lang w:val="fr-FR"/>
        </w:rPr>
        <w:tab/>
      </w:r>
      <w:r>
        <w:rPr>
          <w:bCs/>
          <w:lang w:val="fr-FR"/>
        </w:rPr>
        <w:t>Dates de la session suivante et date limite de soumission des documents</w:t>
      </w:r>
    </w:p>
    <w:p w14:paraId="2B1062C0" w14:textId="77777777" w:rsidR="002A2200" w:rsidRPr="00AE0017" w:rsidRDefault="002A2200" w:rsidP="002A2200">
      <w:pPr>
        <w:pStyle w:val="SingleTxtG"/>
      </w:pPr>
      <w:r>
        <w:rPr>
          <w:lang w:val="fr-FR"/>
        </w:rPr>
        <w:t>61.</w:t>
      </w:r>
      <w:r>
        <w:rPr>
          <w:lang w:val="fr-FR"/>
        </w:rPr>
        <w:tab/>
        <w:t>Le Sous-Comité a été informé que sa quarantième session se tiendrait du 5 juillet au 7</w:t>
      </w:r>
      <w:r w:rsidR="0091043D">
        <w:rPr>
          <w:lang w:val="fr-FR"/>
        </w:rPr>
        <w:t> </w:t>
      </w:r>
      <w:r>
        <w:rPr>
          <w:lang w:val="fr-FR"/>
        </w:rPr>
        <w:t xml:space="preserve">juillet (matin) 2021 et que la date limite pour la soumission des documents officiels était fixée au 9 avril 2021. </w:t>
      </w:r>
    </w:p>
    <w:p w14:paraId="2EA92EF3" w14:textId="77777777" w:rsidR="002A2200" w:rsidRPr="00AE0017" w:rsidRDefault="002A2200" w:rsidP="00C27D1C">
      <w:pPr>
        <w:pStyle w:val="HChG"/>
      </w:pPr>
      <w:r>
        <w:rPr>
          <w:lang w:val="fr-FR"/>
        </w:rPr>
        <w:tab/>
        <w:t>XIV.</w:t>
      </w:r>
      <w:r>
        <w:rPr>
          <w:lang w:val="fr-FR"/>
        </w:rPr>
        <w:tab/>
      </w:r>
      <w:r w:rsidRPr="00C27D1C">
        <w:t>Adoption</w:t>
      </w:r>
      <w:r>
        <w:rPr>
          <w:lang w:val="fr-FR"/>
        </w:rPr>
        <w:t xml:space="preserve"> du rapport (point 12 de l</w:t>
      </w:r>
      <w:r w:rsidR="00412DEA">
        <w:rPr>
          <w:lang w:val="fr-FR"/>
        </w:rPr>
        <w:t>’</w:t>
      </w:r>
      <w:r>
        <w:rPr>
          <w:lang w:val="fr-FR"/>
        </w:rPr>
        <w:t>ordre du jour)</w:t>
      </w:r>
    </w:p>
    <w:p w14:paraId="2B7AF9E5" w14:textId="77777777" w:rsidR="002A2200" w:rsidRPr="00AE0017" w:rsidRDefault="002A2200" w:rsidP="002A2200">
      <w:pPr>
        <w:pStyle w:val="SingleTxtG"/>
      </w:pPr>
      <w:r>
        <w:rPr>
          <w:lang w:val="fr-FR"/>
        </w:rPr>
        <w:t>62.</w:t>
      </w:r>
      <w:r>
        <w:rPr>
          <w:lang w:val="fr-FR"/>
        </w:rPr>
        <w:tab/>
        <w:t>Conformément à la pratique établie, le Sous-Comité a adopté le rapport sur sa trente</w:t>
      </w:r>
      <w:r w:rsidR="0091043D">
        <w:rPr>
          <w:lang w:val="fr-FR"/>
        </w:rPr>
        <w:noBreakHyphen/>
      </w:r>
      <w:r>
        <w:rPr>
          <w:lang w:val="fr-FR"/>
        </w:rPr>
        <w:t>neuvième session, ainsi que ses annexes, sur la base d</w:t>
      </w:r>
      <w:r w:rsidR="00412DEA">
        <w:rPr>
          <w:lang w:val="fr-FR"/>
        </w:rPr>
        <w:t>’</w:t>
      </w:r>
      <w:r>
        <w:rPr>
          <w:lang w:val="fr-FR"/>
        </w:rPr>
        <w:t>un projet établi par le secrétariat.</w:t>
      </w:r>
    </w:p>
    <w:p w14:paraId="27D182F6" w14:textId="77777777" w:rsidR="002A2200" w:rsidRPr="00AE0017" w:rsidRDefault="002A2200" w:rsidP="002A2200">
      <w:pPr>
        <w:suppressAutoHyphens w:val="0"/>
        <w:kinsoku/>
        <w:overflowPunct/>
        <w:autoSpaceDE/>
        <w:autoSpaceDN/>
        <w:adjustRightInd/>
        <w:snapToGrid/>
        <w:spacing w:after="200" w:line="276" w:lineRule="auto"/>
      </w:pPr>
      <w:r w:rsidRPr="00AE0017">
        <w:br w:type="page"/>
      </w:r>
    </w:p>
    <w:p w14:paraId="2B99D6C2" w14:textId="77777777" w:rsidR="002A2200" w:rsidRDefault="002A2200" w:rsidP="002A2200">
      <w:pPr>
        <w:pStyle w:val="HChG"/>
        <w:tabs>
          <w:tab w:val="left" w:pos="5954"/>
        </w:tabs>
        <w:rPr>
          <w:lang w:val="fr-FR"/>
        </w:rPr>
      </w:pPr>
      <w:r>
        <w:rPr>
          <w:lang w:val="fr-FR"/>
        </w:rPr>
        <w:lastRenderedPageBreak/>
        <w:tab/>
      </w:r>
      <w:r>
        <w:rPr>
          <w:bCs/>
          <w:lang w:val="fr-FR"/>
        </w:rPr>
        <w:t>Annexe I</w:t>
      </w:r>
    </w:p>
    <w:p w14:paraId="47D09D94" w14:textId="77777777" w:rsidR="002A2200" w:rsidRPr="00412DEA" w:rsidRDefault="002A2200" w:rsidP="00412DEA">
      <w:pPr>
        <w:pStyle w:val="SingleTxtG"/>
        <w:jc w:val="right"/>
        <w:rPr>
          <w:lang w:val="fr-FR"/>
        </w:rPr>
      </w:pPr>
      <w:r w:rsidRPr="00412DEA">
        <w:rPr>
          <w:lang w:val="fr-FR"/>
        </w:rPr>
        <w:t>[Original : anglais et français]</w:t>
      </w:r>
    </w:p>
    <w:p w14:paraId="293A0D16" w14:textId="77777777" w:rsidR="002A2200" w:rsidRPr="004867C2" w:rsidRDefault="002A2200" w:rsidP="00412DEA">
      <w:pPr>
        <w:pStyle w:val="HChG"/>
        <w:rPr>
          <w:sz w:val="44"/>
          <w:lang w:val="fr-FR"/>
        </w:rPr>
      </w:pPr>
      <w:r w:rsidRPr="004867C2">
        <w:rPr>
          <w:lang w:val="fr-FR"/>
        </w:rPr>
        <w:tab/>
      </w:r>
      <w:r w:rsidRPr="004867C2">
        <w:rPr>
          <w:lang w:val="fr-FR"/>
        </w:rPr>
        <w:tab/>
      </w:r>
      <w:bookmarkStart w:id="8" w:name="_Hlk66864646"/>
      <w:r w:rsidRPr="00412DEA">
        <w:t>Projet</w:t>
      </w:r>
      <w:r w:rsidRPr="004867C2">
        <w:rPr>
          <w:lang w:val="fr-FR"/>
        </w:rPr>
        <w:t xml:space="preserve"> d</w:t>
      </w:r>
      <w:r w:rsidR="00412DEA">
        <w:rPr>
          <w:lang w:val="fr-FR"/>
        </w:rPr>
        <w:t>’</w:t>
      </w:r>
      <w:r w:rsidRPr="004867C2">
        <w:rPr>
          <w:lang w:val="fr-FR"/>
        </w:rPr>
        <w:t>amendements à la huitième édition révisée du SGH (ST/SG/AC.10/30/Rev.8)</w:t>
      </w:r>
      <w:bookmarkEnd w:id="8"/>
    </w:p>
    <w:p w14:paraId="3314C20F" w14:textId="77777777" w:rsidR="002A2200" w:rsidRPr="004867C2" w:rsidRDefault="002A2200" w:rsidP="002A2200">
      <w:pPr>
        <w:pStyle w:val="H23G"/>
        <w:rPr>
          <w:lang w:val="fr-FR"/>
        </w:rPr>
      </w:pPr>
      <w:r w:rsidRPr="004867C2">
        <w:rPr>
          <w:lang w:val="fr-FR"/>
        </w:rPr>
        <w:tab/>
      </w:r>
      <w:r w:rsidRPr="004867C2">
        <w:rPr>
          <w:lang w:val="fr-FR"/>
        </w:rPr>
        <w:tab/>
        <w:t>Document ST/SG/AC.10/C.4/2020/15, proposition adoptée avec les modifications suivantes :</w:t>
      </w:r>
    </w:p>
    <w:p w14:paraId="3E6594B6" w14:textId="77777777" w:rsidR="002A2200" w:rsidRPr="004867C2" w:rsidRDefault="002A2200" w:rsidP="002A2200">
      <w:pPr>
        <w:pStyle w:val="SingleTxtG"/>
        <w:rPr>
          <w:lang w:val="fr-FR"/>
        </w:rPr>
      </w:pPr>
      <w:r w:rsidRPr="004867C2">
        <w:rPr>
          <w:lang w:val="fr-FR"/>
        </w:rPr>
        <w:t>Sous « Annexe 3, Section 3, tableau des conseils de prudence » :</w:t>
      </w:r>
    </w:p>
    <w:p w14:paraId="5A06ED19" w14:textId="77777777" w:rsidR="002A2200" w:rsidRPr="004867C2" w:rsidRDefault="002A2200" w:rsidP="00412DEA">
      <w:pPr>
        <w:pStyle w:val="SingleTxtG"/>
        <w:ind w:left="1701"/>
        <w:rPr>
          <w:color w:val="000000" w:themeColor="text1"/>
          <w:lang w:val="fr-FR"/>
        </w:rPr>
      </w:pPr>
      <w:r w:rsidRPr="004867C2">
        <w:rPr>
          <w:lang w:val="fr-FR"/>
        </w:rPr>
        <w:t>À la première ligne, supprimer « et matières explosibles sensibilisées (catégories 1, 2, 3 et 4) ».</w:t>
      </w:r>
    </w:p>
    <w:p w14:paraId="56C2AFE6" w14:textId="77777777" w:rsidR="002A2200" w:rsidRPr="004867C2" w:rsidRDefault="002A2200" w:rsidP="00412DEA">
      <w:pPr>
        <w:pStyle w:val="SingleTxtG"/>
        <w:ind w:left="1701"/>
        <w:rPr>
          <w:lang w:val="fr-FR"/>
        </w:rPr>
      </w:pPr>
      <w:r w:rsidRPr="004867C2">
        <w:rPr>
          <w:lang w:val="fr-FR"/>
        </w:rPr>
        <w:t>Ajouter le nouvel amendement suivant :</w:t>
      </w:r>
    </w:p>
    <w:p w14:paraId="05E2DFE7" w14:textId="77777777" w:rsidR="002A2200" w:rsidRPr="004867C2" w:rsidRDefault="002A2200" w:rsidP="00412DEA">
      <w:pPr>
        <w:pStyle w:val="SingleTxtG"/>
        <w:ind w:left="1701"/>
        <w:rPr>
          <w:lang w:val="fr-FR"/>
        </w:rPr>
      </w:pPr>
      <w:r w:rsidRPr="004867C2">
        <w:rPr>
          <w:lang w:val="fr-FR"/>
        </w:rPr>
        <w:t>« </w:t>
      </w:r>
      <w:r w:rsidRPr="004867C2">
        <w:rPr>
          <w:b/>
          <w:bCs/>
          <w:lang w:val="fr-FR"/>
        </w:rPr>
        <w:t>Matières explosibles sensibilisées (catégories 1, 2, 3 et 4), colonne “Prévention”, texte relatif au conseil de prudence P230</w:t>
      </w:r>
      <w:r w:rsidRPr="004867C2">
        <w:rPr>
          <w:lang w:val="fr-FR"/>
        </w:rPr>
        <w:t> </w:t>
      </w:r>
    </w:p>
    <w:p w14:paraId="6BB4501F" w14:textId="77777777" w:rsidR="002A2200" w:rsidRPr="004867C2" w:rsidRDefault="002A2200" w:rsidP="00412DEA">
      <w:pPr>
        <w:pStyle w:val="SingleTxtG"/>
        <w:ind w:left="1701"/>
        <w:rPr>
          <w:lang w:val="fr-FR"/>
        </w:rPr>
      </w:pPr>
      <w:r w:rsidRPr="004867C2">
        <w:rPr>
          <w:lang w:val="fr-FR"/>
        </w:rPr>
        <w:t>Remplacer par :</w:t>
      </w:r>
    </w:p>
    <w:p w14:paraId="7F729FBB" w14:textId="77777777" w:rsidR="002A2200" w:rsidRPr="004867C2" w:rsidRDefault="002A2200" w:rsidP="00412DEA">
      <w:pPr>
        <w:pStyle w:val="SingleTxtG"/>
        <w:ind w:left="1701"/>
        <w:rPr>
          <w:lang w:val="fr-FR"/>
        </w:rPr>
      </w:pPr>
      <w:r w:rsidRPr="004867C2">
        <w:rPr>
          <w:b/>
          <w:bCs/>
          <w:lang w:val="fr-FR"/>
        </w:rPr>
        <w:t>Maintenir dilué dans</w:t>
      </w:r>
      <w:r w:rsidRPr="004867C2">
        <w:rPr>
          <w:lang w:val="fr-FR"/>
        </w:rPr>
        <w:t>…</w:t>
      </w:r>
    </w:p>
    <w:p w14:paraId="6B66CD7B" w14:textId="77777777" w:rsidR="002A2200" w:rsidRPr="004867C2" w:rsidRDefault="002A2200" w:rsidP="00412DEA">
      <w:pPr>
        <w:pStyle w:val="SingleTxtG"/>
        <w:ind w:left="1701"/>
        <w:rPr>
          <w:lang w:val="fr-FR"/>
        </w:rPr>
      </w:pPr>
      <w:r w:rsidRPr="004867C2">
        <w:rPr>
          <w:lang w:val="fr-FR"/>
        </w:rPr>
        <w:t>... Il revient au fabricant ou au fournisseur, ou à l</w:t>
      </w:r>
      <w:r w:rsidR="00412DEA">
        <w:rPr>
          <w:lang w:val="fr-FR"/>
        </w:rPr>
        <w:t>’</w:t>
      </w:r>
      <w:r w:rsidRPr="004867C2">
        <w:rPr>
          <w:lang w:val="fr-FR"/>
        </w:rPr>
        <w:t>autorité compétente, de préciser les matières appropriées. ».</w:t>
      </w:r>
    </w:p>
    <w:p w14:paraId="61E5CDF5" w14:textId="77777777" w:rsidR="002A2200" w:rsidRPr="004867C2" w:rsidRDefault="002A2200" w:rsidP="002A2200">
      <w:pPr>
        <w:pStyle w:val="SingleTxtG"/>
        <w:rPr>
          <w:lang w:val="fr-FR"/>
        </w:rPr>
      </w:pPr>
      <w:r w:rsidRPr="004867C2">
        <w:rPr>
          <w:lang w:val="fr-FR"/>
        </w:rPr>
        <w:t>Dans la note a) du tableau A1.5 de l</w:t>
      </w:r>
      <w:r w:rsidR="00412DEA">
        <w:rPr>
          <w:lang w:val="fr-FR"/>
        </w:rPr>
        <w:t>’</w:t>
      </w:r>
      <w:r w:rsidRPr="004867C2">
        <w:rPr>
          <w:lang w:val="fr-FR"/>
        </w:rPr>
        <w:t>annexe I telle que modifiée, remplacer « Règlement type » par « Règlement type de l</w:t>
      </w:r>
      <w:r w:rsidR="00412DEA">
        <w:rPr>
          <w:lang w:val="fr-FR"/>
        </w:rPr>
        <w:t>’</w:t>
      </w:r>
      <w:r w:rsidRPr="004867C2">
        <w:rPr>
          <w:lang w:val="fr-FR"/>
        </w:rPr>
        <w:t>ONU ».</w:t>
      </w:r>
    </w:p>
    <w:p w14:paraId="481B2DF5" w14:textId="77777777" w:rsidR="002A2200" w:rsidRPr="004867C2" w:rsidRDefault="002A2200" w:rsidP="002A2200">
      <w:pPr>
        <w:pStyle w:val="H23G"/>
        <w:rPr>
          <w:lang w:val="fr-FR"/>
        </w:rPr>
      </w:pPr>
      <w:r w:rsidRPr="004867C2">
        <w:rPr>
          <w:lang w:val="fr-FR"/>
        </w:rPr>
        <w:tab/>
      </w:r>
      <w:r w:rsidRPr="004867C2">
        <w:rPr>
          <w:lang w:val="fr-FR"/>
        </w:rPr>
        <w:tab/>
        <w:t>Documents ST/SG/AC.10/C.4/2020/5 et ST/SG/AC.10/C.4/2020/5/Add.1, adoptés avec les modifications suivantes :</w:t>
      </w:r>
    </w:p>
    <w:p w14:paraId="55BEF6CE" w14:textId="77777777" w:rsidR="002A2200" w:rsidRPr="004867C2" w:rsidRDefault="002A2200" w:rsidP="00412DEA">
      <w:pPr>
        <w:pStyle w:val="SingleTxtG"/>
        <w:tabs>
          <w:tab w:val="clear" w:pos="1701"/>
        </w:tabs>
        <w:ind w:left="2268" w:hanging="1134"/>
        <w:rPr>
          <w:lang w:val="fr-FR"/>
        </w:rPr>
      </w:pPr>
      <w:r w:rsidRPr="004867C2">
        <w:rPr>
          <w:lang w:val="fr-FR"/>
        </w:rPr>
        <w:t>2.1.1.3.1</w:t>
      </w:r>
      <w:r w:rsidRPr="004867C2">
        <w:rPr>
          <w:lang w:val="fr-FR"/>
        </w:rPr>
        <w:tab/>
        <w:t>Insérer une nouvelle troisième phrase comme suit : « </w:t>
      </w:r>
      <w:r w:rsidRPr="004867C2">
        <w:rPr>
          <w:lang w:val="fr-FR" w:eastAsia="en-GB"/>
        </w:rPr>
        <w:t>Les données d</w:t>
      </w:r>
      <w:r w:rsidR="00412DEA">
        <w:rPr>
          <w:lang w:val="fr-FR" w:eastAsia="en-GB"/>
        </w:rPr>
        <w:t>’</w:t>
      </w:r>
      <w:r w:rsidRPr="004867C2">
        <w:rPr>
          <w:lang w:val="fr-FR" w:eastAsia="en-GB"/>
        </w:rPr>
        <w:t>épreuve ne sont pas requises lorsqu</w:t>
      </w:r>
      <w:r w:rsidR="00412DEA">
        <w:rPr>
          <w:lang w:val="fr-FR" w:eastAsia="en-GB"/>
        </w:rPr>
        <w:t>’</w:t>
      </w:r>
      <w:r w:rsidRPr="004867C2">
        <w:rPr>
          <w:lang w:val="fr-FR" w:eastAsia="en-GB"/>
        </w:rPr>
        <w:t>il est possible de procéder à une classification en utilisant le jugement d</w:t>
      </w:r>
      <w:r w:rsidR="00412DEA">
        <w:rPr>
          <w:lang w:val="fr-FR" w:eastAsia="en-GB"/>
        </w:rPr>
        <w:t>’</w:t>
      </w:r>
      <w:r w:rsidRPr="004867C2">
        <w:rPr>
          <w:lang w:val="fr-FR" w:eastAsia="en-GB"/>
        </w:rPr>
        <w:t>experts sur la base des informations disponibles provenant d</w:t>
      </w:r>
      <w:r w:rsidR="00412DEA">
        <w:rPr>
          <w:lang w:val="fr-FR" w:eastAsia="en-GB"/>
        </w:rPr>
        <w:t>’</w:t>
      </w:r>
      <w:r w:rsidRPr="004867C2">
        <w:rPr>
          <w:lang w:val="fr-FR" w:eastAsia="en-GB"/>
        </w:rPr>
        <w:t>épreuves et de caractérisations existantes</w:t>
      </w:r>
      <w:r w:rsidRPr="004867C2">
        <w:rPr>
          <w:lang w:val="fr-FR"/>
        </w:rPr>
        <w:t xml:space="preserve"> ». </w:t>
      </w:r>
    </w:p>
    <w:p w14:paraId="1A0F1EC5" w14:textId="77777777" w:rsidR="002A2200" w:rsidRPr="004867C2" w:rsidRDefault="002A2200" w:rsidP="0091043D">
      <w:pPr>
        <w:pStyle w:val="SingleTxtG"/>
        <w:ind w:left="2268"/>
        <w:rPr>
          <w:lang w:val="fr-FR"/>
        </w:rPr>
      </w:pPr>
      <w:r w:rsidRPr="004867C2">
        <w:rPr>
          <w:lang w:val="fr-FR"/>
        </w:rPr>
        <w:t xml:space="preserve">La nouvelle troisième phrase proposée dans le document ST/SG/AC.10/C.4/2020/5/Add.1 devient la nouvelle quatrième phrase du 2.1.1.3.1 avec la modification supplémentaire suivante : Supprimer </w:t>
      </w:r>
      <w:proofErr w:type="gramStart"/>
      <w:r w:rsidRPr="004867C2">
        <w:rPr>
          <w:lang w:val="fr-FR"/>
        </w:rPr>
        <w:t>«</w:t>
      </w:r>
      <w:r w:rsidR="0091043D">
        <w:rPr>
          <w:lang w:val="fr-FR"/>
        </w:rPr>
        <w:t> </w:t>
      </w:r>
      <w:r w:rsidRPr="004867C2">
        <w:rPr>
          <w:lang w:val="fr-FR"/>
        </w:rPr>
        <w:t>,</w:t>
      </w:r>
      <w:proofErr w:type="gramEnd"/>
      <w:r w:rsidRPr="004867C2">
        <w:rPr>
          <w:lang w:val="fr-FR"/>
        </w:rPr>
        <w:t xml:space="preserve"> et cette méthode est étroitement circonscrite en fonction de la quantité, de l</w:t>
      </w:r>
      <w:r w:rsidR="00412DEA">
        <w:rPr>
          <w:lang w:val="fr-FR"/>
        </w:rPr>
        <w:t>’</w:t>
      </w:r>
      <w:r w:rsidRPr="004867C2">
        <w:rPr>
          <w:lang w:val="fr-FR"/>
        </w:rPr>
        <w:t>emballage et de la conception de la matière ou de l</w:t>
      </w:r>
      <w:r w:rsidR="00412DEA">
        <w:rPr>
          <w:lang w:val="fr-FR"/>
        </w:rPr>
        <w:t>’</w:t>
      </w:r>
      <w:r w:rsidRPr="004867C2">
        <w:rPr>
          <w:lang w:val="fr-FR"/>
        </w:rPr>
        <w:t>objet explosible. ».</w:t>
      </w:r>
    </w:p>
    <w:p w14:paraId="511C2E8D" w14:textId="77777777" w:rsidR="002A2200" w:rsidRPr="004867C2" w:rsidRDefault="002A2200" w:rsidP="002A2200">
      <w:pPr>
        <w:pStyle w:val="SingleTxtG"/>
        <w:rPr>
          <w:i/>
          <w:iCs/>
          <w:lang w:val="fr-FR"/>
        </w:rPr>
      </w:pPr>
      <w:r w:rsidRPr="004867C2">
        <w:rPr>
          <w:i/>
          <w:iCs/>
          <w:lang w:val="fr-FR"/>
        </w:rPr>
        <w:t>(Document de référence : Rapport du groupe de travail sur les explosifs, document informel INF.38, par</w:t>
      </w:r>
      <w:r w:rsidR="0091043D">
        <w:rPr>
          <w:i/>
          <w:iCs/>
          <w:lang w:val="fr-FR"/>
        </w:rPr>
        <w:t>.</w:t>
      </w:r>
      <w:r w:rsidRPr="004867C2">
        <w:rPr>
          <w:i/>
          <w:iCs/>
          <w:lang w:val="fr-FR"/>
        </w:rPr>
        <w:t xml:space="preserve"> 13 (Sous-</w:t>
      </w:r>
      <w:r w:rsidR="0091043D" w:rsidRPr="004867C2">
        <w:rPr>
          <w:i/>
          <w:iCs/>
          <w:lang w:val="fr-FR"/>
        </w:rPr>
        <w:t>C</w:t>
      </w:r>
      <w:r w:rsidRPr="004867C2">
        <w:rPr>
          <w:i/>
          <w:iCs/>
          <w:lang w:val="fr-FR"/>
        </w:rPr>
        <w:t xml:space="preserve">omité TMD, </w:t>
      </w:r>
      <w:r w:rsidR="0091043D">
        <w:rPr>
          <w:i/>
          <w:iCs/>
          <w:lang w:val="fr-FR"/>
        </w:rPr>
        <w:t>cinquante-septième</w:t>
      </w:r>
      <w:r w:rsidRPr="004867C2">
        <w:rPr>
          <w:i/>
          <w:iCs/>
          <w:lang w:val="fr-FR"/>
        </w:rPr>
        <w:t xml:space="preserve"> session))</w:t>
      </w:r>
    </w:p>
    <w:p w14:paraId="4132BFE6" w14:textId="77777777" w:rsidR="002A2200" w:rsidRPr="004867C2" w:rsidRDefault="002A2200" w:rsidP="00412DEA">
      <w:pPr>
        <w:pStyle w:val="SingleTxtG"/>
        <w:tabs>
          <w:tab w:val="clear" w:pos="1701"/>
          <w:tab w:val="clear" w:pos="2268"/>
        </w:tabs>
        <w:ind w:left="2268" w:hanging="1134"/>
        <w:rPr>
          <w:lang w:val="fr-FR"/>
        </w:rPr>
      </w:pPr>
      <w:r w:rsidRPr="004867C2">
        <w:rPr>
          <w:lang w:val="fr-FR"/>
        </w:rPr>
        <w:t>2.1.1.2</w:t>
      </w:r>
      <w:r w:rsidR="00412DEA">
        <w:rPr>
          <w:lang w:val="fr-FR"/>
        </w:rPr>
        <w:tab/>
      </w:r>
      <w:r w:rsidRPr="004867C2">
        <w:rPr>
          <w:lang w:val="fr-FR"/>
        </w:rPr>
        <w:t>Ajouter les paragraphes 2.1.1.2.3 à 2.1.1.2.3.2 ainsi libellés :</w:t>
      </w:r>
    </w:p>
    <w:p w14:paraId="52F8AAE1" w14:textId="77777777" w:rsidR="002A2200" w:rsidRPr="004867C2" w:rsidRDefault="002A2200" w:rsidP="00412DEA">
      <w:pPr>
        <w:pStyle w:val="SingleTxtG"/>
        <w:tabs>
          <w:tab w:val="clear" w:pos="1701"/>
        </w:tabs>
        <w:ind w:left="2268" w:hanging="1134"/>
        <w:rPr>
          <w:i/>
          <w:lang w:val="fr-FR"/>
        </w:rPr>
      </w:pPr>
      <w:r w:rsidRPr="004867C2">
        <w:rPr>
          <w:lang w:val="fr-FR"/>
        </w:rPr>
        <w:t>« 2.1.1.2.3</w:t>
      </w:r>
      <w:r w:rsidRPr="004867C2">
        <w:rPr>
          <w:lang w:val="fr-FR"/>
        </w:rPr>
        <w:tab/>
        <w:t>Pour les objets explosibles auxquels est attribué un numéro ONU d</w:t>
      </w:r>
      <w:r w:rsidR="00412DEA">
        <w:rPr>
          <w:lang w:val="fr-FR"/>
        </w:rPr>
        <w:t>’</w:t>
      </w:r>
      <w:r w:rsidRPr="004867C2">
        <w:rPr>
          <w:lang w:val="fr-FR"/>
        </w:rPr>
        <w:t xml:space="preserve">une classe autre que la classe 1 conformément à la liste des marchandises dangereuses du </w:t>
      </w:r>
      <w:r w:rsidRPr="004867C2">
        <w:rPr>
          <w:i/>
          <w:iCs/>
          <w:lang w:val="fr-FR"/>
        </w:rPr>
        <w:t>Règlement type de l</w:t>
      </w:r>
      <w:r w:rsidR="00412DEA">
        <w:rPr>
          <w:i/>
          <w:iCs/>
          <w:lang w:val="fr-FR"/>
        </w:rPr>
        <w:t>’</w:t>
      </w:r>
      <w:r w:rsidRPr="004867C2">
        <w:rPr>
          <w:i/>
          <w:iCs/>
          <w:lang w:val="fr-FR"/>
        </w:rPr>
        <w:t>ONU</w:t>
      </w:r>
      <w:r w:rsidRPr="004867C2">
        <w:rPr>
          <w:lang w:val="fr-FR"/>
        </w:rPr>
        <w:t>, les dispositions suivantes s</w:t>
      </w:r>
      <w:r w:rsidR="00412DEA">
        <w:rPr>
          <w:lang w:val="fr-FR"/>
        </w:rPr>
        <w:t>’</w:t>
      </w:r>
      <w:r w:rsidRPr="004867C2">
        <w:rPr>
          <w:lang w:val="fr-FR"/>
        </w:rPr>
        <w:t>appliquent :</w:t>
      </w:r>
    </w:p>
    <w:p w14:paraId="28C048CA" w14:textId="77777777" w:rsidR="002A2200" w:rsidRPr="004867C2" w:rsidRDefault="002A2200" w:rsidP="00412DEA">
      <w:pPr>
        <w:pStyle w:val="SingleTxtG"/>
        <w:tabs>
          <w:tab w:val="clear" w:pos="1701"/>
        </w:tabs>
        <w:ind w:left="2268" w:hanging="1134"/>
        <w:rPr>
          <w:rFonts w:eastAsia="MS Mincho"/>
          <w:lang w:val="fr-FR"/>
        </w:rPr>
      </w:pPr>
      <w:r w:rsidRPr="004867C2">
        <w:rPr>
          <w:lang w:val="fr-FR"/>
        </w:rPr>
        <w:t>2.1.1.2.3.1</w:t>
      </w:r>
      <w:r w:rsidRPr="004867C2">
        <w:rPr>
          <w:lang w:val="fr-FR"/>
        </w:rPr>
        <w:tab/>
        <w:t>Les objets explosibles auxquels est attribué un numéro ONU dans les classes 2, 3, 4 ou 5 sont affectés à la classe ou, si applicable, à la catégorie de danger du SGH, correspondant à la classification pour le transport, et ne relèvent pas de la classe de danger “Matières et objets explosibles”, si :</w:t>
      </w:r>
    </w:p>
    <w:p w14:paraId="73B5390F" w14:textId="77777777" w:rsidR="002A2200" w:rsidRPr="004867C2" w:rsidRDefault="002A2200" w:rsidP="002A2200">
      <w:pPr>
        <w:pStyle w:val="SingleTxtG"/>
        <w:ind w:left="2268"/>
        <w:rPr>
          <w:rFonts w:eastAsia="MS Mincho"/>
          <w:lang w:val="fr-FR"/>
        </w:rPr>
      </w:pPr>
      <w:r w:rsidRPr="004867C2">
        <w:rPr>
          <w:lang w:val="fr-FR"/>
        </w:rPr>
        <w:t>a)</w:t>
      </w:r>
      <w:r w:rsidRPr="004867C2">
        <w:rPr>
          <w:lang w:val="fr-FR"/>
        </w:rPr>
        <w:tab/>
        <w:t xml:space="preserve">Ils sont dans la configuration de transport ; </w:t>
      </w:r>
      <w:proofErr w:type="gramStart"/>
      <w:r w:rsidRPr="004867C2">
        <w:rPr>
          <w:lang w:val="fr-FR"/>
        </w:rPr>
        <w:t>ou</w:t>
      </w:r>
      <w:proofErr w:type="gramEnd"/>
    </w:p>
    <w:p w14:paraId="0A5ADFD3" w14:textId="77777777" w:rsidR="002A2200" w:rsidRPr="004867C2" w:rsidRDefault="002A2200" w:rsidP="002A2200">
      <w:pPr>
        <w:pStyle w:val="SingleTxtG"/>
        <w:ind w:left="2835" w:hanging="567"/>
        <w:rPr>
          <w:rFonts w:eastAsia="MS Mincho"/>
          <w:lang w:val="fr-FR"/>
        </w:rPr>
      </w:pPr>
      <w:r w:rsidRPr="004867C2">
        <w:rPr>
          <w:lang w:val="fr-FR"/>
        </w:rPr>
        <w:t>b)</w:t>
      </w:r>
      <w:r w:rsidRPr="004867C2">
        <w:rPr>
          <w:lang w:val="fr-FR"/>
        </w:rPr>
        <w:tab/>
        <w:t>La classification pour le transport ne dépend pas d</w:t>
      </w:r>
      <w:r w:rsidR="00412DEA">
        <w:rPr>
          <w:lang w:val="fr-FR"/>
        </w:rPr>
        <w:t>’</w:t>
      </w:r>
      <w:r w:rsidRPr="004867C2">
        <w:rPr>
          <w:lang w:val="fr-FR"/>
        </w:rPr>
        <w:t xml:space="preserve">une configuration particulière ; </w:t>
      </w:r>
      <w:proofErr w:type="gramStart"/>
      <w:r w:rsidRPr="004867C2">
        <w:rPr>
          <w:lang w:val="fr-FR"/>
        </w:rPr>
        <w:t>ou</w:t>
      </w:r>
      <w:proofErr w:type="gramEnd"/>
    </w:p>
    <w:p w14:paraId="5B49605E" w14:textId="77777777" w:rsidR="002A2200" w:rsidRPr="004867C2" w:rsidRDefault="002A2200" w:rsidP="002A2200">
      <w:pPr>
        <w:pStyle w:val="SingleTxtG"/>
        <w:ind w:left="2268"/>
        <w:rPr>
          <w:rFonts w:eastAsia="MS Mincho"/>
          <w:lang w:val="fr-FR"/>
        </w:rPr>
      </w:pPr>
      <w:r w:rsidRPr="004867C2">
        <w:rPr>
          <w:lang w:val="fr-FR"/>
        </w:rPr>
        <w:t>c)</w:t>
      </w:r>
      <w:r w:rsidRPr="004867C2">
        <w:rPr>
          <w:lang w:val="fr-FR"/>
        </w:rPr>
        <w:tab/>
        <w:t>Ils sont utilisés (voir le 2.1.1.3.4).</w:t>
      </w:r>
    </w:p>
    <w:p w14:paraId="2902D143" w14:textId="77777777" w:rsidR="002A2200" w:rsidRPr="004867C2" w:rsidRDefault="002A2200" w:rsidP="00F54BDF">
      <w:pPr>
        <w:pStyle w:val="SingleTxtG"/>
        <w:keepNext/>
        <w:tabs>
          <w:tab w:val="clear" w:pos="1701"/>
        </w:tabs>
        <w:ind w:left="2268" w:hanging="1134"/>
        <w:rPr>
          <w:rFonts w:eastAsia="MS Mincho"/>
          <w:lang w:val="fr-FR"/>
        </w:rPr>
      </w:pPr>
      <w:r w:rsidRPr="004867C2">
        <w:rPr>
          <w:lang w:val="fr-FR"/>
        </w:rPr>
        <w:lastRenderedPageBreak/>
        <w:t>2.1.1.2.3.2</w:t>
      </w:r>
      <w:r w:rsidRPr="004867C2">
        <w:rPr>
          <w:lang w:val="fr-FR"/>
        </w:rPr>
        <w:tab/>
        <w:t>Les objets explosibles auxquels est attribué un numéro ONU de la classe 9 sont classés en tant qu</w:t>
      </w:r>
      <w:r w:rsidR="00412DEA">
        <w:rPr>
          <w:lang w:val="fr-FR"/>
        </w:rPr>
        <w:t>’</w:t>
      </w:r>
      <w:r w:rsidRPr="004867C2">
        <w:rPr>
          <w:lang w:val="fr-FR"/>
        </w:rPr>
        <w:t>explosifs dans la sous-catégorie 2C si :</w:t>
      </w:r>
    </w:p>
    <w:p w14:paraId="6C22CC62" w14:textId="77777777" w:rsidR="002A2200" w:rsidRPr="004867C2" w:rsidRDefault="002A2200" w:rsidP="002A2200">
      <w:pPr>
        <w:pStyle w:val="SingleTxtG"/>
        <w:ind w:left="2268"/>
        <w:rPr>
          <w:rFonts w:eastAsia="MS Mincho"/>
          <w:lang w:val="fr-FR"/>
        </w:rPr>
      </w:pPr>
      <w:r w:rsidRPr="004867C2">
        <w:rPr>
          <w:lang w:val="fr-FR"/>
        </w:rPr>
        <w:t>a)</w:t>
      </w:r>
      <w:r w:rsidRPr="004867C2">
        <w:rPr>
          <w:lang w:val="fr-FR"/>
        </w:rPr>
        <w:tab/>
        <w:t xml:space="preserve">Ils sont dans la configuration de transport ; </w:t>
      </w:r>
      <w:proofErr w:type="gramStart"/>
      <w:r w:rsidRPr="004867C2">
        <w:rPr>
          <w:lang w:val="fr-FR"/>
        </w:rPr>
        <w:t>ou</w:t>
      </w:r>
      <w:proofErr w:type="gramEnd"/>
    </w:p>
    <w:p w14:paraId="0E07ABAA" w14:textId="77777777" w:rsidR="002A2200" w:rsidRPr="004867C2" w:rsidRDefault="002A2200" w:rsidP="002A2200">
      <w:pPr>
        <w:pStyle w:val="SingleTxtG"/>
        <w:ind w:left="2835" w:hanging="567"/>
        <w:rPr>
          <w:rFonts w:eastAsia="MS Mincho"/>
          <w:lang w:val="fr-FR"/>
        </w:rPr>
      </w:pPr>
      <w:r w:rsidRPr="004867C2">
        <w:rPr>
          <w:lang w:val="fr-FR"/>
        </w:rPr>
        <w:t>b)</w:t>
      </w:r>
      <w:r w:rsidRPr="004867C2">
        <w:rPr>
          <w:lang w:val="fr-FR"/>
        </w:rPr>
        <w:tab/>
        <w:t>La classification pour le transport ne dépend pas d</w:t>
      </w:r>
      <w:r w:rsidR="00412DEA">
        <w:rPr>
          <w:lang w:val="fr-FR"/>
        </w:rPr>
        <w:t>’</w:t>
      </w:r>
      <w:r w:rsidRPr="004867C2">
        <w:rPr>
          <w:lang w:val="fr-FR"/>
        </w:rPr>
        <w:t xml:space="preserve">une configuration particulière ; </w:t>
      </w:r>
      <w:proofErr w:type="gramStart"/>
      <w:r w:rsidRPr="004867C2">
        <w:rPr>
          <w:lang w:val="fr-FR"/>
        </w:rPr>
        <w:t>ou</w:t>
      </w:r>
      <w:proofErr w:type="gramEnd"/>
    </w:p>
    <w:p w14:paraId="57514723" w14:textId="77777777" w:rsidR="002A2200" w:rsidRPr="004867C2" w:rsidRDefault="002A2200" w:rsidP="002A2200">
      <w:pPr>
        <w:pStyle w:val="SingleTxtG"/>
        <w:ind w:left="2268"/>
        <w:rPr>
          <w:lang w:val="fr-FR"/>
        </w:rPr>
      </w:pPr>
      <w:r w:rsidRPr="004867C2">
        <w:rPr>
          <w:lang w:val="fr-FR"/>
        </w:rPr>
        <w:t>c)</w:t>
      </w:r>
      <w:r w:rsidRPr="004867C2">
        <w:rPr>
          <w:lang w:val="fr-FR"/>
        </w:rPr>
        <w:tab/>
        <w:t>Ils sont utilisés (voir le 2.1.1.3.4).</w:t>
      </w:r>
    </w:p>
    <w:p w14:paraId="6422F443" w14:textId="77777777" w:rsidR="002A2200" w:rsidRPr="004867C2" w:rsidRDefault="002A2200" w:rsidP="002A2200">
      <w:pPr>
        <w:pStyle w:val="SingleTxtG"/>
        <w:rPr>
          <w:rFonts w:eastAsia="MS Mincho"/>
          <w:i/>
          <w:lang w:val="fr-FR"/>
        </w:rPr>
      </w:pPr>
      <w:r w:rsidRPr="00F54BDF">
        <w:rPr>
          <w:b/>
          <w:bCs/>
          <w:i/>
          <w:iCs/>
          <w:lang w:val="fr-FR"/>
        </w:rPr>
        <w:t>NOTA 1</w:t>
      </w:r>
      <w:r w:rsidRPr="004867C2">
        <w:rPr>
          <w:i/>
          <w:iCs/>
          <w:lang w:val="fr-FR"/>
        </w:rPr>
        <w:t> : Sous réserve de l</w:t>
      </w:r>
      <w:r w:rsidR="00412DEA">
        <w:rPr>
          <w:i/>
          <w:iCs/>
          <w:lang w:val="fr-FR"/>
        </w:rPr>
        <w:t>’</w:t>
      </w:r>
      <w:r w:rsidRPr="004867C2">
        <w:rPr>
          <w:i/>
          <w:iCs/>
          <w:lang w:val="fr-FR"/>
        </w:rPr>
        <w:t>approbation de l</w:t>
      </w:r>
      <w:r w:rsidR="00412DEA">
        <w:rPr>
          <w:i/>
          <w:iCs/>
          <w:lang w:val="fr-FR"/>
        </w:rPr>
        <w:t>’</w:t>
      </w:r>
      <w:r w:rsidRPr="004867C2">
        <w:rPr>
          <w:i/>
          <w:iCs/>
          <w:lang w:val="fr-FR"/>
        </w:rPr>
        <w:t xml:space="preserve">autorité compétente, les objets explosibles auxquels est attribué un numéro ONU de la division 6.1 de la classe 6 ou de la classe 8 peuvent être affectés à la classe ou, si applicable, à la catégorie de danger du SGH correspondant à la classification pour le transport, et être exclus de la classe de danger “Matières et objets explosibles”, si les conditions </w:t>
      </w:r>
      <w:proofErr w:type="gramStart"/>
      <w:r w:rsidRPr="004867C2">
        <w:rPr>
          <w:i/>
          <w:iCs/>
          <w:lang w:val="fr-FR"/>
        </w:rPr>
        <w:t>a</w:t>
      </w:r>
      <w:proofErr w:type="gramEnd"/>
      <w:r w:rsidRPr="004867C2">
        <w:rPr>
          <w:i/>
          <w:iCs/>
          <w:lang w:val="fr-FR"/>
        </w:rPr>
        <w:t>) à c) du 2.1.1.2.3.1 sont remplies.</w:t>
      </w:r>
    </w:p>
    <w:p w14:paraId="2C01936B" w14:textId="77777777" w:rsidR="002A2200" w:rsidRPr="004867C2" w:rsidRDefault="00412DEA" w:rsidP="002A2200">
      <w:pPr>
        <w:pStyle w:val="SingleTxtG"/>
        <w:rPr>
          <w:rFonts w:eastAsia="MS Mincho"/>
          <w:iCs/>
          <w:lang w:val="fr-FR"/>
        </w:rPr>
      </w:pPr>
      <w:r w:rsidRPr="00F54BDF">
        <w:rPr>
          <w:b/>
          <w:bCs/>
          <w:i/>
          <w:iCs/>
          <w:lang w:val="fr-FR"/>
        </w:rPr>
        <w:t xml:space="preserve">NOTA </w:t>
      </w:r>
      <w:r w:rsidR="002A2200" w:rsidRPr="00F54BDF">
        <w:rPr>
          <w:b/>
          <w:bCs/>
          <w:i/>
          <w:iCs/>
          <w:lang w:val="fr-FR"/>
        </w:rPr>
        <w:t>2</w:t>
      </w:r>
      <w:r w:rsidR="002A2200" w:rsidRPr="004867C2">
        <w:rPr>
          <w:i/>
          <w:iCs/>
          <w:lang w:val="fr-FR"/>
        </w:rPr>
        <w:t> : Conformément au Règlement type de l</w:t>
      </w:r>
      <w:r>
        <w:rPr>
          <w:i/>
          <w:iCs/>
          <w:lang w:val="fr-FR"/>
        </w:rPr>
        <w:t>’</w:t>
      </w:r>
      <w:r w:rsidR="002A2200" w:rsidRPr="004867C2">
        <w:rPr>
          <w:i/>
          <w:iCs/>
          <w:lang w:val="fr-FR"/>
        </w:rPr>
        <w:t>ONU, les objets ne sont normalement pas affectés à des groupes d</w:t>
      </w:r>
      <w:r>
        <w:rPr>
          <w:i/>
          <w:iCs/>
          <w:lang w:val="fr-FR"/>
        </w:rPr>
        <w:t>’</w:t>
      </w:r>
      <w:r w:rsidR="002A2200" w:rsidRPr="004867C2">
        <w:rPr>
          <w:i/>
          <w:iCs/>
          <w:lang w:val="fr-FR"/>
        </w:rPr>
        <w:t>emballage et, par conséquent, une catégorie de la classe de danger correspondante du SGH ne peut pas toujours être attribuée sur cette base.</w:t>
      </w:r>
      <w:r w:rsidR="002A2200" w:rsidRPr="004867C2">
        <w:rPr>
          <w:lang w:val="fr-FR"/>
        </w:rPr>
        <w:t xml:space="preserve"> </w:t>
      </w:r>
      <w:r w:rsidR="002A2200" w:rsidRPr="004867C2">
        <w:rPr>
          <w:i/>
          <w:iCs/>
          <w:lang w:val="fr-FR"/>
        </w:rPr>
        <w:t>Il convient alors de demander l</w:t>
      </w:r>
      <w:r>
        <w:rPr>
          <w:i/>
          <w:iCs/>
          <w:lang w:val="fr-FR"/>
        </w:rPr>
        <w:t>’</w:t>
      </w:r>
      <w:r w:rsidR="002A2200" w:rsidRPr="004867C2">
        <w:rPr>
          <w:i/>
          <w:iCs/>
          <w:lang w:val="fr-FR"/>
        </w:rPr>
        <w:t>avis d</w:t>
      </w:r>
      <w:r>
        <w:rPr>
          <w:i/>
          <w:iCs/>
          <w:lang w:val="fr-FR"/>
        </w:rPr>
        <w:t>’</w:t>
      </w:r>
      <w:r w:rsidR="002A2200" w:rsidRPr="004867C2">
        <w:rPr>
          <w:i/>
          <w:iCs/>
          <w:lang w:val="fr-FR"/>
        </w:rPr>
        <w:t>experts pour attribuer une catégorie appropriée, en tenant compte de la classification SGH des substances ou mélanges contenus</w:t>
      </w:r>
      <w:r w:rsidR="002A2200" w:rsidRPr="004867C2">
        <w:rPr>
          <w:lang w:val="fr-FR"/>
        </w:rPr>
        <w:t>. ».</w:t>
      </w:r>
    </w:p>
    <w:p w14:paraId="53814AFC" w14:textId="77777777" w:rsidR="002A2200" w:rsidRPr="004867C2" w:rsidRDefault="002A2200" w:rsidP="002A2200">
      <w:pPr>
        <w:pStyle w:val="SingleTxtG"/>
        <w:rPr>
          <w:i/>
          <w:iCs/>
          <w:lang w:val="fr-FR"/>
        </w:rPr>
      </w:pPr>
      <w:r w:rsidRPr="004867C2">
        <w:rPr>
          <w:i/>
          <w:iCs/>
          <w:lang w:val="fr-FR"/>
        </w:rPr>
        <w:t>(Documents de référence : documents informels INF.29 et INF.30)</w:t>
      </w:r>
    </w:p>
    <w:p w14:paraId="22267A98" w14:textId="77777777" w:rsidR="002A2200" w:rsidRPr="00412DEA" w:rsidRDefault="002A2200" w:rsidP="00412DEA">
      <w:pPr>
        <w:pStyle w:val="SingleTxtG"/>
        <w:tabs>
          <w:tab w:val="clear" w:pos="1701"/>
        </w:tabs>
        <w:ind w:left="2268" w:hanging="1134"/>
        <w:rPr>
          <w:bCs/>
          <w:lang w:val="fr-FR"/>
        </w:rPr>
      </w:pPr>
      <w:r w:rsidRPr="00412DEA">
        <w:rPr>
          <w:bCs/>
          <w:lang w:val="fr-FR"/>
        </w:rPr>
        <w:t>2.1.1.3.4</w:t>
      </w:r>
      <w:r w:rsidRPr="00412DEA">
        <w:rPr>
          <w:bCs/>
          <w:lang w:val="fr-FR"/>
        </w:rPr>
        <w:tab/>
        <w:t>À la deuxième phrase, remplacer « perdent leur affectation » par « peuvent perdre leur affectation »</w:t>
      </w:r>
    </w:p>
    <w:p w14:paraId="3939D2EA" w14:textId="77777777" w:rsidR="002A2200" w:rsidRPr="004867C2" w:rsidRDefault="002A2200" w:rsidP="002A2200">
      <w:pPr>
        <w:pStyle w:val="SingleTxtG"/>
        <w:rPr>
          <w:i/>
          <w:iCs/>
          <w:lang w:val="fr-FR"/>
        </w:rPr>
      </w:pPr>
      <w:r w:rsidRPr="004867C2">
        <w:rPr>
          <w:i/>
          <w:iCs/>
          <w:lang w:val="fr-FR"/>
        </w:rPr>
        <w:t>(Document de référence : Rapport du groupe de travail sur les explosifs, document informel INF.38, par</w:t>
      </w:r>
      <w:r w:rsidR="00F54BDF">
        <w:rPr>
          <w:i/>
          <w:iCs/>
          <w:lang w:val="fr-FR"/>
        </w:rPr>
        <w:t>.</w:t>
      </w:r>
      <w:r w:rsidRPr="004867C2">
        <w:rPr>
          <w:i/>
          <w:iCs/>
          <w:lang w:val="fr-FR"/>
        </w:rPr>
        <w:t xml:space="preserve"> 13 (Sous-</w:t>
      </w:r>
      <w:r w:rsidR="00F54BDF" w:rsidRPr="004867C2">
        <w:rPr>
          <w:i/>
          <w:iCs/>
          <w:lang w:val="fr-FR"/>
        </w:rPr>
        <w:t>C</w:t>
      </w:r>
      <w:r w:rsidRPr="004867C2">
        <w:rPr>
          <w:i/>
          <w:iCs/>
          <w:lang w:val="fr-FR"/>
        </w:rPr>
        <w:t xml:space="preserve">omité TMD, </w:t>
      </w:r>
      <w:r w:rsidR="00F54BDF">
        <w:rPr>
          <w:i/>
          <w:iCs/>
          <w:lang w:val="fr-FR"/>
        </w:rPr>
        <w:t>cinquante-septième</w:t>
      </w:r>
      <w:r w:rsidRPr="004867C2">
        <w:rPr>
          <w:i/>
          <w:iCs/>
          <w:lang w:val="fr-FR"/>
        </w:rPr>
        <w:t xml:space="preserve"> session))</w:t>
      </w:r>
    </w:p>
    <w:p w14:paraId="7A5D2F99" w14:textId="77777777" w:rsidR="002A2200" w:rsidRPr="004867C2" w:rsidRDefault="002A2200" w:rsidP="00412DEA">
      <w:pPr>
        <w:pStyle w:val="SingleTxtG"/>
        <w:tabs>
          <w:tab w:val="clear" w:pos="1701"/>
        </w:tabs>
        <w:ind w:left="2268" w:hanging="1134"/>
        <w:rPr>
          <w:lang w:val="fr-FR"/>
        </w:rPr>
      </w:pPr>
      <w:r w:rsidRPr="004867C2">
        <w:rPr>
          <w:lang w:val="fr-FR"/>
        </w:rPr>
        <w:t>2.1.2.1</w:t>
      </w:r>
      <w:r w:rsidRPr="004867C2">
        <w:rPr>
          <w:lang w:val="fr-FR"/>
        </w:rPr>
        <w:tab/>
        <w:t>L</w:t>
      </w:r>
      <w:r w:rsidR="00412DEA">
        <w:rPr>
          <w:lang w:val="fr-FR"/>
        </w:rPr>
        <w:t>’</w:t>
      </w:r>
      <w:r w:rsidRPr="004867C2">
        <w:rPr>
          <w:lang w:val="fr-FR"/>
        </w:rPr>
        <w:t xml:space="preserve">amendement aux critères sous a) ii) est sans objet en français. </w:t>
      </w:r>
    </w:p>
    <w:p w14:paraId="63F8038E" w14:textId="77777777" w:rsidR="002A2200" w:rsidRPr="004867C2" w:rsidRDefault="002A2200" w:rsidP="002A2200">
      <w:pPr>
        <w:pStyle w:val="SingleTxtG"/>
        <w:rPr>
          <w:lang w:val="fr-FR"/>
        </w:rPr>
      </w:pPr>
      <w:r w:rsidRPr="004867C2">
        <w:rPr>
          <w:i/>
          <w:iCs/>
          <w:lang w:val="fr-FR"/>
        </w:rPr>
        <w:t>(Document de référence : Rapport du groupe de travail sur les explosifs, document informel INF.38, par</w:t>
      </w:r>
      <w:r w:rsidR="00F54BDF">
        <w:rPr>
          <w:i/>
          <w:iCs/>
          <w:lang w:val="fr-FR"/>
        </w:rPr>
        <w:t>.</w:t>
      </w:r>
      <w:r w:rsidRPr="004867C2">
        <w:rPr>
          <w:i/>
          <w:iCs/>
          <w:lang w:val="fr-FR"/>
        </w:rPr>
        <w:t xml:space="preserve"> 13 (Sous-</w:t>
      </w:r>
      <w:r w:rsidR="00F54BDF" w:rsidRPr="004867C2">
        <w:rPr>
          <w:i/>
          <w:iCs/>
          <w:lang w:val="fr-FR"/>
        </w:rPr>
        <w:t>C</w:t>
      </w:r>
      <w:r w:rsidRPr="004867C2">
        <w:rPr>
          <w:i/>
          <w:iCs/>
          <w:lang w:val="fr-FR"/>
        </w:rPr>
        <w:t xml:space="preserve">omité TMD, </w:t>
      </w:r>
      <w:r w:rsidR="00F54BDF">
        <w:rPr>
          <w:i/>
          <w:iCs/>
          <w:lang w:val="fr-FR"/>
        </w:rPr>
        <w:t>cinquante-septième</w:t>
      </w:r>
      <w:r w:rsidR="00F54BDF" w:rsidRPr="004867C2">
        <w:rPr>
          <w:i/>
          <w:iCs/>
          <w:lang w:val="fr-FR"/>
        </w:rPr>
        <w:t xml:space="preserve"> </w:t>
      </w:r>
      <w:r w:rsidRPr="004867C2">
        <w:rPr>
          <w:i/>
          <w:iCs/>
          <w:lang w:val="fr-FR"/>
        </w:rPr>
        <w:t>session))</w:t>
      </w:r>
    </w:p>
    <w:p w14:paraId="3CAD4BE8" w14:textId="77777777" w:rsidR="002A2200" w:rsidRPr="004867C2" w:rsidRDefault="002A2200" w:rsidP="002A2200">
      <w:pPr>
        <w:pStyle w:val="H23G"/>
        <w:rPr>
          <w:lang w:val="fr-FR"/>
        </w:rPr>
      </w:pPr>
      <w:r w:rsidRPr="004867C2">
        <w:rPr>
          <w:lang w:val="fr-FR"/>
        </w:rPr>
        <w:tab/>
      </w:r>
      <w:r w:rsidRPr="004867C2">
        <w:rPr>
          <w:lang w:val="fr-FR"/>
        </w:rPr>
        <w:tab/>
        <w:t>Document ST/SG/AC.10/C.4/2020/18, adopté avec les modifications suivantes :</w:t>
      </w:r>
    </w:p>
    <w:p w14:paraId="5F45DDA5" w14:textId="77777777" w:rsidR="002A2200" w:rsidRPr="004867C2" w:rsidRDefault="002A2200" w:rsidP="002A2200">
      <w:pPr>
        <w:pStyle w:val="SingleTxtG"/>
        <w:rPr>
          <w:lang w:val="fr-FR"/>
        </w:rPr>
      </w:pPr>
      <w:r w:rsidRPr="004867C2">
        <w:rPr>
          <w:lang w:val="fr-FR"/>
        </w:rPr>
        <w:t>Dans le diagramme de décision 2.1 a) :</w:t>
      </w:r>
    </w:p>
    <w:p w14:paraId="1654DF08" w14:textId="77777777" w:rsidR="002A2200" w:rsidRPr="004867C2" w:rsidRDefault="002A2200" w:rsidP="003A0DF5">
      <w:pPr>
        <w:pStyle w:val="SingleTxtG"/>
        <w:ind w:left="1701"/>
        <w:rPr>
          <w:lang w:val="fr-FR"/>
        </w:rPr>
      </w:pPr>
      <w:r w:rsidRPr="004867C2">
        <w:rPr>
          <w:lang w:val="fr-FR"/>
        </w:rPr>
        <w:t>Modifier le texte de la case 2B comme suit : « L</w:t>
      </w:r>
      <w:r w:rsidR="00412DEA">
        <w:rPr>
          <w:lang w:val="fr-FR"/>
        </w:rPr>
        <w:t>’</w:t>
      </w:r>
      <w:r w:rsidRPr="004867C2">
        <w:rPr>
          <w:lang w:val="fr-FR"/>
        </w:rPr>
        <w:t>objet est-il dans l</w:t>
      </w:r>
      <w:r w:rsidR="00412DEA">
        <w:rPr>
          <w:lang w:val="fr-FR"/>
        </w:rPr>
        <w:t>’</w:t>
      </w:r>
      <w:r w:rsidRPr="004867C2">
        <w:rPr>
          <w:lang w:val="fr-FR"/>
        </w:rPr>
        <w:t>emballage primaire dans lequel il a été affecté à une division ? ».</w:t>
      </w:r>
    </w:p>
    <w:p w14:paraId="50FCF273" w14:textId="77777777" w:rsidR="002A2200" w:rsidRPr="004867C2" w:rsidRDefault="002A2200" w:rsidP="003A0DF5">
      <w:pPr>
        <w:pStyle w:val="SingleTxtG"/>
        <w:ind w:left="1701"/>
        <w:rPr>
          <w:lang w:val="fr-FR"/>
        </w:rPr>
      </w:pPr>
      <w:r w:rsidRPr="004867C2">
        <w:rPr>
          <w:lang w:val="fr-FR"/>
        </w:rPr>
        <w:t>Modifier le texte de la case 3B comme suit : « L</w:t>
      </w:r>
      <w:r w:rsidR="00412DEA">
        <w:rPr>
          <w:lang w:val="fr-FR"/>
        </w:rPr>
        <w:t>’</w:t>
      </w:r>
      <w:r w:rsidRPr="004867C2">
        <w:rPr>
          <w:lang w:val="fr-FR"/>
        </w:rPr>
        <w:t>objet explosible a-t-il été affecté à une division : i) dans un emballage primaire qui n</w:t>
      </w:r>
      <w:r w:rsidR="00412DEA">
        <w:rPr>
          <w:lang w:val="fr-FR"/>
        </w:rPr>
        <w:t>’</w:t>
      </w:r>
      <w:r w:rsidRPr="004867C2">
        <w:rPr>
          <w:lang w:val="fr-FR"/>
        </w:rPr>
        <w:t>atténue pas l</w:t>
      </w:r>
      <w:r w:rsidR="00412DEA">
        <w:rPr>
          <w:lang w:val="fr-FR"/>
        </w:rPr>
        <w:t>’</w:t>
      </w:r>
      <w:r w:rsidRPr="004867C2">
        <w:rPr>
          <w:lang w:val="fr-FR"/>
        </w:rPr>
        <w:t>effet explosible ; ou ii)</w:t>
      </w:r>
      <w:r w:rsidR="00F54BDF">
        <w:rPr>
          <w:lang w:val="fr-FR"/>
        </w:rPr>
        <w:t> </w:t>
      </w:r>
      <w:r w:rsidRPr="004867C2">
        <w:rPr>
          <w:lang w:val="fr-FR"/>
        </w:rPr>
        <w:t>sans emballage primaire ? ».</w:t>
      </w:r>
    </w:p>
    <w:p w14:paraId="12EDF6A1" w14:textId="77777777" w:rsidR="002A2200" w:rsidRPr="004867C2" w:rsidRDefault="002A2200" w:rsidP="003A0DF5">
      <w:pPr>
        <w:pStyle w:val="SingleTxtG"/>
        <w:ind w:left="1701"/>
        <w:rPr>
          <w:lang w:val="fr-FR"/>
        </w:rPr>
      </w:pPr>
      <w:r w:rsidRPr="004867C2">
        <w:rPr>
          <w:lang w:val="fr-FR"/>
        </w:rPr>
        <w:t>Sur la flèche reliant la case 3B à la case 2C, remplacer « Non » par « Oui ».</w:t>
      </w:r>
    </w:p>
    <w:p w14:paraId="4E1B3197" w14:textId="77777777" w:rsidR="002A2200" w:rsidRPr="004867C2" w:rsidRDefault="002A2200" w:rsidP="003A0DF5">
      <w:pPr>
        <w:pStyle w:val="SingleTxtG"/>
        <w:ind w:left="1701"/>
        <w:rPr>
          <w:lang w:val="fr-FR"/>
        </w:rPr>
      </w:pPr>
      <w:r w:rsidRPr="004867C2">
        <w:rPr>
          <w:lang w:val="fr-FR"/>
        </w:rPr>
        <w:t>Sur la flèche reliant la case 3B à la case 4C, remplacez « Oui » par « Non ».</w:t>
      </w:r>
    </w:p>
    <w:p w14:paraId="044A430E" w14:textId="77777777" w:rsidR="002A2200" w:rsidRPr="004867C2" w:rsidRDefault="002A2200" w:rsidP="002A2200">
      <w:pPr>
        <w:pStyle w:val="SingleTxtG"/>
        <w:rPr>
          <w:i/>
          <w:iCs/>
          <w:lang w:val="fr-FR"/>
        </w:rPr>
      </w:pPr>
      <w:r w:rsidRPr="004867C2">
        <w:rPr>
          <w:i/>
          <w:iCs/>
          <w:lang w:val="fr-FR"/>
        </w:rPr>
        <w:t>(Documents de référence : documents informels INF.22 et INF.30)</w:t>
      </w:r>
    </w:p>
    <w:p w14:paraId="2FFB115B" w14:textId="77777777" w:rsidR="002A2200" w:rsidRPr="004867C2" w:rsidRDefault="002A2200" w:rsidP="00F54BDF">
      <w:pPr>
        <w:pStyle w:val="SingleTxtG"/>
        <w:ind w:left="1701"/>
        <w:rPr>
          <w:lang w:val="fr-FR"/>
        </w:rPr>
      </w:pPr>
      <w:r w:rsidRPr="004867C2">
        <w:rPr>
          <w:lang w:val="fr-FR"/>
        </w:rPr>
        <w:t>L</w:t>
      </w:r>
      <w:r w:rsidR="00412DEA">
        <w:rPr>
          <w:lang w:val="fr-FR"/>
        </w:rPr>
        <w:t>’</w:t>
      </w:r>
      <w:r w:rsidRPr="004867C2">
        <w:rPr>
          <w:lang w:val="fr-FR"/>
        </w:rPr>
        <w:t>amendement relatif à la case 5A est sans objet en français.</w:t>
      </w:r>
    </w:p>
    <w:p w14:paraId="4DD59C69" w14:textId="77777777" w:rsidR="002A2200" w:rsidRPr="004867C2" w:rsidRDefault="002A2200" w:rsidP="002A2200">
      <w:pPr>
        <w:pStyle w:val="SingleTxtG"/>
        <w:rPr>
          <w:lang w:val="fr-FR"/>
        </w:rPr>
      </w:pPr>
      <w:r w:rsidRPr="004867C2">
        <w:rPr>
          <w:i/>
          <w:iCs/>
          <w:lang w:val="fr-FR"/>
        </w:rPr>
        <w:t>(Document de référence : Rapport du groupe de travail sur les explosifs, document informel INF.38, par</w:t>
      </w:r>
      <w:r w:rsidR="00F54BDF">
        <w:rPr>
          <w:i/>
          <w:iCs/>
          <w:lang w:val="fr-FR"/>
        </w:rPr>
        <w:t>.</w:t>
      </w:r>
      <w:r w:rsidRPr="004867C2">
        <w:rPr>
          <w:i/>
          <w:iCs/>
          <w:lang w:val="fr-FR"/>
        </w:rPr>
        <w:t xml:space="preserve"> 13 (Sous-</w:t>
      </w:r>
      <w:r w:rsidR="00F54BDF" w:rsidRPr="004867C2">
        <w:rPr>
          <w:i/>
          <w:iCs/>
          <w:lang w:val="fr-FR"/>
        </w:rPr>
        <w:t>C</w:t>
      </w:r>
      <w:r w:rsidRPr="004867C2">
        <w:rPr>
          <w:i/>
          <w:iCs/>
          <w:lang w:val="fr-FR"/>
        </w:rPr>
        <w:t xml:space="preserve">omité TMD, </w:t>
      </w:r>
      <w:r w:rsidR="00F54BDF">
        <w:rPr>
          <w:i/>
          <w:iCs/>
          <w:lang w:val="fr-FR"/>
        </w:rPr>
        <w:t>cinquante-septième</w:t>
      </w:r>
      <w:r w:rsidR="00F54BDF" w:rsidRPr="004867C2">
        <w:rPr>
          <w:i/>
          <w:iCs/>
          <w:lang w:val="fr-FR"/>
        </w:rPr>
        <w:t xml:space="preserve"> </w:t>
      </w:r>
      <w:r w:rsidRPr="004867C2">
        <w:rPr>
          <w:i/>
          <w:iCs/>
          <w:lang w:val="fr-FR"/>
        </w:rPr>
        <w:t>session))</w:t>
      </w:r>
    </w:p>
    <w:p w14:paraId="16DE4582" w14:textId="77777777" w:rsidR="002A2200" w:rsidRPr="004867C2" w:rsidRDefault="002A2200" w:rsidP="002A2200">
      <w:pPr>
        <w:pStyle w:val="SingleTxtG"/>
        <w:keepNext/>
        <w:rPr>
          <w:lang w:val="fr-FR"/>
        </w:rPr>
      </w:pPr>
      <w:r w:rsidRPr="004867C2">
        <w:rPr>
          <w:lang w:val="fr-FR"/>
        </w:rPr>
        <w:t>Dans le diagramme de décision 2.1 b) :</w:t>
      </w:r>
    </w:p>
    <w:p w14:paraId="681D4C23" w14:textId="77777777" w:rsidR="002A2200" w:rsidRPr="004867C2" w:rsidRDefault="002A2200" w:rsidP="002A2200">
      <w:pPr>
        <w:pStyle w:val="SingleTxtG"/>
        <w:keepNext/>
        <w:ind w:left="1560"/>
        <w:rPr>
          <w:lang w:val="fr-FR"/>
        </w:rPr>
      </w:pPr>
      <w:r w:rsidRPr="004867C2">
        <w:rPr>
          <w:lang w:val="fr-FR"/>
        </w:rPr>
        <w:t xml:space="preserve">Modifier la note de bas de tableau </w:t>
      </w:r>
      <w:r w:rsidRPr="004867C2">
        <w:rPr>
          <w:i/>
          <w:iCs/>
          <w:lang w:val="fr-FR"/>
        </w:rPr>
        <w:t xml:space="preserve">a </w:t>
      </w:r>
      <w:r w:rsidRPr="004867C2">
        <w:rPr>
          <w:lang w:val="fr-FR"/>
        </w:rPr>
        <w:t>pour lire comme suit :</w:t>
      </w:r>
    </w:p>
    <w:p w14:paraId="46FED898" w14:textId="77777777" w:rsidR="002A2200" w:rsidRPr="004867C2" w:rsidRDefault="002A2200" w:rsidP="00F54BDF">
      <w:pPr>
        <w:pStyle w:val="SingleTxtG"/>
        <w:keepNext/>
        <w:ind w:left="1560"/>
        <w:jc w:val="left"/>
        <w:rPr>
          <w:lang w:val="fr-FR"/>
        </w:rPr>
      </w:pPr>
      <w:r w:rsidRPr="004867C2">
        <w:rPr>
          <w:lang w:val="fr-FR"/>
        </w:rPr>
        <w:t>« </w:t>
      </w:r>
      <w:proofErr w:type="gramStart"/>
      <w:r w:rsidRPr="00F54BDF">
        <w:rPr>
          <w:i/>
          <w:iCs/>
          <w:sz w:val="18"/>
          <w:szCs w:val="18"/>
          <w:vertAlign w:val="superscript"/>
          <w:lang w:val="fr-FR"/>
        </w:rPr>
        <w:t>a</w:t>
      </w:r>
      <w:r w:rsidR="00F54BDF">
        <w:rPr>
          <w:sz w:val="18"/>
          <w:szCs w:val="18"/>
          <w:lang w:val="fr-FR"/>
        </w:rPr>
        <w:t xml:space="preserve">  </w:t>
      </w:r>
      <w:r w:rsidRPr="00F54BDF">
        <w:rPr>
          <w:sz w:val="18"/>
          <w:szCs w:val="18"/>
          <w:lang w:val="fr-FR"/>
        </w:rPr>
        <w:t>En</w:t>
      </w:r>
      <w:proofErr w:type="gramEnd"/>
      <w:r w:rsidRPr="00F54BDF">
        <w:rPr>
          <w:sz w:val="18"/>
          <w:szCs w:val="18"/>
          <w:lang w:val="fr-FR"/>
        </w:rPr>
        <w:t xml:space="preserve"> l</w:t>
      </w:r>
      <w:r w:rsidR="00412DEA" w:rsidRPr="00F54BDF">
        <w:rPr>
          <w:sz w:val="18"/>
          <w:szCs w:val="18"/>
          <w:lang w:val="fr-FR"/>
        </w:rPr>
        <w:t>’</w:t>
      </w:r>
      <w:r w:rsidRPr="00F54BDF">
        <w:rPr>
          <w:sz w:val="18"/>
          <w:szCs w:val="18"/>
          <w:lang w:val="fr-FR"/>
        </w:rPr>
        <w:t>absence de résultats aux épreuves de type 6 a) ou 6 b), on peut utiliser les résultats de l</w:t>
      </w:r>
      <w:r w:rsidR="00412DEA" w:rsidRPr="00F54BDF">
        <w:rPr>
          <w:sz w:val="18"/>
          <w:szCs w:val="18"/>
          <w:lang w:val="fr-FR"/>
        </w:rPr>
        <w:t>’</w:t>
      </w:r>
      <w:r w:rsidRPr="00F54BDF">
        <w:rPr>
          <w:sz w:val="18"/>
          <w:szCs w:val="18"/>
          <w:lang w:val="fr-FR"/>
        </w:rPr>
        <w:t>épreuve 6 d) pour déterminer l</w:t>
      </w:r>
      <w:r w:rsidR="00412DEA" w:rsidRPr="00F54BDF">
        <w:rPr>
          <w:sz w:val="18"/>
          <w:szCs w:val="18"/>
          <w:lang w:val="fr-FR"/>
        </w:rPr>
        <w:t>’</w:t>
      </w:r>
      <w:r w:rsidRPr="00F54BDF">
        <w:rPr>
          <w:sz w:val="18"/>
          <w:szCs w:val="18"/>
          <w:lang w:val="fr-FR"/>
        </w:rPr>
        <w:t>existence d</w:t>
      </w:r>
      <w:r w:rsidR="00412DEA" w:rsidRPr="00F54BDF">
        <w:rPr>
          <w:sz w:val="18"/>
          <w:szCs w:val="18"/>
          <w:lang w:val="fr-FR"/>
        </w:rPr>
        <w:t>’</w:t>
      </w:r>
      <w:r w:rsidRPr="00F54BDF">
        <w:rPr>
          <w:sz w:val="18"/>
          <w:szCs w:val="18"/>
          <w:lang w:val="fr-FR"/>
        </w:rPr>
        <w:t>un comportement très dangereux (voir le 2.1.2.1). Si certaines caractéristiques de la configuration telles que l</w:t>
      </w:r>
      <w:r w:rsidR="00412DEA" w:rsidRPr="00F54BDF">
        <w:rPr>
          <w:sz w:val="18"/>
          <w:szCs w:val="18"/>
          <w:lang w:val="fr-FR"/>
        </w:rPr>
        <w:t>’</w:t>
      </w:r>
      <w:r w:rsidRPr="00F54BDF">
        <w:rPr>
          <w:sz w:val="18"/>
          <w:szCs w:val="18"/>
          <w:lang w:val="fr-FR"/>
        </w:rPr>
        <w:t>espacement ou l</w:t>
      </w:r>
      <w:r w:rsidR="00412DEA" w:rsidRPr="00F54BDF">
        <w:rPr>
          <w:sz w:val="18"/>
          <w:szCs w:val="18"/>
          <w:lang w:val="fr-FR"/>
        </w:rPr>
        <w:t>’</w:t>
      </w:r>
      <w:r w:rsidRPr="00F54BDF">
        <w:rPr>
          <w:sz w:val="18"/>
          <w:szCs w:val="18"/>
          <w:lang w:val="fr-FR"/>
        </w:rPr>
        <w:t>orientation des objets explosibles sont susceptibles d</w:t>
      </w:r>
      <w:r w:rsidR="00412DEA" w:rsidRPr="00F54BDF">
        <w:rPr>
          <w:sz w:val="18"/>
          <w:szCs w:val="18"/>
          <w:lang w:val="fr-FR"/>
        </w:rPr>
        <w:t>’</w:t>
      </w:r>
      <w:r w:rsidRPr="00F54BDF">
        <w:rPr>
          <w:sz w:val="18"/>
          <w:szCs w:val="18"/>
          <w:lang w:val="fr-FR"/>
        </w:rPr>
        <w:t>atténuer un comportement très dangereux, la sous</w:t>
      </w:r>
      <w:r w:rsidRPr="00F54BDF">
        <w:rPr>
          <w:sz w:val="18"/>
          <w:szCs w:val="18"/>
          <w:lang w:val="fr-FR"/>
        </w:rPr>
        <w:noBreakHyphen/>
        <w:t>catégorie 2A peut être attribuée sans qu</w:t>
      </w:r>
      <w:r w:rsidR="00412DEA" w:rsidRPr="00F54BDF">
        <w:rPr>
          <w:sz w:val="18"/>
          <w:szCs w:val="18"/>
          <w:lang w:val="fr-FR"/>
        </w:rPr>
        <w:t>’</w:t>
      </w:r>
      <w:r w:rsidRPr="00F54BDF">
        <w:rPr>
          <w:sz w:val="18"/>
          <w:szCs w:val="18"/>
          <w:lang w:val="fr-FR"/>
        </w:rPr>
        <w:t>il soit nécessaire d</w:t>
      </w:r>
      <w:r w:rsidR="00412DEA" w:rsidRPr="00F54BDF">
        <w:rPr>
          <w:sz w:val="18"/>
          <w:szCs w:val="18"/>
          <w:lang w:val="fr-FR"/>
        </w:rPr>
        <w:t>’</w:t>
      </w:r>
      <w:r w:rsidRPr="00F54BDF">
        <w:rPr>
          <w:sz w:val="18"/>
          <w:szCs w:val="18"/>
          <w:lang w:val="fr-FR"/>
        </w:rPr>
        <w:t>évaluer les données d</w:t>
      </w:r>
      <w:r w:rsidR="00412DEA" w:rsidRPr="00F54BDF">
        <w:rPr>
          <w:sz w:val="18"/>
          <w:szCs w:val="18"/>
          <w:lang w:val="fr-FR"/>
        </w:rPr>
        <w:t>’</w:t>
      </w:r>
      <w:r w:rsidRPr="00F54BDF">
        <w:rPr>
          <w:sz w:val="18"/>
          <w:szCs w:val="18"/>
          <w:lang w:val="fr-FR"/>
        </w:rPr>
        <w:t>essai.</w:t>
      </w:r>
      <w:r w:rsidRPr="004867C2">
        <w:rPr>
          <w:lang w:val="fr-FR"/>
        </w:rPr>
        <w:t> ».</w:t>
      </w:r>
    </w:p>
    <w:p w14:paraId="39C81F0E" w14:textId="77777777" w:rsidR="002A2200" w:rsidRPr="004867C2" w:rsidRDefault="002A2200" w:rsidP="002A2200">
      <w:pPr>
        <w:pStyle w:val="SingleTxtG"/>
        <w:rPr>
          <w:i/>
          <w:iCs/>
          <w:lang w:val="fr-FR"/>
        </w:rPr>
      </w:pPr>
      <w:r w:rsidRPr="004867C2">
        <w:rPr>
          <w:i/>
          <w:iCs/>
          <w:lang w:val="fr-FR"/>
        </w:rPr>
        <w:t>(Documents de référence : documents informels INF.25 et INF.30)</w:t>
      </w:r>
    </w:p>
    <w:p w14:paraId="4D5C1BC6" w14:textId="77777777" w:rsidR="002A2200" w:rsidRPr="00DE2FC7" w:rsidRDefault="002A2200" w:rsidP="002A2200">
      <w:pPr>
        <w:pStyle w:val="H23G"/>
        <w:rPr>
          <w:lang w:val="fr-FR"/>
        </w:rPr>
      </w:pPr>
      <w:r w:rsidRPr="004867C2">
        <w:rPr>
          <w:lang w:val="fr-FR"/>
        </w:rPr>
        <w:lastRenderedPageBreak/>
        <w:tab/>
      </w:r>
      <w:r w:rsidRPr="004867C2">
        <w:rPr>
          <w:lang w:val="fr-FR"/>
        </w:rPr>
        <w:tab/>
      </w:r>
      <w:r w:rsidRPr="00DE2FC7">
        <w:rPr>
          <w:lang w:val="fr-FR"/>
        </w:rPr>
        <w:t>Documents ST/SG/AC.10/C.4/2020/8 et ST/SG/AC.10/C.4/2020/8/Add.1 adoptés avec la modification supplémentaire suivante :</w:t>
      </w:r>
    </w:p>
    <w:p w14:paraId="61A263E7" w14:textId="77777777" w:rsidR="002A2200" w:rsidRPr="004867C2" w:rsidRDefault="002A2200" w:rsidP="002A2200">
      <w:pPr>
        <w:pStyle w:val="SingleTxtG"/>
        <w:keepNext/>
        <w:keepLines/>
        <w:rPr>
          <w:lang w:val="fr-FR"/>
        </w:rPr>
      </w:pPr>
      <w:r w:rsidRPr="004867C2">
        <w:rPr>
          <w:lang w:val="fr-FR"/>
        </w:rPr>
        <w:t xml:space="preserve">Dans la nouvelle ligne pour le conseil de prudence P236 visée dans le document ST/SG/AC.10/C.4/2020/8/Add.1, dans la colonne (5), avant « Peut être omis dans le cas de emballages… (dans la classe 1)) », ajouter : </w:t>
      </w:r>
    </w:p>
    <w:p w14:paraId="2DDF811E" w14:textId="77777777" w:rsidR="002A2200" w:rsidRPr="004867C2" w:rsidRDefault="002A2200" w:rsidP="002A2200">
      <w:pPr>
        <w:pStyle w:val="SingleTxtG"/>
        <w:rPr>
          <w:lang w:val="fr-FR"/>
        </w:rPr>
      </w:pPr>
      <w:r w:rsidRPr="004867C2">
        <w:rPr>
          <w:lang w:val="fr-FR"/>
        </w:rPr>
        <w:t>«</w:t>
      </w:r>
      <w:r w:rsidR="0051036C">
        <w:rPr>
          <w:lang w:val="fr-FR"/>
        </w:rPr>
        <w:t> </w:t>
      </w:r>
      <w:r w:rsidRPr="004867C2">
        <w:rPr>
          <w:i/>
          <w:iCs/>
          <w:lang w:val="fr-FR"/>
        </w:rPr>
        <w:t>Pour les matières et objets explosibles affectés à une division de la classe 1 pour le transport</w:t>
      </w:r>
      <w:r w:rsidRPr="004867C2">
        <w:rPr>
          <w:lang w:val="fr-FR"/>
        </w:rPr>
        <w:t>. ».</w:t>
      </w:r>
    </w:p>
    <w:p w14:paraId="72691A76" w14:textId="77777777" w:rsidR="002A2200" w:rsidRPr="004867C2" w:rsidRDefault="002A2200" w:rsidP="002A2200">
      <w:pPr>
        <w:pStyle w:val="H23G"/>
        <w:rPr>
          <w:lang w:val="fr-FR"/>
        </w:rPr>
      </w:pPr>
      <w:r w:rsidRPr="004867C2">
        <w:rPr>
          <w:lang w:val="fr-FR"/>
        </w:rPr>
        <w:tab/>
      </w:r>
      <w:r w:rsidRPr="004867C2">
        <w:rPr>
          <w:lang w:val="fr-FR"/>
        </w:rPr>
        <w:tab/>
        <w:t xml:space="preserve">Document ST/SG/AC.10/C.4/2020/10, proposition au paragraphe 7 : adopté </w:t>
      </w:r>
    </w:p>
    <w:p w14:paraId="45291468" w14:textId="77777777" w:rsidR="002A2200" w:rsidRPr="004867C2" w:rsidRDefault="002A2200" w:rsidP="002A2200">
      <w:pPr>
        <w:pStyle w:val="H23G"/>
        <w:rPr>
          <w:lang w:val="fr-FR"/>
        </w:rPr>
      </w:pPr>
      <w:r w:rsidRPr="004867C2">
        <w:rPr>
          <w:lang w:val="fr-FR"/>
        </w:rPr>
        <w:tab/>
      </w:r>
      <w:r w:rsidRPr="004867C2">
        <w:rPr>
          <w:lang w:val="fr-FR"/>
        </w:rPr>
        <w:tab/>
        <w:t>Document ST/SG/AC.10/C.4/2020/2, propositions aux paragraphes 5, 6, 8, 9 et 10 : adoptées</w:t>
      </w:r>
    </w:p>
    <w:p w14:paraId="5400B737" w14:textId="77777777" w:rsidR="002A2200" w:rsidRPr="004867C2" w:rsidRDefault="002A2200" w:rsidP="002A2200">
      <w:pPr>
        <w:pStyle w:val="H23G"/>
        <w:rPr>
          <w:lang w:val="fr-FR"/>
        </w:rPr>
      </w:pPr>
      <w:r w:rsidRPr="004867C2">
        <w:rPr>
          <w:lang w:val="fr-FR"/>
        </w:rPr>
        <w:tab/>
      </w:r>
      <w:r w:rsidRPr="004867C2">
        <w:rPr>
          <w:lang w:val="fr-FR"/>
        </w:rPr>
        <w:tab/>
        <w:t>Document ST/SG/AC.10/C.4/2020/11, adopté avec les modifications suivantes :</w:t>
      </w:r>
    </w:p>
    <w:p w14:paraId="3A81A63A" w14:textId="77777777" w:rsidR="002A2200" w:rsidRPr="004867C2" w:rsidRDefault="002A2200" w:rsidP="002A2200">
      <w:pPr>
        <w:pStyle w:val="SingleTxtG"/>
        <w:rPr>
          <w:lang w:val="fr-FR"/>
        </w:rPr>
      </w:pPr>
      <w:r w:rsidRPr="004867C2">
        <w:rPr>
          <w:lang w:val="fr-FR"/>
        </w:rPr>
        <w:t>Dans la proposition 2, le nouveau texte à insérer au début du chapitre 1.2 est modifié et se lit comme suit :</w:t>
      </w:r>
    </w:p>
    <w:p w14:paraId="1AD2D278" w14:textId="77777777" w:rsidR="002A2200" w:rsidRPr="004867C2" w:rsidRDefault="002A2200" w:rsidP="002A2200">
      <w:pPr>
        <w:pStyle w:val="SingleTxtG"/>
        <w:rPr>
          <w:lang w:val="fr-FR"/>
        </w:rPr>
      </w:pPr>
      <w:r w:rsidRPr="004867C2">
        <w:rPr>
          <w:lang w:val="fr-FR"/>
        </w:rPr>
        <w:t>« On trouvera dans le présent chapitre des définitions et des abréviations d</w:t>
      </w:r>
      <w:r w:rsidR="00412DEA">
        <w:rPr>
          <w:lang w:val="fr-FR"/>
        </w:rPr>
        <w:t>’</w:t>
      </w:r>
      <w:r w:rsidRPr="004867C2">
        <w:rPr>
          <w:lang w:val="fr-FR"/>
        </w:rPr>
        <w:t>application générale concernant des termes utilisés dans le Règlement. Des définitions supplémentaires concernant les différentes classes de danger et les termes associés sont présentées dans les chapitres consacrés auxdits dangers. ».</w:t>
      </w:r>
    </w:p>
    <w:p w14:paraId="24E0FF71" w14:textId="77777777" w:rsidR="002A2200" w:rsidRPr="004867C2" w:rsidRDefault="002A2200" w:rsidP="002A2200">
      <w:pPr>
        <w:pStyle w:val="SingleTxtG"/>
        <w:rPr>
          <w:i/>
          <w:iCs/>
          <w:lang w:val="fr-FR"/>
        </w:rPr>
      </w:pPr>
      <w:r w:rsidRPr="004867C2">
        <w:rPr>
          <w:i/>
          <w:iCs/>
          <w:lang w:val="fr-FR"/>
        </w:rPr>
        <w:t>(Document de référence : document informel INF.18)</w:t>
      </w:r>
    </w:p>
    <w:p w14:paraId="66B44E37" w14:textId="77777777" w:rsidR="002A2200" w:rsidRPr="004867C2" w:rsidRDefault="002A2200" w:rsidP="002A2200">
      <w:pPr>
        <w:pStyle w:val="H23G"/>
        <w:rPr>
          <w:lang w:val="fr-FR"/>
        </w:rPr>
      </w:pPr>
      <w:r w:rsidRPr="004867C2">
        <w:rPr>
          <w:lang w:val="fr-FR"/>
        </w:rPr>
        <w:tab/>
      </w:r>
      <w:r w:rsidRPr="004867C2">
        <w:rPr>
          <w:lang w:val="fr-FR"/>
        </w:rPr>
        <w:tab/>
        <w:t>Document ST/SG/AC.10/C.4/2020/3 adopté tel que modifié par ST/SG/AC.10/C.4/2020/3/Add.1 (par</w:t>
      </w:r>
      <w:r w:rsidR="0051036C">
        <w:rPr>
          <w:lang w:val="fr-FR"/>
        </w:rPr>
        <w:t>. </w:t>
      </w:r>
      <w:r w:rsidRPr="004867C2">
        <w:rPr>
          <w:lang w:val="fr-FR"/>
        </w:rPr>
        <w:t>3, 5 (pour le 4.1.3 b) seulement) et 6)), avec la correction à la version française du diagramme de décision 3.5.1 c) du document informel INF.5 et l</w:t>
      </w:r>
      <w:r w:rsidR="00412DEA">
        <w:rPr>
          <w:lang w:val="fr-FR"/>
        </w:rPr>
        <w:t>’</w:t>
      </w:r>
      <w:r w:rsidRPr="004867C2">
        <w:rPr>
          <w:lang w:val="fr-FR"/>
        </w:rPr>
        <w:t xml:space="preserve">amendement suivant : </w:t>
      </w:r>
    </w:p>
    <w:p w14:paraId="2E298EB7" w14:textId="77777777" w:rsidR="002A2200" w:rsidRPr="004867C2" w:rsidRDefault="002A2200" w:rsidP="002A2200">
      <w:pPr>
        <w:pStyle w:val="SingleTxtG"/>
        <w:rPr>
          <w:lang w:val="fr-FR"/>
        </w:rPr>
      </w:pPr>
      <w:r w:rsidRPr="004867C2">
        <w:rPr>
          <w:lang w:val="fr-FR"/>
        </w:rPr>
        <w:tab/>
        <w:t>Dans la version française du document ST/SG/AC.10/C.4/2020/3/Add.1, remplacer l</w:t>
      </w:r>
      <w:r w:rsidR="00412DEA">
        <w:rPr>
          <w:lang w:val="fr-FR"/>
        </w:rPr>
        <w:t>’</w:t>
      </w:r>
      <w:r w:rsidRPr="004867C2">
        <w:rPr>
          <w:lang w:val="fr-FR"/>
        </w:rPr>
        <w:t>amendement du diagramme de décision 4.1.3 b) par le suivant : «</w:t>
      </w:r>
      <w:r w:rsidR="0051036C">
        <w:rPr>
          <w:lang w:val="fr-FR"/>
        </w:rPr>
        <w:t> </w:t>
      </w:r>
      <w:r w:rsidRPr="004867C2">
        <w:rPr>
          <w:lang w:val="fr-FR"/>
        </w:rPr>
        <w:t>Dans le diagramme de décision 4.1.3 b) remplacer (cinq fois) «</w:t>
      </w:r>
      <w:r w:rsidR="0051036C">
        <w:rPr>
          <w:lang w:val="fr-FR"/>
        </w:rPr>
        <w:t> </w:t>
      </w:r>
      <w:r w:rsidRPr="004867C2">
        <w:rPr>
          <w:lang w:val="fr-FR"/>
        </w:rPr>
        <w:t>CSEO</w:t>
      </w:r>
      <w:r w:rsidR="0051036C">
        <w:rPr>
          <w:lang w:val="fr-FR"/>
        </w:rPr>
        <w:t> </w:t>
      </w:r>
      <w:r w:rsidRPr="004867C2">
        <w:rPr>
          <w:lang w:val="fr-FR"/>
        </w:rPr>
        <w:t>» par «</w:t>
      </w:r>
      <w:r w:rsidR="0051036C">
        <w:rPr>
          <w:lang w:val="fr-FR"/>
        </w:rPr>
        <w:t> </w:t>
      </w:r>
      <w:r w:rsidRPr="004867C2">
        <w:rPr>
          <w:lang w:val="fr-FR"/>
        </w:rPr>
        <w:t>CSEO ou CE</w:t>
      </w:r>
      <w:r w:rsidRPr="004867C2">
        <w:rPr>
          <w:vertAlign w:val="subscript"/>
          <w:lang w:val="fr-FR"/>
        </w:rPr>
        <w:t>x</w:t>
      </w:r>
      <w:r w:rsidRPr="004867C2">
        <w:rPr>
          <w:lang w:val="fr-FR"/>
        </w:rPr>
        <w:t> ».</w:t>
      </w:r>
    </w:p>
    <w:p w14:paraId="0B54CA31" w14:textId="77777777" w:rsidR="002A2200" w:rsidRPr="004867C2" w:rsidRDefault="002A2200" w:rsidP="002A2200">
      <w:pPr>
        <w:pStyle w:val="H23G"/>
        <w:rPr>
          <w:lang w:val="fr-FR"/>
        </w:rPr>
      </w:pPr>
      <w:r w:rsidRPr="004867C2">
        <w:rPr>
          <w:lang w:val="fr-FR"/>
        </w:rPr>
        <w:tab/>
      </w:r>
      <w:r w:rsidRPr="004867C2">
        <w:rPr>
          <w:lang w:val="fr-FR"/>
        </w:rPr>
        <w:tab/>
        <w:t xml:space="preserve">Document ST/SG/AC.10/C.4/2020/6/Add.1, proposition 3 b) du paragraphe 5 </w:t>
      </w:r>
      <w:r w:rsidR="0051036C">
        <w:rPr>
          <w:lang w:val="fr-FR"/>
        </w:rPr>
        <w:br/>
      </w:r>
      <w:r w:rsidRPr="004867C2">
        <w:rPr>
          <w:lang w:val="fr-FR"/>
        </w:rPr>
        <w:t>et proposition du paragraphe 6 : adoptées</w:t>
      </w:r>
    </w:p>
    <w:p w14:paraId="4EDD66C2" w14:textId="77777777" w:rsidR="002A2200" w:rsidRPr="004867C2" w:rsidRDefault="002A2200" w:rsidP="002A2200">
      <w:pPr>
        <w:pStyle w:val="H23G"/>
        <w:rPr>
          <w:lang w:val="fr-FR"/>
        </w:rPr>
      </w:pPr>
      <w:r w:rsidRPr="004867C2">
        <w:rPr>
          <w:lang w:val="fr-FR"/>
        </w:rPr>
        <w:tab/>
      </w:r>
      <w:r w:rsidRPr="004867C2">
        <w:rPr>
          <w:lang w:val="fr-FR"/>
        </w:rPr>
        <w:tab/>
        <w:t>Document ST/SG/AC.10/C.4/2020/12 : adopté</w:t>
      </w:r>
    </w:p>
    <w:p w14:paraId="1EBBF9B8" w14:textId="77777777" w:rsidR="002A2200" w:rsidRPr="004867C2" w:rsidRDefault="002A2200" w:rsidP="002A2200">
      <w:pPr>
        <w:pStyle w:val="H23G"/>
        <w:rPr>
          <w:lang w:val="fr-FR"/>
        </w:rPr>
      </w:pPr>
      <w:r w:rsidRPr="004867C2">
        <w:rPr>
          <w:lang w:val="fr-FR"/>
        </w:rPr>
        <w:tab/>
      </w:r>
      <w:r w:rsidRPr="004867C2">
        <w:rPr>
          <w:lang w:val="fr-FR"/>
        </w:rPr>
        <w:tab/>
        <w:t>Document ST/SG/AC.10/C.4/2020/1, option 2 : adoptée</w:t>
      </w:r>
    </w:p>
    <w:p w14:paraId="2C67C822" w14:textId="77777777" w:rsidR="002A2200" w:rsidRPr="004867C2" w:rsidRDefault="002A2200" w:rsidP="002A2200">
      <w:pPr>
        <w:pStyle w:val="H23G"/>
        <w:rPr>
          <w:lang w:val="fr-FR"/>
        </w:rPr>
      </w:pPr>
      <w:r w:rsidRPr="004867C2">
        <w:rPr>
          <w:lang w:val="fr-FR"/>
        </w:rPr>
        <w:tab/>
      </w:r>
      <w:r w:rsidRPr="004867C2">
        <w:rPr>
          <w:lang w:val="fr-FR"/>
        </w:rPr>
        <w:tab/>
        <w:t>Document informel INF.16, adopté tel que modifié, comme suit :</w:t>
      </w:r>
    </w:p>
    <w:p w14:paraId="24759459" w14:textId="77777777" w:rsidR="002A2200" w:rsidRPr="004867C2" w:rsidRDefault="002A2200" w:rsidP="002A2200">
      <w:pPr>
        <w:pStyle w:val="H23G"/>
        <w:rPr>
          <w:b w:val="0"/>
          <w:bCs/>
          <w:lang w:val="fr-FR"/>
        </w:rPr>
      </w:pPr>
      <w:r w:rsidRPr="004867C2">
        <w:rPr>
          <w:b w:val="0"/>
          <w:bCs/>
          <w:lang w:val="fr-FR"/>
        </w:rPr>
        <w:tab/>
      </w:r>
      <w:r w:rsidRPr="004867C2">
        <w:rPr>
          <w:b w:val="0"/>
          <w:bCs/>
          <w:lang w:val="fr-FR"/>
        </w:rPr>
        <w:tab/>
      </w:r>
      <w:r w:rsidR="003A0DF5">
        <w:rPr>
          <w:b w:val="0"/>
          <w:bCs/>
          <w:lang w:val="fr-FR"/>
        </w:rPr>
        <w:t>À</w:t>
      </w:r>
      <w:r w:rsidRPr="004867C2">
        <w:rPr>
          <w:b w:val="0"/>
          <w:bCs/>
          <w:lang w:val="fr-FR"/>
        </w:rPr>
        <w:t xml:space="preserve"> l</w:t>
      </w:r>
      <w:r w:rsidR="00412DEA">
        <w:rPr>
          <w:b w:val="0"/>
          <w:bCs/>
          <w:lang w:val="fr-FR"/>
        </w:rPr>
        <w:t>’</w:t>
      </w:r>
      <w:r w:rsidRPr="004867C2">
        <w:rPr>
          <w:b w:val="0"/>
          <w:bCs/>
          <w:lang w:val="fr-FR"/>
        </w:rPr>
        <w:t xml:space="preserve">annexe 3 du SGH, section 3, tableaux des conseils de prudence, remplacer les trois premiers tableaux par les tableaux ci-après : </w:t>
      </w:r>
    </w:p>
    <w:p w14:paraId="4DC8E58F" w14:textId="77777777" w:rsidR="00566E09" w:rsidRDefault="00566E09" w:rsidP="00830C8C">
      <w:pPr>
        <w:rPr>
          <w:lang w:val="fr-FR"/>
        </w:rPr>
        <w:sectPr w:rsidR="00566E09" w:rsidSect="00830C8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tbl>
      <w:tblPr>
        <w:tblW w:w="1376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126"/>
        <w:gridCol w:w="2152"/>
        <w:gridCol w:w="6"/>
        <w:gridCol w:w="43"/>
        <w:gridCol w:w="2247"/>
        <w:gridCol w:w="6"/>
        <w:gridCol w:w="154"/>
        <w:gridCol w:w="736"/>
        <w:gridCol w:w="1163"/>
        <w:gridCol w:w="2281"/>
        <w:gridCol w:w="6"/>
        <w:gridCol w:w="9"/>
      </w:tblGrid>
      <w:tr w:rsidR="00566E09" w:rsidRPr="00AE0017" w14:paraId="4E1216BE" w14:textId="77777777" w:rsidTr="00D9689A">
        <w:trPr>
          <w:gridAfter w:val="1"/>
          <w:wAfter w:w="9" w:type="dxa"/>
        </w:trPr>
        <w:tc>
          <w:tcPr>
            <w:tcW w:w="13755" w:type="dxa"/>
            <w:gridSpan w:val="12"/>
            <w:tcBorders>
              <w:top w:val="nil"/>
              <w:left w:val="nil"/>
              <w:bottom w:val="nil"/>
              <w:right w:val="nil"/>
            </w:tcBorders>
          </w:tcPr>
          <w:p w14:paraId="2F1B86E0" w14:textId="77777777" w:rsidR="00566E09" w:rsidRPr="004867C2" w:rsidRDefault="00566E09" w:rsidP="0051036C">
            <w:pPr>
              <w:keepNext/>
              <w:keepLines/>
              <w:kinsoku/>
              <w:overflowPunct/>
              <w:autoSpaceDE/>
              <w:autoSpaceDN/>
              <w:adjustRightInd/>
              <w:snapToGrid/>
              <w:spacing w:before="40" w:after="40" w:line="240" w:lineRule="auto"/>
              <w:ind w:right="252"/>
              <w:jc w:val="center"/>
              <w:rPr>
                <w:rFonts w:asciiTheme="majorBidi" w:hAnsiTheme="majorBidi" w:cstheme="majorBidi"/>
                <w:b/>
                <w:bCs/>
                <w:sz w:val="16"/>
                <w:szCs w:val="16"/>
                <w:lang w:val="fr-FR"/>
              </w:rPr>
            </w:pPr>
            <w:r w:rsidRPr="004867C2">
              <w:rPr>
                <w:rFonts w:asciiTheme="majorBidi" w:hAnsiTheme="majorBidi" w:cstheme="majorBidi"/>
                <w:b/>
                <w:bCs/>
                <w:sz w:val="16"/>
                <w:szCs w:val="16"/>
                <w:lang w:val="fr-FR"/>
              </w:rPr>
              <w:lastRenderedPageBreak/>
              <w:t>MATI</w:t>
            </w:r>
            <w:r w:rsidR="0051036C">
              <w:rPr>
                <w:rFonts w:asciiTheme="majorBidi" w:hAnsiTheme="majorBidi" w:cstheme="majorBidi"/>
                <w:b/>
                <w:bCs/>
                <w:sz w:val="16"/>
                <w:szCs w:val="16"/>
                <w:lang w:val="fr-FR"/>
              </w:rPr>
              <w:t>È</w:t>
            </w:r>
            <w:r w:rsidRPr="004867C2">
              <w:rPr>
                <w:rFonts w:asciiTheme="majorBidi" w:hAnsiTheme="majorBidi" w:cstheme="majorBidi"/>
                <w:b/>
                <w:bCs/>
                <w:sz w:val="16"/>
                <w:szCs w:val="16"/>
                <w:lang w:val="fr-FR"/>
              </w:rPr>
              <w:t>RES ET OBJETS EXPLOSIBLES</w:t>
            </w:r>
            <w:r w:rsidRPr="004867C2">
              <w:rPr>
                <w:rFonts w:asciiTheme="majorBidi" w:hAnsiTheme="majorBidi" w:cstheme="majorBidi"/>
                <w:b/>
                <w:bCs/>
                <w:sz w:val="16"/>
                <w:szCs w:val="16"/>
                <w:lang w:val="fr-FR"/>
              </w:rPr>
              <w:br/>
              <w:t>(CHAPITRE 2.1)</w:t>
            </w:r>
          </w:p>
        </w:tc>
      </w:tr>
      <w:tr w:rsidR="00566E09" w:rsidRPr="00AE0017" w14:paraId="2A9D4DAB" w14:textId="77777777" w:rsidTr="00D9689A">
        <w:trPr>
          <w:gridAfter w:val="1"/>
          <w:wAfter w:w="9" w:type="dxa"/>
        </w:trPr>
        <w:tc>
          <w:tcPr>
            <w:tcW w:w="13755" w:type="dxa"/>
            <w:gridSpan w:val="12"/>
            <w:tcBorders>
              <w:top w:val="nil"/>
              <w:left w:val="nil"/>
              <w:bottom w:val="nil"/>
              <w:right w:val="nil"/>
            </w:tcBorders>
          </w:tcPr>
          <w:p w14:paraId="26FF48EC" w14:textId="77777777" w:rsidR="00566E09" w:rsidRPr="004867C2" w:rsidRDefault="00566E09" w:rsidP="0051036C">
            <w:pPr>
              <w:keepNext/>
              <w:keepLines/>
              <w:kinsoku/>
              <w:overflowPunct/>
              <w:autoSpaceDE/>
              <w:autoSpaceDN/>
              <w:adjustRightInd/>
              <w:snapToGrid/>
              <w:spacing w:before="40" w:after="40" w:line="240" w:lineRule="auto"/>
              <w:ind w:right="252"/>
              <w:jc w:val="center"/>
              <w:rPr>
                <w:rFonts w:asciiTheme="majorBidi" w:hAnsiTheme="majorBidi" w:cstheme="majorBidi"/>
                <w:b/>
                <w:bCs/>
                <w:sz w:val="16"/>
                <w:szCs w:val="16"/>
                <w:lang w:val="fr-FR"/>
              </w:rPr>
            </w:pPr>
          </w:p>
        </w:tc>
      </w:tr>
      <w:tr w:rsidR="00566E09" w:rsidRPr="004867C2" w14:paraId="713BC13C" w14:textId="77777777" w:rsidTr="00D9689A">
        <w:trPr>
          <w:gridAfter w:val="1"/>
          <w:wAfter w:w="9" w:type="dxa"/>
        </w:trPr>
        <w:tc>
          <w:tcPr>
            <w:tcW w:w="2835" w:type="dxa"/>
            <w:tcBorders>
              <w:top w:val="nil"/>
              <w:left w:val="nil"/>
              <w:bottom w:val="nil"/>
              <w:right w:val="nil"/>
            </w:tcBorders>
            <w:hideMark/>
          </w:tcPr>
          <w:p w14:paraId="6FB95AFB" w14:textId="77777777" w:rsidR="00566E09" w:rsidRPr="004867C2" w:rsidRDefault="00566E09" w:rsidP="0051036C">
            <w:pPr>
              <w:keepNext/>
              <w:keepLines/>
              <w:kinsoku/>
              <w:overflowPunct/>
              <w:autoSpaceDE/>
              <w:autoSpaceDN/>
              <w:adjustRightInd/>
              <w:snapToGrid/>
              <w:spacing w:before="40" w:after="40" w:line="240" w:lineRule="auto"/>
              <w:jc w:val="both"/>
              <w:rPr>
                <w:rFonts w:asciiTheme="majorBidi" w:hAnsiTheme="majorBidi" w:cstheme="majorBidi"/>
                <w:b/>
                <w:bCs/>
                <w:sz w:val="16"/>
                <w:szCs w:val="16"/>
                <w:lang w:val="fr-FR"/>
              </w:rPr>
            </w:pPr>
            <w:r w:rsidRPr="004867C2">
              <w:rPr>
                <w:rFonts w:asciiTheme="majorBidi" w:hAnsiTheme="majorBidi" w:cstheme="majorBidi"/>
                <w:b/>
                <w:bCs/>
                <w:sz w:val="16"/>
                <w:szCs w:val="16"/>
                <w:lang w:val="fr-FR"/>
              </w:rPr>
              <w:t>Catégorie de danger</w:t>
            </w:r>
          </w:p>
        </w:tc>
        <w:tc>
          <w:tcPr>
            <w:tcW w:w="4284" w:type="dxa"/>
            <w:gridSpan w:val="3"/>
            <w:tcBorders>
              <w:top w:val="nil"/>
              <w:left w:val="nil"/>
              <w:bottom w:val="nil"/>
              <w:right w:val="nil"/>
            </w:tcBorders>
            <w:hideMark/>
          </w:tcPr>
          <w:p w14:paraId="34E4426D" w14:textId="77777777" w:rsidR="00566E09" w:rsidRPr="004867C2" w:rsidRDefault="00566E09" w:rsidP="0051036C">
            <w:pPr>
              <w:keepNext/>
              <w:keepLines/>
              <w:kinsoku/>
              <w:overflowPunct/>
              <w:autoSpaceDE/>
              <w:autoSpaceDN/>
              <w:adjustRightInd/>
              <w:snapToGrid/>
              <w:spacing w:before="40" w:after="40" w:line="240" w:lineRule="auto"/>
              <w:rPr>
                <w:rFonts w:asciiTheme="majorBidi" w:hAnsiTheme="majorBidi" w:cstheme="majorBidi"/>
                <w:b/>
                <w:bCs/>
                <w:sz w:val="16"/>
                <w:szCs w:val="16"/>
                <w:lang w:val="fr-FR"/>
              </w:rPr>
            </w:pPr>
            <w:r w:rsidRPr="004867C2">
              <w:rPr>
                <w:rFonts w:asciiTheme="majorBidi" w:hAnsiTheme="majorBidi" w:cstheme="majorBidi"/>
                <w:b/>
                <w:bCs/>
                <w:sz w:val="16"/>
                <w:szCs w:val="16"/>
                <w:lang w:val="fr-FR"/>
              </w:rPr>
              <w:t>Symbole</w:t>
            </w:r>
          </w:p>
        </w:tc>
        <w:tc>
          <w:tcPr>
            <w:tcW w:w="2296" w:type="dxa"/>
            <w:gridSpan w:val="3"/>
            <w:tcBorders>
              <w:top w:val="nil"/>
              <w:left w:val="nil"/>
              <w:bottom w:val="nil"/>
              <w:right w:val="nil"/>
            </w:tcBorders>
            <w:hideMark/>
          </w:tcPr>
          <w:p w14:paraId="33D51129" w14:textId="77777777" w:rsidR="00566E09" w:rsidRPr="004867C2" w:rsidRDefault="00566E09" w:rsidP="0051036C">
            <w:pPr>
              <w:keepNext/>
              <w:keepLines/>
              <w:kinsoku/>
              <w:overflowPunct/>
              <w:autoSpaceDE/>
              <w:autoSpaceDN/>
              <w:adjustRightInd/>
              <w:snapToGrid/>
              <w:spacing w:before="40" w:after="40" w:line="240" w:lineRule="auto"/>
              <w:jc w:val="both"/>
              <w:rPr>
                <w:rFonts w:asciiTheme="majorBidi" w:hAnsiTheme="majorBidi" w:cstheme="majorBidi"/>
                <w:b/>
                <w:bCs/>
                <w:sz w:val="16"/>
                <w:szCs w:val="16"/>
                <w:lang w:val="fr-FR"/>
              </w:rPr>
            </w:pPr>
            <w:r w:rsidRPr="004867C2">
              <w:rPr>
                <w:rFonts w:asciiTheme="majorBidi" w:hAnsiTheme="majorBidi" w:cstheme="majorBidi"/>
                <w:b/>
                <w:bCs/>
                <w:sz w:val="16"/>
                <w:szCs w:val="16"/>
                <w:lang w:val="fr-FR"/>
              </w:rPr>
              <w:t>Mention d</w:t>
            </w:r>
            <w:r w:rsidR="00412DEA">
              <w:rPr>
                <w:rFonts w:asciiTheme="majorBidi" w:hAnsiTheme="majorBidi" w:cstheme="majorBidi"/>
                <w:b/>
                <w:bCs/>
                <w:sz w:val="16"/>
                <w:szCs w:val="16"/>
                <w:lang w:val="fr-FR"/>
              </w:rPr>
              <w:t>’</w:t>
            </w:r>
            <w:r w:rsidRPr="004867C2">
              <w:rPr>
                <w:rFonts w:asciiTheme="majorBidi" w:hAnsiTheme="majorBidi" w:cstheme="majorBidi"/>
                <w:b/>
                <w:bCs/>
                <w:sz w:val="16"/>
                <w:szCs w:val="16"/>
                <w:lang w:val="fr-FR"/>
              </w:rPr>
              <w:t>avertissement</w:t>
            </w:r>
          </w:p>
        </w:tc>
        <w:tc>
          <w:tcPr>
            <w:tcW w:w="4340" w:type="dxa"/>
            <w:gridSpan w:val="5"/>
            <w:tcBorders>
              <w:top w:val="nil"/>
              <w:left w:val="nil"/>
              <w:bottom w:val="nil"/>
              <w:right w:val="nil"/>
            </w:tcBorders>
            <w:hideMark/>
          </w:tcPr>
          <w:p w14:paraId="10002944" w14:textId="77777777" w:rsidR="00566E09" w:rsidRPr="004867C2" w:rsidRDefault="00566E09" w:rsidP="0051036C">
            <w:pPr>
              <w:keepNext/>
              <w:keepLines/>
              <w:kinsoku/>
              <w:overflowPunct/>
              <w:autoSpaceDE/>
              <w:autoSpaceDN/>
              <w:adjustRightInd/>
              <w:snapToGrid/>
              <w:spacing w:before="40" w:after="40" w:line="240" w:lineRule="auto"/>
              <w:ind w:right="252"/>
              <w:jc w:val="both"/>
              <w:rPr>
                <w:rFonts w:asciiTheme="majorBidi" w:hAnsiTheme="majorBidi" w:cstheme="majorBidi"/>
                <w:b/>
                <w:bCs/>
                <w:sz w:val="16"/>
                <w:szCs w:val="16"/>
                <w:lang w:val="fr-FR"/>
              </w:rPr>
            </w:pPr>
            <w:r w:rsidRPr="004867C2">
              <w:rPr>
                <w:rFonts w:asciiTheme="majorBidi" w:hAnsiTheme="majorBidi" w:cstheme="majorBidi"/>
                <w:b/>
                <w:bCs/>
                <w:sz w:val="16"/>
                <w:szCs w:val="16"/>
                <w:lang w:val="fr-FR"/>
              </w:rPr>
              <w:t>Mention de danger</w:t>
            </w:r>
          </w:p>
        </w:tc>
      </w:tr>
      <w:tr w:rsidR="00566E09" w:rsidRPr="004867C2" w14:paraId="776F4654" w14:textId="77777777" w:rsidTr="00D9689A">
        <w:trPr>
          <w:gridAfter w:val="2"/>
          <w:wAfter w:w="15" w:type="dxa"/>
        </w:trPr>
        <w:tc>
          <w:tcPr>
            <w:tcW w:w="2835" w:type="dxa"/>
            <w:vMerge w:val="restart"/>
            <w:tcBorders>
              <w:top w:val="nil"/>
              <w:left w:val="nil"/>
              <w:right w:val="nil"/>
            </w:tcBorders>
            <w:hideMark/>
          </w:tcPr>
          <w:p w14:paraId="1C710918" w14:textId="77777777" w:rsidR="00566E09" w:rsidRPr="004867C2" w:rsidRDefault="00566E09" w:rsidP="0051036C">
            <w:pPr>
              <w:keepNext/>
              <w:keepLines/>
              <w:kinsoku/>
              <w:overflowPunct/>
              <w:autoSpaceDE/>
              <w:autoSpaceDN/>
              <w:adjustRightInd/>
              <w:snapToGrid/>
              <w:spacing w:before="40" w:after="40" w:line="240" w:lineRule="auto"/>
              <w:jc w:val="both"/>
              <w:rPr>
                <w:rFonts w:asciiTheme="majorBidi" w:hAnsiTheme="majorBidi" w:cstheme="majorBidi"/>
                <w:sz w:val="16"/>
                <w:szCs w:val="16"/>
                <w:lang w:val="fr-FR"/>
              </w:rPr>
            </w:pPr>
            <w:r w:rsidRPr="004867C2">
              <w:rPr>
                <w:rFonts w:asciiTheme="majorBidi" w:hAnsiTheme="majorBidi" w:cstheme="majorBidi"/>
                <w:sz w:val="16"/>
                <w:szCs w:val="16"/>
                <w:lang w:val="fr-FR"/>
              </w:rPr>
              <w:t>1</w:t>
            </w:r>
          </w:p>
        </w:tc>
        <w:tc>
          <w:tcPr>
            <w:tcW w:w="2126" w:type="dxa"/>
            <w:vMerge w:val="restart"/>
            <w:tcBorders>
              <w:top w:val="nil"/>
              <w:left w:val="nil"/>
              <w:right w:val="nil"/>
            </w:tcBorders>
            <w:hideMark/>
          </w:tcPr>
          <w:p w14:paraId="37769F95" w14:textId="77777777" w:rsidR="00566E09" w:rsidRPr="004867C2" w:rsidRDefault="00566E09" w:rsidP="0051036C">
            <w:pPr>
              <w:keepNext/>
              <w:keepLines/>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Bombe explosant</w:t>
            </w:r>
          </w:p>
        </w:tc>
        <w:tc>
          <w:tcPr>
            <w:tcW w:w="2152" w:type="dxa"/>
            <w:vMerge w:val="restart"/>
            <w:tcBorders>
              <w:top w:val="nil"/>
              <w:left w:val="nil"/>
              <w:bottom w:val="nil"/>
              <w:right w:val="nil"/>
            </w:tcBorders>
            <w:hideMark/>
          </w:tcPr>
          <w:p w14:paraId="5CD4E401" w14:textId="77777777" w:rsidR="00566E09" w:rsidRPr="004867C2" w:rsidRDefault="00566E09" w:rsidP="0051036C">
            <w:pPr>
              <w:keepNext/>
              <w:keepLines/>
              <w:kinsoku/>
              <w:overflowPunct/>
              <w:autoSpaceDE/>
              <w:autoSpaceDN/>
              <w:adjustRightInd/>
              <w:snapToGrid/>
              <w:spacing w:before="40" w:after="40" w:line="240" w:lineRule="auto"/>
              <w:jc w:val="center"/>
              <w:rPr>
                <w:rFonts w:asciiTheme="majorBidi" w:hAnsiTheme="majorBidi" w:cstheme="majorBidi"/>
                <w:sz w:val="16"/>
                <w:szCs w:val="16"/>
                <w:lang w:val="fr-FR"/>
              </w:rPr>
            </w:pPr>
            <w:r w:rsidRPr="004867C2">
              <w:rPr>
                <w:rFonts w:asciiTheme="majorBidi" w:hAnsiTheme="majorBidi" w:cstheme="majorBidi"/>
                <w:noProof/>
                <w:sz w:val="16"/>
                <w:szCs w:val="16"/>
                <w:lang w:val="fr-FR" w:eastAsia="sv-SE"/>
              </w:rPr>
              <w:drawing>
                <wp:anchor distT="0" distB="0" distL="114300" distR="114300" simplePos="0" relativeHeight="251659264" behindDoc="1" locked="0" layoutInCell="1" allowOverlap="1" wp14:anchorId="41C9BD43" wp14:editId="736E91AC">
                  <wp:simplePos x="0" y="0"/>
                  <wp:positionH relativeFrom="column">
                    <wp:posOffset>48722</wp:posOffset>
                  </wp:positionH>
                  <wp:positionV relativeFrom="paragraph">
                    <wp:posOffset>55418</wp:posOffset>
                  </wp:positionV>
                  <wp:extent cx="694800" cy="442800"/>
                  <wp:effectExtent l="0" t="0" r="0" b="0"/>
                  <wp:wrapTight wrapText="bothSides">
                    <wp:wrapPolygon edited="0">
                      <wp:start x="0" y="0"/>
                      <wp:lineTo x="0" y="20453"/>
                      <wp:lineTo x="20731" y="20453"/>
                      <wp:lineTo x="20731" y="0"/>
                      <wp:lineTo x="0" y="0"/>
                    </wp:wrapPolygon>
                  </wp:wrapTight>
                  <wp:docPr id="10"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8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96" w:type="dxa"/>
            <w:gridSpan w:val="3"/>
            <w:vMerge w:val="restart"/>
            <w:tcBorders>
              <w:top w:val="nil"/>
              <w:left w:val="nil"/>
              <w:right w:val="nil"/>
            </w:tcBorders>
            <w:hideMark/>
          </w:tcPr>
          <w:p w14:paraId="6E3BE223" w14:textId="77777777" w:rsidR="00566E09" w:rsidRPr="004867C2" w:rsidRDefault="00566E09" w:rsidP="0051036C">
            <w:pPr>
              <w:keepNext/>
              <w:keepLines/>
              <w:kinsoku/>
              <w:overflowPunct/>
              <w:autoSpaceDE/>
              <w:autoSpaceDN/>
              <w:adjustRightInd/>
              <w:snapToGrid/>
              <w:spacing w:before="40" w:after="40" w:line="240" w:lineRule="auto"/>
              <w:jc w:val="both"/>
              <w:rPr>
                <w:rFonts w:asciiTheme="majorBidi" w:hAnsiTheme="majorBidi" w:cstheme="majorBidi"/>
                <w:sz w:val="16"/>
                <w:szCs w:val="16"/>
                <w:lang w:val="fr-FR"/>
              </w:rPr>
            </w:pPr>
            <w:r w:rsidRPr="004867C2">
              <w:rPr>
                <w:rFonts w:asciiTheme="majorBidi" w:hAnsiTheme="majorBidi" w:cstheme="majorBidi"/>
                <w:sz w:val="16"/>
                <w:szCs w:val="16"/>
                <w:lang w:val="fr-FR"/>
              </w:rPr>
              <w:t>Danger</w:t>
            </w:r>
          </w:p>
        </w:tc>
        <w:tc>
          <w:tcPr>
            <w:tcW w:w="896" w:type="dxa"/>
            <w:gridSpan w:val="3"/>
            <w:tcBorders>
              <w:top w:val="nil"/>
              <w:left w:val="nil"/>
              <w:bottom w:val="nil"/>
              <w:right w:val="nil"/>
            </w:tcBorders>
            <w:hideMark/>
          </w:tcPr>
          <w:p w14:paraId="0A5F4883" w14:textId="77777777" w:rsidR="00566E09" w:rsidRPr="004867C2" w:rsidRDefault="00566E09" w:rsidP="0051036C">
            <w:pPr>
              <w:keepNext/>
              <w:keepLines/>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H209</w:t>
            </w:r>
          </w:p>
        </w:tc>
        <w:tc>
          <w:tcPr>
            <w:tcW w:w="3444" w:type="dxa"/>
            <w:gridSpan w:val="2"/>
            <w:tcBorders>
              <w:top w:val="nil"/>
              <w:left w:val="nil"/>
              <w:bottom w:val="nil"/>
              <w:right w:val="nil"/>
            </w:tcBorders>
            <w:hideMark/>
          </w:tcPr>
          <w:p w14:paraId="046D7D5F" w14:textId="77777777" w:rsidR="00566E09" w:rsidRPr="004867C2" w:rsidRDefault="00566E09" w:rsidP="0051036C">
            <w:pPr>
              <w:keepNext/>
              <w:keepLines/>
              <w:kinsoku/>
              <w:overflowPunct/>
              <w:autoSpaceDE/>
              <w:autoSpaceDN/>
              <w:adjustRightInd/>
              <w:snapToGrid/>
              <w:spacing w:before="40" w:after="40" w:line="240" w:lineRule="auto"/>
              <w:jc w:val="both"/>
              <w:rPr>
                <w:rFonts w:asciiTheme="majorBidi" w:hAnsiTheme="majorBidi" w:cstheme="majorBidi"/>
                <w:sz w:val="16"/>
                <w:szCs w:val="16"/>
                <w:lang w:val="fr-FR"/>
              </w:rPr>
            </w:pPr>
            <w:r w:rsidRPr="004867C2">
              <w:rPr>
                <w:rFonts w:asciiTheme="majorBidi" w:hAnsiTheme="majorBidi" w:cstheme="majorBidi"/>
                <w:sz w:val="16"/>
                <w:szCs w:val="16"/>
                <w:lang w:val="fr-FR"/>
              </w:rPr>
              <w:t>Explosif</w:t>
            </w:r>
          </w:p>
        </w:tc>
      </w:tr>
      <w:tr w:rsidR="00566E09" w:rsidRPr="004867C2" w14:paraId="40B3CC77" w14:textId="77777777" w:rsidTr="00D9689A">
        <w:trPr>
          <w:gridAfter w:val="2"/>
          <w:wAfter w:w="15" w:type="dxa"/>
        </w:trPr>
        <w:tc>
          <w:tcPr>
            <w:tcW w:w="2835" w:type="dxa"/>
            <w:vMerge/>
            <w:tcBorders>
              <w:left w:val="nil"/>
              <w:right w:val="nil"/>
            </w:tcBorders>
          </w:tcPr>
          <w:p w14:paraId="02E9F3CA" w14:textId="77777777" w:rsidR="00566E09" w:rsidRPr="004867C2" w:rsidRDefault="00566E09" w:rsidP="0051036C">
            <w:pPr>
              <w:keepNext/>
              <w:keepLines/>
              <w:kinsoku/>
              <w:overflowPunct/>
              <w:autoSpaceDE/>
              <w:autoSpaceDN/>
              <w:adjustRightInd/>
              <w:snapToGrid/>
              <w:spacing w:before="40" w:after="40" w:line="240" w:lineRule="auto"/>
              <w:jc w:val="both"/>
              <w:rPr>
                <w:rFonts w:asciiTheme="majorBidi" w:hAnsiTheme="majorBidi" w:cstheme="majorBidi"/>
                <w:sz w:val="16"/>
                <w:szCs w:val="16"/>
                <w:lang w:val="fr-FR"/>
              </w:rPr>
            </w:pPr>
          </w:p>
        </w:tc>
        <w:tc>
          <w:tcPr>
            <w:tcW w:w="2126" w:type="dxa"/>
            <w:vMerge/>
            <w:tcBorders>
              <w:left w:val="nil"/>
              <w:right w:val="nil"/>
            </w:tcBorders>
            <w:vAlign w:val="center"/>
          </w:tcPr>
          <w:p w14:paraId="643A35D1" w14:textId="77777777" w:rsidR="00566E09" w:rsidRPr="004867C2" w:rsidRDefault="00566E09" w:rsidP="0051036C">
            <w:pPr>
              <w:keepNext/>
              <w:keepLines/>
              <w:kinsoku/>
              <w:overflowPunct/>
              <w:autoSpaceDE/>
              <w:autoSpaceDN/>
              <w:adjustRightInd/>
              <w:snapToGrid/>
              <w:spacing w:before="40" w:after="40" w:line="240" w:lineRule="auto"/>
              <w:rPr>
                <w:rFonts w:asciiTheme="majorBidi" w:hAnsiTheme="majorBidi" w:cstheme="majorBidi"/>
                <w:sz w:val="16"/>
                <w:szCs w:val="16"/>
                <w:lang w:val="fr-FR"/>
              </w:rPr>
            </w:pPr>
          </w:p>
        </w:tc>
        <w:tc>
          <w:tcPr>
            <w:tcW w:w="2152" w:type="dxa"/>
            <w:vMerge/>
            <w:tcBorders>
              <w:top w:val="nil"/>
              <w:left w:val="nil"/>
              <w:bottom w:val="nil"/>
              <w:right w:val="nil"/>
            </w:tcBorders>
            <w:vAlign w:val="center"/>
            <w:hideMark/>
          </w:tcPr>
          <w:p w14:paraId="282F7DED" w14:textId="77777777" w:rsidR="00566E09" w:rsidRPr="004867C2" w:rsidRDefault="00566E09" w:rsidP="0051036C">
            <w:pPr>
              <w:kinsoku/>
              <w:overflowPunct/>
              <w:autoSpaceDE/>
              <w:autoSpaceDN/>
              <w:adjustRightInd/>
              <w:snapToGrid/>
              <w:spacing w:before="40" w:after="40" w:line="240" w:lineRule="auto"/>
              <w:rPr>
                <w:rFonts w:asciiTheme="majorBidi" w:hAnsiTheme="majorBidi" w:cstheme="majorBidi"/>
                <w:sz w:val="16"/>
                <w:szCs w:val="16"/>
                <w:lang w:val="fr-FR"/>
              </w:rPr>
            </w:pPr>
          </w:p>
        </w:tc>
        <w:tc>
          <w:tcPr>
            <w:tcW w:w="2296" w:type="dxa"/>
            <w:gridSpan w:val="3"/>
            <w:vMerge/>
            <w:tcBorders>
              <w:left w:val="nil"/>
              <w:right w:val="nil"/>
            </w:tcBorders>
          </w:tcPr>
          <w:p w14:paraId="40FEC643" w14:textId="77777777" w:rsidR="00566E09" w:rsidRPr="004867C2" w:rsidRDefault="00566E09" w:rsidP="0051036C">
            <w:pPr>
              <w:keepNext/>
              <w:keepLines/>
              <w:kinsoku/>
              <w:overflowPunct/>
              <w:autoSpaceDE/>
              <w:autoSpaceDN/>
              <w:adjustRightInd/>
              <w:snapToGrid/>
              <w:spacing w:before="40" w:after="40" w:line="240" w:lineRule="auto"/>
              <w:jc w:val="both"/>
              <w:rPr>
                <w:rFonts w:asciiTheme="majorBidi" w:hAnsiTheme="majorBidi" w:cstheme="majorBidi"/>
                <w:sz w:val="16"/>
                <w:szCs w:val="16"/>
                <w:lang w:val="fr-FR"/>
              </w:rPr>
            </w:pPr>
          </w:p>
        </w:tc>
        <w:tc>
          <w:tcPr>
            <w:tcW w:w="896" w:type="dxa"/>
            <w:gridSpan w:val="3"/>
            <w:tcBorders>
              <w:top w:val="nil"/>
              <w:left w:val="nil"/>
              <w:bottom w:val="nil"/>
              <w:right w:val="nil"/>
            </w:tcBorders>
            <w:hideMark/>
          </w:tcPr>
          <w:p w14:paraId="0908D807" w14:textId="77777777" w:rsidR="00566E09" w:rsidRPr="004867C2" w:rsidRDefault="00566E09" w:rsidP="0051036C">
            <w:pPr>
              <w:keepNext/>
              <w:keepLines/>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H210</w:t>
            </w:r>
          </w:p>
        </w:tc>
        <w:tc>
          <w:tcPr>
            <w:tcW w:w="3444" w:type="dxa"/>
            <w:gridSpan w:val="2"/>
            <w:tcBorders>
              <w:top w:val="nil"/>
              <w:left w:val="nil"/>
              <w:bottom w:val="nil"/>
              <w:right w:val="nil"/>
            </w:tcBorders>
            <w:hideMark/>
          </w:tcPr>
          <w:p w14:paraId="3354364C" w14:textId="77777777" w:rsidR="00566E09" w:rsidRPr="004867C2" w:rsidRDefault="00566E09" w:rsidP="0051036C">
            <w:pPr>
              <w:keepNext/>
              <w:keepLines/>
              <w:kinsoku/>
              <w:overflowPunct/>
              <w:autoSpaceDE/>
              <w:autoSpaceDN/>
              <w:adjustRightInd/>
              <w:snapToGrid/>
              <w:spacing w:before="40" w:after="40" w:line="240" w:lineRule="auto"/>
              <w:jc w:val="both"/>
              <w:rPr>
                <w:rFonts w:asciiTheme="majorBidi" w:hAnsiTheme="majorBidi" w:cstheme="majorBidi"/>
                <w:sz w:val="16"/>
                <w:szCs w:val="16"/>
                <w:lang w:val="fr-FR"/>
              </w:rPr>
            </w:pPr>
            <w:r w:rsidRPr="004867C2">
              <w:rPr>
                <w:rFonts w:asciiTheme="majorBidi" w:hAnsiTheme="majorBidi" w:cstheme="majorBidi"/>
                <w:sz w:val="16"/>
                <w:szCs w:val="16"/>
                <w:lang w:val="fr-FR"/>
              </w:rPr>
              <w:t>Très sensible</w:t>
            </w:r>
          </w:p>
        </w:tc>
      </w:tr>
      <w:tr w:rsidR="00566E09" w:rsidRPr="004867C2" w14:paraId="29AA9238" w14:textId="77777777" w:rsidTr="00D9689A">
        <w:trPr>
          <w:gridAfter w:val="2"/>
          <w:wAfter w:w="15" w:type="dxa"/>
        </w:trPr>
        <w:tc>
          <w:tcPr>
            <w:tcW w:w="2835" w:type="dxa"/>
            <w:vMerge/>
            <w:tcBorders>
              <w:left w:val="nil"/>
              <w:bottom w:val="nil"/>
              <w:right w:val="nil"/>
            </w:tcBorders>
          </w:tcPr>
          <w:p w14:paraId="4CB7B650" w14:textId="77777777" w:rsidR="00566E09" w:rsidRPr="004867C2" w:rsidRDefault="00566E09" w:rsidP="0051036C">
            <w:pPr>
              <w:keepNext/>
              <w:keepLines/>
              <w:kinsoku/>
              <w:overflowPunct/>
              <w:autoSpaceDE/>
              <w:autoSpaceDN/>
              <w:adjustRightInd/>
              <w:snapToGrid/>
              <w:spacing w:before="40" w:after="40" w:line="240" w:lineRule="auto"/>
              <w:jc w:val="both"/>
              <w:rPr>
                <w:rFonts w:asciiTheme="majorBidi" w:hAnsiTheme="majorBidi" w:cstheme="majorBidi"/>
                <w:sz w:val="16"/>
                <w:szCs w:val="16"/>
                <w:lang w:val="fr-FR"/>
              </w:rPr>
            </w:pPr>
          </w:p>
        </w:tc>
        <w:tc>
          <w:tcPr>
            <w:tcW w:w="2126" w:type="dxa"/>
            <w:vMerge/>
            <w:tcBorders>
              <w:left w:val="nil"/>
              <w:bottom w:val="nil"/>
              <w:right w:val="nil"/>
            </w:tcBorders>
            <w:vAlign w:val="center"/>
          </w:tcPr>
          <w:p w14:paraId="3EDA0709" w14:textId="77777777" w:rsidR="00566E09" w:rsidRPr="004867C2" w:rsidRDefault="00566E09" w:rsidP="0051036C">
            <w:pPr>
              <w:keepNext/>
              <w:keepLines/>
              <w:kinsoku/>
              <w:overflowPunct/>
              <w:autoSpaceDE/>
              <w:autoSpaceDN/>
              <w:adjustRightInd/>
              <w:snapToGrid/>
              <w:spacing w:before="40" w:after="40" w:line="240" w:lineRule="auto"/>
              <w:rPr>
                <w:rFonts w:asciiTheme="majorBidi" w:hAnsiTheme="majorBidi" w:cstheme="majorBidi"/>
                <w:sz w:val="16"/>
                <w:szCs w:val="16"/>
                <w:lang w:val="fr-FR"/>
              </w:rPr>
            </w:pPr>
          </w:p>
        </w:tc>
        <w:tc>
          <w:tcPr>
            <w:tcW w:w="2152" w:type="dxa"/>
            <w:vMerge/>
            <w:tcBorders>
              <w:top w:val="nil"/>
              <w:left w:val="nil"/>
              <w:bottom w:val="nil"/>
              <w:right w:val="nil"/>
            </w:tcBorders>
            <w:vAlign w:val="center"/>
            <w:hideMark/>
          </w:tcPr>
          <w:p w14:paraId="4D4CB44B" w14:textId="77777777" w:rsidR="00566E09" w:rsidRPr="004867C2" w:rsidRDefault="00566E09" w:rsidP="0051036C">
            <w:pPr>
              <w:kinsoku/>
              <w:overflowPunct/>
              <w:autoSpaceDE/>
              <w:autoSpaceDN/>
              <w:adjustRightInd/>
              <w:snapToGrid/>
              <w:spacing w:before="40" w:after="40" w:line="240" w:lineRule="auto"/>
              <w:rPr>
                <w:rFonts w:asciiTheme="majorBidi" w:hAnsiTheme="majorBidi" w:cstheme="majorBidi"/>
                <w:sz w:val="16"/>
                <w:szCs w:val="16"/>
                <w:lang w:val="fr-FR"/>
              </w:rPr>
            </w:pPr>
          </w:p>
        </w:tc>
        <w:tc>
          <w:tcPr>
            <w:tcW w:w="2296" w:type="dxa"/>
            <w:gridSpan w:val="3"/>
            <w:vMerge/>
            <w:tcBorders>
              <w:left w:val="nil"/>
              <w:bottom w:val="nil"/>
              <w:right w:val="nil"/>
            </w:tcBorders>
          </w:tcPr>
          <w:p w14:paraId="12AD7ACA" w14:textId="77777777" w:rsidR="00566E09" w:rsidRPr="004867C2" w:rsidRDefault="00566E09" w:rsidP="0051036C">
            <w:pPr>
              <w:keepNext/>
              <w:keepLines/>
              <w:kinsoku/>
              <w:overflowPunct/>
              <w:autoSpaceDE/>
              <w:autoSpaceDN/>
              <w:adjustRightInd/>
              <w:snapToGrid/>
              <w:spacing w:before="40" w:after="40" w:line="240" w:lineRule="auto"/>
              <w:jc w:val="both"/>
              <w:rPr>
                <w:rFonts w:asciiTheme="majorBidi" w:hAnsiTheme="majorBidi" w:cstheme="majorBidi"/>
                <w:sz w:val="16"/>
                <w:szCs w:val="16"/>
                <w:lang w:val="fr-FR"/>
              </w:rPr>
            </w:pPr>
          </w:p>
        </w:tc>
        <w:tc>
          <w:tcPr>
            <w:tcW w:w="896" w:type="dxa"/>
            <w:gridSpan w:val="3"/>
            <w:tcBorders>
              <w:top w:val="nil"/>
              <w:left w:val="nil"/>
              <w:bottom w:val="nil"/>
              <w:right w:val="nil"/>
            </w:tcBorders>
            <w:hideMark/>
          </w:tcPr>
          <w:p w14:paraId="244C4D2F" w14:textId="77777777" w:rsidR="00566E09" w:rsidRPr="004867C2" w:rsidRDefault="00566E09" w:rsidP="0051036C">
            <w:pPr>
              <w:keepNext/>
              <w:keepLines/>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H211</w:t>
            </w:r>
          </w:p>
        </w:tc>
        <w:tc>
          <w:tcPr>
            <w:tcW w:w="3444" w:type="dxa"/>
            <w:gridSpan w:val="2"/>
            <w:tcBorders>
              <w:top w:val="nil"/>
              <w:left w:val="nil"/>
              <w:bottom w:val="nil"/>
              <w:right w:val="nil"/>
            </w:tcBorders>
            <w:hideMark/>
          </w:tcPr>
          <w:p w14:paraId="1E39C796" w14:textId="77777777" w:rsidR="00566E09" w:rsidRPr="004867C2" w:rsidRDefault="00566E09" w:rsidP="0051036C">
            <w:pPr>
              <w:keepNext/>
              <w:keepLines/>
              <w:kinsoku/>
              <w:overflowPunct/>
              <w:autoSpaceDE/>
              <w:autoSpaceDN/>
              <w:adjustRightInd/>
              <w:snapToGrid/>
              <w:spacing w:before="40" w:after="40" w:line="240" w:lineRule="auto"/>
              <w:jc w:val="both"/>
              <w:rPr>
                <w:rFonts w:asciiTheme="majorBidi" w:hAnsiTheme="majorBidi" w:cstheme="majorBidi"/>
                <w:sz w:val="16"/>
                <w:szCs w:val="16"/>
                <w:lang w:val="fr-FR"/>
              </w:rPr>
            </w:pPr>
            <w:r w:rsidRPr="004867C2">
              <w:rPr>
                <w:rFonts w:asciiTheme="majorBidi" w:hAnsiTheme="majorBidi" w:cstheme="majorBidi"/>
                <w:sz w:val="16"/>
                <w:szCs w:val="16"/>
                <w:lang w:val="fr-FR"/>
              </w:rPr>
              <w:t>Potentiellement sensible</w:t>
            </w:r>
          </w:p>
        </w:tc>
      </w:tr>
      <w:tr w:rsidR="00566E09" w:rsidRPr="004867C2" w14:paraId="2BB604BF" w14:textId="77777777" w:rsidTr="00D9689A">
        <w:tc>
          <w:tcPr>
            <w:tcW w:w="13764" w:type="dxa"/>
            <w:gridSpan w:val="13"/>
            <w:tcBorders>
              <w:top w:val="single" w:sz="4" w:space="0" w:color="auto"/>
              <w:left w:val="single" w:sz="4" w:space="0" w:color="auto"/>
              <w:bottom w:val="single" w:sz="4" w:space="0" w:color="auto"/>
              <w:right w:val="single" w:sz="4" w:space="0" w:color="auto"/>
            </w:tcBorders>
            <w:hideMark/>
          </w:tcPr>
          <w:p w14:paraId="0FB84830" w14:textId="77777777" w:rsidR="00566E09" w:rsidRPr="004867C2" w:rsidRDefault="00566E09" w:rsidP="0051036C">
            <w:pPr>
              <w:keepNext/>
              <w:keepLines/>
              <w:shd w:val="solid" w:color="FFFFFF" w:fill="FFFFFF"/>
              <w:kinsoku/>
              <w:overflowPunct/>
              <w:autoSpaceDE/>
              <w:adjustRightInd/>
              <w:snapToGrid/>
              <w:spacing w:before="40" w:after="40" w:line="240" w:lineRule="auto"/>
              <w:ind w:left="-102"/>
              <w:jc w:val="center"/>
              <w:outlineLvl w:val="6"/>
              <w:rPr>
                <w:rFonts w:asciiTheme="majorBidi" w:hAnsiTheme="majorBidi" w:cstheme="majorBidi"/>
                <w:b/>
                <w:bCs/>
                <w:sz w:val="16"/>
                <w:szCs w:val="16"/>
                <w:lang w:val="fr-FR"/>
              </w:rPr>
            </w:pPr>
            <w:r w:rsidRPr="004867C2">
              <w:rPr>
                <w:rFonts w:asciiTheme="majorBidi" w:hAnsiTheme="majorBidi" w:cstheme="majorBidi"/>
                <w:b/>
                <w:bCs/>
                <w:sz w:val="16"/>
                <w:szCs w:val="16"/>
                <w:lang w:val="fr-FR"/>
              </w:rPr>
              <w:t>Conseils de prudence</w:t>
            </w:r>
          </w:p>
        </w:tc>
      </w:tr>
      <w:tr w:rsidR="00566E09" w:rsidRPr="004867C2" w14:paraId="659B110C" w14:textId="77777777" w:rsidTr="00D9689A">
        <w:tc>
          <w:tcPr>
            <w:tcW w:w="7162" w:type="dxa"/>
            <w:gridSpan w:val="5"/>
            <w:tcBorders>
              <w:top w:val="single" w:sz="4" w:space="0" w:color="auto"/>
              <w:left w:val="single" w:sz="4" w:space="0" w:color="auto"/>
              <w:bottom w:val="single" w:sz="4" w:space="0" w:color="auto"/>
              <w:right w:val="single" w:sz="4" w:space="0" w:color="auto"/>
            </w:tcBorders>
            <w:hideMark/>
          </w:tcPr>
          <w:p w14:paraId="00E0ECC8" w14:textId="77777777" w:rsidR="00566E09" w:rsidRPr="004867C2" w:rsidRDefault="00566E09" w:rsidP="0051036C">
            <w:pPr>
              <w:keepNext/>
              <w:keepLines/>
              <w:kinsoku/>
              <w:overflowPunct/>
              <w:autoSpaceDE/>
              <w:autoSpaceDN/>
              <w:adjustRightInd/>
              <w:snapToGrid/>
              <w:spacing w:before="40" w:after="40" w:line="240" w:lineRule="auto"/>
              <w:jc w:val="center"/>
              <w:rPr>
                <w:rFonts w:asciiTheme="majorBidi" w:hAnsiTheme="majorBidi" w:cstheme="majorBidi"/>
                <w:b/>
                <w:bCs/>
                <w:sz w:val="16"/>
                <w:szCs w:val="16"/>
                <w:lang w:val="fr-FR"/>
              </w:rPr>
            </w:pPr>
            <w:r w:rsidRPr="004867C2">
              <w:rPr>
                <w:rFonts w:asciiTheme="majorBidi" w:hAnsiTheme="majorBidi" w:cstheme="majorBidi"/>
                <w:b/>
                <w:bCs/>
                <w:sz w:val="16"/>
                <w:szCs w:val="16"/>
                <w:lang w:val="fr-FR"/>
              </w:rPr>
              <w:t>Prévention</w:t>
            </w:r>
          </w:p>
        </w:tc>
        <w:tc>
          <w:tcPr>
            <w:tcW w:w="2407" w:type="dxa"/>
            <w:gridSpan w:val="3"/>
            <w:tcBorders>
              <w:top w:val="single" w:sz="4" w:space="0" w:color="auto"/>
              <w:left w:val="single" w:sz="4" w:space="0" w:color="auto"/>
              <w:bottom w:val="single" w:sz="4" w:space="0" w:color="auto"/>
              <w:right w:val="single" w:sz="4" w:space="0" w:color="auto"/>
            </w:tcBorders>
            <w:hideMark/>
          </w:tcPr>
          <w:p w14:paraId="4FE85C84" w14:textId="77777777" w:rsidR="00566E09" w:rsidRPr="004867C2" w:rsidRDefault="00566E09" w:rsidP="0051036C">
            <w:pPr>
              <w:keepNext/>
              <w:keepLines/>
              <w:kinsoku/>
              <w:overflowPunct/>
              <w:autoSpaceDE/>
              <w:autoSpaceDN/>
              <w:adjustRightInd/>
              <w:snapToGrid/>
              <w:spacing w:before="40" w:after="40" w:line="240" w:lineRule="auto"/>
              <w:jc w:val="center"/>
              <w:rPr>
                <w:rFonts w:asciiTheme="majorBidi" w:hAnsiTheme="majorBidi" w:cstheme="majorBidi"/>
                <w:b/>
                <w:bCs/>
                <w:sz w:val="16"/>
                <w:szCs w:val="16"/>
                <w:lang w:val="fr-FR"/>
              </w:rPr>
            </w:pPr>
            <w:r w:rsidRPr="004867C2">
              <w:rPr>
                <w:rFonts w:asciiTheme="majorBidi" w:hAnsiTheme="majorBidi" w:cstheme="majorBidi"/>
                <w:b/>
                <w:bCs/>
                <w:sz w:val="16"/>
                <w:szCs w:val="16"/>
                <w:lang w:val="fr-FR"/>
              </w:rPr>
              <w:t>Intervention</w:t>
            </w:r>
          </w:p>
        </w:tc>
        <w:tc>
          <w:tcPr>
            <w:tcW w:w="1899" w:type="dxa"/>
            <w:gridSpan w:val="2"/>
            <w:tcBorders>
              <w:top w:val="single" w:sz="4" w:space="0" w:color="auto"/>
              <w:left w:val="single" w:sz="4" w:space="0" w:color="auto"/>
              <w:bottom w:val="single" w:sz="4" w:space="0" w:color="auto"/>
              <w:right w:val="single" w:sz="4" w:space="0" w:color="auto"/>
            </w:tcBorders>
            <w:hideMark/>
          </w:tcPr>
          <w:p w14:paraId="20322613" w14:textId="77777777" w:rsidR="00566E09" w:rsidRPr="004867C2" w:rsidRDefault="00566E09" w:rsidP="0051036C">
            <w:pPr>
              <w:keepNext/>
              <w:keepLines/>
              <w:kinsoku/>
              <w:overflowPunct/>
              <w:autoSpaceDE/>
              <w:autoSpaceDN/>
              <w:adjustRightInd/>
              <w:snapToGrid/>
              <w:spacing w:before="40" w:after="40" w:line="240" w:lineRule="auto"/>
              <w:jc w:val="center"/>
              <w:rPr>
                <w:rFonts w:asciiTheme="majorBidi" w:hAnsiTheme="majorBidi" w:cstheme="majorBidi"/>
                <w:b/>
                <w:bCs/>
                <w:sz w:val="16"/>
                <w:szCs w:val="16"/>
                <w:lang w:val="fr-FR"/>
              </w:rPr>
            </w:pPr>
            <w:r w:rsidRPr="004867C2">
              <w:rPr>
                <w:rFonts w:asciiTheme="majorBidi" w:hAnsiTheme="majorBidi" w:cstheme="majorBidi"/>
                <w:b/>
                <w:bCs/>
                <w:sz w:val="16"/>
                <w:szCs w:val="16"/>
                <w:lang w:val="fr-FR"/>
              </w:rPr>
              <w:t>Stockage</w:t>
            </w:r>
          </w:p>
        </w:tc>
        <w:tc>
          <w:tcPr>
            <w:tcW w:w="2296" w:type="dxa"/>
            <w:gridSpan w:val="3"/>
            <w:tcBorders>
              <w:top w:val="single" w:sz="4" w:space="0" w:color="auto"/>
              <w:left w:val="single" w:sz="4" w:space="0" w:color="auto"/>
              <w:bottom w:val="single" w:sz="4" w:space="0" w:color="auto"/>
              <w:right w:val="single" w:sz="4" w:space="0" w:color="auto"/>
            </w:tcBorders>
            <w:hideMark/>
          </w:tcPr>
          <w:p w14:paraId="3EEB57FB" w14:textId="77777777" w:rsidR="00566E09" w:rsidRPr="004867C2" w:rsidRDefault="00566E09" w:rsidP="0051036C">
            <w:pPr>
              <w:keepNext/>
              <w:keepLines/>
              <w:kinsoku/>
              <w:overflowPunct/>
              <w:autoSpaceDE/>
              <w:autoSpaceDN/>
              <w:adjustRightInd/>
              <w:snapToGrid/>
              <w:spacing w:before="40" w:after="40" w:line="240" w:lineRule="auto"/>
              <w:jc w:val="center"/>
              <w:rPr>
                <w:rFonts w:asciiTheme="majorBidi" w:hAnsiTheme="majorBidi" w:cstheme="majorBidi"/>
                <w:b/>
                <w:bCs/>
                <w:sz w:val="16"/>
                <w:szCs w:val="16"/>
                <w:lang w:val="fr-FR"/>
              </w:rPr>
            </w:pPr>
            <w:r w:rsidRPr="004867C2">
              <w:rPr>
                <w:rFonts w:asciiTheme="majorBidi" w:hAnsiTheme="majorBidi" w:cstheme="majorBidi"/>
                <w:b/>
                <w:bCs/>
                <w:sz w:val="16"/>
                <w:szCs w:val="16"/>
                <w:lang w:val="fr-FR"/>
              </w:rPr>
              <w:t>Élimination</w:t>
            </w:r>
          </w:p>
        </w:tc>
      </w:tr>
      <w:tr w:rsidR="00566E09" w:rsidRPr="00AE0017" w14:paraId="4C1E3883" w14:textId="77777777" w:rsidTr="00D9689A">
        <w:tc>
          <w:tcPr>
            <w:tcW w:w="7162" w:type="dxa"/>
            <w:gridSpan w:val="5"/>
            <w:tcBorders>
              <w:top w:val="single" w:sz="4" w:space="0" w:color="auto"/>
              <w:left w:val="single" w:sz="4" w:space="0" w:color="auto"/>
              <w:bottom w:val="single" w:sz="4" w:space="0" w:color="auto"/>
              <w:right w:val="single" w:sz="4" w:space="0" w:color="auto"/>
            </w:tcBorders>
            <w:hideMark/>
          </w:tcPr>
          <w:p w14:paraId="08E9E389" w14:textId="77777777" w:rsidR="00566E09" w:rsidRPr="004867C2" w:rsidRDefault="00566E09" w:rsidP="0051036C">
            <w:pPr>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 xml:space="preserve">P203 </w:t>
            </w:r>
          </w:p>
          <w:p w14:paraId="0FCAC102" w14:textId="77777777" w:rsidR="00566E09" w:rsidRPr="004867C2" w:rsidRDefault="00566E09" w:rsidP="0051036C">
            <w:pPr>
              <w:kinsoku/>
              <w:overflowPunct/>
              <w:autoSpaceDE/>
              <w:autoSpaceDN/>
              <w:adjustRightInd/>
              <w:snapToGrid/>
              <w:spacing w:before="40" w:after="40" w:line="240" w:lineRule="auto"/>
              <w:rPr>
                <w:rFonts w:asciiTheme="majorBidi" w:hAnsiTheme="majorBidi" w:cstheme="majorBidi"/>
                <w:b/>
                <w:sz w:val="16"/>
                <w:szCs w:val="16"/>
                <w:lang w:val="fr-FR"/>
              </w:rPr>
            </w:pPr>
            <w:r w:rsidRPr="004867C2">
              <w:rPr>
                <w:rFonts w:asciiTheme="majorBidi" w:hAnsiTheme="majorBidi" w:cstheme="majorBidi"/>
                <w:b/>
                <w:bCs/>
                <w:sz w:val="16"/>
                <w:szCs w:val="16"/>
                <w:lang w:val="fr-FR"/>
              </w:rPr>
              <w:t>Se procurer, lire et appliquer toutes les instructions de sécurité avant utilisation.</w:t>
            </w:r>
            <w:r w:rsidRPr="004867C2">
              <w:rPr>
                <w:rFonts w:asciiTheme="majorBidi" w:hAnsiTheme="majorBidi" w:cstheme="majorBidi"/>
                <w:sz w:val="16"/>
                <w:szCs w:val="16"/>
                <w:lang w:val="fr-FR"/>
              </w:rPr>
              <w:t xml:space="preserve"> </w:t>
            </w:r>
          </w:p>
          <w:p w14:paraId="705B3314" w14:textId="77777777" w:rsidR="00566E09" w:rsidRPr="004867C2" w:rsidRDefault="00566E09" w:rsidP="0051036C">
            <w:pPr>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 xml:space="preserve">P210 </w:t>
            </w:r>
          </w:p>
          <w:p w14:paraId="75C37FCC" w14:textId="77777777" w:rsidR="00566E09" w:rsidRPr="004867C2" w:rsidRDefault="00566E09" w:rsidP="0051036C">
            <w:pPr>
              <w:kinsoku/>
              <w:overflowPunct/>
              <w:autoSpaceDE/>
              <w:autoSpaceDN/>
              <w:adjustRightInd/>
              <w:snapToGrid/>
              <w:spacing w:before="40" w:after="40" w:line="240" w:lineRule="auto"/>
              <w:rPr>
                <w:rFonts w:asciiTheme="majorBidi" w:hAnsiTheme="majorBidi" w:cstheme="majorBidi"/>
                <w:b/>
                <w:bCs/>
                <w:sz w:val="16"/>
                <w:szCs w:val="16"/>
                <w:lang w:val="fr-FR"/>
              </w:rPr>
            </w:pPr>
            <w:r w:rsidRPr="004867C2">
              <w:rPr>
                <w:rFonts w:asciiTheme="majorBidi" w:hAnsiTheme="majorBidi" w:cstheme="majorBidi"/>
                <w:b/>
                <w:bCs/>
                <w:sz w:val="16"/>
                <w:szCs w:val="16"/>
                <w:lang w:val="fr-FR"/>
              </w:rPr>
              <w:t>Tenir à l</w:t>
            </w:r>
            <w:r w:rsidR="00412DEA">
              <w:rPr>
                <w:rFonts w:asciiTheme="majorBidi" w:hAnsiTheme="majorBidi" w:cstheme="majorBidi"/>
                <w:b/>
                <w:bCs/>
                <w:sz w:val="16"/>
                <w:szCs w:val="16"/>
                <w:lang w:val="fr-FR"/>
              </w:rPr>
              <w:t>’</w:t>
            </w:r>
            <w:r w:rsidRPr="004867C2">
              <w:rPr>
                <w:rFonts w:asciiTheme="majorBidi" w:hAnsiTheme="majorBidi" w:cstheme="majorBidi"/>
                <w:b/>
                <w:bCs/>
                <w:sz w:val="16"/>
                <w:szCs w:val="16"/>
                <w:lang w:val="fr-FR"/>
              </w:rPr>
              <w:t>écart de la chaleur, des surfaces chaudes, des étincelles, des flammes nues et de toute autre source d</w:t>
            </w:r>
            <w:r w:rsidR="00412DEA">
              <w:rPr>
                <w:rFonts w:asciiTheme="majorBidi" w:hAnsiTheme="majorBidi" w:cstheme="majorBidi"/>
                <w:b/>
                <w:bCs/>
                <w:sz w:val="16"/>
                <w:szCs w:val="16"/>
                <w:lang w:val="fr-FR"/>
              </w:rPr>
              <w:t>’</w:t>
            </w:r>
            <w:r w:rsidRPr="004867C2">
              <w:rPr>
                <w:rFonts w:asciiTheme="majorBidi" w:hAnsiTheme="majorBidi" w:cstheme="majorBidi"/>
                <w:b/>
                <w:bCs/>
                <w:sz w:val="16"/>
                <w:szCs w:val="16"/>
                <w:lang w:val="fr-FR"/>
              </w:rPr>
              <w:t>ignition.</w:t>
            </w:r>
            <w:r w:rsidRPr="004867C2">
              <w:rPr>
                <w:rFonts w:asciiTheme="majorBidi" w:hAnsiTheme="majorBidi" w:cstheme="majorBidi"/>
                <w:sz w:val="16"/>
                <w:szCs w:val="16"/>
                <w:lang w:val="fr-FR"/>
              </w:rPr>
              <w:t xml:space="preserve"> </w:t>
            </w:r>
            <w:r w:rsidRPr="004867C2">
              <w:rPr>
                <w:rFonts w:asciiTheme="majorBidi" w:hAnsiTheme="majorBidi" w:cstheme="majorBidi"/>
                <w:b/>
                <w:bCs/>
                <w:sz w:val="16"/>
                <w:szCs w:val="16"/>
                <w:lang w:val="fr-FR"/>
              </w:rPr>
              <w:t>Ne pas fumer.</w:t>
            </w:r>
          </w:p>
          <w:p w14:paraId="680AA6EC" w14:textId="77777777" w:rsidR="00566E09" w:rsidRPr="004867C2" w:rsidRDefault="00566E09" w:rsidP="0051036C">
            <w:pPr>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P230</w:t>
            </w:r>
          </w:p>
          <w:p w14:paraId="7BB2A8A3" w14:textId="77777777" w:rsidR="00566E09" w:rsidRPr="004867C2" w:rsidRDefault="00566E09" w:rsidP="0051036C">
            <w:pPr>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b/>
                <w:bCs/>
                <w:sz w:val="16"/>
                <w:szCs w:val="16"/>
                <w:lang w:val="fr-FR"/>
              </w:rPr>
              <w:t>Maintenir dilué avec...</w:t>
            </w:r>
            <w:r w:rsidRPr="004867C2">
              <w:rPr>
                <w:rFonts w:asciiTheme="majorBidi" w:hAnsiTheme="majorBidi" w:cstheme="majorBidi"/>
                <w:sz w:val="16"/>
                <w:szCs w:val="16"/>
                <w:lang w:val="fr-FR"/>
              </w:rPr>
              <w:t xml:space="preserve"> </w:t>
            </w:r>
          </w:p>
          <w:p w14:paraId="0FFC6D8E" w14:textId="77777777" w:rsidR="00566E09" w:rsidRPr="004867C2" w:rsidRDefault="00566E09" w:rsidP="0051036C">
            <w:pPr>
              <w:kinsoku/>
              <w:overflowPunct/>
              <w:autoSpaceDE/>
              <w:autoSpaceDN/>
              <w:adjustRightInd/>
              <w:snapToGrid/>
              <w:spacing w:before="40" w:after="40" w:line="240" w:lineRule="auto"/>
              <w:rPr>
                <w:rFonts w:asciiTheme="majorBidi" w:hAnsiTheme="majorBidi" w:cstheme="majorBidi"/>
                <w:i/>
                <w:iCs/>
                <w:sz w:val="16"/>
                <w:szCs w:val="16"/>
                <w:lang w:val="fr-FR"/>
              </w:rPr>
            </w:pPr>
            <w:r w:rsidRPr="004867C2">
              <w:rPr>
                <w:rFonts w:asciiTheme="majorBidi" w:hAnsiTheme="majorBidi" w:cstheme="majorBidi"/>
                <w:i/>
                <w:iCs/>
                <w:sz w:val="16"/>
                <w:szCs w:val="16"/>
                <w:lang w:val="fr-FR"/>
              </w:rPr>
              <w:t>- Pour les matières et les mélanges explosibles qui sont dilués avec des matières solides ou liquides, ou mouillés avec de l</w:t>
            </w:r>
            <w:r w:rsidR="00412DEA">
              <w:rPr>
                <w:rFonts w:asciiTheme="majorBidi" w:hAnsiTheme="majorBidi" w:cstheme="majorBidi"/>
                <w:i/>
                <w:iCs/>
                <w:sz w:val="16"/>
                <w:szCs w:val="16"/>
                <w:lang w:val="fr-FR"/>
              </w:rPr>
              <w:t>’</w:t>
            </w:r>
            <w:r w:rsidRPr="004867C2">
              <w:rPr>
                <w:rFonts w:asciiTheme="majorBidi" w:hAnsiTheme="majorBidi" w:cstheme="majorBidi"/>
                <w:i/>
                <w:iCs/>
                <w:sz w:val="16"/>
                <w:szCs w:val="16"/>
                <w:lang w:val="fr-FR"/>
              </w:rPr>
              <w:t>eau ou d</w:t>
            </w:r>
            <w:r w:rsidR="00412DEA">
              <w:rPr>
                <w:rFonts w:asciiTheme="majorBidi" w:hAnsiTheme="majorBidi" w:cstheme="majorBidi"/>
                <w:i/>
                <w:iCs/>
                <w:sz w:val="16"/>
                <w:szCs w:val="16"/>
                <w:lang w:val="fr-FR"/>
              </w:rPr>
              <w:t>’</w:t>
            </w:r>
            <w:r w:rsidRPr="004867C2">
              <w:rPr>
                <w:rFonts w:asciiTheme="majorBidi" w:hAnsiTheme="majorBidi" w:cstheme="majorBidi"/>
                <w:i/>
                <w:iCs/>
                <w:sz w:val="16"/>
                <w:szCs w:val="16"/>
                <w:lang w:val="fr-FR"/>
              </w:rPr>
              <w:t>autres liquides, ou dissous ou mis en suspension dans l</w:t>
            </w:r>
            <w:r w:rsidR="00412DEA">
              <w:rPr>
                <w:rFonts w:asciiTheme="majorBidi" w:hAnsiTheme="majorBidi" w:cstheme="majorBidi"/>
                <w:i/>
                <w:iCs/>
                <w:sz w:val="16"/>
                <w:szCs w:val="16"/>
                <w:lang w:val="fr-FR"/>
              </w:rPr>
              <w:t>’</w:t>
            </w:r>
            <w:r w:rsidRPr="004867C2">
              <w:rPr>
                <w:rFonts w:asciiTheme="majorBidi" w:hAnsiTheme="majorBidi" w:cstheme="majorBidi"/>
                <w:i/>
                <w:iCs/>
                <w:sz w:val="16"/>
                <w:szCs w:val="16"/>
                <w:lang w:val="fr-FR"/>
              </w:rPr>
              <w:t>eau ou dans d</w:t>
            </w:r>
            <w:r w:rsidR="00412DEA">
              <w:rPr>
                <w:rFonts w:asciiTheme="majorBidi" w:hAnsiTheme="majorBidi" w:cstheme="majorBidi"/>
                <w:i/>
                <w:iCs/>
                <w:sz w:val="16"/>
                <w:szCs w:val="16"/>
                <w:lang w:val="fr-FR"/>
              </w:rPr>
              <w:t>’</w:t>
            </w:r>
            <w:r w:rsidRPr="004867C2">
              <w:rPr>
                <w:rFonts w:asciiTheme="majorBidi" w:hAnsiTheme="majorBidi" w:cstheme="majorBidi"/>
                <w:i/>
                <w:iCs/>
                <w:sz w:val="16"/>
                <w:szCs w:val="16"/>
                <w:lang w:val="fr-FR"/>
              </w:rPr>
              <w:t>autres liquides afin de diminuer leurs propriétés explosives</w:t>
            </w:r>
          </w:p>
          <w:p w14:paraId="62038945" w14:textId="77777777" w:rsidR="00566E09" w:rsidRPr="004867C2" w:rsidRDefault="00566E09" w:rsidP="0051036C">
            <w:pPr>
              <w:kinsoku/>
              <w:overflowPunct/>
              <w:autoSpaceDE/>
              <w:autoSpaceDN/>
              <w:adjustRightInd/>
              <w:snapToGrid/>
              <w:spacing w:before="40" w:after="40" w:line="240" w:lineRule="auto"/>
              <w:rPr>
                <w:rFonts w:asciiTheme="majorBidi" w:hAnsiTheme="majorBidi" w:cstheme="majorBidi"/>
                <w:i/>
                <w:iCs/>
                <w:sz w:val="16"/>
                <w:szCs w:val="16"/>
                <w:lang w:val="fr-FR"/>
              </w:rPr>
            </w:pPr>
            <w:r w:rsidRPr="004867C2">
              <w:rPr>
                <w:rFonts w:asciiTheme="majorBidi" w:hAnsiTheme="majorBidi" w:cstheme="majorBidi"/>
                <w:i/>
                <w:iCs/>
                <w:sz w:val="16"/>
                <w:szCs w:val="16"/>
                <w:lang w:val="fr-FR"/>
              </w:rPr>
              <w:t xml:space="preserve">... </w:t>
            </w:r>
            <w:r w:rsidRPr="004867C2">
              <w:rPr>
                <w:rFonts w:asciiTheme="majorBidi" w:hAnsiTheme="majorBidi" w:cstheme="majorBidi"/>
                <w:sz w:val="16"/>
                <w:szCs w:val="16"/>
                <w:lang w:val="fr-FR"/>
              </w:rPr>
              <w:t>Il revient au fabricant/fournisseur ou à l</w:t>
            </w:r>
            <w:r w:rsidR="00412DEA">
              <w:rPr>
                <w:rFonts w:asciiTheme="majorBidi" w:hAnsiTheme="majorBidi" w:cstheme="majorBidi"/>
                <w:sz w:val="16"/>
                <w:szCs w:val="16"/>
                <w:lang w:val="fr-FR"/>
              </w:rPr>
              <w:t>’</w:t>
            </w:r>
            <w:r w:rsidRPr="004867C2">
              <w:rPr>
                <w:rFonts w:asciiTheme="majorBidi" w:hAnsiTheme="majorBidi" w:cstheme="majorBidi"/>
                <w:sz w:val="16"/>
                <w:szCs w:val="16"/>
                <w:lang w:val="fr-FR"/>
              </w:rPr>
              <w:t>autorité compétente de préciser les matières appropriées.</w:t>
            </w:r>
          </w:p>
          <w:p w14:paraId="3CB60E1C" w14:textId="77777777" w:rsidR="00566E09" w:rsidRPr="004867C2" w:rsidRDefault="00566E09" w:rsidP="0051036C">
            <w:pPr>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P240</w:t>
            </w:r>
          </w:p>
          <w:p w14:paraId="2F480D2F" w14:textId="77777777" w:rsidR="00566E09" w:rsidRPr="004867C2" w:rsidRDefault="00566E09" w:rsidP="0051036C">
            <w:pPr>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b/>
                <w:bCs/>
                <w:sz w:val="16"/>
                <w:szCs w:val="16"/>
                <w:lang w:val="fr-FR"/>
              </w:rPr>
              <w:t>Mise à la terre et liaison équipotentielle du récipient et du matériel de réception.</w:t>
            </w:r>
            <w:r w:rsidRPr="004867C2">
              <w:rPr>
                <w:rFonts w:asciiTheme="majorBidi" w:hAnsiTheme="majorBidi" w:cstheme="majorBidi"/>
                <w:sz w:val="16"/>
                <w:szCs w:val="16"/>
                <w:lang w:val="fr-FR"/>
              </w:rPr>
              <w:t xml:space="preserve"> </w:t>
            </w:r>
          </w:p>
          <w:p w14:paraId="7A2E82B6" w14:textId="77777777" w:rsidR="00566E09" w:rsidRPr="004867C2" w:rsidRDefault="00566E09" w:rsidP="0051036C">
            <w:pPr>
              <w:kinsoku/>
              <w:overflowPunct/>
              <w:autoSpaceDE/>
              <w:autoSpaceDN/>
              <w:adjustRightInd/>
              <w:snapToGrid/>
              <w:spacing w:before="40" w:after="40" w:line="240" w:lineRule="auto"/>
              <w:rPr>
                <w:rFonts w:asciiTheme="majorBidi" w:hAnsiTheme="majorBidi" w:cstheme="majorBidi"/>
                <w:bCs/>
                <w:sz w:val="16"/>
                <w:szCs w:val="16"/>
                <w:lang w:val="fr-FR"/>
              </w:rPr>
            </w:pPr>
            <w:r w:rsidRPr="004867C2">
              <w:rPr>
                <w:rFonts w:asciiTheme="majorBidi" w:hAnsiTheme="majorBidi" w:cstheme="majorBidi"/>
                <w:i/>
                <w:iCs/>
                <w:sz w:val="16"/>
                <w:szCs w:val="16"/>
                <w:lang w:val="fr-FR"/>
              </w:rPr>
              <w:t>– Si la matière ou l</w:t>
            </w:r>
            <w:r w:rsidR="00412DEA">
              <w:rPr>
                <w:rFonts w:asciiTheme="majorBidi" w:hAnsiTheme="majorBidi" w:cstheme="majorBidi"/>
                <w:i/>
                <w:iCs/>
                <w:sz w:val="16"/>
                <w:szCs w:val="16"/>
                <w:lang w:val="fr-FR"/>
              </w:rPr>
              <w:t>’</w:t>
            </w:r>
            <w:r w:rsidRPr="004867C2">
              <w:rPr>
                <w:rFonts w:asciiTheme="majorBidi" w:hAnsiTheme="majorBidi" w:cstheme="majorBidi"/>
                <w:i/>
                <w:iCs/>
                <w:sz w:val="16"/>
                <w:szCs w:val="16"/>
                <w:lang w:val="fr-FR"/>
              </w:rPr>
              <w:t>objet explosible est sensible à l</w:t>
            </w:r>
            <w:r w:rsidR="00412DEA">
              <w:rPr>
                <w:rFonts w:asciiTheme="majorBidi" w:hAnsiTheme="majorBidi" w:cstheme="majorBidi"/>
                <w:i/>
                <w:iCs/>
                <w:sz w:val="16"/>
                <w:szCs w:val="16"/>
                <w:lang w:val="fr-FR"/>
              </w:rPr>
              <w:t>’</w:t>
            </w:r>
            <w:r w:rsidRPr="004867C2">
              <w:rPr>
                <w:rFonts w:asciiTheme="majorBidi" w:hAnsiTheme="majorBidi" w:cstheme="majorBidi"/>
                <w:i/>
                <w:iCs/>
                <w:sz w:val="16"/>
                <w:szCs w:val="16"/>
                <w:lang w:val="fr-FR"/>
              </w:rPr>
              <w:t>électricité statique.</w:t>
            </w:r>
          </w:p>
          <w:p w14:paraId="65597A9F" w14:textId="77777777" w:rsidR="00566E09" w:rsidRPr="004867C2" w:rsidRDefault="00566E09" w:rsidP="0051036C">
            <w:pPr>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 xml:space="preserve">P250 </w:t>
            </w:r>
          </w:p>
          <w:p w14:paraId="34C2255E" w14:textId="77777777" w:rsidR="00566E09" w:rsidRPr="004867C2" w:rsidRDefault="00566E09" w:rsidP="0051036C">
            <w:pPr>
              <w:keepNext/>
              <w:keepLines/>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b/>
                <w:bCs/>
                <w:sz w:val="16"/>
                <w:szCs w:val="16"/>
                <w:lang w:val="fr-FR"/>
              </w:rPr>
              <w:t>Éviter les abrasions/les chocs/les frottements/...</w:t>
            </w:r>
            <w:r w:rsidRPr="004867C2">
              <w:rPr>
                <w:rFonts w:asciiTheme="majorBidi" w:hAnsiTheme="majorBidi" w:cstheme="majorBidi"/>
                <w:sz w:val="16"/>
                <w:szCs w:val="16"/>
                <w:lang w:val="fr-FR"/>
              </w:rPr>
              <w:t xml:space="preserve"> </w:t>
            </w:r>
          </w:p>
          <w:p w14:paraId="17204771" w14:textId="77777777" w:rsidR="00566E09" w:rsidRPr="004867C2" w:rsidRDefault="00566E09" w:rsidP="0051036C">
            <w:pPr>
              <w:keepNext/>
              <w:keepLines/>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i/>
                <w:iCs/>
                <w:sz w:val="16"/>
                <w:szCs w:val="16"/>
                <w:lang w:val="fr-FR"/>
              </w:rPr>
              <w:t>− Si la matière ou l</w:t>
            </w:r>
            <w:r w:rsidR="00412DEA">
              <w:rPr>
                <w:rFonts w:asciiTheme="majorBidi" w:hAnsiTheme="majorBidi" w:cstheme="majorBidi"/>
                <w:i/>
                <w:iCs/>
                <w:sz w:val="16"/>
                <w:szCs w:val="16"/>
                <w:lang w:val="fr-FR"/>
              </w:rPr>
              <w:t>’</w:t>
            </w:r>
            <w:r w:rsidRPr="004867C2">
              <w:rPr>
                <w:rFonts w:asciiTheme="majorBidi" w:hAnsiTheme="majorBidi" w:cstheme="majorBidi"/>
                <w:i/>
                <w:iCs/>
                <w:sz w:val="16"/>
                <w:szCs w:val="16"/>
                <w:lang w:val="fr-FR"/>
              </w:rPr>
              <w:t>objet explosible est sensible aux chocs mécaniques.</w:t>
            </w:r>
            <w:r w:rsidRPr="004867C2">
              <w:rPr>
                <w:rFonts w:asciiTheme="majorBidi" w:hAnsiTheme="majorBidi" w:cstheme="majorBidi"/>
                <w:sz w:val="16"/>
                <w:szCs w:val="16"/>
                <w:lang w:val="fr-FR"/>
              </w:rPr>
              <w:t xml:space="preserve"> </w:t>
            </w:r>
          </w:p>
          <w:p w14:paraId="4C6167AF" w14:textId="77777777" w:rsidR="00566E09" w:rsidRPr="004867C2" w:rsidRDefault="00566E09" w:rsidP="0051036C">
            <w:pPr>
              <w:kinsoku/>
              <w:overflowPunct/>
              <w:autoSpaceDE/>
              <w:autoSpaceDN/>
              <w:adjustRightInd/>
              <w:snapToGrid/>
              <w:spacing w:before="40" w:after="40" w:line="240" w:lineRule="auto"/>
              <w:rPr>
                <w:rFonts w:asciiTheme="majorBidi" w:hAnsiTheme="majorBidi" w:cstheme="majorBidi"/>
                <w:bCs/>
                <w:sz w:val="16"/>
                <w:szCs w:val="16"/>
                <w:lang w:val="fr-FR"/>
              </w:rPr>
            </w:pPr>
            <w:r w:rsidRPr="004867C2">
              <w:rPr>
                <w:rFonts w:asciiTheme="majorBidi" w:hAnsiTheme="majorBidi" w:cstheme="majorBidi"/>
                <w:sz w:val="16"/>
                <w:szCs w:val="16"/>
                <w:lang w:val="fr-FR"/>
              </w:rPr>
              <w:t>… Il revient au fabricant/fournisseur ou à l</w:t>
            </w:r>
            <w:r w:rsidR="00412DEA">
              <w:rPr>
                <w:rFonts w:asciiTheme="majorBidi" w:hAnsiTheme="majorBidi" w:cstheme="majorBidi"/>
                <w:sz w:val="16"/>
                <w:szCs w:val="16"/>
                <w:lang w:val="fr-FR"/>
              </w:rPr>
              <w:t>’</w:t>
            </w:r>
            <w:r w:rsidRPr="004867C2">
              <w:rPr>
                <w:rFonts w:asciiTheme="majorBidi" w:hAnsiTheme="majorBidi" w:cstheme="majorBidi"/>
                <w:sz w:val="16"/>
                <w:szCs w:val="16"/>
                <w:lang w:val="fr-FR"/>
              </w:rPr>
              <w:t>autorité compétente de préciser le type de manipulation brutale à éviter.</w:t>
            </w:r>
          </w:p>
          <w:p w14:paraId="4FD36FCD" w14:textId="77777777" w:rsidR="00566E09" w:rsidRPr="004867C2" w:rsidRDefault="00566E09" w:rsidP="0051036C">
            <w:pPr>
              <w:keepNext/>
              <w:keepLines/>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 xml:space="preserve">P280 </w:t>
            </w:r>
          </w:p>
          <w:p w14:paraId="7D74F365" w14:textId="77777777" w:rsidR="00566E09" w:rsidRPr="004867C2" w:rsidRDefault="00566E09" w:rsidP="0051036C">
            <w:pPr>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b/>
                <w:bCs/>
                <w:sz w:val="16"/>
                <w:szCs w:val="16"/>
                <w:lang w:val="fr-FR"/>
              </w:rPr>
              <w:t>Porter des gants de protection/des vêtements de protection/un équipement de protection des yeux/du visage/auditive/...</w:t>
            </w:r>
            <w:r w:rsidRPr="004867C2">
              <w:rPr>
                <w:rFonts w:asciiTheme="majorBidi" w:hAnsiTheme="majorBidi" w:cstheme="majorBidi"/>
                <w:sz w:val="16"/>
                <w:szCs w:val="16"/>
                <w:lang w:val="fr-FR"/>
              </w:rPr>
              <w:t xml:space="preserve">  </w:t>
            </w:r>
          </w:p>
          <w:p w14:paraId="0AAA676D" w14:textId="77777777" w:rsidR="00566E09" w:rsidRPr="004867C2" w:rsidRDefault="00566E09" w:rsidP="0051036C">
            <w:pPr>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Il revient au fabricant/fournisseur ou à l</w:t>
            </w:r>
            <w:r w:rsidR="00412DEA">
              <w:rPr>
                <w:rFonts w:asciiTheme="majorBidi" w:hAnsiTheme="majorBidi" w:cstheme="majorBidi"/>
                <w:sz w:val="16"/>
                <w:szCs w:val="16"/>
                <w:lang w:val="fr-FR"/>
              </w:rPr>
              <w:t>’</w:t>
            </w:r>
            <w:r w:rsidRPr="004867C2">
              <w:rPr>
                <w:rFonts w:asciiTheme="majorBidi" w:hAnsiTheme="majorBidi" w:cstheme="majorBidi"/>
                <w:sz w:val="16"/>
                <w:szCs w:val="16"/>
                <w:lang w:val="fr-FR"/>
              </w:rPr>
              <w:t>autorité compétente de préciser l</w:t>
            </w:r>
            <w:r w:rsidR="00412DEA">
              <w:rPr>
                <w:rFonts w:asciiTheme="majorBidi" w:hAnsiTheme="majorBidi" w:cstheme="majorBidi"/>
                <w:sz w:val="16"/>
                <w:szCs w:val="16"/>
                <w:lang w:val="fr-FR"/>
              </w:rPr>
              <w:t>’</w:t>
            </w:r>
            <w:r w:rsidRPr="004867C2">
              <w:rPr>
                <w:rFonts w:asciiTheme="majorBidi" w:hAnsiTheme="majorBidi" w:cstheme="majorBidi"/>
                <w:sz w:val="16"/>
                <w:szCs w:val="16"/>
                <w:lang w:val="fr-FR"/>
              </w:rPr>
              <w:t>équipement de protection individuelle approprié.</w:t>
            </w:r>
          </w:p>
        </w:tc>
        <w:tc>
          <w:tcPr>
            <w:tcW w:w="2407" w:type="dxa"/>
            <w:gridSpan w:val="3"/>
            <w:tcBorders>
              <w:top w:val="single" w:sz="4" w:space="0" w:color="auto"/>
              <w:left w:val="single" w:sz="4" w:space="0" w:color="auto"/>
              <w:bottom w:val="single" w:sz="4" w:space="0" w:color="auto"/>
              <w:right w:val="single" w:sz="4" w:space="0" w:color="auto"/>
            </w:tcBorders>
            <w:hideMark/>
          </w:tcPr>
          <w:p w14:paraId="464E6C48" w14:textId="77777777" w:rsidR="002147B2" w:rsidRDefault="00566E09" w:rsidP="0051036C">
            <w:pPr>
              <w:keepNext/>
              <w:keepLines/>
              <w:tabs>
                <w:tab w:val="left" w:pos="288"/>
              </w:tabs>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 xml:space="preserve">P370 + P372 + P380 + P373 </w:t>
            </w:r>
          </w:p>
          <w:p w14:paraId="499CDC06" w14:textId="77777777" w:rsidR="00566E09" w:rsidRPr="004867C2" w:rsidRDefault="00566E09" w:rsidP="0051036C">
            <w:pPr>
              <w:keepNext/>
              <w:keepLines/>
              <w:tabs>
                <w:tab w:val="left" w:pos="288"/>
              </w:tabs>
              <w:kinsoku/>
              <w:overflowPunct/>
              <w:autoSpaceDE/>
              <w:autoSpaceDN/>
              <w:adjustRightInd/>
              <w:snapToGrid/>
              <w:spacing w:before="40" w:after="40" w:line="240" w:lineRule="auto"/>
              <w:rPr>
                <w:rFonts w:asciiTheme="majorBidi" w:hAnsiTheme="majorBidi" w:cstheme="majorBidi"/>
                <w:b/>
                <w:sz w:val="16"/>
                <w:szCs w:val="16"/>
                <w:lang w:val="fr-FR"/>
              </w:rPr>
            </w:pPr>
            <w:r w:rsidRPr="004867C2">
              <w:rPr>
                <w:rFonts w:asciiTheme="majorBidi" w:hAnsiTheme="majorBidi" w:cstheme="majorBidi"/>
                <w:b/>
                <w:bCs/>
                <w:sz w:val="16"/>
                <w:szCs w:val="16"/>
                <w:lang w:val="fr-FR"/>
              </w:rPr>
              <w:t>En cas d</w:t>
            </w:r>
            <w:r w:rsidR="00412DEA">
              <w:rPr>
                <w:rFonts w:asciiTheme="majorBidi" w:hAnsiTheme="majorBidi" w:cstheme="majorBidi"/>
                <w:b/>
                <w:bCs/>
                <w:sz w:val="16"/>
                <w:szCs w:val="16"/>
                <w:lang w:val="fr-FR"/>
              </w:rPr>
              <w:t>’</w:t>
            </w:r>
            <w:r w:rsidRPr="004867C2">
              <w:rPr>
                <w:rFonts w:asciiTheme="majorBidi" w:hAnsiTheme="majorBidi" w:cstheme="majorBidi"/>
                <w:b/>
                <w:bCs/>
                <w:sz w:val="16"/>
                <w:szCs w:val="16"/>
                <w:lang w:val="fr-FR"/>
              </w:rPr>
              <w:t>incendie : Risque d</w:t>
            </w:r>
            <w:r w:rsidR="00412DEA">
              <w:rPr>
                <w:rFonts w:asciiTheme="majorBidi" w:hAnsiTheme="majorBidi" w:cstheme="majorBidi"/>
                <w:b/>
                <w:bCs/>
                <w:sz w:val="16"/>
                <w:szCs w:val="16"/>
                <w:lang w:val="fr-FR"/>
              </w:rPr>
              <w:t>’</w:t>
            </w:r>
            <w:r w:rsidRPr="004867C2">
              <w:rPr>
                <w:rFonts w:asciiTheme="majorBidi" w:hAnsiTheme="majorBidi" w:cstheme="majorBidi"/>
                <w:b/>
                <w:bCs/>
                <w:sz w:val="16"/>
                <w:szCs w:val="16"/>
                <w:lang w:val="fr-FR"/>
              </w:rPr>
              <w:t>explosion.</w:t>
            </w:r>
            <w:r w:rsidRPr="004867C2">
              <w:rPr>
                <w:rFonts w:asciiTheme="majorBidi" w:hAnsiTheme="majorBidi" w:cstheme="majorBidi"/>
                <w:sz w:val="16"/>
                <w:szCs w:val="16"/>
                <w:lang w:val="fr-FR"/>
              </w:rPr>
              <w:t xml:space="preserve"> </w:t>
            </w:r>
            <w:r w:rsidRPr="004867C2">
              <w:rPr>
                <w:rFonts w:asciiTheme="majorBidi" w:hAnsiTheme="majorBidi" w:cstheme="majorBidi"/>
                <w:b/>
                <w:bCs/>
                <w:sz w:val="16"/>
                <w:szCs w:val="16"/>
                <w:lang w:val="fr-FR"/>
              </w:rPr>
              <w:t>Évacuer la zone.</w:t>
            </w:r>
            <w:r w:rsidRPr="004867C2">
              <w:rPr>
                <w:rFonts w:asciiTheme="majorBidi" w:hAnsiTheme="majorBidi" w:cstheme="majorBidi"/>
                <w:sz w:val="16"/>
                <w:szCs w:val="16"/>
                <w:lang w:val="fr-FR"/>
              </w:rPr>
              <w:t xml:space="preserve"> </w:t>
            </w:r>
            <w:r w:rsidRPr="004867C2">
              <w:rPr>
                <w:rFonts w:asciiTheme="majorBidi" w:hAnsiTheme="majorBidi" w:cstheme="majorBidi"/>
                <w:b/>
                <w:bCs/>
                <w:sz w:val="16"/>
                <w:szCs w:val="16"/>
                <w:lang w:val="fr-FR"/>
              </w:rPr>
              <w:t>NE PAS combattre l</w:t>
            </w:r>
            <w:r w:rsidR="00412DEA">
              <w:rPr>
                <w:rFonts w:asciiTheme="majorBidi" w:hAnsiTheme="majorBidi" w:cstheme="majorBidi"/>
                <w:b/>
                <w:bCs/>
                <w:sz w:val="16"/>
                <w:szCs w:val="16"/>
                <w:lang w:val="fr-FR"/>
              </w:rPr>
              <w:t>’</w:t>
            </w:r>
            <w:r w:rsidRPr="004867C2">
              <w:rPr>
                <w:rFonts w:asciiTheme="majorBidi" w:hAnsiTheme="majorBidi" w:cstheme="majorBidi"/>
                <w:b/>
                <w:bCs/>
                <w:sz w:val="16"/>
                <w:szCs w:val="16"/>
                <w:lang w:val="fr-FR"/>
              </w:rPr>
              <w:t>incendie lorsque le feu atteint les explosifs.</w:t>
            </w:r>
          </w:p>
        </w:tc>
        <w:tc>
          <w:tcPr>
            <w:tcW w:w="1899" w:type="dxa"/>
            <w:gridSpan w:val="2"/>
            <w:tcBorders>
              <w:top w:val="single" w:sz="4" w:space="0" w:color="auto"/>
              <w:left w:val="single" w:sz="4" w:space="0" w:color="auto"/>
              <w:bottom w:val="single" w:sz="4" w:space="0" w:color="auto"/>
              <w:right w:val="single" w:sz="4" w:space="0" w:color="auto"/>
            </w:tcBorders>
            <w:hideMark/>
          </w:tcPr>
          <w:p w14:paraId="21B1B22A" w14:textId="77777777" w:rsidR="002147B2" w:rsidRDefault="00566E09" w:rsidP="0051036C">
            <w:pPr>
              <w:keepNext/>
              <w:keepLines/>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P401</w:t>
            </w:r>
          </w:p>
          <w:p w14:paraId="390CC2E2" w14:textId="77777777" w:rsidR="00566E09" w:rsidRPr="004867C2" w:rsidRDefault="00566E09" w:rsidP="0051036C">
            <w:pPr>
              <w:keepNext/>
              <w:keepLines/>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b/>
                <w:bCs/>
                <w:sz w:val="16"/>
                <w:szCs w:val="16"/>
                <w:lang w:val="fr-FR"/>
              </w:rPr>
              <w:t>Stocker conformément à…</w:t>
            </w:r>
            <w:r w:rsidRPr="004867C2">
              <w:rPr>
                <w:rFonts w:asciiTheme="majorBidi" w:hAnsiTheme="majorBidi" w:cstheme="majorBidi"/>
                <w:sz w:val="16"/>
                <w:szCs w:val="16"/>
                <w:lang w:val="fr-FR"/>
              </w:rPr>
              <w:t xml:space="preserve"> </w:t>
            </w:r>
          </w:p>
          <w:p w14:paraId="399D38D6" w14:textId="77777777" w:rsidR="00566E09" w:rsidRPr="004867C2" w:rsidRDefault="00566E09" w:rsidP="0051036C">
            <w:pPr>
              <w:keepNext/>
              <w:keepLines/>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 xml:space="preserve">... </w:t>
            </w:r>
          </w:p>
          <w:p w14:paraId="5F9A3053" w14:textId="77777777" w:rsidR="00566E09" w:rsidRPr="004867C2" w:rsidRDefault="00566E09" w:rsidP="0051036C">
            <w:pPr>
              <w:keepNext/>
              <w:keepLines/>
              <w:kinsoku/>
              <w:overflowPunct/>
              <w:autoSpaceDE/>
              <w:autoSpaceDN/>
              <w:adjustRightInd/>
              <w:snapToGrid/>
              <w:spacing w:before="40" w:after="40" w:line="240" w:lineRule="auto"/>
              <w:rPr>
                <w:rFonts w:asciiTheme="majorBidi" w:hAnsiTheme="majorBidi" w:cstheme="majorBidi"/>
                <w:spacing w:val="-2"/>
                <w:sz w:val="16"/>
                <w:szCs w:val="16"/>
                <w:lang w:val="fr-FR"/>
              </w:rPr>
            </w:pPr>
            <w:r w:rsidRPr="004867C2">
              <w:rPr>
                <w:rFonts w:asciiTheme="majorBidi" w:hAnsiTheme="majorBidi" w:cstheme="majorBidi"/>
                <w:spacing w:val="-2"/>
                <w:sz w:val="16"/>
                <w:szCs w:val="16"/>
                <w:lang w:val="fr-FR"/>
              </w:rPr>
              <w:t>Il revient au fabricant/fournisseur ou à l</w:t>
            </w:r>
            <w:r w:rsidR="00412DEA">
              <w:rPr>
                <w:rFonts w:asciiTheme="majorBidi" w:hAnsiTheme="majorBidi" w:cstheme="majorBidi"/>
                <w:spacing w:val="-2"/>
                <w:sz w:val="16"/>
                <w:szCs w:val="16"/>
                <w:lang w:val="fr-FR"/>
              </w:rPr>
              <w:t>’</w:t>
            </w:r>
            <w:r w:rsidRPr="004867C2">
              <w:rPr>
                <w:rFonts w:asciiTheme="majorBidi" w:hAnsiTheme="majorBidi" w:cstheme="majorBidi"/>
                <w:spacing w:val="-2"/>
                <w:sz w:val="16"/>
                <w:szCs w:val="16"/>
                <w:lang w:val="fr-FR"/>
              </w:rPr>
              <w:t>autorité compétente de préciser la réglementation locale/régionale/ nationale/</w:t>
            </w:r>
            <w:r w:rsidR="002147B2">
              <w:rPr>
                <w:rFonts w:asciiTheme="majorBidi" w:hAnsiTheme="majorBidi" w:cstheme="majorBidi"/>
                <w:spacing w:val="-2"/>
                <w:sz w:val="16"/>
                <w:szCs w:val="16"/>
                <w:lang w:val="fr-FR"/>
              </w:rPr>
              <w:br/>
            </w:r>
            <w:r w:rsidRPr="004867C2">
              <w:rPr>
                <w:rFonts w:asciiTheme="majorBidi" w:hAnsiTheme="majorBidi" w:cstheme="majorBidi"/>
                <w:spacing w:val="-2"/>
                <w:sz w:val="16"/>
                <w:szCs w:val="16"/>
                <w:lang w:val="fr-FR"/>
              </w:rPr>
              <w:t>internationale applicable.</w:t>
            </w:r>
          </w:p>
        </w:tc>
        <w:tc>
          <w:tcPr>
            <w:tcW w:w="2296" w:type="dxa"/>
            <w:gridSpan w:val="3"/>
            <w:tcBorders>
              <w:top w:val="single" w:sz="4" w:space="0" w:color="auto"/>
              <w:left w:val="single" w:sz="4" w:space="0" w:color="auto"/>
              <w:bottom w:val="single" w:sz="4" w:space="0" w:color="auto"/>
              <w:right w:val="single" w:sz="4" w:space="0" w:color="auto"/>
            </w:tcBorders>
            <w:hideMark/>
          </w:tcPr>
          <w:p w14:paraId="393CBE0A" w14:textId="77777777" w:rsidR="002147B2" w:rsidRDefault="00566E09" w:rsidP="0051036C">
            <w:pPr>
              <w:keepNext/>
              <w:keepLines/>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P503</w:t>
            </w:r>
          </w:p>
          <w:p w14:paraId="6A534FF6" w14:textId="77777777" w:rsidR="00566E09" w:rsidRPr="004867C2" w:rsidRDefault="00566E09" w:rsidP="0051036C">
            <w:pPr>
              <w:keepNext/>
              <w:keepLines/>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b/>
                <w:bCs/>
                <w:sz w:val="16"/>
                <w:szCs w:val="16"/>
                <w:lang w:val="fr-FR"/>
              </w:rPr>
              <w:t>S</w:t>
            </w:r>
            <w:r w:rsidR="00412DEA">
              <w:rPr>
                <w:rFonts w:asciiTheme="majorBidi" w:hAnsiTheme="majorBidi" w:cstheme="majorBidi"/>
                <w:b/>
                <w:bCs/>
                <w:sz w:val="16"/>
                <w:szCs w:val="16"/>
                <w:lang w:val="fr-FR"/>
              </w:rPr>
              <w:t>’</w:t>
            </w:r>
            <w:r w:rsidRPr="004867C2">
              <w:rPr>
                <w:rFonts w:asciiTheme="majorBidi" w:hAnsiTheme="majorBidi" w:cstheme="majorBidi"/>
                <w:b/>
                <w:bCs/>
                <w:sz w:val="16"/>
                <w:szCs w:val="16"/>
                <w:lang w:val="fr-FR"/>
              </w:rPr>
              <w:t>adresser au fabricant/fournisseur/… pour toute information concernant l</w:t>
            </w:r>
            <w:r w:rsidR="00412DEA">
              <w:rPr>
                <w:rFonts w:asciiTheme="majorBidi" w:hAnsiTheme="majorBidi" w:cstheme="majorBidi"/>
                <w:b/>
                <w:bCs/>
                <w:sz w:val="16"/>
                <w:szCs w:val="16"/>
                <w:lang w:val="fr-FR"/>
              </w:rPr>
              <w:t>’</w:t>
            </w:r>
            <w:r w:rsidRPr="004867C2">
              <w:rPr>
                <w:rFonts w:asciiTheme="majorBidi" w:hAnsiTheme="majorBidi" w:cstheme="majorBidi"/>
                <w:b/>
                <w:bCs/>
                <w:sz w:val="16"/>
                <w:szCs w:val="16"/>
                <w:lang w:val="fr-FR"/>
              </w:rPr>
              <w:t>élimination/la récupération/</w:t>
            </w:r>
            <w:r w:rsidRPr="004867C2">
              <w:rPr>
                <w:rFonts w:asciiTheme="majorBidi" w:hAnsiTheme="majorBidi" w:cstheme="majorBidi"/>
                <w:b/>
                <w:bCs/>
                <w:sz w:val="16"/>
                <w:szCs w:val="16"/>
                <w:lang w:val="fr-FR"/>
              </w:rPr>
              <w:br/>
              <w:t>le recyclage</w:t>
            </w:r>
            <w:r w:rsidRPr="004867C2">
              <w:rPr>
                <w:rFonts w:asciiTheme="majorBidi" w:hAnsiTheme="majorBidi" w:cstheme="majorBidi"/>
                <w:sz w:val="16"/>
                <w:szCs w:val="16"/>
                <w:lang w:val="fr-FR"/>
              </w:rPr>
              <w:t xml:space="preserve"> </w:t>
            </w:r>
          </w:p>
          <w:p w14:paraId="192F7167" w14:textId="77777777" w:rsidR="00566E09" w:rsidRPr="004867C2" w:rsidRDefault="00566E09" w:rsidP="0051036C">
            <w:pPr>
              <w:keepNext/>
              <w:keepLines/>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 Il revient au fabricant/</w:t>
            </w:r>
            <w:r w:rsidR="002147B2">
              <w:rPr>
                <w:rFonts w:asciiTheme="majorBidi" w:hAnsiTheme="majorBidi" w:cstheme="majorBidi"/>
                <w:sz w:val="16"/>
                <w:szCs w:val="16"/>
                <w:lang w:val="fr-FR"/>
              </w:rPr>
              <w:br/>
            </w:r>
            <w:r w:rsidRPr="004867C2">
              <w:rPr>
                <w:rFonts w:asciiTheme="majorBidi" w:hAnsiTheme="majorBidi" w:cstheme="majorBidi"/>
                <w:sz w:val="16"/>
                <w:szCs w:val="16"/>
                <w:lang w:val="fr-FR"/>
              </w:rPr>
              <w:t>fournisseur ou à l</w:t>
            </w:r>
            <w:r w:rsidR="00412DEA">
              <w:rPr>
                <w:rFonts w:asciiTheme="majorBidi" w:hAnsiTheme="majorBidi" w:cstheme="majorBidi"/>
                <w:sz w:val="16"/>
                <w:szCs w:val="16"/>
                <w:lang w:val="fr-FR"/>
              </w:rPr>
              <w:t>’</w:t>
            </w:r>
            <w:r w:rsidRPr="004867C2">
              <w:rPr>
                <w:rFonts w:asciiTheme="majorBidi" w:hAnsiTheme="majorBidi" w:cstheme="majorBidi"/>
                <w:sz w:val="16"/>
                <w:szCs w:val="16"/>
                <w:lang w:val="fr-FR"/>
              </w:rPr>
              <w:t xml:space="preserve">autorité compétente de préciser la source appropriée </w:t>
            </w:r>
            <w:r w:rsidRPr="002147B2">
              <w:rPr>
                <w:rFonts w:asciiTheme="majorBidi" w:hAnsiTheme="majorBidi" w:cstheme="majorBidi"/>
                <w:spacing w:val="-4"/>
                <w:sz w:val="16"/>
                <w:szCs w:val="16"/>
                <w:lang w:val="fr-FR"/>
              </w:rPr>
              <w:t>d</w:t>
            </w:r>
            <w:r w:rsidR="00412DEA" w:rsidRPr="002147B2">
              <w:rPr>
                <w:rFonts w:asciiTheme="majorBidi" w:hAnsiTheme="majorBidi" w:cstheme="majorBidi"/>
                <w:spacing w:val="-4"/>
                <w:sz w:val="16"/>
                <w:szCs w:val="16"/>
                <w:lang w:val="fr-FR"/>
              </w:rPr>
              <w:t>’</w:t>
            </w:r>
            <w:r w:rsidRPr="002147B2">
              <w:rPr>
                <w:rFonts w:asciiTheme="majorBidi" w:hAnsiTheme="majorBidi" w:cstheme="majorBidi"/>
                <w:spacing w:val="-4"/>
                <w:sz w:val="16"/>
                <w:szCs w:val="16"/>
                <w:lang w:val="fr-FR"/>
              </w:rPr>
              <w:t>information, conformément à la réglementation locale/régionale/nationale/</w:t>
            </w:r>
            <w:r w:rsidR="002147B2">
              <w:rPr>
                <w:rFonts w:asciiTheme="majorBidi" w:hAnsiTheme="majorBidi" w:cstheme="majorBidi"/>
                <w:spacing w:val="-4"/>
                <w:sz w:val="16"/>
                <w:szCs w:val="16"/>
                <w:lang w:val="fr-FR"/>
              </w:rPr>
              <w:br/>
            </w:r>
            <w:r w:rsidRPr="002147B2">
              <w:rPr>
                <w:rFonts w:asciiTheme="majorBidi" w:hAnsiTheme="majorBidi" w:cstheme="majorBidi"/>
                <w:spacing w:val="-4"/>
                <w:sz w:val="16"/>
                <w:szCs w:val="16"/>
                <w:lang w:val="fr-FR"/>
              </w:rPr>
              <w:t>internationale applicable</w:t>
            </w:r>
            <w:r w:rsidRPr="004867C2">
              <w:rPr>
                <w:rFonts w:asciiTheme="majorBidi" w:hAnsiTheme="majorBidi" w:cstheme="majorBidi"/>
                <w:sz w:val="16"/>
                <w:szCs w:val="16"/>
                <w:lang w:val="fr-FR"/>
              </w:rPr>
              <w:t>.</w:t>
            </w:r>
          </w:p>
        </w:tc>
      </w:tr>
    </w:tbl>
    <w:p w14:paraId="3E6AC6FE" w14:textId="77777777" w:rsidR="00566E09" w:rsidRDefault="00566E09" w:rsidP="00566E09"/>
    <w:p w14:paraId="2160CA1A" w14:textId="77777777" w:rsidR="00566E09" w:rsidRDefault="00566E09">
      <w:pPr>
        <w:suppressAutoHyphens w:val="0"/>
        <w:kinsoku/>
        <w:overflowPunct/>
        <w:autoSpaceDE/>
        <w:autoSpaceDN/>
        <w:adjustRightInd/>
        <w:snapToGrid/>
        <w:spacing w:after="200" w:line="276" w:lineRule="auto"/>
      </w:pPr>
      <w:r>
        <w:br w:type="page"/>
      </w:r>
    </w:p>
    <w:p w14:paraId="19361A65" w14:textId="77777777" w:rsidR="00566E09" w:rsidRPr="00AE0017" w:rsidRDefault="00566E09" w:rsidP="00566E09">
      <w:pPr>
        <w:kinsoku/>
        <w:overflowPunct/>
        <w:autoSpaceDE/>
        <w:autoSpaceDN/>
        <w:adjustRightInd/>
        <w:snapToGrid/>
        <w:rPr>
          <w:rFonts w:eastAsia="Times New Roman"/>
          <w:strike/>
        </w:rPr>
      </w:pPr>
    </w:p>
    <w:tbl>
      <w:tblPr>
        <w:tblW w:w="1413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130"/>
        <w:gridCol w:w="2113"/>
        <w:gridCol w:w="13"/>
        <w:gridCol w:w="18"/>
        <w:gridCol w:w="39"/>
        <w:gridCol w:w="2209"/>
        <w:gridCol w:w="104"/>
        <w:gridCol w:w="38"/>
        <w:gridCol w:w="851"/>
        <w:gridCol w:w="1112"/>
        <w:gridCol w:w="2290"/>
        <w:gridCol w:w="28"/>
        <w:gridCol w:w="359"/>
      </w:tblGrid>
      <w:tr w:rsidR="00566E09" w:rsidRPr="004867C2" w14:paraId="39108640" w14:textId="77777777" w:rsidTr="002921BA">
        <w:trPr>
          <w:gridAfter w:val="2"/>
          <w:wAfter w:w="387" w:type="dxa"/>
        </w:trPr>
        <w:tc>
          <w:tcPr>
            <w:tcW w:w="13750" w:type="dxa"/>
            <w:gridSpan w:val="12"/>
            <w:tcBorders>
              <w:top w:val="nil"/>
              <w:left w:val="nil"/>
              <w:bottom w:val="nil"/>
              <w:right w:val="nil"/>
            </w:tcBorders>
          </w:tcPr>
          <w:p w14:paraId="4B9F4B17" w14:textId="77777777" w:rsidR="00566E09" w:rsidRPr="004867C2" w:rsidRDefault="00566E09" w:rsidP="002921BA">
            <w:pPr>
              <w:keepNext/>
              <w:keepLines/>
              <w:kinsoku/>
              <w:overflowPunct/>
              <w:autoSpaceDE/>
              <w:autoSpaceDN/>
              <w:adjustRightInd/>
              <w:snapToGrid/>
              <w:spacing w:before="30" w:after="30" w:line="240" w:lineRule="auto"/>
              <w:ind w:right="252"/>
              <w:jc w:val="center"/>
              <w:rPr>
                <w:rFonts w:asciiTheme="majorBidi" w:hAnsiTheme="majorBidi" w:cstheme="majorBidi"/>
                <w:b/>
                <w:bCs/>
                <w:sz w:val="16"/>
                <w:szCs w:val="16"/>
                <w:lang w:val="fr-FR"/>
              </w:rPr>
            </w:pPr>
            <w:r w:rsidRPr="004867C2">
              <w:rPr>
                <w:rFonts w:asciiTheme="majorBidi" w:hAnsiTheme="majorBidi" w:cstheme="majorBidi"/>
                <w:b/>
                <w:bCs/>
                <w:sz w:val="16"/>
                <w:szCs w:val="16"/>
                <w:lang w:val="fr-FR"/>
              </w:rPr>
              <w:t>MATI</w:t>
            </w:r>
            <w:r w:rsidR="002147B2">
              <w:rPr>
                <w:rFonts w:asciiTheme="majorBidi" w:hAnsiTheme="majorBidi" w:cstheme="majorBidi"/>
                <w:b/>
                <w:bCs/>
                <w:sz w:val="16"/>
                <w:szCs w:val="16"/>
                <w:lang w:val="fr-FR"/>
              </w:rPr>
              <w:t>È</w:t>
            </w:r>
            <w:r w:rsidRPr="004867C2">
              <w:rPr>
                <w:rFonts w:asciiTheme="majorBidi" w:hAnsiTheme="majorBidi" w:cstheme="majorBidi"/>
                <w:b/>
                <w:bCs/>
                <w:sz w:val="16"/>
                <w:szCs w:val="16"/>
                <w:lang w:val="fr-FR"/>
              </w:rPr>
              <w:t>RES ET OBJETS EXPLOSIBLES</w:t>
            </w:r>
            <w:r w:rsidRPr="004867C2">
              <w:rPr>
                <w:rFonts w:asciiTheme="majorBidi" w:hAnsiTheme="majorBidi" w:cstheme="majorBidi"/>
                <w:b/>
                <w:bCs/>
                <w:sz w:val="16"/>
                <w:szCs w:val="16"/>
                <w:lang w:val="fr-FR"/>
              </w:rPr>
              <w:br/>
              <w:t>(CHAPITRE 2.1)</w:t>
            </w:r>
          </w:p>
        </w:tc>
      </w:tr>
      <w:tr w:rsidR="00566E09" w:rsidRPr="004867C2" w14:paraId="7B844A77" w14:textId="77777777" w:rsidTr="002921BA">
        <w:trPr>
          <w:gridAfter w:val="1"/>
          <w:wAfter w:w="359" w:type="dxa"/>
          <w:tblHeader/>
        </w:trPr>
        <w:tc>
          <w:tcPr>
            <w:tcW w:w="2833" w:type="dxa"/>
            <w:tcBorders>
              <w:top w:val="nil"/>
              <w:left w:val="nil"/>
              <w:bottom w:val="nil"/>
              <w:right w:val="nil"/>
            </w:tcBorders>
            <w:hideMark/>
          </w:tcPr>
          <w:p w14:paraId="49FB175F" w14:textId="77777777" w:rsidR="00566E09" w:rsidRPr="004867C2" w:rsidRDefault="00566E09" w:rsidP="002921BA">
            <w:pPr>
              <w:kinsoku/>
              <w:overflowPunct/>
              <w:autoSpaceDE/>
              <w:autoSpaceDN/>
              <w:adjustRightInd/>
              <w:snapToGrid/>
              <w:spacing w:before="30" w:after="30" w:line="240" w:lineRule="auto"/>
              <w:jc w:val="both"/>
              <w:rPr>
                <w:b/>
                <w:bCs/>
                <w:sz w:val="16"/>
                <w:szCs w:val="16"/>
                <w:lang w:val="fr-FR"/>
              </w:rPr>
            </w:pPr>
            <w:r w:rsidRPr="004867C2">
              <w:rPr>
                <w:b/>
                <w:bCs/>
                <w:sz w:val="16"/>
                <w:szCs w:val="16"/>
                <w:lang w:val="fr-FR"/>
              </w:rPr>
              <w:t>Catégorie de danger</w:t>
            </w:r>
          </w:p>
        </w:tc>
        <w:tc>
          <w:tcPr>
            <w:tcW w:w="4256" w:type="dxa"/>
            <w:gridSpan w:val="3"/>
            <w:tcBorders>
              <w:top w:val="nil"/>
              <w:left w:val="nil"/>
              <w:bottom w:val="nil"/>
              <w:right w:val="nil"/>
            </w:tcBorders>
            <w:hideMark/>
          </w:tcPr>
          <w:p w14:paraId="40BC7459" w14:textId="77777777" w:rsidR="00566E09" w:rsidRPr="004867C2" w:rsidRDefault="00566E09" w:rsidP="002921BA">
            <w:pPr>
              <w:kinsoku/>
              <w:overflowPunct/>
              <w:autoSpaceDE/>
              <w:autoSpaceDN/>
              <w:adjustRightInd/>
              <w:snapToGrid/>
              <w:spacing w:before="30" w:after="30" w:line="240" w:lineRule="auto"/>
              <w:rPr>
                <w:b/>
                <w:bCs/>
                <w:sz w:val="16"/>
                <w:szCs w:val="16"/>
                <w:lang w:val="fr-FR"/>
              </w:rPr>
            </w:pPr>
            <w:r w:rsidRPr="004867C2">
              <w:rPr>
                <w:b/>
                <w:bCs/>
                <w:sz w:val="16"/>
                <w:szCs w:val="16"/>
                <w:lang w:val="fr-FR"/>
              </w:rPr>
              <w:t>Symbole</w:t>
            </w:r>
          </w:p>
        </w:tc>
        <w:tc>
          <w:tcPr>
            <w:tcW w:w="2370" w:type="dxa"/>
            <w:gridSpan w:val="4"/>
            <w:tcBorders>
              <w:top w:val="nil"/>
              <w:left w:val="nil"/>
              <w:bottom w:val="nil"/>
              <w:right w:val="nil"/>
            </w:tcBorders>
            <w:hideMark/>
          </w:tcPr>
          <w:p w14:paraId="18C85632" w14:textId="77777777" w:rsidR="00566E09" w:rsidRPr="004867C2" w:rsidRDefault="00566E09" w:rsidP="002921BA">
            <w:pPr>
              <w:kinsoku/>
              <w:overflowPunct/>
              <w:autoSpaceDE/>
              <w:autoSpaceDN/>
              <w:adjustRightInd/>
              <w:snapToGrid/>
              <w:spacing w:before="30" w:after="30" w:line="240" w:lineRule="auto"/>
              <w:jc w:val="both"/>
              <w:rPr>
                <w:b/>
                <w:bCs/>
                <w:sz w:val="16"/>
                <w:szCs w:val="16"/>
                <w:lang w:val="fr-FR"/>
              </w:rPr>
            </w:pPr>
            <w:r w:rsidRPr="004867C2">
              <w:rPr>
                <w:b/>
                <w:bCs/>
                <w:sz w:val="16"/>
                <w:szCs w:val="16"/>
                <w:lang w:val="fr-FR"/>
              </w:rPr>
              <w:t>Mention d</w:t>
            </w:r>
            <w:r w:rsidR="00412DEA">
              <w:rPr>
                <w:b/>
                <w:bCs/>
                <w:sz w:val="16"/>
                <w:szCs w:val="16"/>
                <w:lang w:val="fr-FR"/>
              </w:rPr>
              <w:t>’</w:t>
            </w:r>
            <w:r w:rsidRPr="004867C2">
              <w:rPr>
                <w:b/>
                <w:bCs/>
                <w:sz w:val="16"/>
                <w:szCs w:val="16"/>
                <w:lang w:val="fr-FR"/>
              </w:rPr>
              <w:t>avertissement</w:t>
            </w:r>
          </w:p>
        </w:tc>
        <w:tc>
          <w:tcPr>
            <w:tcW w:w="4319" w:type="dxa"/>
            <w:gridSpan w:val="5"/>
            <w:tcBorders>
              <w:top w:val="nil"/>
              <w:left w:val="nil"/>
              <w:bottom w:val="nil"/>
              <w:right w:val="nil"/>
            </w:tcBorders>
            <w:hideMark/>
          </w:tcPr>
          <w:p w14:paraId="589F8A2A" w14:textId="77777777" w:rsidR="00566E09" w:rsidRPr="004867C2" w:rsidRDefault="00566E09" w:rsidP="002921BA">
            <w:pPr>
              <w:kinsoku/>
              <w:overflowPunct/>
              <w:autoSpaceDE/>
              <w:autoSpaceDN/>
              <w:adjustRightInd/>
              <w:snapToGrid/>
              <w:spacing w:before="30" w:after="30" w:line="240" w:lineRule="auto"/>
              <w:ind w:right="252"/>
              <w:jc w:val="both"/>
              <w:rPr>
                <w:b/>
                <w:bCs/>
                <w:sz w:val="16"/>
                <w:szCs w:val="16"/>
                <w:lang w:val="fr-FR"/>
              </w:rPr>
            </w:pPr>
            <w:r w:rsidRPr="004867C2">
              <w:rPr>
                <w:b/>
                <w:bCs/>
                <w:sz w:val="16"/>
                <w:szCs w:val="16"/>
                <w:lang w:val="fr-FR"/>
              </w:rPr>
              <w:t>Mention de danger</w:t>
            </w:r>
          </w:p>
        </w:tc>
      </w:tr>
      <w:tr w:rsidR="00566E09" w:rsidRPr="004867C2" w14:paraId="43A8CBCB" w14:textId="77777777" w:rsidTr="002921BA">
        <w:trPr>
          <w:gridAfter w:val="1"/>
          <w:wAfter w:w="359" w:type="dxa"/>
          <w:tblHeader/>
        </w:trPr>
        <w:tc>
          <w:tcPr>
            <w:tcW w:w="2833" w:type="dxa"/>
            <w:tcBorders>
              <w:top w:val="nil"/>
              <w:left w:val="nil"/>
              <w:bottom w:val="nil"/>
              <w:right w:val="nil"/>
            </w:tcBorders>
            <w:hideMark/>
          </w:tcPr>
          <w:p w14:paraId="1D29B5F0" w14:textId="77777777" w:rsidR="00566E09" w:rsidRPr="004867C2" w:rsidRDefault="00566E09" w:rsidP="002921BA">
            <w:pPr>
              <w:kinsoku/>
              <w:overflowPunct/>
              <w:autoSpaceDE/>
              <w:autoSpaceDN/>
              <w:adjustRightInd/>
              <w:snapToGrid/>
              <w:spacing w:before="30" w:after="30" w:line="240" w:lineRule="auto"/>
              <w:jc w:val="both"/>
              <w:rPr>
                <w:sz w:val="16"/>
                <w:szCs w:val="16"/>
                <w:lang w:val="fr-FR"/>
              </w:rPr>
            </w:pPr>
            <w:r w:rsidRPr="004867C2">
              <w:rPr>
                <w:sz w:val="16"/>
                <w:szCs w:val="16"/>
                <w:lang w:val="fr-FR"/>
              </w:rPr>
              <w:t>2A</w:t>
            </w:r>
          </w:p>
        </w:tc>
        <w:tc>
          <w:tcPr>
            <w:tcW w:w="2130" w:type="dxa"/>
            <w:tcBorders>
              <w:top w:val="nil"/>
              <w:left w:val="nil"/>
              <w:bottom w:val="nil"/>
              <w:right w:val="nil"/>
            </w:tcBorders>
            <w:vAlign w:val="center"/>
            <w:hideMark/>
          </w:tcPr>
          <w:p w14:paraId="643571A8"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sz w:val="16"/>
                <w:szCs w:val="16"/>
                <w:lang w:val="fr-FR"/>
              </w:rPr>
              <w:t>Bombe explosant</w:t>
            </w:r>
          </w:p>
        </w:tc>
        <w:tc>
          <w:tcPr>
            <w:tcW w:w="2126" w:type="dxa"/>
            <w:gridSpan w:val="2"/>
            <w:vMerge w:val="restart"/>
            <w:tcBorders>
              <w:top w:val="nil"/>
              <w:left w:val="nil"/>
              <w:bottom w:val="nil"/>
              <w:right w:val="nil"/>
            </w:tcBorders>
            <w:vAlign w:val="center"/>
            <w:hideMark/>
          </w:tcPr>
          <w:p w14:paraId="71562015"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noProof/>
                <w:sz w:val="16"/>
                <w:szCs w:val="16"/>
                <w:lang w:val="fr-FR" w:eastAsia="sv-SE"/>
              </w:rPr>
              <w:drawing>
                <wp:inline distT="0" distB="0" distL="0" distR="0" wp14:anchorId="34B41C7F" wp14:editId="7CB5FD30">
                  <wp:extent cx="518160" cy="365760"/>
                  <wp:effectExtent l="0" t="0" r="0" b="0"/>
                  <wp:docPr id="11"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160" cy="365760"/>
                          </a:xfrm>
                          <a:prstGeom prst="rect">
                            <a:avLst/>
                          </a:prstGeom>
                          <a:noFill/>
                          <a:ln>
                            <a:noFill/>
                          </a:ln>
                        </pic:spPr>
                      </pic:pic>
                    </a:graphicData>
                  </a:graphic>
                </wp:inline>
              </w:drawing>
            </w:r>
          </w:p>
        </w:tc>
        <w:tc>
          <w:tcPr>
            <w:tcW w:w="2370" w:type="dxa"/>
            <w:gridSpan w:val="4"/>
            <w:tcBorders>
              <w:top w:val="nil"/>
              <w:left w:val="nil"/>
              <w:bottom w:val="nil"/>
              <w:right w:val="nil"/>
            </w:tcBorders>
            <w:hideMark/>
          </w:tcPr>
          <w:p w14:paraId="1019AE9B" w14:textId="77777777" w:rsidR="00566E09" w:rsidRPr="004867C2" w:rsidRDefault="00566E09" w:rsidP="002921BA">
            <w:pPr>
              <w:kinsoku/>
              <w:overflowPunct/>
              <w:autoSpaceDE/>
              <w:autoSpaceDN/>
              <w:adjustRightInd/>
              <w:snapToGrid/>
              <w:spacing w:before="30" w:after="30" w:line="240" w:lineRule="auto"/>
              <w:jc w:val="both"/>
              <w:rPr>
                <w:sz w:val="16"/>
                <w:szCs w:val="16"/>
                <w:lang w:val="fr-FR"/>
              </w:rPr>
            </w:pPr>
            <w:r w:rsidRPr="004867C2">
              <w:rPr>
                <w:sz w:val="16"/>
                <w:szCs w:val="16"/>
                <w:lang w:val="fr-FR"/>
              </w:rPr>
              <w:t>Danger</w:t>
            </w:r>
          </w:p>
        </w:tc>
        <w:tc>
          <w:tcPr>
            <w:tcW w:w="889" w:type="dxa"/>
            <w:gridSpan w:val="2"/>
            <w:tcBorders>
              <w:top w:val="nil"/>
              <w:left w:val="nil"/>
              <w:bottom w:val="nil"/>
              <w:right w:val="nil"/>
            </w:tcBorders>
            <w:hideMark/>
          </w:tcPr>
          <w:p w14:paraId="444C3637"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sz w:val="16"/>
                <w:szCs w:val="16"/>
                <w:lang w:val="fr-FR"/>
              </w:rPr>
              <w:t>H209</w:t>
            </w:r>
          </w:p>
        </w:tc>
        <w:tc>
          <w:tcPr>
            <w:tcW w:w="3430" w:type="dxa"/>
            <w:gridSpan w:val="3"/>
            <w:tcBorders>
              <w:top w:val="nil"/>
              <w:left w:val="nil"/>
              <w:bottom w:val="nil"/>
              <w:right w:val="nil"/>
            </w:tcBorders>
            <w:hideMark/>
          </w:tcPr>
          <w:p w14:paraId="3AC8C7E1" w14:textId="77777777" w:rsidR="00566E09" w:rsidRPr="004867C2" w:rsidRDefault="00566E09" w:rsidP="002921BA">
            <w:pPr>
              <w:kinsoku/>
              <w:overflowPunct/>
              <w:autoSpaceDE/>
              <w:autoSpaceDN/>
              <w:adjustRightInd/>
              <w:snapToGrid/>
              <w:spacing w:before="30" w:after="30" w:line="240" w:lineRule="auto"/>
              <w:jc w:val="both"/>
              <w:rPr>
                <w:sz w:val="16"/>
                <w:szCs w:val="16"/>
                <w:lang w:val="fr-FR"/>
              </w:rPr>
            </w:pPr>
            <w:r w:rsidRPr="004867C2">
              <w:rPr>
                <w:sz w:val="16"/>
                <w:szCs w:val="16"/>
                <w:lang w:val="fr-FR"/>
              </w:rPr>
              <w:t>Explosif</w:t>
            </w:r>
          </w:p>
        </w:tc>
      </w:tr>
      <w:tr w:rsidR="00566E09" w:rsidRPr="004867C2" w14:paraId="416B0CAA" w14:textId="77777777" w:rsidTr="002921BA">
        <w:trPr>
          <w:gridAfter w:val="1"/>
          <w:wAfter w:w="359" w:type="dxa"/>
          <w:tblHeader/>
        </w:trPr>
        <w:tc>
          <w:tcPr>
            <w:tcW w:w="2833" w:type="dxa"/>
            <w:tcBorders>
              <w:top w:val="nil"/>
              <w:left w:val="nil"/>
              <w:bottom w:val="nil"/>
              <w:right w:val="nil"/>
            </w:tcBorders>
            <w:hideMark/>
          </w:tcPr>
          <w:p w14:paraId="3D9F0868" w14:textId="77777777" w:rsidR="00566E09" w:rsidRPr="004867C2" w:rsidRDefault="00566E09" w:rsidP="002921BA">
            <w:pPr>
              <w:kinsoku/>
              <w:overflowPunct/>
              <w:autoSpaceDE/>
              <w:autoSpaceDN/>
              <w:adjustRightInd/>
              <w:snapToGrid/>
              <w:spacing w:before="30" w:after="30" w:line="240" w:lineRule="auto"/>
              <w:jc w:val="both"/>
              <w:rPr>
                <w:sz w:val="16"/>
                <w:szCs w:val="16"/>
                <w:lang w:val="fr-FR"/>
              </w:rPr>
            </w:pPr>
            <w:r w:rsidRPr="004867C2">
              <w:rPr>
                <w:sz w:val="16"/>
                <w:szCs w:val="16"/>
                <w:lang w:val="fr-FR"/>
              </w:rPr>
              <w:t>2B</w:t>
            </w:r>
          </w:p>
        </w:tc>
        <w:tc>
          <w:tcPr>
            <w:tcW w:w="2130" w:type="dxa"/>
            <w:tcBorders>
              <w:top w:val="nil"/>
              <w:left w:val="nil"/>
              <w:bottom w:val="nil"/>
              <w:right w:val="nil"/>
            </w:tcBorders>
            <w:vAlign w:val="center"/>
            <w:hideMark/>
          </w:tcPr>
          <w:p w14:paraId="19125992"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sz w:val="16"/>
                <w:szCs w:val="16"/>
                <w:lang w:val="fr-FR"/>
              </w:rPr>
              <w:t>Bombe explosant</w:t>
            </w:r>
          </w:p>
        </w:tc>
        <w:tc>
          <w:tcPr>
            <w:tcW w:w="2126" w:type="dxa"/>
            <w:gridSpan w:val="2"/>
            <w:vMerge/>
            <w:tcBorders>
              <w:top w:val="nil"/>
              <w:left w:val="nil"/>
              <w:bottom w:val="nil"/>
              <w:right w:val="nil"/>
            </w:tcBorders>
            <w:vAlign w:val="center"/>
            <w:hideMark/>
          </w:tcPr>
          <w:p w14:paraId="7002FD12" w14:textId="77777777" w:rsidR="00566E09" w:rsidRPr="004867C2" w:rsidRDefault="00566E09" w:rsidP="002921BA">
            <w:pPr>
              <w:kinsoku/>
              <w:overflowPunct/>
              <w:autoSpaceDE/>
              <w:autoSpaceDN/>
              <w:adjustRightInd/>
              <w:snapToGrid/>
              <w:spacing w:before="30" w:after="30" w:line="240" w:lineRule="auto"/>
              <w:rPr>
                <w:sz w:val="16"/>
                <w:szCs w:val="16"/>
                <w:lang w:val="fr-FR"/>
              </w:rPr>
            </w:pPr>
          </w:p>
        </w:tc>
        <w:tc>
          <w:tcPr>
            <w:tcW w:w="2370" w:type="dxa"/>
            <w:gridSpan w:val="4"/>
            <w:tcBorders>
              <w:top w:val="nil"/>
              <w:left w:val="nil"/>
              <w:bottom w:val="nil"/>
              <w:right w:val="nil"/>
            </w:tcBorders>
            <w:hideMark/>
          </w:tcPr>
          <w:p w14:paraId="3DB37CDF" w14:textId="77777777" w:rsidR="00566E09" w:rsidRPr="004867C2" w:rsidRDefault="00566E09" w:rsidP="002921BA">
            <w:pPr>
              <w:kinsoku/>
              <w:overflowPunct/>
              <w:autoSpaceDE/>
              <w:autoSpaceDN/>
              <w:adjustRightInd/>
              <w:snapToGrid/>
              <w:spacing w:before="30" w:after="30" w:line="240" w:lineRule="auto"/>
              <w:jc w:val="both"/>
              <w:rPr>
                <w:sz w:val="16"/>
                <w:szCs w:val="16"/>
                <w:lang w:val="fr-FR"/>
              </w:rPr>
            </w:pPr>
            <w:r w:rsidRPr="004867C2">
              <w:rPr>
                <w:sz w:val="16"/>
                <w:szCs w:val="16"/>
                <w:lang w:val="fr-FR"/>
              </w:rPr>
              <w:t>Attention</w:t>
            </w:r>
          </w:p>
        </w:tc>
        <w:tc>
          <w:tcPr>
            <w:tcW w:w="889" w:type="dxa"/>
            <w:gridSpan w:val="2"/>
            <w:tcBorders>
              <w:top w:val="nil"/>
              <w:left w:val="nil"/>
              <w:bottom w:val="nil"/>
              <w:right w:val="nil"/>
            </w:tcBorders>
            <w:hideMark/>
          </w:tcPr>
          <w:p w14:paraId="29CA4F0E"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sz w:val="16"/>
                <w:szCs w:val="16"/>
                <w:lang w:val="fr-FR"/>
              </w:rPr>
              <w:t>H204</w:t>
            </w:r>
          </w:p>
        </w:tc>
        <w:tc>
          <w:tcPr>
            <w:tcW w:w="3430" w:type="dxa"/>
            <w:gridSpan w:val="3"/>
            <w:tcBorders>
              <w:top w:val="nil"/>
              <w:left w:val="nil"/>
              <w:bottom w:val="nil"/>
              <w:right w:val="nil"/>
            </w:tcBorders>
            <w:hideMark/>
          </w:tcPr>
          <w:p w14:paraId="51478FF8" w14:textId="77777777" w:rsidR="00566E09" w:rsidRPr="004867C2" w:rsidRDefault="00566E09" w:rsidP="002921BA">
            <w:pPr>
              <w:kinsoku/>
              <w:overflowPunct/>
              <w:autoSpaceDE/>
              <w:autoSpaceDN/>
              <w:adjustRightInd/>
              <w:snapToGrid/>
              <w:spacing w:before="30" w:after="30" w:line="240" w:lineRule="auto"/>
              <w:jc w:val="both"/>
              <w:rPr>
                <w:sz w:val="16"/>
                <w:szCs w:val="16"/>
                <w:lang w:val="fr-FR"/>
              </w:rPr>
            </w:pPr>
            <w:r w:rsidRPr="004867C2">
              <w:rPr>
                <w:sz w:val="16"/>
                <w:szCs w:val="16"/>
                <w:lang w:val="fr-FR"/>
              </w:rPr>
              <w:t>Danger d</w:t>
            </w:r>
            <w:r w:rsidR="00412DEA">
              <w:rPr>
                <w:sz w:val="16"/>
                <w:szCs w:val="16"/>
                <w:lang w:val="fr-FR"/>
              </w:rPr>
              <w:t>’</w:t>
            </w:r>
            <w:r w:rsidRPr="004867C2">
              <w:rPr>
                <w:sz w:val="16"/>
                <w:szCs w:val="16"/>
                <w:lang w:val="fr-FR"/>
              </w:rPr>
              <w:t>incendie ou de projection</w:t>
            </w:r>
          </w:p>
        </w:tc>
      </w:tr>
      <w:tr w:rsidR="00566E09" w:rsidRPr="004867C2" w14:paraId="7E33D5D1" w14:textId="77777777" w:rsidTr="00D9689A">
        <w:trPr>
          <w:gridAfter w:val="1"/>
          <w:wAfter w:w="359" w:type="dxa"/>
          <w:tblHeader/>
        </w:trPr>
        <w:tc>
          <w:tcPr>
            <w:tcW w:w="13778" w:type="dxa"/>
            <w:gridSpan w:val="13"/>
            <w:tcBorders>
              <w:top w:val="single" w:sz="4" w:space="0" w:color="auto"/>
              <w:left w:val="single" w:sz="4" w:space="0" w:color="auto"/>
              <w:bottom w:val="single" w:sz="4" w:space="0" w:color="auto"/>
              <w:right w:val="single" w:sz="4" w:space="0" w:color="auto"/>
            </w:tcBorders>
            <w:hideMark/>
          </w:tcPr>
          <w:p w14:paraId="42D19AFE" w14:textId="77777777" w:rsidR="00566E09" w:rsidRPr="004867C2" w:rsidRDefault="00566E09" w:rsidP="002921BA">
            <w:pPr>
              <w:shd w:val="solid" w:color="FFFFFF" w:fill="FFFFFF"/>
              <w:kinsoku/>
              <w:overflowPunct/>
              <w:autoSpaceDE/>
              <w:adjustRightInd/>
              <w:snapToGrid/>
              <w:spacing w:before="30" w:after="30" w:line="240" w:lineRule="auto"/>
              <w:ind w:left="-102"/>
              <w:jc w:val="center"/>
              <w:outlineLvl w:val="6"/>
              <w:rPr>
                <w:b/>
                <w:bCs/>
                <w:sz w:val="16"/>
                <w:szCs w:val="16"/>
                <w:lang w:val="fr-FR"/>
              </w:rPr>
            </w:pPr>
            <w:r w:rsidRPr="004867C2">
              <w:rPr>
                <w:b/>
                <w:bCs/>
                <w:sz w:val="16"/>
                <w:szCs w:val="16"/>
                <w:lang w:val="fr-FR"/>
              </w:rPr>
              <w:t>Conseils de prudence</w:t>
            </w:r>
          </w:p>
        </w:tc>
      </w:tr>
      <w:tr w:rsidR="00566E09" w:rsidRPr="004867C2" w14:paraId="06C4B41F" w14:textId="77777777" w:rsidTr="002921BA">
        <w:trPr>
          <w:gridAfter w:val="1"/>
          <w:wAfter w:w="359" w:type="dxa"/>
          <w:tblHeader/>
        </w:trPr>
        <w:tc>
          <w:tcPr>
            <w:tcW w:w="7146" w:type="dxa"/>
            <w:gridSpan w:val="6"/>
            <w:tcBorders>
              <w:top w:val="single" w:sz="4" w:space="0" w:color="auto"/>
              <w:left w:val="single" w:sz="4" w:space="0" w:color="auto"/>
              <w:bottom w:val="single" w:sz="4" w:space="0" w:color="auto"/>
              <w:right w:val="single" w:sz="4" w:space="0" w:color="auto"/>
            </w:tcBorders>
            <w:hideMark/>
          </w:tcPr>
          <w:p w14:paraId="259EA113" w14:textId="77777777" w:rsidR="00566E09" w:rsidRPr="004867C2" w:rsidRDefault="00566E09" w:rsidP="002921BA">
            <w:pPr>
              <w:kinsoku/>
              <w:overflowPunct/>
              <w:autoSpaceDE/>
              <w:autoSpaceDN/>
              <w:adjustRightInd/>
              <w:snapToGrid/>
              <w:spacing w:before="30" w:after="30" w:line="240" w:lineRule="auto"/>
              <w:jc w:val="center"/>
              <w:rPr>
                <w:b/>
                <w:bCs/>
                <w:sz w:val="16"/>
                <w:szCs w:val="16"/>
                <w:lang w:val="fr-FR"/>
              </w:rPr>
            </w:pPr>
            <w:r w:rsidRPr="004867C2">
              <w:rPr>
                <w:b/>
                <w:bCs/>
                <w:sz w:val="16"/>
                <w:szCs w:val="16"/>
                <w:lang w:val="fr-FR"/>
              </w:rPr>
              <w:t>Prévention</w:t>
            </w:r>
          </w:p>
        </w:tc>
        <w:tc>
          <w:tcPr>
            <w:tcW w:w="2351" w:type="dxa"/>
            <w:gridSpan w:val="3"/>
            <w:tcBorders>
              <w:top w:val="single" w:sz="4" w:space="0" w:color="auto"/>
              <w:left w:val="single" w:sz="4" w:space="0" w:color="auto"/>
              <w:bottom w:val="single" w:sz="4" w:space="0" w:color="auto"/>
              <w:right w:val="single" w:sz="4" w:space="0" w:color="auto"/>
            </w:tcBorders>
            <w:hideMark/>
          </w:tcPr>
          <w:p w14:paraId="519609FA" w14:textId="77777777" w:rsidR="00566E09" w:rsidRPr="004867C2" w:rsidRDefault="00566E09" w:rsidP="002921BA">
            <w:pPr>
              <w:kinsoku/>
              <w:overflowPunct/>
              <w:autoSpaceDE/>
              <w:autoSpaceDN/>
              <w:adjustRightInd/>
              <w:snapToGrid/>
              <w:spacing w:before="30" w:after="30" w:line="240" w:lineRule="auto"/>
              <w:jc w:val="center"/>
              <w:rPr>
                <w:b/>
                <w:bCs/>
                <w:sz w:val="16"/>
                <w:szCs w:val="16"/>
                <w:lang w:val="fr-FR"/>
              </w:rPr>
            </w:pPr>
            <w:r w:rsidRPr="004867C2">
              <w:rPr>
                <w:b/>
                <w:bCs/>
                <w:sz w:val="16"/>
                <w:szCs w:val="16"/>
                <w:lang w:val="fr-FR"/>
              </w:rPr>
              <w:t>Intervention</w:t>
            </w:r>
          </w:p>
        </w:tc>
        <w:tc>
          <w:tcPr>
            <w:tcW w:w="1963" w:type="dxa"/>
            <w:gridSpan w:val="2"/>
            <w:tcBorders>
              <w:top w:val="single" w:sz="4" w:space="0" w:color="auto"/>
              <w:left w:val="single" w:sz="4" w:space="0" w:color="auto"/>
              <w:bottom w:val="single" w:sz="4" w:space="0" w:color="auto"/>
              <w:right w:val="single" w:sz="4" w:space="0" w:color="auto"/>
            </w:tcBorders>
            <w:hideMark/>
          </w:tcPr>
          <w:p w14:paraId="04099EE1" w14:textId="77777777" w:rsidR="00566E09" w:rsidRPr="004867C2" w:rsidRDefault="00566E09" w:rsidP="002921BA">
            <w:pPr>
              <w:kinsoku/>
              <w:overflowPunct/>
              <w:autoSpaceDE/>
              <w:autoSpaceDN/>
              <w:adjustRightInd/>
              <w:snapToGrid/>
              <w:spacing w:before="30" w:after="30" w:line="240" w:lineRule="auto"/>
              <w:jc w:val="center"/>
              <w:rPr>
                <w:b/>
                <w:bCs/>
                <w:sz w:val="16"/>
                <w:szCs w:val="16"/>
                <w:lang w:val="fr-FR"/>
              </w:rPr>
            </w:pPr>
            <w:r w:rsidRPr="004867C2">
              <w:rPr>
                <w:b/>
                <w:bCs/>
                <w:sz w:val="16"/>
                <w:szCs w:val="16"/>
                <w:lang w:val="fr-FR"/>
              </w:rPr>
              <w:t>Stockage</w:t>
            </w:r>
          </w:p>
        </w:tc>
        <w:tc>
          <w:tcPr>
            <w:tcW w:w="2318" w:type="dxa"/>
            <w:gridSpan w:val="2"/>
            <w:tcBorders>
              <w:top w:val="single" w:sz="4" w:space="0" w:color="auto"/>
              <w:left w:val="single" w:sz="4" w:space="0" w:color="auto"/>
              <w:bottom w:val="single" w:sz="4" w:space="0" w:color="auto"/>
              <w:right w:val="single" w:sz="4" w:space="0" w:color="auto"/>
            </w:tcBorders>
            <w:hideMark/>
          </w:tcPr>
          <w:p w14:paraId="0020D62A" w14:textId="77777777" w:rsidR="00566E09" w:rsidRPr="004867C2" w:rsidRDefault="00566E09" w:rsidP="002921BA">
            <w:pPr>
              <w:kinsoku/>
              <w:overflowPunct/>
              <w:autoSpaceDE/>
              <w:autoSpaceDN/>
              <w:adjustRightInd/>
              <w:snapToGrid/>
              <w:spacing w:before="30" w:after="30" w:line="240" w:lineRule="auto"/>
              <w:jc w:val="center"/>
              <w:rPr>
                <w:b/>
                <w:bCs/>
                <w:sz w:val="16"/>
                <w:szCs w:val="16"/>
                <w:lang w:val="fr-FR"/>
              </w:rPr>
            </w:pPr>
            <w:r w:rsidRPr="004867C2">
              <w:rPr>
                <w:b/>
                <w:bCs/>
                <w:sz w:val="16"/>
                <w:szCs w:val="16"/>
                <w:lang w:val="fr-FR"/>
              </w:rPr>
              <w:t>Élimination</w:t>
            </w:r>
          </w:p>
        </w:tc>
      </w:tr>
      <w:tr w:rsidR="00566E09" w:rsidRPr="004867C2" w14:paraId="0DBFBB96" w14:textId="77777777" w:rsidTr="002921BA">
        <w:trPr>
          <w:gridAfter w:val="1"/>
          <w:wAfter w:w="359" w:type="dxa"/>
          <w:tblHeader/>
        </w:trPr>
        <w:tc>
          <w:tcPr>
            <w:tcW w:w="7146" w:type="dxa"/>
            <w:gridSpan w:val="6"/>
            <w:tcBorders>
              <w:top w:val="single" w:sz="4" w:space="0" w:color="auto"/>
              <w:left w:val="single" w:sz="4" w:space="0" w:color="auto"/>
              <w:bottom w:val="single" w:sz="4" w:space="0" w:color="auto"/>
              <w:right w:val="single" w:sz="4" w:space="0" w:color="auto"/>
            </w:tcBorders>
          </w:tcPr>
          <w:p w14:paraId="433EB8D8"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sz w:val="16"/>
                <w:szCs w:val="16"/>
                <w:lang w:val="fr-FR"/>
              </w:rPr>
              <w:t>P203</w:t>
            </w:r>
          </w:p>
          <w:p w14:paraId="5846056F"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b/>
                <w:bCs/>
                <w:sz w:val="16"/>
                <w:szCs w:val="16"/>
                <w:lang w:val="fr-FR"/>
              </w:rPr>
              <w:t>Se procurer, lire et appliquer toutes les instructions de sécurité avant utilisation.</w:t>
            </w:r>
            <w:r w:rsidRPr="004867C2">
              <w:rPr>
                <w:sz w:val="16"/>
                <w:szCs w:val="16"/>
                <w:lang w:val="fr-FR"/>
              </w:rPr>
              <w:t xml:space="preserve"> </w:t>
            </w:r>
          </w:p>
          <w:p w14:paraId="114B4F1D"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sz w:val="16"/>
                <w:szCs w:val="16"/>
                <w:lang w:val="fr-FR"/>
              </w:rPr>
              <w:t>P210</w:t>
            </w:r>
          </w:p>
          <w:p w14:paraId="1126D292" w14:textId="77777777" w:rsidR="00566E09" w:rsidRPr="004867C2" w:rsidRDefault="00566E09" w:rsidP="002921BA">
            <w:pPr>
              <w:kinsoku/>
              <w:overflowPunct/>
              <w:autoSpaceDE/>
              <w:autoSpaceDN/>
              <w:adjustRightInd/>
              <w:snapToGrid/>
              <w:spacing w:before="30" w:after="30" w:line="240" w:lineRule="auto"/>
              <w:rPr>
                <w:b/>
                <w:sz w:val="16"/>
                <w:szCs w:val="16"/>
                <w:lang w:val="fr-FR"/>
              </w:rPr>
            </w:pPr>
            <w:r w:rsidRPr="004867C2">
              <w:rPr>
                <w:b/>
                <w:bCs/>
                <w:sz w:val="16"/>
                <w:szCs w:val="16"/>
                <w:lang w:val="fr-FR"/>
              </w:rPr>
              <w:t>Tenir à l</w:t>
            </w:r>
            <w:r w:rsidR="00412DEA">
              <w:rPr>
                <w:b/>
                <w:bCs/>
                <w:sz w:val="16"/>
                <w:szCs w:val="16"/>
                <w:lang w:val="fr-FR"/>
              </w:rPr>
              <w:t>’</w:t>
            </w:r>
            <w:r w:rsidRPr="004867C2">
              <w:rPr>
                <w:b/>
                <w:bCs/>
                <w:sz w:val="16"/>
                <w:szCs w:val="16"/>
                <w:lang w:val="fr-FR"/>
              </w:rPr>
              <w:t>écart de la chaleur, des surfaces chaudes, des étincelles, des flammes nues et de toute autre source d</w:t>
            </w:r>
            <w:r w:rsidR="00412DEA">
              <w:rPr>
                <w:b/>
                <w:bCs/>
                <w:sz w:val="16"/>
                <w:szCs w:val="16"/>
                <w:lang w:val="fr-FR"/>
              </w:rPr>
              <w:t>’</w:t>
            </w:r>
            <w:r w:rsidRPr="004867C2">
              <w:rPr>
                <w:b/>
                <w:bCs/>
                <w:sz w:val="16"/>
                <w:szCs w:val="16"/>
                <w:lang w:val="fr-FR"/>
              </w:rPr>
              <w:t>ignition.</w:t>
            </w:r>
            <w:r w:rsidRPr="004867C2">
              <w:rPr>
                <w:sz w:val="16"/>
                <w:szCs w:val="16"/>
                <w:lang w:val="fr-FR"/>
              </w:rPr>
              <w:t xml:space="preserve"> </w:t>
            </w:r>
            <w:r w:rsidRPr="004867C2">
              <w:rPr>
                <w:b/>
                <w:bCs/>
                <w:sz w:val="16"/>
                <w:szCs w:val="16"/>
                <w:lang w:val="fr-FR"/>
              </w:rPr>
              <w:t>Ne pas fumer.</w:t>
            </w:r>
          </w:p>
          <w:p w14:paraId="1968E603"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sz w:val="16"/>
                <w:szCs w:val="16"/>
                <w:lang w:val="fr-FR"/>
              </w:rPr>
              <w:t xml:space="preserve">P230 </w:t>
            </w:r>
          </w:p>
          <w:p w14:paraId="684CB2B1"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b/>
                <w:bCs/>
                <w:sz w:val="16"/>
                <w:szCs w:val="16"/>
                <w:lang w:val="fr-FR"/>
              </w:rPr>
              <w:t>Maintenir dilué avec...</w:t>
            </w:r>
            <w:r w:rsidRPr="004867C2">
              <w:rPr>
                <w:sz w:val="16"/>
                <w:szCs w:val="16"/>
                <w:lang w:val="fr-FR"/>
              </w:rPr>
              <w:t xml:space="preserve"> </w:t>
            </w:r>
          </w:p>
          <w:p w14:paraId="61701394" w14:textId="77777777" w:rsidR="00566E09" w:rsidRPr="004867C2" w:rsidRDefault="00566E09" w:rsidP="002921BA">
            <w:pPr>
              <w:kinsoku/>
              <w:overflowPunct/>
              <w:autoSpaceDE/>
              <w:autoSpaceDN/>
              <w:adjustRightInd/>
              <w:snapToGrid/>
              <w:spacing w:before="30" w:after="30" w:line="240" w:lineRule="auto"/>
              <w:rPr>
                <w:i/>
                <w:iCs/>
                <w:sz w:val="16"/>
                <w:szCs w:val="16"/>
                <w:lang w:val="fr-FR"/>
              </w:rPr>
            </w:pPr>
            <w:r w:rsidRPr="004867C2">
              <w:rPr>
                <w:sz w:val="16"/>
                <w:szCs w:val="16"/>
                <w:lang w:val="fr-FR"/>
              </w:rPr>
              <w:t>-</w:t>
            </w:r>
            <w:r w:rsidRPr="004867C2">
              <w:rPr>
                <w:i/>
                <w:iCs/>
                <w:sz w:val="16"/>
                <w:szCs w:val="16"/>
                <w:lang w:val="fr-FR"/>
              </w:rPr>
              <w:t xml:space="preserve"> Pour les matières et les mélanges explosibles qui sont dilués avec des matières solides ou liquides, ou mouillés avec de l</w:t>
            </w:r>
            <w:r w:rsidR="00412DEA">
              <w:rPr>
                <w:i/>
                <w:iCs/>
                <w:sz w:val="16"/>
                <w:szCs w:val="16"/>
                <w:lang w:val="fr-FR"/>
              </w:rPr>
              <w:t>’</w:t>
            </w:r>
            <w:r w:rsidRPr="004867C2">
              <w:rPr>
                <w:i/>
                <w:iCs/>
                <w:sz w:val="16"/>
                <w:szCs w:val="16"/>
                <w:lang w:val="fr-FR"/>
              </w:rPr>
              <w:t>eau ou d</w:t>
            </w:r>
            <w:r w:rsidR="00412DEA">
              <w:rPr>
                <w:i/>
                <w:iCs/>
                <w:sz w:val="16"/>
                <w:szCs w:val="16"/>
                <w:lang w:val="fr-FR"/>
              </w:rPr>
              <w:t>’</w:t>
            </w:r>
            <w:r w:rsidRPr="004867C2">
              <w:rPr>
                <w:i/>
                <w:iCs/>
                <w:sz w:val="16"/>
                <w:szCs w:val="16"/>
                <w:lang w:val="fr-FR"/>
              </w:rPr>
              <w:t>autres liquides, ou dissous ou mis en suspension dans l</w:t>
            </w:r>
            <w:r w:rsidR="00412DEA">
              <w:rPr>
                <w:i/>
                <w:iCs/>
                <w:sz w:val="16"/>
                <w:szCs w:val="16"/>
                <w:lang w:val="fr-FR"/>
              </w:rPr>
              <w:t>’</w:t>
            </w:r>
            <w:r w:rsidRPr="004867C2">
              <w:rPr>
                <w:i/>
                <w:iCs/>
                <w:sz w:val="16"/>
                <w:szCs w:val="16"/>
                <w:lang w:val="fr-FR"/>
              </w:rPr>
              <w:t>eau ou dans d</w:t>
            </w:r>
            <w:r w:rsidR="00412DEA">
              <w:rPr>
                <w:i/>
                <w:iCs/>
                <w:sz w:val="16"/>
                <w:szCs w:val="16"/>
                <w:lang w:val="fr-FR"/>
              </w:rPr>
              <w:t>’</w:t>
            </w:r>
            <w:r w:rsidRPr="004867C2">
              <w:rPr>
                <w:i/>
                <w:iCs/>
                <w:sz w:val="16"/>
                <w:szCs w:val="16"/>
                <w:lang w:val="fr-FR"/>
              </w:rPr>
              <w:t xml:space="preserve">autres liquides afin de diminuer leurs propriétés explosives </w:t>
            </w:r>
          </w:p>
          <w:p w14:paraId="23AC0875" w14:textId="77777777" w:rsidR="00566E09" w:rsidRPr="004867C2" w:rsidRDefault="00566E09" w:rsidP="002921BA">
            <w:pPr>
              <w:kinsoku/>
              <w:overflowPunct/>
              <w:autoSpaceDE/>
              <w:autoSpaceDN/>
              <w:adjustRightInd/>
              <w:snapToGrid/>
              <w:spacing w:before="30" w:after="30" w:line="240" w:lineRule="auto"/>
              <w:rPr>
                <w:i/>
                <w:iCs/>
                <w:sz w:val="16"/>
                <w:szCs w:val="16"/>
                <w:lang w:val="fr-FR"/>
              </w:rPr>
            </w:pPr>
            <w:r w:rsidRPr="004867C2">
              <w:rPr>
                <w:sz w:val="16"/>
                <w:szCs w:val="16"/>
                <w:lang w:val="fr-FR"/>
              </w:rPr>
              <w:t>... Il revient au fabricant/fournisseur ou à l</w:t>
            </w:r>
            <w:r w:rsidR="00412DEA">
              <w:rPr>
                <w:sz w:val="16"/>
                <w:szCs w:val="16"/>
                <w:lang w:val="fr-FR"/>
              </w:rPr>
              <w:t>’</w:t>
            </w:r>
            <w:r w:rsidRPr="004867C2">
              <w:rPr>
                <w:sz w:val="16"/>
                <w:szCs w:val="16"/>
                <w:lang w:val="fr-FR"/>
              </w:rPr>
              <w:t>autorité compétente de préciser les matières appropriées.</w:t>
            </w:r>
          </w:p>
          <w:p w14:paraId="19CD355E"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sz w:val="16"/>
                <w:szCs w:val="16"/>
                <w:lang w:val="fr-FR"/>
              </w:rPr>
              <w:t xml:space="preserve">P234 </w:t>
            </w:r>
          </w:p>
          <w:p w14:paraId="708507D9"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b/>
                <w:bCs/>
                <w:sz w:val="16"/>
                <w:szCs w:val="16"/>
                <w:lang w:val="fr-FR"/>
              </w:rPr>
              <w:t>Conserver uniquement dans l</w:t>
            </w:r>
            <w:r w:rsidR="00412DEA">
              <w:rPr>
                <w:b/>
                <w:bCs/>
                <w:sz w:val="16"/>
                <w:szCs w:val="16"/>
                <w:lang w:val="fr-FR"/>
              </w:rPr>
              <w:t>’</w:t>
            </w:r>
            <w:r w:rsidRPr="004867C2">
              <w:rPr>
                <w:b/>
                <w:bCs/>
                <w:sz w:val="16"/>
                <w:szCs w:val="16"/>
                <w:lang w:val="fr-FR"/>
              </w:rPr>
              <w:t>emballage d</w:t>
            </w:r>
            <w:r w:rsidR="00412DEA">
              <w:rPr>
                <w:b/>
                <w:bCs/>
                <w:sz w:val="16"/>
                <w:szCs w:val="16"/>
                <w:lang w:val="fr-FR"/>
              </w:rPr>
              <w:t>’</w:t>
            </w:r>
            <w:r w:rsidRPr="004867C2">
              <w:rPr>
                <w:b/>
                <w:bCs/>
                <w:sz w:val="16"/>
                <w:szCs w:val="16"/>
                <w:lang w:val="fr-FR"/>
              </w:rPr>
              <w:t>origine.</w:t>
            </w:r>
            <w:r w:rsidRPr="004867C2">
              <w:rPr>
                <w:sz w:val="16"/>
                <w:szCs w:val="16"/>
                <w:lang w:val="fr-FR"/>
              </w:rPr>
              <w:t xml:space="preserve"> </w:t>
            </w:r>
          </w:p>
          <w:p w14:paraId="3A8B1295"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i/>
                <w:iCs/>
                <w:sz w:val="16"/>
                <w:szCs w:val="16"/>
                <w:lang w:val="fr-FR"/>
              </w:rPr>
              <w:t>- Omettre lorsque le conseil P236 est appliqué.</w:t>
            </w:r>
            <w:r w:rsidRPr="004867C2">
              <w:rPr>
                <w:sz w:val="16"/>
                <w:szCs w:val="16"/>
                <w:lang w:val="fr-FR"/>
              </w:rPr>
              <w:t xml:space="preserve"> </w:t>
            </w:r>
          </w:p>
          <w:p w14:paraId="0454B6A0" w14:textId="77777777" w:rsidR="00566E09" w:rsidRPr="004867C2" w:rsidRDefault="00566E09" w:rsidP="002921BA">
            <w:pPr>
              <w:kinsoku/>
              <w:overflowPunct/>
              <w:autoSpaceDE/>
              <w:autoSpaceDN/>
              <w:adjustRightInd/>
              <w:snapToGrid/>
              <w:spacing w:before="30" w:after="30" w:line="240" w:lineRule="auto"/>
              <w:ind w:right="57"/>
              <w:rPr>
                <w:sz w:val="16"/>
                <w:szCs w:val="16"/>
                <w:lang w:val="fr-FR"/>
              </w:rPr>
            </w:pPr>
            <w:r w:rsidRPr="004867C2">
              <w:rPr>
                <w:sz w:val="16"/>
                <w:szCs w:val="16"/>
                <w:lang w:val="fr-FR"/>
              </w:rPr>
              <w:t xml:space="preserve">P236 </w:t>
            </w:r>
          </w:p>
          <w:p w14:paraId="40EEB918" w14:textId="77777777" w:rsidR="00566E09" w:rsidRPr="004867C2" w:rsidRDefault="00566E09" w:rsidP="002921BA">
            <w:pPr>
              <w:kinsoku/>
              <w:overflowPunct/>
              <w:autoSpaceDE/>
              <w:autoSpaceDN/>
              <w:adjustRightInd/>
              <w:snapToGrid/>
              <w:spacing w:before="30" w:after="30" w:line="240" w:lineRule="auto"/>
              <w:ind w:right="55"/>
              <w:rPr>
                <w:sz w:val="16"/>
                <w:szCs w:val="16"/>
                <w:lang w:val="fr-FR"/>
              </w:rPr>
            </w:pPr>
            <w:r w:rsidRPr="004867C2">
              <w:rPr>
                <w:b/>
                <w:bCs/>
                <w:sz w:val="16"/>
                <w:szCs w:val="16"/>
                <w:lang w:val="fr-FR"/>
              </w:rPr>
              <w:t>Conserver uniquement dans l</w:t>
            </w:r>
            <w:r w:rsidR="00412DEA">
              <w:rPr>
                <w:b/>
                <w:bCs/>
                <w:sz w:val="16"/>
                <w:szCs w:val="16"/>
                <w:lang w:val="fr-FR"/>
              </w:rPr>
              <w:t>’</w:t>
            </w:r>
            <w:r w:rsidRPr="004867C2">
              <w:rPr>
                <w:b/>
                <w:bCs/>
                <w:sz w:val="16"/>
                <w:szCs w:val="16"/>
                <w:lang w:val="fr-FR"/>
              </w:rPr>
              <w:t>emballage d</w:t>
            </w:r>
            <w:r w:rsidR="00412DEA">
              <w:rPr>
                <w:b/>
                <w:bCs/>
                <w:sz w:val="16"/>
                <w:szCs w:val="16"/>
                <w:lang w:val="fr-FR"/>
              </w:rPr>
              <w:t>’</w:t>
            </w:r>
            <w:r w:rsidRPr="004867C2">
              <w:rPr>
                <w:b/>
                <w:bCs/>
                <w:sz w:val="16"/>
                <w:szCs w:val="16"/>
                <w:lang w:val="fr-FR"/>
              </w:rPr>
              <w:t>origine ;</w:t>
            </w:r>
            <w:r w:rsidRPr="004867C2">
              <w:rPr>
                <w:sz w:val="16"/>
                <w:szCs w:val="16"/>
                <w:lang w:val="fr-FR"/>
              </w:rPr>
              <w:t xml:space="preserve"> </w:t>
            </w:r>
            <w:r w:rsidRPr="004867C2">
              <w:rPr>
                <w:b/>
                <w:bCs/>
                <w:sz w:val="16"/>
                <w:szCs w:val="16"/>
                <w:lang w:val="fr-FR"/>
              </w:rPr>
              <w:t>Division … dans la configuration de transport.</w:t>
            </w:r>
            <w:r w:rsidRPr="004867C2">
              <w:rPr>
                <w:sz w:val="16"/>
                <w:szCs w:val="16"/>
                <w:lang w:val="fr-FR"/>
              </w:rPr>
              <w:t xml:space="preserve"> </w:t>
            </w:r>
          </w:p>
          <w:p w14:paraId="213FA490" w14:textId="77777777" w:rsidR="00566E09" w:rsidRPr="004867C2" w:rsidRDefault="00566E09" w:rsidP="002921BA">
            <w:pPr>
              <w:kinsoku/>
              <w:overflowPunct/>
              <w:autoSpaceDE/>
              <w:autoSpaceDN/>
              <w:adjustRightInd/>
              <w:snapToGrid/>
              <w:spacing w:before="30" w:after="30" w:line="240" w:lineRule="auto"/>
              <w:ind w:right="57"/>
              <w:rPr>
                <w:i/>
                <w:iCs/>
                <w:sz w:val="16"/>
                <w:szCs w:val="16"/>
                <w:lang w:val="fr-FR"/>
              </w:rPr>
            </w:pPr>
            <w:r w:rsidRPr="004867C2">
              <w:rPr>
                <w:i/>
                <w:iCs/>
                <w:sz w:val="16"/>
                <w:szCs w:val="16"/>
                <w:lang w:val="fr-FR"/>
              </w:rPr>
              <w:t>- Peut être omis dans le cas des emballages simples sur lesquels est représenté le pictogramme de transport correspondant à la division (dans la classe 1).</w:t>
            </w:r>
          </w:p>
          <w:p w14:paraId="2198EFCC"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i/>
                <w:iCs/>
                <w:sz w:val="16"/>
                <w:szCs w:val="16"/>
                <w:lang w:val="fr-FR"/>
              </w:rPr>
              <w:t>- Peut être omis si l</w:t>
            </w:r>
            <w:r w:rsidR="00412DEA">
              <w:rPr>
                <w:i/>
                <w:iCs/>
                <w:sz w:val="16"/>
                <w:szCs w:val="16"/>
                <w:lang w:val="fr-FR"/>
              </w:rPr>
              <w:t>’</w:t>
            </w:r>
            <w:r w:rsidRPr="004867C2">
              <w:rPr>
                <w:i/>
                <w:iCs/>
                <w:sz w:val="16"/>
                <w:szCs w:val="16"/>
                <w:lang w:val="fr-FR"/>
              </w:rPr>
              <w:t>utilisation d</w:t>
            </w:r>
            <w:r w:rsidR="00412DEA">
              <w:rPr>
                <w:i/>
                <w:iCs/>
                <w:sz w:val="16"/>
                <w:szCs w:val="16"/>
                <w:lang w:val="fr-FR"/>
              </w:rPr>
              <w:t>’</w:t>
            </w:r>
            <w:r w:rsidRPr="004867C2">
              <w:rPr>
                <w:i/>
                <w:iCs/>
                <w:sz w:val="16"/>
                <w:szCs w:val="16"/>
                <w:lang w:val="fr-FR"/>
              </w:rPr>
              <w:t>emballages extérieurs différents entraîne une affectation à des divisions différentes pour le transport.</w:t>
            </w:r>
          </w:p>
          <w:p w14:paraId="03342387"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i/>
                <w:iCs/>
                <w:sz w:val="16"/>
                <w:szCs w:val="16"/>
                <w:lang w:val="fr-FR"/>
              </w:rPr>
              <w:t>- À utiliser pour les explosifs affectés à une division de la classe 1 pour le transport.</w:t>
            </w:r>
            <w:r w:rsidRPr="004867C2">
              <w:rPr>
                <w:sz w:val="16"/>
                <w:szCs w:val="16"/>
                <w:lang w:val="fr-FR"/>
              </w:rPr>
              <w:t xml:space="preserve"> </w:t>
            </w:r>
          </w:p>
          <w:p w14:paraId="0243B149"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sz w:val="16"/>
                <w:szCs w:val="16"/>
                <w:lang w:val="fr-FR"/>
              </w:rPr>
              <w:t>... Il revient au fabricant/fournisseur ou à l</w:t>
            </w:r>
            <w:r w:rsidR="00412DEA">
              <w:rPr>
                <w:sz w:val="16"/>
                <w:szCs w:val="16"/>
                <w:lang w:val="fr-FR"/>
              </w:rPr>
              <w:t>’</w:t>
            </w:r>
            <w:r w:rsidRPr="004867C2">
              <w:rPr>
                <w:sz w:val="16"/>
                <w:szCs w:val="16"/>
                <w:lang w:val="fr-FR"/>
              </w:rPr>
              <w:t>autorité compétente de préciser la division aux fins du transport.</w:t>
            </w:r>
          </w:p>
          <w:p w14:paraId="79F4FCAF"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sz w:val="16"/>
                <w:szCs w:val="16"/>
                <w:lang w:val="fr-FR"/>
              </w:rPr>
              <w:t>P240</w:t>
            </w:r>
          </w:p>
          <w:p w14:paraId="468EBB22"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b/>
                <w:bCs/>
                <w:sz w:val="16"/>
                <w:szCs w:val="16"/>
                <w:lang w:val="fr-FR"/>
              </w:rPr>
              <w:t>Mise à la terre et liaison équipotentielle du récipient et du matériel de réception.</w:t>
            </w:r>
            <w:r w:rsidRPr="004867C2">
              <w:rPr>
                <w:sz w:val="16"/>
                <w:szCs w:val="16"/>
                <w:lang w:val="fr-FR"/>
              </w:rPr>
              <w:t xml:space="preserve"> </w:t>
            </w:r>
          </w:p>
          <w:p w14:paraId="6CADD965" w14:textId="77777777" w:rsidR="00566E09" w:rsidRPr="004867C2" w:rsidRDefault="00566E09" w:rsidP="002921BA">
            <w:pPr>
              <w:kinsoku/>
              <w:overflowPunct/>
              <w:autoSpaceDE/>
              <w:autoSpaceDN/>
              <w:adjustRightInd/>
              <w:snapToGrid/>
              <w:spacing w:before="30" w:after="30" w:line="240" w:lineRule="auto"/>
              <w:rPr>
                <w:bCs/>
                <w:sz w:val="16"/>
                <w:szCs w:val="16"/>
                <w:lang w:val="fr-FR"/>
              </w:rPr>
            </w:pPr>
            <w:r w:rsidRPr="004867C2">
              <w:rPr>
                <w:i/>
                <w:iCs/>
                <w:sz w:val="16"/>
                <w:szCs w:val="16"/>
                <w:lang w:val="fr-FR"/>
              </w:rPr>
              <w:t>– Si la matière ou l</w:t>
            </w:r>
            <w:r w:rsidR="00412DEA">
              <w:rPr>
                <w:i/>
                <w:iCs/>
                <w:sz w:val="16"/>
                <w:szCs w:val="16"/>
                <w:lang w:val="fr-FR"/>
              </w:rPr>
              <w:t>’</w:t>
            </w:r>
            <w:r w:rsidRPr="004867C2">
              <w:rPr>
                <w:i/>
                <w:iCs/>
                <w:sz w:val="16"/>
                <w:szCs w:val="16"/>
                <w:lang w:val="fr-FR"/>
              </w:rPr>
              <w:t>objet explosible est sensible à l</w:t>
            </w:r>
            <w:r w:rsidR="00412DEA">
              <w:rPr>
                <w:i/>
                <w:iCs/>
                <w:sz w:val="16"/>
                <w:szCs w:val="16"/>
                <w:lang w:val="fr-FR"/>
              </w:rPr>
              <w:t>’</w:t>
            </w:r>
            <w:r w:rsidRPr="004867C2">
              <w:rPr>
                <w:i/>
                <w:iCs/>
                <w:sz w:val="16"/>
                <w:szCs w:val="16"/>
                <w:lang w:val="fr-FR"/>
              </w:rPr>
              <w:t>électricité statique.</w:t>
            </w:r>
          </w:p>
          <w:p w14:paraId="6479F3EC"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sz w:val="16"/>
                <w:szCs w:val="16"/>
                <w:lang w:val="fr-FR"/>
              </w:rPr>
              <w:t xml:space="preserve">P250 </w:t>
            </w:r>
          </w:p>
          <w:p w14:paraId="358F84DE"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b/>
                <w:bCs/>
                <w:sz w:val="16"/>
                <w:szCs w:val="16"/>
                <w:lang w:val="fr-FR"/>
              </w:rPr>
              <w:t>Éviter les abrasions/les chocs/les frottements/...</w:t>
            </w:r>
            <w:r w:rsidRPr="004867C2">
              <w:rPr>
                <w:sz w:val="16"/>
                <w:szCs w:val="16"/>
                <w:lang w:val="fr-FR"/>
              </w:rPr>
              <w:t xml:space="preserve"> </w:t>
            </w:r>
          </w:p>
          <w:p w14:paraId="5DE91436"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i/>
                <w:iCs/>
                <w:sz w:val="16"/>
                <w:szCs w:val="16"/>
                <w:lang w:val="fr-FR"/>
              </w:rPr>
              <w:t>− Si la matière ou l</w:t>
            </w:r>
            <w:r w:rsidR="00412DEA">
              <w:rPr>
                <w:i/>
                <w:iCs/>
                <w:sz w:val="16"/>
                <w:szCs w:val="16"/>
                <w:lang w:val="fr-FR"/>
              </w:rPr>
              <w:t>’</w:t>
            </w:r>
            <w:r w:rsidRPr="004867C2">
              <w:rPr>
                <w:i/>
                <w:iCs/>
                <w:sz w:val="16"/>
                <w:szCs w:val="16"/>
                <w:lang w:val="fr-FR"/>
              </w:rPr>
              <w:t>objet explosible est sensible aux chocs mécaniques.</w:t>
            </w:r>
            <w:r w:rsidRPr="004867C2">
              <w:rPr>
                <w:sz w:val="16"/>
                <w:szCs w:val="16"/>
                <w:lang w:val="fr-FR"/>
              </w:rPr>
              <w:t xml:space="preserve"> </w:t>
            </w:r>
          </w:p>
          <w:p w14:paraId="51B9341B" w14:textId="77777777" w:rsidR="00566E09" w:rsidRPr="004867C2" w:rsidRDefault="00566E09" w:rsidP="002921BA">
            <w:pPr>
              <w:kinsoku/>
              <w:overflowPunct/>
              <w:autoSpaceDE/>
              <w:autoSpaceDN/>
              <w:adjustRightInd/>
              <w:snapToGrid/>
              <w:spacing w:before="30" w:after="30" w:line="240" w:lineRule="auto"/>
              <w:rPr>
                <w:bCs/>
                <w:sz w:val="16"/>
                <w:szCs w:val="16"/>
                <w:lang w:val="fr-FR"/>
              </w:rPr>
            </w:pPr>
            <w:r w:rsidRPr="004867C2">
              <w:rPr>
                <w:sz w:val="16"/>
                <w:szCs w:val="16"/>
                <w:lang w:val="fr-FR"/>
              </w:rPr>
              <w:t>… Il revient au fabricant/fournisseur ou à l</w:t>
            </w:r>
            <w:r w:rsidR="00412DEA">
              <w:rPr>
                <w:sz w:val="16"/>
                <w:szCs w:val="16"/>
                <w:lang w:val="fr-FR"/>
              </w:rPr>
              <w:t>’</w:t>
            </w:r>
            <w:r w:rsidRPr="004867C2">
              <w:rPr>
                <w:sz w:val="16"/>
                <w:szCs w:val="16"/>
                <w:lang w:val="fr-FR"/>
              </w:rPr>
              <w:t>autorité compétente de préciser le type de manipulation brutale à éviter.</w:t>
            </w:r>
          </w:p>
          <w:p w14:paraId="4910DD81"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sz w:val="16"/>
                <w:szCs w:val="16"/>
                <w:lang w:val="fr-FR"/>
              </w:rPr>
              <w:t xml:space="preserve">P280 </w:t>
            </w:r>
          </w:p>
          <w:p w14:paraId="270E74B5"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b/>
                <w:bCs/>
                <w:sz w:val="16"/>
                <w:szCs w:val="16"/>
                <w:lang w:val="fr-FR"/>
              </w:rPr>
              <w:t>Porter des gants de protection/des vêtements de protection/un équipement de protection des yeux/du visage/auditive...</w:t>
            </w:r>
            <w:r w:rsidRPr="004867C2">
              <w:rPr>
                <w:sz w:val="16"/>
                <w:szCs w:val="16"/>
                <w:lang w:val="fr-FR"/>
              </w:rPr>
              <w:t xml:space="preserve">  </w:t>
            </w:r>
          </w:p>
          <w:p w14:paraId="70A00B3C"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sz w:val="16"/>
                <w:szCs w:val="16"/>
                <w:lang w:val="fr-FR"/>
              </w:rPr>
              <w:t>Il revient au fabricant/fournisseur ou à l</w:t>
            </w:r>
            <w:r w:rsidR="00412DEA">
              <w:rPr>
                <w:sz w:val="16"/>
                <w:szCs w:val="16"/>
                <w:lang w:val="fr-FR"/>
              </w:rPr>
              <w:t>’</w:t>
            </w:r>
            <w:r w:rsidRPr="004867C2">
              <w:rPr>
                <w:sz w:val="16"/>
                <w:szCs w:val="16"/>
                <w:lang w:val="fr-FR"/>
              </w:rPr>
              <w:t>autorité compétente de préciser l</w:t>
            </w:r>
            <w:r w:rsidR="00412DEA">
              <w:rPr>
                <w:sz w:val="16"/>
                <w:szCs w:val="16"/>
                <w:lang w:val="fr-FR"/>
              </w:rPr>
              <w:t>’</w:t>
            </w:r>
            <w:r w:rsidRPr="004867C2">
              <w:rPr>
                <w:sz w:val="16"/>
                <w:szCs w:val="16"/>
                <w:lang w:val="fr-FR"/>
              </w:rPr>
              <w:t>équipement de protection individuelle approprié.</w:t>
            </w:r>
          </w:p>
        </w:tc>
        <w:tc>
          <w:tcPr>
            <w:tcW w:w="2351" w:type="dxa"/>
            <w:gridSpan w:val="3"/>
            <w:tcBorders>
              <w:top w:val="single" w:sz="4" w:space="0" w:color="auto"/>
              <w:left w:val="single" w:sz="4" w:space="0" w:color="auto"/>
              <w:bottom w:val="single" w:sz="4" w:space="0" w:color="auto"/>
              <w:right w:val="single" w:sz="4" w:space="0" w:color="auto"/>
            </w:tcBorders>
          </w:tcPr>
          <w:p w14:paraId="46DBE193" w14:textId="77777777" w:rsidR="00566E09" w:rsidRPr="004867C2" w:rsidRDefault="00566E09" w:rsidP="002921BA">
            <w:pPr>
              <w:tabs>
                <w:tab w:val="left" w:pos="288"/>
              </w:tabs>
              <w:kinsoku/>
              <w:overflowPunct/>
              <w:autoSpaceDE/>
              <w:autoSpaceDN/>
              <w:adjustRightInd/>
              <w:snapToGrid/>
              <w:spacing w:before="30" w:after="30" w:line="240" w:lineRule="auto"/>
              <w:rPr>
                <w:sz w:val="16"/>
                <w:szCs w:val="16"/>
                <w:lang w:val="fr-FR"/>
              </w:rPr>
            </w:pPr>
            <w:r w:rsidRPr="004867C2">
              <w:rPr>
                <w:sz w:val="16"/>
                <w:szCs w:val="16"/>
                <w:lang w:val="fr-FR"/>
              </w:rPr>
              <w:t xml:space="preserve">P370 + P372 + P380 + P373 </w:t>
            </w:r>
          </w:p>
          <w:p w14:paraId="7C69AA14" w14:textId="77777777" w:rsidR="00566E09" w:rsidRPr="004867C2" w:rsidRDefault="00566E09" w:rsidP="002921BA">
            <w:pPr>
              <w:tabs>
                <w:tab w:val="left" w:pos="288"/>
              </w:tabs>
              <w:kinsoku/>
              <w:overflowPunct/>
              <w:autoSpaceDE/>
              <w:autoSpaceDN/>
              <w:adjustRightInd/>
              <w:snapToGrid/>
              <w:spacing w:before="30" w:after="30" w:line="240" w:lineRule="auto"/>
              <w:rPr>
                <w:sz w:val="16"/>
                <w:szCs w:val="16"/>
                <w:lang w:val="fr-FR"/>
              </w:rPr>
            </w:pPr>
            <w:r w:rsidRPr="004867C2">
              <w:rPr>
                <w:b/>
                <w:bCs/>
                <w:sz w:val="16"/>
                <w:szCs w:val="16"/>
                <w:lang w:val="fr-FR"/>
              </w:rPr>
              <w:t>En cas d</w:t>
            </w:r>
            <w:r w:rsidR="00412DEA">
              <w:rPr>
                <w:b/>
                <w:bCs/>
                <w:sz w:val="16"/>
                <w:szCs w:val="16"/>
                <w:lang w:val="fr-FR"/>
              </w:rPr>
              <w:t>’</w:t>
            </w:r>
            <w:r w:rsidRPr="004867C2">
              <w:rPr>
                <w:b/>
                <w:bCs/>
                <w:sz w:val="16"/>
                <w:szCs w:val="16"/>
                <w:lang w:val="fr-FR"/>
              </w:rPr>
              <w:t>incendie : Risque d</w:t>
            </w:r>
            <w:r w:rsidR="00412DEA">
              <w:rPr>
                <w:b/>
                <w:bCs/>
                <w:sz w:val="16"/>
                <w:szCs w:val="16"/>
                <w:lang w:val="fr-FR"/>
              </w:rPr>
              <w:t>’</w:t>
            </w:r>
            <w:r w:rsidRPr="004867C2">
              <w:rPr>
                <w:b/>
                <w:bCs/>
                <w:sz w:val="16"/>
                <w:szCs w:val="16"/>
                <w:lang w:val="fr-FR"/>
              </w:rPr>
              <w:t>explosion.</w:t>
            </w:r>
            <w:r w:rsidRPr="004867C2">
              <w:rPr>
                <w:sz w:val="16"/>
                <w:szCs w:val="16"/>
                <w:lang w:val="fr-FR"/>
              </w:rPr>
              <w:t xml:space="preserve"> </w:t>
            </w:r>
            <w:r w:rsidRPr="004867C2">
              <w:rPr>
                <w:b/>
                <w:bCs/>
                <w:sz w:val="16"/>
                <w:szCs w:val="16"/>
                <w:lang w:val="fr-FR"/>
              </w:rPr>
              <w:t>Évacuer la zone.</w:t>
            </w:r>
            <w:r w:rsidRPr="004867C2">
              <w:rPr>
                <w:sz w:val="16"/>
                <w:szCs w:val="16"/>
                <w:lang w:val="fr-FR"/>
              </w:rPr>
              <w:t xml:space="preserve"> </w:t>
            </w:r>
            <w:r w:rsidRPr="004867C2">
              <w:rPr>
                <w:b/>
                <w:bCs/>
                <w:sz w:val="16"/>
                <w:szCs w:val="16"/>
                <w:lang w:val="fr-FR"/>
              </w:rPr>
              <w:t>NE PAS combattre l</w:t>
            </w:r>
            <w:r w:rsidR="00412DEA">
              <w:rPr>
                <w:b/>
                <w:bCs/>
                <w:sz w:val="16"/>
                <w:szCs w:val="16"/>
                <w:lang w:val="fr-FR"/>
              </w:rPr>
              <w:t>’</w:t>
            </w:r>
            <w:r w:rsidRPr="004867C2">
              <w:rPr>
                <w:b/>
                <w:bCs/>
                <w:sz w:val="16"/>
                <w:szCs w:val="16"/>
                <w:lang w:val="fr-FR"/>
              </w:rPr>
              <w:t>incendie lorsque le feu atteint les explosifs.</w:t>
            </w:r>
          </w:p>
        </w:tc>
        <w:tc>
          <w:tcPr>
            <w:tcW w:w="1963" w:type="dxa"/>
            <w:gridSpan w:val="2"/>
            <w:tcBorders>
              <w:top w:val="single" w:sz="4" w:space="0" w:color="auto"/>
              <w:left w:val="single" w:sz="4" w:space="0" w:color="auto"/>
              <w:bottom w:val="single" w:sz="4" w:space="0" w:color="auto"/>
              <w:right w:val="single" w:sz="4" w:space="0" w:color="auto"/>
            </w:tcBorders>
          </w:tcPr>
          <w:p w14:paraId="7CAEADC2"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sz w:val="16"/>
                <w:szCs w:val="16"/>
                <w:lang w:val="fr-FR"/>
              </w:rPr>
              <w:t>P401</w:t>
            </w:r>
          </w:p>
          <w:p w14:paraId="544CEC47"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b/>
                <w:bCs/>
                <w:sz w:val="16"/>
                <w:szCs w:val="16"/>
                <w:lang w:val="fr-FR"/>
              </w:rPr>
              <w:t>Stocker conformément à…</w:t>
            </w:r>
            <w:r w:rsidRPr="004867C2">
              <w:rPr>
                <w:sz w:val="16"/>
                <w:szCs w:val="16"/>
                <w:lang w:val="fr-FR"/>
              </w:rPr>
              <w:t xml:space="preserve"> </w:t>
            </w:r>
          </w:p>
          <w:p w14:paraId="261142ED"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sz w:val="16"/>
                <w:szCs w:val="16"/>
                <w:lang w:val="fr-FR"/>
              </w:rPr>
              <w:t>... Il revient au fabricant/fournisseur ou à l</w:t>
            </w:r>
            <w:r w:rsidR="00412DEA">
              <w:rPr>
                <w:sz w:val="16"/>
                <w:szCs w:val="16"/>
                <w:lang w:val="fr-FR"/>
              </w:rPr>
              <w:t>’</w:t>
            </w:r>
            <w:r w:rsidRPr="004867C2">
              <w:rPr>
                <w:sz w:val="16"/>
                <w:szCs w:val="16"/>
                <w:lang w:val="fr-FR"/>
              </w:rPr>
              <w:t>autorité compétente de préciser la réglementation locale/régionale/nationale/</w:t>
            </w:r>
            <w:r w:rsidR="002921BA">
              <w:rPr>
                <w:sz w:val="16"/>
                <w:szCs w:val="16"/>
                <w:lang w:val="fr-FR"/>
              </w:rPr>
              <w:br/>
            </w:r>
            <w:r w:rsidRPr="004867C2">
              <w:rPr>
                <w:sz w:val="16"/>
                <w:szCs w:val="16"/>
                <w:lang w:val="fr-FR"/>
              </w:rPr>
              <w:t>internationale applicable</w:t>
            </w:r>
          </w:p>
        </w:tc>
        <w:tc>
          <w:tcPr>
            <w:tcW w:w="2318" w:type="dxa"/>
            <w:gridSpan w:val="2"/>
            <w:tcBorders>
              <w:top w:val="single" w:sz="4" w:space="0" w:color="auto"/>
              <w:left w:val="single" w:sz="4" w:space="0" w:color="auto"/>
              <w:bottom w:val="single" w:sz="4" w:space="0" w:color="auto"/>
              <w:right w:val="single" w:sz="4" w:space="0" w:color="auto"/>
            </w:tcBorders>
          </w:tcPr>
          <w:p w14:paraId="7F413D7C"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sz w:val="16"/>
                <w:szCs w:val="16"/>
                <w:lang w:val="fr-FR"/>
              </w:rPr>
              <w:t>P503</w:t>
            </w:r>
          </w:p>
          <w:p w14:paraId="04E0B184"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b/>
                <w:bCs/>
                <w:sz w:val="16"/>
                <w:szCs w:val="16"/>
                <w:lang w:val="fr-FR"/>
              </w:rPr>
              <w:t>S</w:t>
            </w:r>
            <w:r w:rsidR="00412DEA">
              <w:rPr>
                <w:b/>
                <w:bCs/>
                <w:sz w:val="16"/>
                <w:szCs w:val="16"/>
                <w:lang w:val="fr-FR"/>
              </w:rPr>
              <w:t>’</w:t>
            </w:r>
            <w:r w:rsidRPr="004867C2">
              <w:rPr>
                <w:b/>
                <w:bCs/>
                <w:sz w:val="16"/>
                <w:szCs w:val="16"/>
                <w:lang w:val="fr-FR"/>
              </w:rPr>
              <w:t>adresser au fabricant/fournisseur/… pour toute information concernant l</w:t>
            </w:r>
            <w:r w:rsidR="00412DEA">
              <w:rPr>
                <w:b/>
                <w:bCs/>
                <w:sz w:val="16"/>
                <w:szCs w:val="16"/>
                <w:lang w:val="fr-FR"/>
              </w:rPr>
              <w:t>’</w:t>
            </w:r>
            <w:r w:rsidRPr="004867C2">
              <w:rPr>
                <w:b/>
                <w:bCs/>
                <w:sz w:val="16"/>
                <w:szCs w:val="16"/>
                <w:lang w:val="fr-FR"/>
              </w:rPr>
              <w:t>élimination/la récupération/le recyclage</w:t>
            </w:r>
            <w:r w:rsidRPr="004867C2">
              <w:rPr>
                <w:sz w:val="16"/>
                <w:szCs w:val="16"/>
                <w:lang w:val="fr-FR"/>
              </w:rPr>
              <w:t xml:space="preserve"> </w:t>
            </w:r>
          </w:p>
          <w:p w14:paraId="3B06C4FC" w14:textId="77777777" w:rsidR="00566E09" w:rsidRPr="004867C2" w:rsidRDefault="00566E09" w:rsidP="002921BA">
            <w:pPr>
              <w:kinsoku/>
              <w:overflowPunct/>
              <w:autoSpaceDE/>
              <w:autoSpaceDN/>
              <w:adjustRightInd/>
              <w:snapToGrid/>
              <w:spacing w:before="30" w:after="30" w:line="240" w:lineRule="auto"/>
              <w:rPr>
                <w:sz w:val="16"/>
                <w:szCs w:val="16"/>
                <w:lang w:val="fr-FR"/>
              </w:rPr>
            </w:pPr>
            <w:r w:rsidRPr="004867C2">
              <w:rPr>
                <w:sz w:val="16"/>
                <w:szCs w:val="16"/>
                <w:lang w:val="fr-FR"/>
              </w:rPr>
              <w:t>... Il revient au fabricant/</w:t>
            </w:r>
            <w:r w:rsidR="002921BA">
              <w:rPr>
                <w:sz w:val="16"/>
                <w:szCs w:val="16"/>
                <w:lang w:val="fr-FR"/>
              </w:rPr>
              <w:br/>
            </w:r>
            <w:r w:rsidRPr="002921BA">
              <w:rPr>
                <w:spacing w:val="-4"/>
                <w:sz w:val="16"/>
                <w:szCs w:val="16"/>
                <w:lang w:val="fr-FR"/>
              </w:rPr>
              <w:t>fournisseur ou à l</w:t>
            </w:r>
            <w:r w:rsidR="00412DEA" w:rsidRPr="002921BA">
              <w:rPr>
                <w:spacing w:val="-4"/>
                <w:sz w:val="16"/>
                <w:szCs w:val="16"/>
                <w:lang w:val="fr-FR"/>
              </w:rPr>
              <w:t>’</w:t>
            </w:r>
            <w:r w:rsidRPr="002921BA">
              <w:rPr>
                <w:spacing w:val="-4"/>
                <w:sz w:val="16"/>
                <w:szCs w:val="16"/>
                <w:lang w:val="fr-FR"/>
              </w:rPr>
              <w:t>autorité compétente de préciser la source appropriée d</w:t>
            </w:r>
            <w:r w:rsidR="00412DEA" w:rsidRPr="002921BA">
              <w:rPr>
                <w:spacing w:val="-4"/>
                <w:sz w:val="16"/>
                <w:szCs w:val="16"/>
                <w:lang w:val="fr-FR"/>
              </w:rPr>
              <w:t>’</w:t>
            </w:r>
            <w:r w:rsidRPr="002921BA">
              <w:rPr>
                <w:spacing w:val="-4"/>
                <w:sz w:val="16"/>
                <w:szCs w:val="16"/>
                <w:lang w:val="fr-FR"/>
              </w:rPr>
              <w:t>information, conformément à la réglementation locale/régionale/nationale/</w:t>
            </w:r>
            <w:r w:rsidR="002921BA" w:rsidRPr="002921BA">
              <w:rPr>
                <w:spacing w:val="-4"/>
                <w:sz w:val="16"/>
                <w:szCs w:val="16"/>
                <w:lang w:val="fr-FR"/>
              </w:rPr>
              <w:br/>
            </w:r>
            <w:r w:rsidRPr="002921BA">
              <w:rPr>
                <w:spacing w:val="-4"/>
                <w:sz w:val="16"/>
                <w:szCs w:val="16"/>
                <w:lang w:val="fr-FR"/>
              </w:rPr>
              <w:t>internationale applicable.</w:t>
            </w:r>
          </w:p>
        </w:tc>
      </w:tr>
      <w:tr w:rsidR="00566E09" w:rsidRPr="004867C2" w14:paraId="0CD8AC6D" w14:textId="77777777" w:rsidTr="002921BA">
        <w:trPr>
          <w:gridAfter w:val="2"/>
          <w:wAfter w:w="387" w:type="dxa"/>
        </w:trPr>
        <w:tc>
          <w:tcPr>
            <w:tcW w:w="13750" w:type="dxa"/>
            <w:gridSpan w:val="12"/>
            <w:tcBorders>
              <w:top w:val="nil"/>
              <w:left w:val="nil"/>
              <w:bottom w:val="nil"/>
              <w:right w:val="nil"/>
            </w:tcBorders>
          </w:tcPr>
          <w:p w14:paraId="0F8C1A46" w14:textId="77777777" w:rsidR="00566E09" w:rsidRPr="004867C2" w:rsidRDefault="00566E09" w:rsidP="00D9689A">
            <w:pPr>
              <w:keepNext/>
              <w:keepLines/>
              <w:kinsoku/>
              <w:overflowPunct/>
              <w:autoSpaceDE/>
              <w:autoSpaceDN/>
              <w:adjustRightInd/>
              <w:snapToGrid/>
              <w:spacing w:before="40" w:after="40" w:line="240" w:lineRule="auto"/>
              <w:ind w:right="252"/>
              <w:jc w:val="center"/>
              <w:rPr>
                <w:rFonts w:asciiTheme="majorBidi" w:hAnsiTheme="majorBidi" w:cstheme="majorBidi"/>
                <w:b/>
                <w:bCs/>
                <w:sz w:val="16"/>
                <w:szCs w:val="16"/>
                <w:lang w:val="fr-FR"/>
              </w:rPr>
            </w:pPr>
            <w:r w:rsidRPr="004867C2">
              <w:rPr>
                <w:rFonts w:asciiTheme="majorBidi" w:hAnsiTheme="majorBidi" w:cstheme="majorBidi"/>
                <w:b/>
                <w:bCs/>
                <w:sz w:val="16"/>
                <w:szCs w:val="16"/>
                <w:lang w:val="fr-FR"/>
              </w:rPr>
              <w:lastRenderedPageBreak/>
              <w:t>MATI</w:t>
            </w:r>
            <w:r w:rsidR="002921BA">
              <w:rPr>
                <w:rFonts w:asciiTheme="majorBidi" w:hAnsiTheme="majorBidi" w:cstheme="majorBidi"/>
                <w:b/>
                <w:bCs/>
                <w:sz w:val="16"/>
                <w:szCs w:val="16"/>
                <w:lang w:val="fr-FR"/>
              </w:rPr>
              <w:t>È</w:t>
            </w:r>
            <w:r w:rsidRPr="004867C2">
              <w:rPr>
                <w:rFonts w:asciiTheme="majorBidi" w:hAnsiTheme="majorBidi" w:cstheme="majorBidi"/>
                <w:b/>
                <w:bCs/>
                <w:sz w:val="16"/>
                <w:szCs w:val="16"/>
                <w:lang w:val="fr-FR"/>
              </w:rPr>
              <w:t>RES ET OBJETS EXPLOSIBLES</w:t>
            </w:r>
            <w:r w:rsidRPr="004867C2">
              <w:rPr>
                <w:rFonts w:asciiTheme="majorBidi" w:hAnsiTheme="majorBidi" w:cstheme="majorBidi"/>
                <w:b/>
                <w:bCs/>
                <w:sz w:val="16"/>
                <w:szCs w:val="16"/>
                <w:lang w:val="fr-FR"/>
              </w:rPr>
              <w:br/>
              <w:t>(CHAPITRE 2.1)</w:t>
            </w:r>
          </w:p>
        </w:tc>
      </w:tr>
      <w:tr w:rsidR="00566E09" w:rsidRPr="004867C2" w14:paraId="65F856E7" w14:textId="77777777" w:rsidTr="002921BA">
        <w:trPr>
          <w:tblHeader/>
        </w:trPr>
        <w:tc>
          <w:tcPr>
            <w:tcW w:w="2833" w:type="dxa"/>
            <w:tcBorders>
              <w:top w:val="nil"/>
              <w:left w:val="nil"/>
              <w:bottom w:val="nil"/>
              <w:right w:val="nil"/>
            </w:tcBorders>
            <w:hideMark/>
          </w:tcPr>
          <w:p w14:paraId="6F5B7F87" w14:textId="77777777" w:rsidR="00566E09" w:rsidRPr="004867C2" w:rsidRDefault="00566E09" w:rsidP="00D9689A">
            <w:pPr>
              <w:keepNext/>
              <w:keepLines/>
              <w:kinsoku/>
              <w:overflowPunct/>
              <w:autoSpaceDE/>
              <w:autoSpaceDN/>
              <w:adjustRightInd/>
              <w:snapToGrid/>
              <w:spacing w:before="40" w:after="40" w:line="240" w:lineRule="auto"/>
              <w:jc w:val="both"/>
              <w:rPr>
                <w:rFonts w:asciiTheme="majorBidi" w:hAnsiTheme="majorBidi" w:cstheme="majorBidi"/>
                <w:b/>
                <w:bCs/>
                <w:sz w:val="16"/>
                <w:szCs w:val="16"/>
                <w:lang w:val="fr-FR"/>
              </w:rPr>
            </w:pPr>
            <w:r w:rsidRPr="004867C2">
              <w:rPr>
                <w:rFonts w:asciiTheme="majorBidi" w:hAnsiTheme="majorBidi" w:cstheme="majorBidi"/>
                <w:b/>
                <w:bCs/>
                <w:sz w:val="16"/>
                <w:szCs w:val="16"/>
                <w:lang w:val="fr-FR"/>
              </w:rPr>
              <w:t>Catégorie de danger</w:t>
            </w:r>
          </w:p>
        </w:tc>
        <w:tc>
          <w:tcPr>
            <w:tcW w:w="4243" w:type="dxa"/>
            <w:gridSpan w:val="2"/>
            <w:tcBorders>
              <w:top w:val="nil"/>
              <w:left w:val="nil"/>
              <w:bottom w:val="nil"/>
              <w:right w:val="nil"/>
            </w:tcBorders>
            <w:hideMark/>
          </w:tcPr>
          <w:p w14:paraId="24384525" w14:textId="77777777" w:rsidR="00566E09" w:rsidRPr="004867C2" w:rsidRDefault="00566E09" w:rsidP="00D9689A">
            <w:pPr>
              <w:keepNext/>
              <w:keepLines/>
              <w:kinsoku/>
              <w:overflowPunct/>
              <w:autoSpaceDE/>
              <w:autoSpaceDN/>
              <w:adjustRightInd/>
              <w:snapToGrid/>
              <w:spacing w:before="40" w:after="40" w:line="240" w:lineRule="auto"/>
              <w:rPr>
                <w:rFonts w:asciiTheme="majorBidi" w:hAnsiTheme="majorBidi" w:cstheme="majorBidi"/>
                <w:b/>
                <w:bCs/>
                <w:sz w:val="16"/>
                <w:szCs w:val="16"/>
                <w:lang w:val="fr-FR"/>
              </w:rPr>
            </w:pPr>
            <w:r w:rsidRPr="004867C2">
              <w:rPr>
                <w:rFonts w:asciiTheme="majorBidi" w:hAnsiTheme="majorBidi" w:cstheme="majorBidi"/>
                <w:b/>
                <w:bCs/>
                <w:sz w:val="16"/>
                <w:szCs w:val="16"/>
                <w:lang w:val="fr-FR"/>
              </w:rPr>
              <w:t>Symbole</w:t>
            </w:r>
          </w:p>
        </w:tc>
        <w:tc>
          <w:tcPr>
            <w:tcW w:w="2279" w:type="dxa"/>
            <w:gridSpan w:val="4"/>
            <w:tcBorders>
              <w:top w:val="nil"/>
              <w:left w:val="nil"/>
              <w:bottom w:val="nil"/>
              <w:right w:val="nil"/>
            </w:tcBorders>
            <w:hideMark/>
          </w:tcPr>
          <w:p w14:paraId="1DC173E3" w14:textId="77777777" w:rsidR="00566E09" w:rsidRPr="004867C2" w:rsidRDefault="00566E09" w:rsidP="00D9689A">
            <w:pPr>
              <w:keepNext/>
              <w:keepLines/>
              <w:kinsoku/>
              <w:overflowPunct/>
              <w:autoSpaceDE/>
              <w:autoSpaceDN/>
              <w:adjustRightInd/>
              <w:snapToGrid/>
              <w:spacing w:before="40" w:after="40" w:line="240" w:lineRule="auto"/>
              <w:jc w:val="both"/>
              <w:rPr>
                <w:rFonts w:asciiTheme="majorBidi" w:hAnsiTheme="majorBidi" w:cstheme="majorBidi"/>
                <w:b/>
                <w:bCs/>
                <w:sz w:val="16"/>
                <w:szCs w:val="16"/>
                <w:lang w:val="fr-FR"/>
              </w:rPr>
            </w:pPr>
            <w:r w:rsidRPr="004867C2">
              <w:rPr>
                <w:rFonts w:asciiTheme="majorBidi" w:hAnsiTheme="majorBidi" w:cstheme="majorBidi"/>
                <w:b/>
                <w:bCs/>
                <w:sz w:val="16"/>
                <w:szCs w:val="16"/>
                <w:lang w:val="fr-FR"/>
              </w:rPr>
              <w:t>Mention d</w:t>
            </w:r>
            <w:r w:rsidR="00412DEA">
              <w:rPr>
                <w:rFonts w:asciiTheme="majorBidi" w:hAnsiTheme="majorBidi" w:cstheme="majorBidi"/>
                <w:b/>
                <w:bCs/>
                <w:sz w:val="16"/>
                <w:szCs w:val="16"/>
                <w:lang w:val="fr-FR"/>
              </w:rPr>
              <w:t>’</w:t>
            </w:r>
            <w:r w:rsidRPr="004867C2">
              <w:rPr>
                <w:rFonts w:asciiTheme="majorBidi" w:hAnsiTheme="majorBidi" w:cstheme="majorBidi"/>
                <w:b/>
                <w:bCs/>
                <w:sz w:val="16"/>
                <w:szCs w:val="16"/>
                <w:lang w:val="fr-FR"/>
              </w:rPr>
              <w:t>avertissement</w:t>
            </w:r>
          </w:p>
        </w:tc>
        <w:tc>
          <w:tcPr>
            <w:tcW w:w="4782" w:type="dxa"/>
            <w:gridSpan w:val="7"/>
            <w:tcBorders>
              <w:top w:val="nil"/>
              <w:left w:val="nil"/>
              <w:bottom w:val="nil"/>
              <w:right w:val="nil"/>
            </w:tcBorders>
            <w:hideMark/>
          </w:tcPr>
          <w:p w14:paraId="21877DF8" w14:textId="77777777" w:rsidR="00566E09" w:rsidRPr="004867C2" w:rsidRDefault="00566E09" w:rsidP="00D9689A">
            <w:pPr>
              <w:keepNext/>
              <w:keepLines/>
              <w:kinsoku/>
              <w:overflowPunct/>
              <w:autoSpaceDE/>
              <w:autoSpaceDN/>
              <w:adjustRightInd/>
              <w:snapToGrid/>
              <w:spacing w:before="40" w:after="40" w:line="240" w:lineRule="auto"/>
              <w:ind w:right="252"/>
              <w:jc w:val="both"/>
              <w:rPr>
                <w:rFonts w:asciiTheme="majorBidi" w:hAnsiTheme="majorBidi" w:cstheme="majorBidi"/>
                <w:b/>
                <w:bCs/>
                <w:sz w:val="16"/>
                <w:szCs w:val="16"/>
                <w:lang w:val="fr-FR"/>
              </w:rPr>
            </w:pPr>
            <w:r w:rsidRPr="004867C2">
              <w:rPr>
                <w:rFonts w:asciiTheme="majorBidi" w:hAnsiTheme="majorBidi" w:cstheme="majorBidi"/>
                <w:b/>
                <w:bCs/>
                <w:sz w:val="16"/>
                <w:szCs w:val="16"/>
                <w:lang w:val="fr-FR"/>
              </w:rPr>
              <w:t>Mention de danger</w:t>
            </w:r>
          </w:p>
        </w:tc>
      </w:tr>
      <w:tr w:rsidR="00566E09" w:rsidRPr="004867C2" w14:paraId="5FF274DE" w14:textId="77777777" w:rsidTr="002921BA">
        <w:trPr>
          <w:tblHeader/>
        </w:trPr>
        <w:tc>
          <w:tcPr>
            <w:tcW w:w="2833" w:type="dxa"/>
            <w:tcBorders>
              <w:top w:val="nil"/>
              <w:left w:val="nil"/>
              <w:right w:val="nil"/>
            </w:tcBorders>
            <w:hideMark/>
          </w:tcPr>
          <w:p w14:paraId="032AC486" w14:textId="77777777" w:rsidR="00566E09" w:rsidRPr="004867C2" w:rsidRDefault="00566E09" w:rsidP="00D9689A">
            <w:pPr>
              <w:keepNext/>
              <w:keepLines/>
              <w:kinsoku/>
              <w:overflowPunct/>
              <w:autoSpaceDE/>
              <w:autoSpaceDN/>
              <w:adjustRightInd/>
              <w:snapToGrid/>
              <w:spacing w:before="40" w:after="40" w:line="240" w:lineRule="auto"/>
              <w:jc w:val="both"/>
              <w:rPr>
                <w:rFonts w:asciiTheme="majorBidi" w:hAnsiTheme="majorBidi" w:cstheme="majorBidi"/>
                <w:sz w:val="16"/>
                <w:szCs w:val="16"/>
                <w:lang w:val="fr-FR"/>
              </w:rPr>
            </w:pPr>
            <w:r w:rsidRPr="004867C2">
              <w:rPr>
                <w:rFonts w:asciiTheme="majorBidi" w:hAnsiTheme="majorBidi" w:cstheme="majorBidi"/>
                <w:sz w:val="16"/>
                <w:szCs w:val="16"/>
                <w:lang w:val="fr-FR"/>
              </w:rPr>
              <w:t>2C</w:t>
            </w:r>
          </w:p>
        </w:tc>
        <w:tc>
          <w:tcPr>
            <w:tcW w:w="2130" w:type="dxa"/>
            <w:tcBorders>
              <w:top w:val="nil"/>
              <w:left w:val="nil"/>
              <w:right w:val="nil"/>
            </w:tcBorders>
            <w:hideMark/>
          </w:tcPr>
          <w:p w14:paraId="1AC1EBAC" w14:textId="77777777" w:rsidR="00566E09" w:rsidRPr="004867C2" w:rsidRDefault="00566E09" w:rsidP="00D9689A">
            <w:pPr>
              <w:keepNext/>
              <w:keepLines/>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Point d</w:t>
            </w:r>
            <w:r w:rsidR="00412DEA">
              <w:rPr>
                <w:rFonts w:asciiTheme="majorBidi" w:hAnsiTheme="majorBidi" w:cstheme="majorBidi"/>
                <w:sz w:val="16"/>
                <w:szCs w:val="16"/>
                <w:lang w:val="fr-FR"/>
              </w:rPr>
              <w:t>’</w:t>
            </w:r>
            <w:r w:rsidRPr="004867C2">
              <w:rPr>
                <w:rFonts w:asciiTheme="majorBidi" w:hAnsiTheme="majorBidi" w:cstheme="majorBidi"/>
                <w:sz w:val="16"/>
                <w:szCs w:val="16"/>
                <w:lang w:val="fr-FR"/>
              </w:rPr>
              <w:t>exclamation</w:t>
            </w:r>
          </w:p>
        </w:tc>
        <w:tc>
          <w:tcPr>
            <w:tcW w:w="2113" w:type="dxa"/>
            <w:tcBorders>
              <w:top w:val="nil"/>
              <w:left w:val="nil"/>
              <w:bottom w:val="nil"/>
              <w:right w:val="nil"/>
            </w:tcBorders>
            <w:vAlign w:val="center"/>
            <w:hideMark/>
          </w:tcPr>
          <w:p w14:paraId="1C7AF8A9" w14:textId="77777777" w:rsidR="00566E09" w:rsidRPr="004867C2" w:rsidRDefault="00566E09" w:rsidP="00D9689A">
            <w:pPr>
              <w:keepNext/>
              <w:keepLines/>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noProof/>
                <w:sz w:val="16"/>
                <w:szCs w:val="16"/>
                <w:lang w:val="fr-FR" w:eastAsia="sv-SE"/>
              </w:rPr>
              <w:drawing>
                <wp:anchor distT="0" distB="0" distL="114300" distR="114300" simplePos="0" relativeHeight="251661312" behindDoc="0" locked="0" layoutInCell="1" allowOverlap="1" wp14:anchorId="0C625549" wp14:editId="336E976E">
                  <wp:simplePos x="0" y="0"/>
                  <wp:positionH relativeFrom="column">
                    <wp:posOffset>30480</wp:posOffset>
                  </wp:positionH>
                  <wp:positionV relativeFrom="paragraph">
                    <wp:posOffset>17145</wp:posOffset>
                  </wp:positionV>
                  <wp:extent cx="229870" cy="388620"/>
                  <wp:effectExtent l="0" t="0" r="0" b="0"/>
                  <wp:wrapThrough wrapText="bothSides">
                    <wp:wrapPolygon edited="0">
                      <wp:start x="0" y="0"/>
                      <wp:lineTo x="0" y="20118"/>
                      <wp:lineTo x="19691" y="20118"/>
                      <wp:lineTo x="19691" y="0"/>
                      <wp:lineTo x="0" y="0"/>
                    </wp:wrapPolygon>
                  </wp:wrapThrough>
                  <wp:docPr id="8" name="Bildobjek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87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79" w:type="dxa"/>
            <w:gridSpan w:val="4"/>
            <w:tcBorders>
              <w:top w:val="nil"/>
              <w:left w:val="nil"/>
              <w:right w:val="nil"/>
            </w:tcBorders>
            <w:hideMark/>
          </w:tcPr>
          <w:p w14:paraId="34A22757" w14:textId="77777777" w:rsidR="00566E09" w:rsidRPr="004867C2" w:rsidRDefault="00566E09" w:rsidP="00D9689A">
            <w:pPr>
              <w:keepNext/>
              <w:keepLines/>
              <w:kinsoku/>
              <w:overflowPunct/>
              <w:autoSpaceDE/>
              <w:autoSpaceDN/>
              <w:adjustRightInd/>
              <w:snapToGrid/>
              <w:spacing w:before="40" w:after="40" w:line="240" w:lineRule="auto"/>
              <w:jc w:val="both"/>
              <w:rPr>
                <w:rFonts w:asciiTheme="majorBidi" w:hAnsiTheme="majorBidi" w:cstheme="majorBidi"/>
                <w:sz w:val="16"/>
                <w:szCs w:val="16"/>
                <w:lang w:val="fr-FR"/>
              </w:rPr>
            </w:pPr>
            <w:r w:rsidRPr="004867C2">
              <w:rPr>
                <w:rFonts w:asciiTheme="majorBidi" w:hAnsiTheme="majorBidi" w:cstheme="majorBidi"/>
                <w:sz w:val="16"/>
                <w:szCs w:val="16"/>
                <w:lang w:val="fr-FR"/>
              </w:rPr>
              <w:t>Attention</w:t>
            </w:r>
          </w:p>
        </w:tc>
        <w:tc>
          <w:tcPr>
            <w:tcW w:w="993" w:type="dxa"/>
            <w:gridSpan w:val="3"/>
            <w:tcBorders>
              <w:top w:val="nil"/>
              <w:left w:val="nil"/>
              <w:bottom w:val="nil"/>
              <w:right w:val="nil"/>
            </w:tcBorders>
            <w:hideMark/>
          </w:tcPr>
          <w:p w14:paraId="4BCBF412" w14:textId="77777777" w:rsidR="00566E09" w:rsidRPr="004867C2" w:rsidRDefault="00566E09" w:rsidP="00D9689A">
            <w:pPr>
              <w:keepNext/>
              <w:keepLines/>
              <w:kinsoku/>
              <w:overflowPunct/>
              <w:autoSpaceDE/>
              <w:autoSpaceDN/>
              <w:adjustRightInd/>
              <w:snapToGrid/>
              <w:spacing w:before="40" w:after="4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H204</w:t>
            </w:r>
          </w:p>
        </w:tc>
        <w:tc>
          <w:tcPr>
            <w:tcW w:w="3789" w:type="dxa"/>
            <w:gridSpan w:val="4"/>
            <w:tcBorders>
              <w:top w:val="nil"/>
              <w:left w:val="nil"/>
              <w:bottom w:val="nil"/>
              <w:right w:val="nil"/>
            </w:tcBorders>
            <w:hideMark/>
          </w:tcPr>
          <w:p w14:paraId="6A5F2A9B" w14:textId="77777777" w:rsidR="00566E09" w:rsidRPr="004867C2" w:rsidRDefault="00566E09" w:rsidP="00D9689A">
            <w:pPr>
              <w:keepNext/>
              <w:keepLines/>
              <w:kinsoku/>
              <w:overflowPunct/>
              <w:autoSpaceDE/>
              <w:autoSpaceDN/>
              <w:adjustRightInd/>
              <w:snapToGrid/>
              <w:spacing w:before="40" w:after="40" w:line="240" w:lineRule="auto"/>
              <w:jc w:val="both"/>
              <w:rPr>
                <w:rFonts w:asciiTheme="majorBidi" w:hAnsiTheme="majorBidi" w:cstheme="majorBidi"/>
                <w:sz w:val="16"/>
                <w:szCs w:val="16"/>
                <w:lang w:val="fr-FR"/>
              </w:rPr>
            </w:pPr>
            <w:r w:rsidRPr="004867C2">
              <w:rPr>
                <w:rFonts w:asciiTheme="majorBidi" w:hAnsiTheme="majorBidi" w:cstheme="majorBidi"/>
                <w:sz w:val="16"/>
                <w:szCs w:val="16"/>
                <w:lang w:val="fr-FR"/>
              </w:rPr>
              <w:t>Danger d</w:t>
            </w:r>
            <w:r w:rsidR="00412DEA">
              <w:rPr>
                <w:rFonts w:asciiTheme="majorBidi" w:hAnsiTheme="majorBidi" w:cstheme="majorBidi"/>
                <w:sz w:val="16"/>
                <w:szCs w:val="16"/>
                <w:lang w:val="fr-FR"/>
              </w:rPr>
              <w:t>’</w:t>
            </w:r>
            <w:r w:rsidRPr="004867C2">
              <w:rPr>
                <w:rFonts w:asciiTheme="majorBidi" w:hAnsiTheme="majorBidi" w:cstheme="majorBidi"/>
                <w:sz w:val="16"/>
                <w:szCs w:val="16"/>
                <w:lang w:val="fr-FR"/>
              </w:rPr>
              <w:t>incendie ou de projection</w:t>
            </w:r>
          </w:p>
        </w:tc>
      </w:tr>
      <w:tr w:rsidR="00566E09" w:rsidRPr="004867C2" w14:paraId="35D3D5E2" w14:textId="77777777" w:rsidTr="00D9689A">
        <w:trPr>
          <w:gridAfter w:val="1"/>
          <w:wAfter w:w="359" w:type="dxa"/>
          <w:tblHeader/>
        </w:trPr>
        <w:tc>
          <w:tcPr>
            <w:tcW w:w="13778" w:type="dxa"/>
            <w:gridSpan w:val="13"/>
            <w:tcBorders>
              <w:top w:val="single" w:sz="4" w:space="0" w:color="auto"/>
              <w:left w:val="single" w:sz="4" w:space="0" w:color="auto"/>
              <w:bottom w:val="single" w:sz="4" w:space="0" w:color="auto"/>
              <w:right w:val="single" w:sz="4" w:space="0" w:color="auto"/>
            </w:tcBorders>
            <w:hideMark/>
          </w:tcPr>
          <w:p w14:paraId="737A4C73" w14:textId="77777777" w:rsidR="00566E09" w:rsidRPr="004867C2" w:rsidRDefault="00566E09" w:rsidP="00D9689A">
            <w:pPr>
              <w:keepNext/>
              <w:keepLines/>
              <w:shd w:val="solid" w:color="FFFFFF" w:fill="FFFFFF"/>
              <w:kinsoku/>
              <w:overflowPunct/>
              <w:autoSpaceDE/>
              <w:adjustRightInd/>
              <w:snapToGrid/>
              <w:spacing w:before="60" w:after="60" w:line="240" w:lineRule="auto"/>
              <w:ind w:left="-102"/>
              <w:jc w:val="center"/>
              <w:outlineLvl w:val="6"/>
              <w:rPr>
                <w:rFonts w:asciiTheme="majorBidi" w:hAnsiTheme="majorBidi" w:cstheme="majorBidi"/>
                <w:b/>
                <w:bCs/>
                <w:sz w:val="16"/>
                <w:szCs w:val="16"/>
                <w:lang w:val="fr-FR"/>
              </w:rPr>
            </w:pPr>
            <w:r w:rsidRPr="004867C2">
              <w:rPr>
                <w:rFonts w:asciiTheme="majorBidi" w:hAnsiTheme="majorBidi" w:cstheme="majorBidi"/>
                <w:b/>
                <w:bCs/>
                <w:sz w:val="16"/>
                <w:szCs w:val="16"/>
                <w:lang w:val="fr-FR"/>
              </w:rPr>
              <w:t>Conseils de prudence</w:t>
            </w:r>
          </w:p>
        </w:tc>
      </w:tr>
      <w:tr w:rsidR="00566E09" w:rsidRPr="004867C2" w14:paraId="6825A23C" w14:textId="77777777" w:rsidTr="002921BA">
        <w:trPr>
          <w:gridAfter w:val="1"/>
          <w:wAfter w:w="359" w:type="dxa"/>
          <w:tblHeader/>
        </w:trPr>
        <w:tc>
          <w:tcPr>
            <w:tcW w:w="7107" w:type="dxa"/>
            <w:gridSpan w:val="5"/>
            <w:tcBorders>
              <w:top w:val="single" w:sz="4" w:space="0" w:color="auto"/>
              <w:left w:val="single" w:sz="4" w:space="0" w:color="auto"/>
              <w:bottom w:val="single" w:sz="4" w:space="0" w:color="auto"/>
              <w:right w:val="single" w:sz="4" w:space="0" w:color="auto"/>
            </w:tcBorders>
            <w:hideMark/>
          </w:tcPr>
          <w:p w14:paraId="1AC10D8E" w14:textId="77777777" w:rsidR="00566E09" w:rsidRPr="004867C2" w:rsidRDefault="00566E09" w:rsidP="00D9689A">
            <w:pPr>
              <w:keepNext/>
              <w:keepLines/>
              <w:kinsoku/>
              <w:overflowPunct/>
              <w:autoSpaceDE/>
              <w:autoSpaceDN/>
              <w:adjustRightInd/>
              <w:snapToGrid/>
              <w:spacing w:before="30" w:after="30" w:line="240" w:lineRule="auto"/>
              <w:jc w:val="center"/>
              <w:rPr>
                <w:rFonts w:asciiTheme="majorBidi" w:hAnsiTheme="majorBidi" w:cstheme="majorBidi"/>
                <w:b/>
                <w:bCs/>
                <w:sz w:val="16"/>
                <w:szCs w:val="16"/>
                <w:lang w:val="fr-FR"/>
              </w:rPr>
            </w:pPr>
            <w:r w:rsidRPr="004867C2">
              <w:rPr>
                <w:rFonts w:asciiTheme="majorBidi" w:hAnsiTheme="majorBidi" w:cstheme="majorBidi"/>
                <w:b/>
                <w:bCs/>
                <w:sz w:val="16"/>
                <w:szCs w:val="16"/>
                <w:lang w:val="fr-FR"/>
              </w:rPr>
              <w:t>Prévention</w:t>
            </w:r>
          </w:p>
        </w:tc>
        <w:tc>
          <w:tcPr>
            <w:tcW w:w="2390" w:type="dxa"/>
            <w:gridSpan w:val="4"/>
            <w:tcBorders>
              <w:top w:val="single" w:sz="4" w:space="0" w:color="auto"/>
              <w:left w:val="single" w:sz="4" w:space="0" w:color="auto"/>
              <w:bottom w:val="single" w:sz="4" w:space="0" w:color="auto"/>
              <w:right w:val="single" w:sz="4" w:space="0" w:color="auto"/>
            </w:tcBorders>
            <w:hideMark/>
          </w:tcPr>
          <w:p w14:paraId="7B31BAE0" w14:textId="77777777" w:rsidR="00566E09" w:rsidRPr="004867C2" w:rsidRDefault="00566E09" w:rsidP="00D9689A">
            <w:pPr>
              <w:keepNext/>
              <w:keepLines/>
              <w:kinsoku/>
              <w:overflowPunct/>
              <w:autoSpaceDE/>
              <w:autoSpaceDN/>
              <w:adjustRightInd/>
              <w:snapToGrid/>
              <w:spacing w:before="30" w:after="30" w:line="240" w:lineRule="auto"/>
              <w:jc w:val="center"/>
              <w:rPr>
                <w:rFonts w:asciiTheme="majorBidi" w:hAnsiTheme="majorBidi" w:cstheme="majorBidi"/>
                <w:b/>
                <w:bCs/>
                <w:sz w:val="16"/>
                <w:szCs w:val="16"/>
                <w:lang w:val="fr-FR"/>
              </w:rPr>
            </w:pPr>
            <w:r w:rsidRPr="004867C2">
              <w:rPr>
                <w:rFonts w:asciiTheme="majorBidi" w:hAnsiTheme="majorBidi" w:cstheme="majorBidi"/>
                <w:b/>
                <w:bCs/>
                <w:sz w:val="16"/>
                <w:szCs w:val="16"/>
                <w:lang w:val="fr-FR"/>
              </w:rPr>
              <w:t>Intervention</w:t>
            </w:r>
          </w:p>
        </w:tc>
        <w:tc>
          <w:tcPr>
            <w:tcW w:w="1963" w:type="dxa"/>
            <w:gridSpan w:val="2"/>
            <w:tcBorders>
              <w:top w:val="single" w:sz="4" w:space="0" w:color="auto"/>
              <w:left w:val="single" w:sz="4" w:space="0" w:color="auto"/>
              <w:bottom w:val="single" w:sz="4" w:space="0" w:color="auto"/>
              <w:right w:val="single" w:sz="4" w:space="0" w:color="auto"/>
            </w:tcBorders>
            <w:hideMark/>
          </w:tcPr>
          <w:p w14:paraId="3DDB2FB7" w14:textId="77777777" w:rsidR="00566E09" w:rsidRPr="004867C2" w:rsidRDefault="00566E09" w:rsidP="00D9689A">
            <w:pPr>
              <w:keepNext/>
              <w:keepLines/>
              <w:kinsoku/>
              <w:overflowPunct/>
              <w:autoSpaceDE/>
              <w:autoSpaceDN/>
              <w:adjustRightInd/>
              <w:snapToGrid/>
              <w:spacing w:before="30" w:after="30" w:line="240" w:lineRule="auto"/>
              <w:jc w:val="center"/>
              <w:rPr>
                <w:rFonts w:asciiTheme="majorBidi" w:hAnsiTheme="majorBidi" w:cstheme="majorBidi"/>
                <w:b/>
                <w:bCs/>
                <w:sz w:val="16"/>
                <w:szCs w:val="16"/>
                <w:lang w:val="fr-FR"/>
              </w:rPr>
            </w:pPr>
            <w:r w:rsidRPr="004867C2">
              <w:rPr>
                <w:rFonts w:asciiTheme="majorBidi" w:hAnsiTheme="majorBidi" w:cstheme="majorBidi"/>
                <w:b/>
                <w:bCs/>
                <w:sz w:val="16"/>
                <w:szCs w:val="16"/>
                <w:lang w:val="fr-FR"/>
              </w:rPr>
              <w:t>Stockage</w:t>
            </w:r>
          </w:p>
        </w:tc>
        <w:tc>
          <w:tcPr>
            <w:tcW w:w="2318" w:type="dxa"/>
            <w:gridSpan w:val="2"/>
            <w:tcBorders>
              <w:top w:val="single" w:sz="4" w:space="0" w:color="auto"/>
              <w:left w:val="single" w:sz="4" w:space="0" w:color="auto"/>
              <w:bottom w:val="single" w:sz="4" w:space="0" w:color="auto"/>
              <w:right w:val="single" w:sz="4" w:space="0" w:color="auto"/>
            </w:tcBorders>
            <w:hideMark/>
          </w:tcPr>
          <w:p w14:paraId="1CC26190" w14:textId="77777777" w:rsidR="00566E09" w:rsidRPr="004867C2" w:rsidRDefault="00566E09" w:rsidP="00D9689A">
            <w:pPr>
              <w:keepNext/>
              <w:keepLines/>
              <w:kinsoku/>
              <w:overflowPunct/>
              <w:autoSpaceDE/>
              <w:autoSpaceDN/>
              <w:adjustRightInd/>
              <w:snapToGrid/>
              <w:spacing w:before="30" w:after="30" w:line="240" w:lineRule="auto"/>
              <w:jc w:val="center"/>
              <w:rPr>
                <w:rFonts w:asciiTheme="majorBidi" w:hAnsiTheme="majorBidi" w:cstheme="majorBidi"/>
                <w:b/>
                <w:bCs/>
                <w:sz w:val="16"/>
                <w:szCs w:val="16"/>
                <w:lang w:val="fr-FR"/>
              </w:rPr>
            </w:pPr>
            <w:r w:rsidRPr="004867C2">
              <w:rPr>
                <w:rFonts w:asciiTheme="majorBidi" w:hAnsiTheme="majorBidi" w:cstheme="majorBidi"/>
                <w:b/>
                <w:bCs/>
                <w:sz w:val="16"/>
                <w:szCs w:val="16"/>
                <w:lang w:val="fr-FR"/>
              </w:rPr>
              <w:t>Élimination</w:t>
            </w:r>
          </w:p>
        </w:tc>
      </w:tr>
      <w:tr w:rsidR="00566E09" w:rsidRPr="004867C2" w14:paraId="678888AE" w14:textId="77777777" w:rsidTr="002921BA">
        <w:trPr>
          <w:gridAfter w:val="1"/>
          <w:wAfter w:w="359" w:type="dxa"/>
        </w:trPr>
        <w:tc>
          <w:tcPr>
            <w:tcW w:w="7107" w:type="dxa"/>
            <w:gridSpan w:val="5"/>
            <w:tcBorders>
              <w:top w:val="single" w:sz="4" w:space="0" w:color="auto"/>
              <w:left w:val="single" w:sz="4" w:space="0" w:color="auto"/>
              <w:bottom w:val="nil"/>
              <w:right w:val="single" w:sz="4" w:space="0" w:color="auto"/>
            </w:tcBorders>
          </w:tcPr>
          <w:p w14:paraId="06CDB83C"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 xml:space="preserve">P210 </w:t>
            </w:r>
          </w:p>
          <w:p w14:paraId="1D218082"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b/>
                <w:sz w:val="16"/>
                <w:szCs w:val="16"/>
                <w:lang w:val="fr-FR"/>
              </w:rPr>
            </w:pPr>
            <w:r w:rsidRPr="004867C2">
              <w:rPr>
                <w:rFonts w:asciiTheme="majorBidi" w:hAnsiTheme="majorBidi" w:cstheme="majorBidi"/>
                <w:b/>
                <w:bCs/>
                <w:sz w:val="16"/>
                <w:szCs w:val="16"/>
                <w:lang w:val="fr-FR"/>
              </w:rPr>
              <w:t>Tenir à l</w:t>
            </w:r>
            <w:r w:rsidR="00412DEA">
              <w:rPr>
                <w:rFonts w:asciiTheme="majorBidi" w:hAnsiTheme="majorBidi" w:cstheme="majorBidi"/>
                <w:b/>
                <w:bCs/>
                <w:sz w:val="16"/>
                <w:szCs w:val="16"/>
                <w:lang w:val="fr-FR"/>
              </w:rPr>
              <w:t>’</w:t>
            </w:r>
            <w:r w:rsidRPr="004867C2">
              <w:rPr>
                <w:rFonts w:asciiTheme="majorBidi" w:hAnsiTheme="majorBidi" w:cstheme="majorBidi"/>
                <w:b/>
                <w:bCs/>
                <w:sz w:val="16"/>
                <w:szCs w:val="16"/>
                <w:lang w:val="fr-FR"/>
              </w:rPr>
              <w:t>écart de la chaleur, des surfaces chaudes, des étincelles, des flammes nues et de toute autre source d</w:t>
            </w:r>
            <w:r w:rsidR="00412DEA">
              <w:rPr>
                <w:rFonts w:asciiTheme="majorBidi" w:hAnsiTheme="majorBidi" w:cstheme="majorBidi"/>
                <w:b/>
                <w:bCs/>
                <w:sz w:val="16"/>
                <w:szCs w:val="16"/>
                <w:lang w:val="fr-FR"/>
              </w:rPr>
              <w:t>’</w:t>
            </w:r>
            <w:r w:rsidRPr="004867C2">
              <w:rPr>
                <w:rFonts w:asciiTheme="majorBidi" w:hAnsiTheme="majorBidi" w:cstheme="majorBidi"/>
                <w:b/>
                <w:bCs/>
                <w:sz w:val="16"/>
                <w:szCs w:val="16"/>
                <w:lang w:val="fr-FR"/>
              </w:rPr>
              <w:t>ignition.</w:t>
            </w:r>
            <w:r w:rsidRPr="004867C2">
              <w:rPr>
                <w:rFonts w:asciiTheme="majorBidi" w:hAnsiTheme="majorBidi" w:cstheme="majorBidi"/>
                <w:sz w:val="16"/>
                <w:szCs w:val="16"/>
                <w:lang w:val="fr-FR"/>
              </w:rPr>
              <w:t xml:space="preserve"> </w:t>
            </w:r>
            <w:r w:rsidRPr="004867C2">
              <w:rPr>
                <w:rFonts w:asciiTheme="majorBidi" w:hAnsiTheme="majorBidi" w:cstheme="majorBidi"/>
                <w:b/>
                <w:bCs/>
                <w:sz w:val="16"/>
                <w:szCs w:val="16"/>
                <w:lang w:val="fr-FR"/>
              </w:rPr>
              <w:t>Ne pas fumer.</w:t>
            </w:r>
          </w:p>
          <w:p w14:paraId="294BC33C"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 xml:space="preserve">P230 </w:t>
            </w:r>
          </w:p>
          <w:p w14:paraId="5A8D9DA0"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b/>
                <w:bCs/>
                <w:sz w:val="16"/>
                <w:szCs w:val="16"/>
                <w:lang w:val="fr-FR"/>
              </w:rPr>
              <w:t>Maintenir dilué avec...</w:t>
            </w:r>
            <w:r w:rsidRPr="004867C2">
              <w:rPr>
                <w:rFonts w:asciiTheme="majorBidi" w:hAnsiTheme="majorBidi" w:cstheme="majorBidi"/>
                <w:sz w:val="16"/>
                <w:szCs w:val="16"/>
                <w:lang w:val="fr-FR"/>
              </w:rPr>
              <w:t xml:space="preserve"> </w:t>
            </w:r>
          </w:p>
          <w:p w14:paraId="05E4F23F"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i/>
                <w:iCs/>
                <w:sz w:val="16"/>
                <w:szCs w:val="16"/>
                <w:lang w:val="fr-FR"/>
              </w:rPr>
            </w:pPr>
            <w:r w:rsidRPr="004867C2">
              <w:rPr>
                <w:rFonts w:asciiTheme="majorBidi" w:hAnsiTheme="majorBidi" w:cstheme="majorBidi"/>
                <w:i/>
                <w:iCs/>
                <w:sz w:val="16"/>
                <w:szCs w:val="16"/>
                <w:lang w:val="fr-FR"/>
              </w:rPr>
              <w:t>- Pour les matières et les mélanges explosibles qui sont dilués avec des matières solides ou liquides, ou mouillés avec de l</w:t>
            </w:r>
            <w:r w:rsidR="00412DEA">
              <w:rPr>
                <w:rFonts w:asciiTheme="majorBidi" w:hAnsiTheme="majorBidi" w:cstheme="majorBidi"/>
                <w:i/>
                <w:iCs/>
                <w:sz w:val="16"/>
                <w:szCs w:val="16"/>
                <w:lang w:val="fr-FR"/>
              </w:rPr>
              <w:t>’</w:t>
            </w:r>
            <w:r w:rsidRPr="004867C2">
              <w:rPr>
                <w:rFonts w:asciiTheme="majorBidi" w:hAnsiTheme="majorBidi" w:cstheme="majorBidi"/>
                <w:i/>
                <w:iCs/>
                <w:sz w:val="16"/>
                <w:szCs w:val="16"/>
                <w:lang w:val="fr-FR"/>
              </w:rPr>
              <w:t>eau ou d</w:t>
            </w:r>
            <w:r w:rsidR="00412DEA">
              <w:rPr>
                <w:rFonts w:asciiTheme="majorBidi" w:hAnsiTheme="majorBidi" w:cstheme="majorBidi"/>
                <w:i/>
                <w:iCs/>
                <w:sz w:val="16"/>
                <w:szCs w:val="16"/>
                <w:lang w:val="fr-FR"/>
              </w:rPr>
              <w:t>’</w:t>
            </w:r>
            <w:r w:rsidRPr="004867C2">
              <w:rPr>
                <w:rFonts w:asciiTheme="majorBidi" w:hAnsiTheme="majorBidi" w:cstheme="majorBidi"/>
                <w:i/>
                <w:iCs/>
                <w:sz w:val="16"/>
                <w:szCs w:val="16"/>
                <w:lang w:val="fr-FR"/>
              </w:rPr>
              <w:t>autres liquides, ou dissous ou mis en suspension dans l</w:t>
            </w:r>
            <w:r w:rsidR="00412DEA">
              <w:rPr>
                <w:rFonts w:asciiTheme="majorBidi" w:hAnsiTheme="majorBidi" w:cstheme="majorBidi"/>
                <w:i/>
                <w:iCs/>
                <w:sz w:val="16"/>
                <w:szCs w:val="16"/>
                <w:lang w:val="fr-FR"/>
              </w:rPr>
              <w:t>’</w:t>
            </w:r>
            <w:r w:rsidRPr="004867C2">
              <w:rPr>
                <w:rFonts w:asciiTheme="majorBidi" w:hAnsiTheme="majorBidi" w:cstheme="majorBidi"/>
                <w:i/>
                <w:iCs/>
                <w:sz w:val="16"/>
                <w:szCs w:val="16"/>
                <w:lang w:val="fr-FR"/>
              </w:rPr>
              <w:t>eau ou dans d</w:t>
            </w:r>
            <w:r w:rsidR="00412DEA">
              <w:rPr>
                <w:rFonts w:asciiTheme="majorBidi" w:hAnsiTheme="majorBidi" w:cstheme="majorBidi"/>
                <w:i/>
                <w:iCs/>
                <w:sz w:val="16"/>
                <w:szCs w:val="16"/>
                <w:lang w:val="fr-FR"/>
              </w:rPr>
              <w:t>’</w:t>
            </w:r>
            <w:r w:rsidRPr="004867C2">
              <w:rPr>
                <w:rFonts w:asciiTheme="majorBidi" w:hAnsiTheme="majorBidi" w:cstheme="majorBidi"/>
                <w:i/>
                <w:iCs/>
                <w:sz w:val="16"/>
                <w:szCs w:val="16"/>
                <w:lang w:val="fr-FR"/>
              </w:rPr>
              <w:t xml:space="preserve">autres liquides afin de diminuer leurs propriétés explosives </w:t>
            </w:r>
          </w:p>
          <w:p w14:paraId="3B2E1CAD"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i/>
                <w:iCs/>
                <w:sz w:val="16"/>
                <w:szCs w:val="16"/>
                <w:lang w:val="fr-FR"/>
              </w:rPr>
            </w:pPr>
            <w:r w:rsidRPr="004867C2">
              <w:rPr>
                <w:rFonts w:asciiTheme="majorBidi" w:hAnsiTheme="majorBidi" w:cstheme="majorBidi"/>
                <w:sz w:val="16"/>
                <w:szCs w:val="16"/>
                <w:lang w:val="fr-FR"/>
              </w:rPr>
              <w:t>... Il revient au fabricant/fournisseur ou à l</w:t>
            </w:r>
            <w:r w:rsidR="00412DEA">
              <w:rPr>
                <w:rFonts w:asciiTheme="majorBidi" w:hAnsiTheme="majorBidi" w:cstheme="majorBidi"/>
                <w:sz w:val="16"/>
                <w:szCs w:val="16"/>
                <w:lang w:val="fr-FR"/>
              </w:rPr>
              <w:t>’</w:t>
            </w:r>
            <w:r w:rsidRPr="004867C2">
              <w:rPr>
                <w:rFonts w:asciiTheme="majorBidi" w:hAnsiTheme="majorBidi" w:cstheme="majorBidi"/>
                <w:sz w:val="16"/>
                <w:szCs w:val="16"/>
                <w:lang w:val="fr-FR"/>
              </w:rPr>
              <w:t>autorité compétente de préciser les matières appropriées.</w:t>
            </w:r>
          </w:p>
          <w:p w14:paraId="730EDEC1"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 xml:space="preserve">P234 </w:t>
            </w:r>
          </w:p>
          <w:p w14:paraId="1C847E03"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b/>
                <w:bCs/>
                <w:sz w:val="16"/>
                <w:szCs w:val="16"/>
                <w:lang w:val="fr-FR"/>
              </w:rPr>
              <w:t>Conserver uniquement dans l</w:t>
            </w:r>
            <w:r w:rsidR="00412DEA">
              <w:rPr>
                <w:rFonts w:asciiTheme="majorBidi" w:hAnsiTheme="majorBidi" w:cstheme="majorBidi"/>
                <w:b/>
                <w:bCs/>
                <w:sz w:val="16"/>
                <w:szCs w:val="16"/>
                <w:lang w:val="fr-FR"/>
              </w:rPr>
              <w:t>’</w:t>
            </w:r>
            <w:r w:rsidRPr="004867C2">
              <w:rPr>
                <w:rFonts w:asciiTheme="majorBidi" w:hAnsiTheme="majorBidi" w:cstheme="majorBidi"/>
                <w:b/>
                <w:bCs/>
                <w:sz w:val="16"/>
                <w:szCs w:val="16"/>
                <w:lang w:val="fr-FR"/>
              </w:rPr>
              <w:t>emballage d</w:t>
            </w:r>
            <w:r w:rsidR="00412DEA">
              <w:rPr>
                <w:rFonts w:asciiTheme="majorBidi" w:hAnsiTheme="majorBidi" w:cstheme="majorBidi"/>
                <w:b/>
                <w:bCs/>
                <w:sz w:val="16"/>
                <w:szCs w:val="16"/>
                <w:lang w:val="fr-FR"/>
              </w:rPr>
              <w:t>’</w:t>
            </w:r>
            <w:r w:rsidRPr="004867C2">
              <w:rPr>
                <w:rFonts w:asciiTheme="majorBidi" w:hAnsiTheme="majorBidi" w:cstheme="majorBidi"/>
                <w:b/>
                <w:bCs/>
                <w:sz w:val="16"/>
                <w:szCs w:val="16"/>
                <w:lang w:val="fr-FR"/>
              </w:rPr>
              <w:t>origine.</w:t>
            </w:r>
            <w:r w:rsidRPr="004867C2">
              <w:rPr>
                <w:rFonts w:asciiTheme="majorBidi" w:hAnsiTheme="majorBidi" w:cstheme="majorBidi"/>
                <w:sz w:val="16"/>
                <w:szCs w:val="16"/>
                <w:lang w:val="fr-FR"/>
              </w:rPr>
              <w:t xml:space="preserve"> </w:t>
            </w:r>
          </w:p>
          <w:p w14:paraId="21E30226"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b/>
                <w:sz w:val="16"/>
                <w:szCs w:val="16"/>
                <w:lang w:val="fr-FR"/>
              </w:rPr>
            </w:pPr>
            <w:r w:rsidRPr="004867C2">
              <w:rPr>
                <w:rFonts w:asciiTheme="majorBidi" w:hAnsiTheme="majorBidi" w:cstheme="majorBidi"/>
                <w:i/>
                <w:iCs/>
                <w:sz w:val="16"/>
                <w:szCs w:val="16"/>
                <w:lang w:val="fr-FR"/>
              </w:rPr>
              <w:t>- Omettre lorsque le conseil P236 est appliqué.</w:t>
            </w:r>
            <w:r w:rsidRPr="004867C2">
              <w:rPr>
                <w:rFonts w:asciiTheme="majorBidi" w:hAnsiTheme="majorBidi" w:cstheme="majorBidi"/>
                <w:sz w:val="16"/>
                <w:szCs w:val="16"/>
                <w:lang w:val="fr-FR"/>
              </w:rPr>
              <w:t xml:space="preserve"> </w:t>
            </w:r>
          </w:p>
          <w:p w14:paraId="1CD6231B" w14:textId="77777777" w:rsidR="00566E09" w:rsidRPr="004867C2" w:rsidRDefault="00566E09" w:rsidP="00D9689A">
            <w:pPr>
              <w:keepNext/>
              <w:keepLines/>
              <w:kinsoku/>
              <w:overflowPunct/>
              <w:autoSpaceDE/>
              <w:autoSpaceDN/>
              <w:adjustRightInd/>
              <w:snapToGrid/>
              <w:spacing w:before="20" w:after="20" w:line="240" w:lineRule="auto"/>
              <w:ind w:right="55"/>
              <w:rPr>
                <w:rFonts w:asciiTheme="majorBidi" w:hAnsiTheme="majorBidi" w:cstheme="majorBidi"/>
                <w:sz w:val="16"/>
                <w:szCs w:val="16"/>
                <w:lang w:val="fr-FR"/>
              </w:rPr>
            </w:pPr>
            <w:r w:rsidRPr="004867C2">
              <w:rPr>
                <w:rFonts w:asciiTheme="majorBidi" w:hAnsiTheme="majorBidi" w:cstheme="majorBidi"/>
                <w:sz w:val="16"/>
                <w:szCs w:val="16"/>
                <w:lang w:val="fr-FR"/>
              </w:rPr>
              <w:t xml:space="preserve">P236 </w:t>
            </w:r>
          </w:p>
          <w:p w14:paraId="5E0D783B" w14:textId="77777777" w:rsidR="00566E09" w:rsidRPr="004867C2" w:rsidRDefault="00566E09" w:rsidP="00D9689A">
            <w:pPr>
              <w:keepNext/>
              <w:keepLines/>
              <w:kinsoku/>
              <w:overflowPunct/>
              <w:autoSpaceDE/>
              <w:autoSpaceDN/>
              <w:adjustRightInd/>
              <w:snapToGrid/>
              <w:spacing w:before="20" w:after="20" w:line="240" w:lineRule="auto"/>
              <w:ind w:right="55"/>
              <w:rPr>
                <w:rFonts w:asciiTheme="majorBidi" w:hAnsiTheme="majorBidi" w:cstheme="majorBidi"/>
                <w:sz w:val="16"/>
                <w:szCs w:val="16"/>
                <w:lang w:val="fr-FR"/>
              </w:rPr>
            </w:pPr>
            <w:r w:rsidRPr="004867C2">
              <w:rPr>
                <w:rFonts w:asciiTheme="majorBidi" w:hAnsiTheme="majorBidi" w:cstheme="majorBidi"/>
                <w:b/>
                <w:bCs/>
                <w:sz w:val="16"/>
                <w:szCs w:val="16"/>
                <w:lang w:val="fr-FR"/>
              </w:rPr>
              <w:t>Conserver uniquement dans l</w:t>
            </w:r>
            <w:r w:rsidR="00412DEA">
              <w:rPr>
                <w:rFonts w:asciiTheme="majorBidi" w:hAnsiTheme="majorBidi" w:cstheme="majorBidi"/>
                <w:b/>
                <w:bCs/>
                <w:sz w:val="16"/>
                <w:szCs w:val="16"/>
                <w:lang w:val="fr-FR"/>
              </w:rPr>
              <w:t>’</w:t>
            </w:r>
            <w:r w:rsidRPr="004867C2">
              <w:rPr>
                <w:rFonts w:asciiTheme="majorBidi" w:hAnsiTheme="majorBidi" w:cstheme="majorBidi"/>
                <w:b/>
                <w:bCs/>
                <w:sz w:val="16"/>
                <w:szCs w:val="16"/>
                <w:lang w:val="fr-FR"/>
              </w:rPr>
              <w:t>emballage d</w:t>
            </w:r>
            <w:r w:rsidR="00412DEA">
              <w:rPr>
                <w:rFonts w:asciiTheme="majorBidi" w:hAnsiTheme="majorBidi" w:cstheme="majorBidi"/>
                <w:b/>
                <w:bCs/>
                <w:sz w:val="16"/>
                <w:szCs w:val="16"/>
                <w:lang w:val="fr-FR"/>
              </w:rPr>
              <w:t>’</w:t>
            </w:r>
            <w:r w:rsidRPr="004867C2">
              <w:rPr>
                <w:rFonts w:asciiTheme="majorBidi" w:hAnsiTheme="majorBidi" w:cstheme="majorBidi"/>
                <w:b/>
                <w:bCs/>
                <w:sz w:val="16"/>
                <w:szCs w:val="16"/>
                <w:lang w:val="fr-FR"/>
              </w:rPr>
              <w:t>origine ;</w:t>
            </w:r>
            <w:r w:rsidRPr="004867C2">
              <w:rPr>
                <w:rFonts w:asciiTheme="majorBidi" w:hAnsiTheme="majorBidi" w:cstheme="majorBidi"/>
                <w:sz w:val="16"/>
                <w:szCs w:val="16"/>
                <w:lang w:val="fr-FR"/>
              </w:rPr>
              <w:t xml:space="preserve"> </w:t>
            </w:r>
            <w:r w:rsidRPr="004867C2">
              <w:rPr>
                <w:rFonts w:asciiTheme="majorBidi" w:hAnsiTheme="majorBidi" w:cstheme="majorBidi"/>
                <w:b/>
                <w:bCs/>
                <w:sz w:val="16"/>
                <w:szCs w:val="16"/>
                <w:lang w:val="fr-FR"/>
              </w:rPr>
              <w:t>Division … dans la configuration de transport.</w:t>
            </w:r>
            <w:r w:rsidRPr="004867C2">
              <w:rPr>
                <w:rFonts w:asciiTheme="majorBidi" w:hAnsiTheme="majorBidi" w:cstheme="majorBidi"/>
                <w:sz w:val="16"/>
                <w:szCs w:val="16"/>
                <w:lang w:val="fr-FR"/>
              </w:rPr>
              <w:t xml:space="preserve"> </w:t>
            </w:r>
          </w:p>
          <w:p w14:paraId="45CA5CD4" w14:textId="77777777" w:rsidR="00566E09" w:rsidRPr="004867C2" w:rsidRDefault="00566E09" w:rsidP="00D9689A">
            <w:pPr>
              <w:keepNext/>
              <w:keepLines/>
              <w:kinsoku/>
              <w:overflowPunct/>
              <w:autoSpaceDE/>
              <w:autoSpaceDN/>
              <w:adjustRightInd/>
              <w:snapToGrid/>
              <w:spacing w:before="20" w:after="20" w:line="240" w:lineRule="auto"/>
              <w:ind w:right="55"/>
              <w:rPr>
                <w:rFonts w:asciiTheme="majorBidi" w:hAnsiTheme="majorBidi" w:cstheme="majorBidi"/>
                <w:i/>
                <w:iCs/>
                <w:sz w:val="16"/>
                <w:szCs w:val="16"/>
                <w:lang w:val="fr-FR"/>
              </w:rPr>
            </w:pPr>
            <w:r w:rsidRPr="004867C2">
              <w:rPr>
                <w:rFonts w:asciiTheme="majorBidi" w:hAnsiTheme="majorBidi" w:cstheme="majorBidi"/>
                <w:i/>
                <w:iCs/>
                <w:sz w:val="16"/>
                <w:szCs w:val="16"/>
                <w:lang w:val="fr-FR"/>
              </w:rPr>
              <w:t>- Peut être omis dans le cas des emballages simples sur lesquels est représenté le pictogramme de transport correspondant à la division (dans la classe 1).</w:t>
            </w:r>
          </w:p>
          <w:p w14:paraId="7F581258"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i/>
                <w:iCs/>
                <w:sz w:val="16"/>
                <w:szCs w:val="16"/>
                <w:lang w:val="fr-FR"/>
              </w:rPr>
              <w:t>- Peut être omis si l</w:t>
            </w:r>
            <w:r w:rsidR="00412DEA">
              <w:rPr>
                <w:rFonts w:asciiTheme="majorBidi" w:hAnsiTheme="majorBidi" w:cstheme="majorBidi"/>
                <w:i/>
                <w:iCs/>
                <w:sz w:val="16"/>
                <w:szCs w:val="16"/>
                <w:lang w:val="fr-FR"/>
              </w:rPr>
              <w:t>’</w:t>
            </w:r>
            <w:r w:rsidRPr="004867C2">
              <w:rPr>
                <w:rFonts w:asciiTheme="majorBidi" w:hAnsiTheme="majorBidi" w:cstheme="majorBidi"/>
                <w:i/>
                <w:iCs/>
                <w:sz w:val="16"/>
                <w:szCs w:val="16"/>
                <w:lang w:val="fr-FR"/>
              </w:rPr>
              <w:t>utilisation d</w:t>
            </w:r>
            <w:r w:rsidR="00412DEA">
              <w:rPr>
                <w:rFonts w:asciiTheme="majorBidi" w:hAnsiTheme="majorBidi" w:cstheme="majorBidi"/>
                <w:i/>
                <w:iCs/>
                <w:sz w:val="16"/>
                <w:szCs w:val="16"/>
                <w:lang w:val="fr-FR"/>
              </w:rPr>
              <w:t>’</w:t>
            </w:r>
            <w:r w:rsidRPr="004867C2">
              <w:rPr>
                <w:rFonts w:asciiTheme="majorBidi" w:hAnsiTheme="majorBidi" w:cstheme="majorBidi"/>
                <w:i/>
                <w:iCs/>
                <w:sz w:val="16"/>
                <w:szCs w:val="16"/>
                <w:lang w:val="fr-FR"/>
              </w:rPr>
              <w:t>emballages extérieurs différents entraîne une affectation à des divisions différentes pour le transport.</w:t>
            </w:r>
          </w:p>
          <w:p w14:paraId="70C4B84C"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i/>
                <w:iCs/>
                <w:sz w:val="16"/>
                <w:szCs w:val="16"/>
                <w:lang w:val="fr-FR"/>
              </w:rPr>
              <w:t>- À utiliser pour les explosifs affectés à une division de la classe 1 pour le transport.</w:t>
            </w:r>
          </w:p>
          <w:p w14:paraId="45DF1F0A"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 Il revient au fabricant/fournisseur ou à l</w:t>
            </w:r>
            <w:r w:rsidR="00412DEA">
              <w:rPr>
                <w:rFonts w:asciiTheme="majorBidi" w:hAnsiTheme="majorBidi" w:cstheme="majorBidi"/>
                <w:sz w:val="16"/>
                <w:szCs w:val="16"/>
                <w:lang w:val="fr-FR"/>
              </w:rPr>
              <w:t>’</w:t>
            </w:r>
            <w:r w:rsidRPr="004867C2">
              <w:rPr>
                <w:rFonts w:asciiTheme="majorBidi" w:hAnsiTheme="majorBidi" w:cstheme="majorBidi"/>
                <w:sz w:val="16"/>
                <w:szCs w:val="16"/>
                <w:lang w:val="fr-FR"/>
              </w:rPr>
              <w:t>autorité compétente de préciser la division aux fins du transport.</w:t>
            </w:r>
          </w:p>
        </w:tc>
        <w:tc>
          <w:tcPr>
            <w:tcW w:w="2390" w:type="dxa"/>
            <w:gridSpan w:val="4"/>
            <w:tcBorders>
              <w:top w:val="single" w:sz="4" w:space="0" w:color="auto"/>
              <w:left w:val="single" w:sz="4" w:space="0" w:color="auto"/>
              <w:bottom w:val="nil"/>
              <w:right w:val="single" w:sz="4" w:space="0" w:color="auto"/>
            </w:tcBorders>
          </w:tcPr>
          <w:p w14:paraId="1BB69DF9" w14:textId="77777777" w:rsidR="00566E09" w:rsidRPr="004867C2" w:rsidRDefault="00566E09" w:rsidP="00D9689A">
            <w:pPr>
              <w:keepNext/>
              <w:keepLines/>
              <w:tabs>
                <w:tab w:val="left" w:pos="288"/>
              </w:tab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P370 + P380 + P375</w:t>
            </w:r>
          </w:p>
          <w:p w14:paraId="47D71D0B" w14:textId="77777777" w:rsidR="00566E09" w:rsidRPr="004867C2" w:rsidRDefault="00566E09" w:rsidP="00D9689A">
            <w:pPr>
              <w:keepNext/>
              <w:keepLines/>
              <w:tabs>
                <w:tab w:val="left" w:pos="288"/>
              </w:tab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b/>
                <w:bCs/>
                <w:sz w:val="16"/>
                <w:szCs w:val="16"/>
                <w:lang w:val="fr-FR"/>
              </w:rPr>
              <w:t>En cas d</w:t>
            </w:r>
            <w:r w:rsidR="00412DEA">
              <w:rPr>
                <w:rFonts w:asciiTheme="majorBidi" w:hAnsiTheme="majorBidi" w:cstheme="majorBidi"/>
                <w:b/>
                <w:bCs/>
                <w:sz w:val="16"/>
                <w:szCs w:val="16"/>
                <w:lang w:val="fr-FR"/>
              </w:rPr>
              <w:t>’</w:t>
            </w:r>
            <w:r w:rsidRPr="004867C2">
              <w:rPr>
                <w:rFonts w:asciiTheme="majorBidi" w:hAnsiTheme="majorBidi" w:cstheme="majorBidi"/>
                <w:b/>
                <w:bCs/>
                <w:sz w:val="16"/>
                <w:szCs w:val="16"/>
                <w:lang w:val="fr-FR"/>
              </w:rPr>
              <w:t>incendie : Évacuer la zone.</w:t>
            </w:r>
            <w:r w:rsidRPr="004867C2">
              <w:rPr>
                <w:rFonts w:asciiTheme="majorBidi" w:hAnsiTheme="majorBidi" w:cstheme="majorBidi"/>
                <w:sz w:val="16"/>
                <w:szCs w:val="16"/>
                <w:lang w:val="fr-FR"/>
              </w:rPr>
              <w:t xml:space="preserve"> </w:t>
            </w:r>
            <w:r w:rsidRPr="004867C2">
              <w:rPr>
                <w:rFonts w:asciiTheme="majorBidi" w:hAnsiTheme="majorBidi" w:cstheme="majorBidi"/>
                <w:b/>
                <w:bCs/>
                <w:sz w:val="16"/>
                <w:szCs w:val="16"/>
                <w:lang w:val="fr-FR"/>
              </w:rPr>
              <w:t>Combattre l</w:t>
            </w:r>
            <w:r w:rsidR="00412DEA">
              <w:rPr>
                <w:rFonts w:asciiTheme="majorBidi" w:hAnsiTheme="majorBidi" w:cstheme="majorBidi"/>
                <w:b/>
                <w:bCs/>
                <w:sz w:val="16"/>
                <w:szCs w:val="16"/>
                <w:lang w:val="fr-FR"/>
              </w:rPr>
              <w:t>’</w:t>
            </w:r>
            <w:r w:rsidRPr="004867C2">
              <w:rPr>
                <w:rFonts w:asciiTheme="majorBidi" w:hAnsiTheme="majorBidi" w:cstheme="majorBidi"/>
                <w:b/>
                <w:bCs/>
                <w:sz w:val="16"/>
                <w:szCs w:val="16"/>
                <w:lang w:val="fr-FR"/>
              </w:rPr>
              <w:t>incendie à distance en raison du risque d</w:t>
            </w:r>
            <w:r w:rsidR="00412DEA">
              <w:rPr>
                <w:rFonts w:asciiTheme="majorBidi" w:hAnsiTheme="majorBidi" w:cstheme="majorBidi"/>
                <w:b/>
                <w:bCs/>
                <w:sz w:val="16"/>
                <w:szCs w:val="16"/>
                <w:lang w:val="fr-FR"/>
              </w:rPr>
              <w:t>’</w:t>
            </w:r>
            <w:r w:rsidRPr="004867C2">
              <w:rPr>
                <w:rFonts w:asciiTheme="majorBidi" w:hAnsiTheme="majorBidi" w:cstheme="majorBidi"/>
                <w:b/>
                <w:bCs/>
                <w:sz w:val="16"/>
                <w:szCs w:val="16"/>
                <w:lang w:val="fr-FR"/>
              </w:rPr>
              <w:t>explosion.</w:t>
            </w:r>
          </w:p>
        </w:tc>
        <w:tc>
          <w:tcPr>
            <w:tcW w:w="1963" w:type="dxa"/>
            <w:gridSpan w:val="2"/>
            <w:tcBorders>
              <w:top w:val="single" w:sz="4" w:space="0" w:color="auto"/>
              <w:left w:val="single" w:sz="4" w:space="0" w:color="auto"/>
              <w:bottom w:val="nil"/>
              <w:right w:val="single" w:sz="4" w:space="0" w:color="auto"/>
            </w:tcBorders>
          </w:tcPr>
          <w:p w14:paraId="228202B1"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 xml:space="preserve">P401 </w:t>
            </w:r>
          </w:p>
          <w:p w14:paraId="70AE1604"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b/>
                <w:bCs/>
                <w:sz w:val="16"/>
                <w:szCs w:val="16"/>
                <w:lang w:val="fr-FR"/>
              </w:rPr>
              <w:t>Stocker conformément à…</w:t>
            </w:r>
            <w:r w:rsidRPr="004867C2">
              <w:rPr>
                <w:rFonts w:asciiTheme="majorBidi" w:hAnsiTheme="majorBidi" w:cstheme="majorBidi"/>
                <w:sz w:val="16"/>
                <w:szCs w:val="16"/>
                <w:lang w:val="fr-FR"/>
              </w:rPr>
              <w:t xml:space="preserve"> </w:t>
            </w:r>
          </w:p>
          <w:p w14:paraId="618F8FDC"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 Il revient au fabricant/</w:t>
            </w:r>
            <w:r w:rsidR="00BB4431">
              <w:rPr>
                <w:rFonts w:asciiTheme="majorBidi" w:hAnsiTheme="majorBidi" w:cstheme="majorBidi"/>
                <w:sz w:val="16"/>
                <w:szCs w:val="16"/>
                <w:lang w:val="fr-FR"/>
              </w:rPr>
              <w:br/>
            </w:r>
            <w:r w:rsidRPr="004867C2">
              <w:rPr>
                <w:rFonts w:asciiTheme="majorBidi" w:hAnsiTheme="majorBidi" w:cstheme="majorBidi"/>
                <w:sz w:val="16"/>
                <w:szCs w:val="16"/>
                <w:lang w:val="fr-FR"/>
              </w:rPr>
              <w:t>fournisseur ou à l</w:t>
            </w:r>
            <w:r w:rsidR="00412DEA">
              <w:rPr>
                <w:rFonts w:asciiTheme="majorBidi" w:hAnsiTheme="majorBidi" w:cstheme="majorBidi"/>
                <w:sz w:val="16"/>
                <w:szCs w:val="16"/>
                <w:lang w:val="fr-FR"/>
              </w:rPr>
              <w:t>’</w:t>
            </w:r>
            <w:r w:rsidRPr="004867C2">
              <w:rPr>
                <w:rFonts w:asciiTheme="majorBidi" w:hAnsiTheme="majorBidi" w:cstheme="majorBidi"/>
                <w:sz w:val="16"/>
                <w:szCs w:val="16"/>
                <w:lang w:val="fr-FR"/>
              </w:rPr>
              <w:t>autorité compétente de préciser la réglementation locale/</w:t>
            </w:r>
            <w:r w:rsidR="00BB4431">
              <w:rPr>
                <w:rFonts w:asciiTheme="majorBidi" w:hAnsiTheme="majorBidi" w:cstheme="majorBidi"/>
                <w:sz w:val="16"/>
                <w:szCs w:val="16"/>
                <w:lang w:val="fr-FR"/>
              </w:rPr>
              <w:br/>
            </w:r>
            <w:r w:rsidRPr="004867C2">
              <w:rPr>
                <w:rFonts w:asciiTheme="majorBidi" w:hAnsiTheme="majorBidi" w:cstheme="majorBidi"/>
                <w:sz w:val="16"/>
                <w:szCs w:val="16"/>
                <w:lang w:val="fr-FR"/>
              </w:rPr>
              <w:t>régionale/nationale/</w:t>
            </w:r>
            <w:r w:rsidR="00BB4431">
              <w:rPr>
                <w:rFonts w:asciiTheme="majorBidi" w:hAnsiTheme="majorBidi" w:cstheme="majorBidi"/>
                <w:sz w:val="16"/>
                <w:szCs w:val="16"/>
                <w:lang w:val="fr-FR"/>
              </w:rPr>
              <w:br/>
            </w:r>
            <w:r w:rsidRPr="004867C2">
              <w:rPr>
                <w:rFonts w:asciiTheme="majorBidi" w:hAnsiTheme="majorBidi" w:cstheme="majorBidi"/>
                <w:sz w:val="16"/>
                <w:szCs w:val="16"/>
                <w:lang w:val="fr-FR"/>
              </w:rPr>
              <w:t>internationale applicable.</w:t>
            </w:r>
          </w:p>
        </w:tc>
        <w:tc>
          <w:tcPr>
            <w:tcW w:w="2318" w:type="dxa"/>
            <w:gridSpan w:val="2"/>
            <w:tcBorders>
              <w:top w:val="single" w:sz="4" w:space="0" w:color="auto"/>
              <w:left w:val="single" w:sz="4" w:space="0" w:color="auto"/>
              <w:bottom w:val="nil"/>
              <w:right w:val="single" w:sz="4" w:space="0" w:color="auto"/>
            </w:tcBorders>
          </w:tcPr>
          <w:p w14:paraId="5B8EE73A"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 xml:space="preserve">P503 </w:t>
            </w:r>
          </w:p>
          <w:p w14:paraId="14498306"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b/>
                <w:bCs/>
                <w:sz w:val="16"/>
                <w:szCs w:val="16"/>
                <w:lang w:val="fr-FR"/>
              </w:rPr>
              <w:t>S</w:t>
            </w:r>
            <w:r w:rsidR="00412DEA">
              <w:rPr>
                <w:rFonts w:asciiTheme="majorBidi" w:hAnsiTheme="majorBidi" w:cstheme="majorBidi"/>
                <w:b/>
                <w:bCs/>
                <w:sz w:val="16"/>
                <w:szCs w:val="16"/>
                <w:lang w:val="fr-FR"/>
              </w:rPr>
              <w:t>’</w:t>
            </w:r>
            <w:r w:rsidRPr="004867C2">
              <w:rPr>
                <w:rFonts w:asciiTheme="majorBidi" w:hAnsiTheme="majorBidi" w:cstheme="majorBidi"/>
                <w:b/>
                <w:bCs/>
                <w:sz w:val="16"/>
                <w:szCs w:val="16"/>
                <w:lang w:val="fr-FR"/>
              </w:rPr>
              <w:t>adresser au fabricant/fournisseur/… pour toute information concernant l</w:t>
            </w:r>
            <w:r w:rsidR="00412DEA">
              <w:rPr>
                <w:rFonts w:asciiTheme="majorBidi" w:hAnsiTheme="majorBidi" w:cstheme="majorBidi"/>
                <w:b/>
                <w:bCs/>
                <w:sz w:val="16"/>
                <w:szCs w:val="16"/>
                <w:lang w:val="fr-FR"/>
              </w:rPr>
              <w:t>’</w:t>
            </w:r>
            <w:r w:rsidRPr="004867C2">
              <w:rPr>
                <w:rFonts w:asciiTheme="majorBidi" w:hAnsiTheme="majorBidi" w:cstheme="majorBidi"/>
                <w:b/>
                <w:bCs/>
                <w:sz w:val="16"/>
                <w:szCs w:val="16"/>
                <w:lang w:val="fr-FR"/>
              </w:rPr>
              <w:t>élimination/la récupération/le recyclage</w:t>
            </w:r>
            <w:r w:rsidRPr="004867C2">
              <w:rPr>
                <w:rFonts w:asciiTheme="majorBidi" w:hAnsiTheme="majorBidi" w:cstheme="majorBidi"/>
                <w:sz w:val="16"/>
                <w:szCs w:val="16"/>
                <w:lang w:val="fr-FR"/>
              </w:rPr>
              <w:t xml:space="preserve"> </w:t>
            </w:r>
          </w:p>
          <w:p w14:paraId="633446AF" w14:textId="77777777" w:rsidR="00566E09" w:rsidRPr="00BB4431" w:rsidRDefault="00566E09" w:rsidP="00D9689A">
            <w:pPr>
              <w:keepNext/>
              <w:keepLines/>
              <w:kinsoku/>
              <w:overflowPunct/>
              <w:autoSpaceDE/>
              <w:autoSpaceDN/>
              <w:adjustRightInd/>
              <w:snapToGrid/>
              <w:spacing w:before="20" w:after="20" w:line="240" w:lineRule="auto"/>
              <w:rPr>
                <w:rFonts w:asciiTheme="majorBidi" w:hAnsiTheme="majorBidi" w:cstheme="majorBidi"/>
                <w:spacing w:val="-4"/>
                <w:sz w:val="16"/>
                <w:szCs w:val="16"/>
                <w:lang w:val="fr-FR"/>
              </w:rPr>
            </w:pPr>
            <w:r w:rsidRPr="00BB4431">
              <w:rPr>
                <w:rFonts w:asciiTheme="majorBidi" w:hAnsiTheme="majorBidi" w:cstheme="majorBidi"/>
                <w:spacing w:val="-4"/>
                <w:sz w:val="16"/>
                <w:szCs w:val="16"/>
                <w:lang w:val="fr-FR"/>
              </w:rPr>
              <w:t>... Il revient au fabricant/</w:t>
            </w:r>
            <w:r w:rsidR="00BB4431" w:rsidRPr="00BB4431">
              <w:rPr>
                <w:rFonts w:asciiTheme="majorBidi" w:hAnsiTheme="majorBidi" w:cstheme="majorBidi"/>
                <w:spacing w:val="-4"/>
                <w:sz w:val="16"/>
                <w:szCs w:val="16"/>
                <w:lang w:val="fr-FR"/>
              </w:rPr>
              <w:br/>
            </w:r>
            <w:r w:rsidRPr="00BB4431">
              <w:rPr>
                <w:rFonts w:asciiTheme="majorBidi" w:hAnsiTheme="majorBidi" w:cstheme="majorBidi"/>
                <w:spacing w:val="-4"/>
                <w:sz w:val="16"/>
                <w:szCs w:val="16"/>
                <w:lang w:val="fr-FR"/>
              </w:rPr>
              <w:t>fournisseur ou à l</w:t>
            </w:r>
            <w:r w:rsidR="00412DEA" w:rsidRPr="00BB4431">
              <w:rPr>
                <w:rFonts w:asciiTheme="majorBidi" w:hAnsiTheme="majorBidi" w:cstheme="majorBidi"/>
                <w:spacing w:val="-4"/>
                <w:sz w:val="16"/>
                <w:szCs w:val="16"/>
                <w:lang w:val="fr-FR"/>
              </w:rPr>
              <w:t>’</w:t>
            </w:r>
            <w:r w:rsidRPr="00BB4431">
              <w:rPr>
                <w:rFonts w:asciiTheme="majorBidi" w:hAnsiTheme="majorBidi" w:cstheme="majorBidi"/>
                <w:spacing w:val="-4"/>
                <w:sz w:val="16"/>
                <w:szCs w:val="16"/>
                <w:lang w:val="fr-FR"/>
              </w:rPr>
              <w:t>autorité compétente de préciser la source appropriée d</w:t>
            </w:r>
            <w:r w:rsidR="00412DEA" w:rsidRPr="00BB4431">
              <w:rPr>
                <w:rFonts w:asciiTheme="majorBidi" w:hAnsiTheme="majorBidi" w:cstheme="majorBidi"/>
                <w:spacing w:val="-4"/>
                <w:sz w:val="16"/>
                <w:szCs w:val="16"/>
                <w:lang w:val="fr-FR"/>
              </w:rPr>
              <w:t>’</w:t>
            </w:r>
            <w:r w:rsidRPr="00BB4431">
              <w:rPr>
                <w:rFonts w:asciiTheme="majorBidi" w:hAnsiTheme="majorBidi" w:cstheme="majorBidi"/>
                <w:spacing w:val="-4"/>
                <w:sz w:val="16"/>
                <w:szCs w:val="16"/>
                <w:lang w:val="fr-FR"/>
              </w:rPr>
              <w:t>information, conformément à la réglementation locale/régionale/nationale/</w:t>
            </w:r>
            <w:r w:rsidR="00BB4431">
              <w:rPr>
                <w:rFonts w:asciiTheme="majorBidi" w:hAnsiTheme="majorBidi" w:cstheme="majorBidi"/>
                <w:spacing w:val="-4"/>
                <w:sz w:val="16"/>
                <w:szCs w:val="16"/>
                <w:lang w:val="fr-FR"/>
              </w:rPr>
              <w:br/>
            </w:r>
            <w:r w:rsidRPr="00BB4431">
              <w:rPr>
                <w:rFonts w:asciiTheme="majorBidi" w:hAnsiTheme="majorBidi" w:cstheme="majorBidi"/>
                <w:spacing w:val="-4"/>
                <w:sz w:val="16"/>
                <w:szCs w:val="16"/>
                <w:lang w:val="fr-FR"/>
              </w:rPr>
              <w:t>internationale applicable.</w:t>
            </w:r>
          </w:p>
        </w:tc>
      </w:tr>
      <w:tr w:rsidR="00566E09" w:rsidRPr="004867C2" w14:paraId="0A5E9145" w14:textId="77777777" w:rsidTr="002921BA">
        <w:trPr>
          <w:gridAfter w:val="1"/>
          <w:wAfter w:w="359" w:type="dxa"/>
        </w:trPr>
        <w:tc>
          <w:tcPr>
            <w:tcW w:w="7107" w:type="dxa"/>
            <w:gridSpan w:val="5"/>
            <w:tcBorders>
              <w:top w:val="nil"/>
              <w:left w:val="single" w:sz="4" w:space="0" w:color="auto"/>
              <w:bottom w:val="single" w:sz="4" w:space="0" w:color="auto"/>
              <w:right w:val="single" w:sz="4" w:space="0" w:color="auto"/>
            </w:tcBorders>
            <w:hideMark/>
          </w:tcPr>
          <w:p w14:paraId="7BF064A2"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 xml:space="preserve">P240 </w:t>
            </w:r>
          </w:p>
          <w:p w14:paraId="50518A7E"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b/>
                <w:bCs/>
                <w:sz w:val="16"/>
                <w:szCs w:val="16"/>
                <w:lang w:val="fr-FR"/>
              </w:rPr>
              <w:t>Mise à la terre et liaison équipotentielle du récipient et du matériel de réception.</w:t>
            </w:r>
            <w:r w:rsidRPr="004867C2">
              <w:rPr>
                <w:rFonts w:asciiTheme="majorBidi" w:hAnsiTheme="majorBidi" w:cstheme="majorBidi"/>
                <w:sz w:val="16"/>
                <w:szCs w:val="16"/>
                <w:lang w:val="fr-FR"/>
              </w:rPr>
              <w:t xml:space="preserve"> </w:t>
            </w:r>
          </w:p>
          <w:p w14:paraId="633AF67D"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i/>
                <w:iCs/>
                <w:sz w:val="16"/>
                <w:szCs w:val="16"/>
                <w:lang w:val="fr-FR"/>
              </w:rPr>
              <w:t>– Si la matière ou l</w:t>
            </w:r>
            <w:r w:rsidR="00412DEA">
              <w:rPr>
                <w:rFonts w:asciiTheme="majorBidi" w:hAnsiTheme="majorBidi" w:cstheme="majorBidi"/>
                <w:i/>
                <w:iCs/>
                <w:sz w:val="16"/>
                <w:szCs w:val="16"/>
                <w:lang w:val="fr-FR"/>
              </w:rPr>
              <w:t>’</w:t>
            </w:r>
            <w:r w:rsidRPr="004867C2">
              <w:rPr>
                <w:rFonts w:asciiTheme="majorBidi" w:hAnsiTheme="majorBidi" w:cstheme="majorBidi"/>
                <w:i/>
                <w:iCs/>
                <w:sz w:val="16"/>
                <w:szCs w:val="16"/>
                <w:lang w:val="fr-FR"/>
              </w:rPr>
              <w:t>objet explosible est sensible à l</w:t>
            </w:r>
            <w:r w:rsidR="00412DEA">
              <w:rPr>
                <w:rFonts w:asciiTheme="majorBidi" w:hAnsiTheme="majorBidi" w:cstheme="majorBidi"/>
                <w:i/>
                <w:iCs/>
                <w:sz w:val="16"/>
                <w:szCs w:val="16"/>
                <w:lang w:val="fr-FR"/>
              </w:rPr>
              <w:t>’</w:t>
            </w:r>
            <w:r w:rsidRPr="004867C2">
              <w:rPr>
                <w:rFonts w:asciiTheme="majorBidi" w:hAnsiTheme="majorBidi" w:cstheme="majorBidi"/>
                <w:i/>
                <w:iCs/>
                <w:sz w:val="16"/>
                <w:szCs w:val="16"/>
                <w:lang w:val="fr-FR"/>
              </w:rPr>
              <w:t>électricité statique.</w:t>
            </w:r>
          </w:p>
          <w:p w14:paraId="680EF6C5"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 xml:space="preserve">P250 </w:t>
            </w:r>
          </w:p>
          <w:p w14:paraId="211DC9D9"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b/>
                <w:bCs/>
                <w:sz w:val="16"/>
                <w:szCs w:val="16"/>
                <w:lang w:val="fr-FR"/>
              </w:rPr>
              <w:t>Éviter les abrasions/les chocs/les frottements/...</w:t>
            </w:r>
            <w:r w:rsidRPr="004867C2">
              <w:rPr>
                <w:rFonts w:asciiTheme="majorBidi" w:hAnsiTheme="majorBidi" w:cstheme="majorBidi"/>
                <w:sz w:val="16"/>
                <w:szCs w:val="16"/>
                <w:lang w:val="fr-FR"/>
              </w:rPr>
              <w:t xml:space="preserve"> </w:t>
            </w:r>
          </w:p>
          <w:p w14:paraId="0ED53AFD"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i/>
                <w:iCs/>
                <w:sz w:val="16"/>
                <w:szCs w:val="16"/>
                <w:lang w:val="fr-FR"/>
              </w:rPr>
              <w:t>− Si la matière ou l</w:t>
            </w:r>
            <w:r w:rsidR="00412DEA">
              <w:rPr>
                <w:rFonts w:asciiTheme="majorBidi" w:hAnsiTheme="majorBidi" w:cstheme="majorBidi"/>
                <w:i/>
                <w:iCs/>
                <w:sz w:val="16"/>
                <w:szCs w:val="16"/>
                <w:lang w:val="fr-FR"/>
              </w:rPr>
              <w:t>’</w:t>
            </w:r>
            <w:r w:rsidRPr="004867C2">
              <w:rPr>
                <w:rFonts w:asciiTheme="majorBidi" w:hAnsiTheme="majorBidi" w:cstheme="majorBidi"/>
                <w:i/>
                <w:iCs/>
                <w:sz w:val="16"/>
                <w:szCs w:val="16"/>
                <w:lang w:val="fr-FR"/>
              </w:rPr>
              <w:t>objet explosible est sensible aux chocs mécaniques.</w:t>
            </w:r>
            <w:r w:rsidRPr="004867C2">
              <w:rPr>
                <w:rFonts w:asciiTheme="majorBidi" w:hAnsiTheme="majorBidi" w:cstheme="majorBidi"/>
                <w:sz w:val="16"/>
                <w:szCs w:val="16"/>
                <w:lang w:val="fr-FR"/>
              </w:rPr>
              <w:t xml:space="preserve"> </w:t>
            </w:r>
          </w:p>
          <w:p w14:paraId="2544B562"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bCs/>
                <w:sz w:val="16"/>
                <w:szCs w:val="16"/>
                <w:lang w:val="fr-FR"/>
              </w:rPr>
            </w:pPr>
            <w:r w:rsidRPr="004867C2">
              <w:rPr>
                <w:rFonts w:asciiTheme="majorBidi" w:hAnsiTheme="majorBidi" w:cstheme="majorBidi"/>
                <w:sz w:val="16"/>
                <w:szCs w:val="16"/>
                <w:lang w:val="fr-FR"/>
              </w:rPr>
              <w:t>… Il revient au fabricant/fournisseur ou à l</w:t>
            </w:r>
            <w:r w:rsidR="00412DEA">
              <w:rPr>
                <w:rFonts w:asciiTheme="majorBidi" w:hAnsiTheme="majorBidi" w:cstheme="majorBidi"/>
                <w:sz w:val="16"/>
                <w:szCs w:val="16"/>
                <w:lang w:val="fr-FR"/>
              </w:rPr>
              <w:t>’</w:t>
            </w:r>
            <w:r w:rsidRPr="004867C2">
              <w:rPr>
                <w:rFonts w:asciiTheme="majorBidi" w:hAnsiTheme="majorBidi" w:cstheme="majorBidi"/>
                <w:sz w:val="16"/>
                <w:szCs w:val="16"/>
                <w:lang w:val="fr-FR"/>
              </w:rPr>
              <w:t>autorité compétente de préciser le type de manipulation brutale à éviter.</w:t>
            </w:r>
          </w:p>
          <w:p w14:paraId="57EF304A"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 xml:space="preserve">P280 </w:t>
            </w:r>
          </w:p>
          <w:p w14:paraId="0E1C6FDC"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b/>
                <w:bCs/>
                <w:sz w:val="16"/>
                <w:szCs w:val="16"/>
                <w:lang w:val="fr-FR"/>
              </w:rPr>
              <w:t>Porter des gants de protection/des vêtements de protection/un équipement de protection des yeux/du visage/auditive...</w:t>
            </w:r>
          </w:p>
          <w:p w14:paraId="73FC10C1"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r w:rsidRPr="004867C2">
              <w:rPr>
                <w:rFonts w:asciiTheme="majorBidi" w:hAnsiTheme="majorBidi" w:cstheme="majorBidi"/>
                <w:sz w:val="16"/>
                <w:szCs w:val="16"/>
                <w:lang w:val="fr-FR"/>
              </w:rPr>
              <w:t>Il revient au fabricant/fournisseur ou à l</w:t>
            </w:r>
            <w:r w:rsidR="00412DEA">
              <w:rPr>
                <w:rFonts w:asciiTheme="majorBidi" w:hAnsiTheme="majorBidi" w:cstheme="majorBidi"/>
                <w:sz w:val="16"/>
                <w:szCs w:val="16"/>
                <w:lang w:val="fr-FR"/>
              </w:rPr>
              <w:t>’</w:t>
            </w:r>
            <w:r w:rsidRPr="004867C2">
              <w:rPr>
                <w:rFonts w:asciiTheme="majorBidi" w:hAnsiTheme="majorBidi" w:cstheme="majorBidi"/>
                <w:sz w:val="16"/>
                <w:szCs w:val="16"/>
                <w:lang w:val="fr-FR"/>
              </w:rPr>
              <w:t>autorité compétente de préciser l</w:t>
            </w:r>
            <w:r w:rsidR="00412DEA">
              <w:rPr>
                <w:rFonts w:asciiTheme="majorBidi" w:hAnsiTheme="majorBidi" w:cstheme="majorBidi"/>
                <w:sz w:val="16"/>
                <w:szCs w:val="16"/>
                <w:lang w:val="fr-FR"/>
              </w:rPr>
              <w:t>’</w:t>
            </w:r>
            <w:r w:rsidRPr="004867C2">
              <w:rPr>
                <w:rFonts w:asciiTheme="majorBidi" w:hAnsiTheme="majorBidi" w:cstheme="majorBidi"/>
                <w:sz w:val="16"/>
                <w:szCs w:val="16"/>
                <w:lang w:val="fr-FR"/>
              </w:rPr>
              <w:t>équipement de protection individuelle approprié.</w:t>
            </w:r>
          </w:p>
        </w:tc>
        <w:tc>
          <w:tcPr>
            <w:tcW w:w="2390" w:type="dxa"/>
            <w:gridSpan w:val="4"/>
            <w:tcBorders>
              <w:top w:val="nil"/>
              <w:left w:val="single" w:sz="4" w:space="0" w:color="auto"/>
              <w:bottom w:val="single" w:sz="4" w:space="0" w:color="auto"/>
              <w:right w:val="single" w:sz="4" w:space="0" w:color="auto"/>
            </w:tcBorders>
            <w:hideMark/>
          </w:tcPr>
          <w:p w14:paraId="281BA10B" w14:textId="77777777" w:rsidR="00566E09" w:rsidRPr="004867C2" w:rsidRDefault="00566E09" w:rsidP="00D9689A">
            <w:pPr>
              <w:keepNext/>
              <w:keepLines/>
              <w:tabs>
                <w:tab w:val="left" w:pos="288"/>
              </w:tabs>
              <w:kinsoku/>
              <w:overflowPunct/>
              <w:autoSpaceDE/>
              <w:autoSpaceDN/>
              <w:adjustRightInd/>
              <w:snapToGrid/>
              <w:spacing w:before="20" w:after="20" w:line="240" w:lineRule="auto"/>
              <w:rPr>
                <w:rFonts w:asciiTheme="majorBidi" w:hAnsiTheme="majorBidi" w:cstheme="majorBidi"/>
                <w:b/>
                <w:sz w:val="16"/>
                <w:szCs w:val="16"/>
                <w:lang w:val="fr-FR"/>
              </w:rPr>
            </w:pPr>
          </w:p>
        </w:tc>
        <w:tc>
          <w:tcPr>
            <w:tcW w:w="1963" w:type="dxa"/>
            <w:gridSpan w:val="2"/>
            <w:tcBorders>
              <w:top w:val="nil"/>
              <w:left w:val="single" w:sz="4" w:space="0" w:color="auto"/>
              <w:bottom w:val="single" w:sz="4" w:space="0" w:color="auto"/>
              <w:right w:val="single" w:sz="4" w:space="0" w:color="auto"/>
            </w:tcBorders>
            <w:hideMark/>
          </w:tcPr>
          <w:p w14:paraId="46FDF03F"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p>
        </w:tc>
        <w:tc>
          <w:tcPr>
            <w:tcW w:w="2318" w:type="dxa"/>
            <w:gridSpan w:val="2"/>
            <w:tcBorders>
              <w:top w:val="nil"/>
              <w:left w:val="single" w:sz="4" w:space="0" w:color="auto"/>
              <w:bottom w:val="single" w:sz="4" w:space="0" w:color="auto"/>
              <w:right w:val="single" w:sz="4" w:space="0" w:color="auto"/>
            </w:tcBorders>
          </w:tcPr>
          <w:p w14:paraId="16F68525" w14:textId="77777777" w:rsidR="00566E09" w:rsidRPr="004867C2" w:rsidRDefault="00566E09" w:rsidP="00D9689A">
            <w:pPr>
              <w:keepNext/>
              <w:keepLines/>
              <w:kinsoku/>
              <w:overflowPunct/>
              <w:autoSpaceDE/>
              <w:autoSpaceDN/>
              <w:adjustRightInd/>
              <w:snapToGrid/>
              <w:spacing w:before="20" w:after="20" w:line="240" w:lineRule="auto"/>
              <w:rPr>
                <w:rFonts w:asciiTheme="majorBidi" w:hAnsiTheme="majorBidi" w:cstheme="majorBidi"/>
                <w:sz w:val="16"/>
                <w:szCs w:val="16"/>
                <w:lang w:val="fr-FR"/>
              </w:rPr>
            </w:pPr>
          </w:p>
        </w:tc>
      </w:tr>
    </w:tbl>
    <w:p w14:paraId="68F7B9B7" w14:textId="77777777" w:rsidR="00D9689A" w:rsidRDefault="00566E09" w:rsidP="00BB4431">
      <w:pPr>
        <w:pStyle w:val="SingleTxtG"/>
        <w:spacing w:before="120"/>
        <w:rPr>
          <w:i/>
          <w:iCs/>
          <w:lang w:val="fr-FR"/>
        </w:rPr>
      </w:pPr>
      <w:r w:rsidRPr="002921BA">
        <w:rPr>
          <w:i/>
          <w:iCs/>
          <w:lang w:val="fr-FR"/>
        </w:rPr>
        <w:t>(Document de référence : document informel INF.16 tel que modifié)</w:t>
      </w:r>
    </w:p>
    <w:p w14:paraId="029C7D6C" w14:textId="77777777" w:rsidR="002921BA" w:rsidRPr="002921BA" w:rsidRDefault="002921BA" w:rsidP="002921BA">
      <w:pPr>
        <w:pStyle w:val="SingleTxtG"/>
        <w:rPr>
          <w:i/>
          <w:iCs/>
          <w:lang w:val="fr-FR"/>
        </w:rPr>
        <w:sectPr w:rsidR="002921BA" w:rsidRPr="002921BA" w:rsidSect="00566E09">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pPr>
    </w:p>
    <w:p w14:paraId="488446D7" w14:textId="77777777" w:rsidR="00D9689A" w:rsidRPr="00BB4431" w:rsidRDefault="00D9689A" w:rsidP="00BB4431">
      <w:pPr>
        <w:pStyle w:val="HChG"/>
      </w:pPr>
      <w:r w:rsidRPr="00AE0017">
        <w:lastRenderedPageBreak/>
        <w:t>Annexe II</w:t>
      </w:r>
    </w:p>
    <w:p w14:paraId="159E7F33" w14:textId="77777777" w:rsidR="00D9689A" w:rsidRPr="004867C2" w:rsidRDefault="00D9689A" w:rsidP="00BB4431">
      <w:pPr>
        <w:pStyle w:val="SingleTxtG"/>
        <w:jc w:val="right"/>
        <w:rPr>
          <w:lang w:val="fr-FR"/>
        </w:rPr>
      </w:pPr>
      <w:r w:rsidRPr="004867C2">
        <w:rPr>
          <w:lang w:val="fr-FR"/>
        </w:rPr>
        <w:t>[Original : anglais et français]</w:t>
      </w:r>
    </w:p>
    <w:p w14:paraId="7C8290E1" w14:textId="77777777" w:rsidR="00D9689A" w:rsidRPr="004867C2" w:rsidRDefault="00D9689A" w:rsidP="00D9689A">
      <w:pPr>
        <w:pStyle w:val="HChG"/>
        <w:keepNext w:val="0"/>
        <w:keepLines w:val="0"/>
        <w:rPr>
          <w:lang w:val="fr-FR"/>
        </w:rPr>
      </w:pPr>
      <w:r w:rsidRPr="004867C2">
        <w:rPr>
          <w:lang w:val="fr-FR"/>
        </w:rPr>
        <w:tab/>
      </w:r>
      <w:r w:rsidRPr="004867C2">
        <w:rPr>
          <w:lang w:val="fr-FR"/>
        </w:rPr>
        <w:tab/>
      </w:r>
      <w:bookmarkStart w:id="9" w:name="_Hlk66864675"/>
      <w:r w:rsidRPr="004867C2">
        <w:rPr>
          <w:lang w:val="fr-FR"/>
        </w:rPr>
        <w:t>Programme de travail du Sous-Comité pour la période biennale 2021-2022</w:t>
      </w:r>
      <w:bookmarkEnd w:id="9"/>
    </w:p>
    <w:p w14:paraId="37FD0146" w14:textId="77777777" w:rsidR="00D9689A" w:rsidRPr="004867C2" w:rsidRDefault="00D9689A" w:rsidP="00D9689A">
      <w:pPr>
        <w:pStyle w:val="H23G"/>
        <w:keepNext w:val="0"/>
        <w:keepLines w:val="0"/>
        <w:rPr>
          <w:lang w:val="fr-FR"/>
        </w:rPr>
      </w:pPr>
      <w:r w:rsidRPr="004867C2">
        <w:rPr>
          <w:lang w:val="fr-FR"/>
        </w:rPr>
        <w:tab/>
        <w:t>1.</w:t>
      </w:r>
      <w:r w:rsidRPr="004867C2">
        <w:rPr>
          <w:lang w:val="fr-FR"/>
        </w:rPr>
        <w:tab/>
        <w:t>Critères de classification et communication des dangers y relatifs, y compris :</w:t>
      </w:r>
    </w:p>
    <w:p w14:paraId="0026A5E3" w14:textId="77777777" w:rsidR="00D9689A" w:rsidRPr="004867C2" w:rsidRDefault="00D9689A" w:rsidP="00D9689A">
      <w:pPr>
        <w:pStyle w:val="SingleTxtG"/>
        <w:ind w:left="1701" w:hanging="567"/>
        <w:rPr>
          <w:lang w:val="fr-FR"/>
        </w:rPr>
      </w:pPr>
      <w:r w:rsidRPr="004867C2">
        <w:rPr>
          <w:lang w:val="fr-FR"/>
        </w:rPr>
        <w:t>a)</w:t>
      </w:r>
      <w:r w:rsidRPr="004867C2">
        <w:rPr>
          <w:lang w:val="fr-FR"/>
        </w:rPr>
        <w:tab/>
        <w:t xml:space="preserve">Épreuves pour les matières liquides comburantes et les matières solides comburantes </w:t>
      </w:r>
    </w:p>
    <w:p w14:paraId="65B6A591" w14:textId="77777777" w:rsidR="00D9689A" w:rsidRPr="004867C2" w:rsidRDefault="00D9689A" w:rsidP="00D9689A">
      <w:pPr>
        <w:pStyle w:val="SingleTxtG"/>
        <w:ind w:left="1701"/>
        <w:rPr>
          <w:lang w:val="fr-FR"/>
        </w:rPr>
      </w:pPr>
      <w:r w:rsidRPr="004867C2">
        <w:rPr>
          <w:u w:val="single"/>
          <w:lang w:val="fr-FR"/>
        </w:rPr>
        <w:t>Pays chef de file</w:t>
      </w:r>
      <w:r w:rsidRPr="004867C2">
        <w:rPr>
          <w:lang w:val="fr-FR"/>
        </w:rPr>
        <w:t> : France</w:t>
      </w:r>
    </w:p>
    <w:p w14:paraId="2AFA9D0C" w14:textId="77777777" w:rsidR="00D9689A" w:rsidRPr="004867C2" w:rsidRDefault="00D9689A" w:rsidP="00D9689A">
      <w:pPr>
        <w:pStyle w:val="SingleTxtG"/>
        <w:ind w:left="1701"/>
        <w:rPr>
          <w:lang w:val="fr-FR"/>
        </w:rPr>
      </w:pPr>
      <w:r w:rsidRPr="004867C2">
        <w:rPr>
          <w:u w:val="single"/>
          <w:lang w:val="fr-FR"/>
        </w:rPr>
        <w:t>Coordonnateur</w:t>
      </w:r>
      <w:r w:rsidRPr="004867C2">
        <w:rPr>
          <w:lang w:val="fr-FR"/>
        </w:rPr>
        <w:t> : Sous-Comité TMD</w:t>
      </w:r>
    </w:p>
    <w:p w14:paraId="6B679067" w14:textId="77777777" w:rsidR="00D9689A" w:rsidRPr="004867C2" w:rsidRDefault="00D9689A" w:rsidP="00E31F04">
      <w:pPr>
        <w:pStyle w:val="SingleTxtG"/>
        <w:ind w:left="1701"/>
        <w:rPr>
          <w:lang w:val="fr-FR"/>
        </w:rPr>
      </w:pPr>
      <w:r w:rsidRPr="004867C2">
        <w:rPr>
          <w:u w:val="single"/>
          <w:lang w:val="fr-FR"/>
        </w:rPr>
        <w:t>Mandat</w:t>
      </w:r>
      <w:r w:rsidRPr="004867C2">
        <w:rPr>
          <w:lang w:val="fr-FR"/>
        </w:rPr>
        <w:t> : document informel INF.22 (trente-sixième session) et rapport du Sous</w:t>
      </w:r>
      <w:r w:rsidR="00E31F04">
        <w:rPr>
          <w:lang w:val="fr-FR"/>
        </w:rPr>
        <w:noBreakHyphen/>
      </w:r>
      <w:r w:rsidRPr="004867C2">
        <w:rPr>
          <w:lang w:val="fr-FR"/>
        </w:rPr>
        <w:t>Comité sur sa trente-sixième session (ST/SG/AC.10/C.4/72, par</w:t>
      </w:r>
      <w:r w:rsidR="00E31F04">
        <w:rPr>
          <w:lang w:val="fr-FR"/>
        </w:rPr>
        <w:t>.</w:t>
      </w:r>
      <w:r w:rsidRPr="004867C2">
        <w:rPr>
          <w:lang w:val="fr-FR"/>
        </w:rPr>
        <w:t> 19) et par</w:t>
      </w:r>
      <w:r w:rsidR="00D025A6">
        <w:rPr>
          <w:lang w:val="fr-FR"/>
        </w:rPr>
        <w:t>. </w:t>
      </w:r>
      <w:r w:rsidRPr="004867C2">
        <w:rPr>
          <w:lang w:val="fr-FR"/>
        </w:rPr>
        <w:t>13 du présent rapport</w:t>
      </w:r>
    </w:p>
    <w:p w14:paraId="7F1B9E59" w14:textId="77777777" w:rsidR="00D9689A" w:rsidRPr="004867C2" w:rsidRDefault="00D9689A" w:rsidP="00D9689A">
      <w:pPr>
        <w:pStyle w:val="SingleTxtG"/>
        <w:ind w:left="1701" w:hanging="567"/>
        <w:rPr>
          <w:lang w:val="fr-FR"/>
        </w:rPr>
      </w:pPr>
      <w:r w:rsidRPr="004867C2">
        <w:rPr>
          <w:lang w:val="fr-FR"/>
        </w:rPr>
        <w:t>b)</w:t>
      </w:r>
      <w:r w:rsidRPr="004867C2">
        <w:rPr>
          <w:lang w:val="fr-FR"/>
        </w:rPr>
        <w:tab/>
        <w:t>Utilisation de méthodes d</w:t>
      </w:r>
      <w:r w:rsidR="00412DEA">
        <w:rPr>
          <w:lang w:val="fr-FR"/>
        </w:rPr>
        <w:t>’</w:t>
      </w:r>
      <w:r w:rsidRPr="004867C2">
        <w:rPr>
          <w:lang w:val="fr-FR"/>
        </w:rPr>
        <w:t>expérimentation non animales pour le classement des dangers pour la santé</w:t>
      </w:r>
    </w:p>
    <w:p w14:paraId="6196C1ED" w14:textId="77777777" w:rsidR="00D9689A" w:rsidRPr="004867C2" w:rsidRDefault="00D9689A" w:rsidP="00D9689A">
      <w:pPr>
        <w:pStyle w:val="SingleTxtG"/>
        <w:ind w:left="1701"/>
        <w:rPr>
          <w:lang w:val="fr-FR"/>
        </w:rPr>
      </w:pPr>
      <w:r w:rsidRPr="004867C2">
        <w:rPr>
          <w:u w:val="single"/>
          <w:lang w:val="fr-FR"/>
        </w:rPr>
        <w:t>Pays chef de file</w:t>
      </w:r>
      <w:r w:rsidRPr="004867C2">
        <w:rPr>
          <w:lang w:val="fr-FR"/>
        </w:rPr>
        <w:t> : Pays-Bas et Royaume-Uni</w:t>
      </w:r>
    </w:p>
    <w:p w14:paraId="6F9A9C34" w14:textId="77777777" w:rsidR="00D9689A" w:rsidRPr="004867C2" w:rsidRDefault="00D9689A" w:rsidP="00D9689A">
      <w:pPr>
        <w:pStyle w:val="SingleTxtG"/>
        <w:ind w:left="1701"/>
        <w:rPr>
          <w:lang w:val="fr-FR"/>
        </w:rPr>
      </w:pPr>
      <w:r w:rsidRPr="004867C2">
        <w:rPr>
          <w:u w:val="single"/>
          <w:lang w:val="fr-FR"/>
        </w:rPr>
        <w:t>Mandat</w:t>
      </w:r>
      <w:r w:rsidRPr="004867C2">
        <w:rPr>
          <w:lang w:val="fr-FR"/>
        </w:rPr>
        <w:t> : document informel INF.26 et par</w:t>
      </w:r>
      <w:r w:rsidR="00D025A6">
        <w:rPr>
          <w:lang w:val="fr-FR"/>
        </w:rPr>
        <w:t>.</w:t>
      </w:r>
      <w:r w:rsidRPr="004867C2">
        <w:rPr>
          <w:lang w:val="fr-FR"/>
        </w:rPr>
        <w:t xml:space="preserve"> 26 du présent rapport</w:t>
      </w:r>
    </w:p>
    <w:p w14:paraId="19676171" w14:textId="77777777" w:rsidR="00D9689A" w:rsidRPr="004867C2" w:rsidRDefault="00D9689A" w:rsidP="00D9689A">
      <w:pPr>
        <w:pStyle w:val="SingleTxtG"/>
        <w:ind w:left="1701" w:hanging="567"/>
        <w:rPr>
          <w:lang w:val="fr-FR"/>
        </w:rPr>
      </w:pPr>
      <w:r w:rsidRPr="004867C2">
        <w:rPr>
          <w:lang w:val="fr-FR"/>
        </w:rPr>
        <w:t>c)</w:t>
      </w:r>
      <w:r w:rsidRPr="004867C2">
        <w:rPr>
          <w:lang w:val="fr-FR"/>
        </w:rPr>
        <w:tab/>
        <w:t>Classification des sensibilisants cutanés à l</w:t>
      </w:r>
      <w:r w:rsidR="00412DEA">
        <w:rPr>
          <w:lang w:val="fr-FR"/>
        </w:rPr>
        <w:t>’</w:t>
      </w:r>
      <w:r w:rsidRPr="004867C2">
        <w:rPr>
          <w:lang w:val="fr-FR"/>
        </w:rPr>
        <w:t>aide des résultats des méthodes d</w:t>
      </w:r>
      <w:r w:rsidR="00412DEA">
        <w:rPr>
          <w:lang w:val="fr-FR"/>
        </w:rPr>
        <w:t>’</w:t>
      </w:r>
      <w:r w:rsidRPr="004867C2">
        <w:rPr>
          <w:lang w:val="fr-FR"/>
        </w:rPr>
        <w:t>essai des tests des ganglions lymphatiques locaux (LLNA) conformément à la ligne directrice de l</w:t>
      </w:r>
      <w:r w:rsidR="00412DEA">
        <w:rPr>
          <w:lang w:val="fr-FR"/>
        </w:rPr>
        <w:t>’</w:t>
      </w:r>
      <w:r w:rsidRPr="004867C2">
        <w:rPr>
          <w:lang w:val="fr-FR"/>
        </w:rPr>
        <w:t>OCDE 442B</w:t>
      </w:r>
    </w:p>
    <w:p w14:paraId="2E11EAEB" w14:textId="77777777" w:rsidR="00D9689A" w:rsidRPr="004867C2" w:rsidRDefault="00D9689A" w:rsidP="00E31F04">
      <w:pPr>
        <w:pStyle w:val="SingleTxtG"/>
        <w:ind w:left="1701"/>
        <w:rPr>
          <w:lang w:val="fr-FR"/>
        </w:rPr>
      </w:pPr>
      <w:r w:rsidRPr="00E31F04">
        <w:rPr>
          <w:u w:val="single"/>
          <w:lang w:val="fr-FR"/>
        </w:rPr>
        <w:t xml:space="preserve">Pays </w:t>
      </w:r>
      <w:r w:rsidRPr="004867C2">
        <w:rPr>
          <w:u w:val="single"/>
          <w:lang w:val="fr-FR"/>
        </w:rPr>
        <w:t>chef de file</w:t>
      </w:r>
      <w:r w:rsidRPr="004867C2">
        <w:rPr>
          <w:lang w:val="fr-FR"/>
        </w:rPr>
        <w:t> : Japon</w:t>
      </w:r>
    </w:p>
    <w:p w14:paraId="006DFC10" w14:textId="77777777" w:rsidR="00D9689A" w:rsidRPr="004867C2" w:rsidRDefault="00D9689A" w:rsidP="00D025A6">
      <w:pPr>
        <w:pStyle w:val="SingleTxtG"/>
        <w:ind w:left="1701"/>
        <w:rPr>
          <w:lang w:val="fr-FR"/>
        </w:rPr>
      </w:pPr>
      <w:r w:rsidRPr="00D025A6">
        <w:rPr>
          <w:u w:val="single"/>
          <w:lang w:val="fr-FR"/>
        </w:rPr>
        <w:t>Document de référence</w:t>
      </w:r>
      <w:r w:rsidR="00D025A6">
        <w:rPr>
          <w:lang w:val="fr-FR"/>
        </w:rPr>
        <w:t> </w:t>
      </w:r>
      <w:r w:rsidRPr="004867C2">
        <w:rPr>
          <w:lang w:val="fr-FR"/>
        </w:rPr>
        <w:t xml:space="preserve">: </w:t>
      </w:r>
      <w:r w:rsidR="00D025A6" w:rsidRPr="004867C2">
        <w:rPr>
          <w:lang w:val="fr-FR"/>
        </w:rPr>
        <w:t>d</w:t>
      </w:r>
      <w:r w:rsidRPr="004867C2">
        <w:rPr>
          <w:lang w:val="fr-FR"/>
        </w:rPr>
        <w:t>ocument informel INF.15 et par</w:t>
      </w:r>
      <w:r w:rsidR="00D025A6">
        <w:rPr>
          <w:lang w:val="fr-FR"/>
        </w:rPr>
        <w:t>.</w:t>
      </w:r>
      <w:r w:rsidRPr="004867C2">
        <w:rPr>
          <w:lang w:val="fr-FR"/>
        </w:rPr>
        <w:t xml:space="preserve"> 54 a) du présent rapport.</w:t>
      </w:r>
    </w:p>
    <w:p w14:paraId="166B9841" w14:textId="77777777" w:rsidR="00D9689A" w:rsidRPr="004867C2" w:rsidRDefault="00D9689A" w:rsidP="00D9689A">
      <w:pPr>
        <w:pStyle w:val="SingleTxtG"/>
        <w:ind w:left="1701" w:hanging="567"/>
        <w:rPr>
          <w:lang w:val="fr-FR"/>
        </w:rPr>
      </w:pPr>
      <w:r w:rsidRPr="004867C2">
        <w:rPr>
          <w:lang w:val="fr-FR"/>
        </w:rPr>
        <w:t>d)</w:t>
      </w:r>
      <w:r w:rsidRPr="004867C2">
        <w:rPr>
          <w:lang w:val="fr-FR"/>
        </w:rPr>
        <w:tab/>
        <w:t>Critères de classification de la mutagénicité des cellules germinales (sous</w:t>
      </w:r>
      <w:r w:rsidR="00D025A6">
        <w:rPr>
          <w:lang w:val="fr-FR"/>
        </w:rPr>
        <w:noBreakHyphen/>
      </w:r>
      <w:r w:rsidRPr="004867C2">
        <w:rPr>
          <w:lang w:val="fr-FR"/>
        </w:rPr>
        <w:t>catégorie</w:t>
      </w:r>
      <w:r w:rsidR="00D025A6">
        <w:rPr>
          <w:lang w:val="fr-FR"/>
        </w:rPr>
        <w:t> </w:t>
      </w:r>
      <w:r w:rsidRPr="004867C2">
        <w:rPr>
          <w:lang w:val="fr-FR"/>
        </w:rPr>
        <w:t>1B)</w:t>
      </w:r>
    </w:p>
    <w:p w14:paraId="38BCB00F" w14:textId="77777777" w:rsidR="00D9689A" w:rsidRPr="004867C2" w:rsidRDefault="009801F5" w:rsidP="00D025A6">
      <w:pPr>
        <w:pStyle w:val="SingleTxtG"/>
        <w:ind w:left="1701"/>
        <w:rPr>
          <w:lang w:val="fr-FR"/>
        </w:rPr>
      </w:pPr>
      <w:r w:rsidRPr="004867C2">
        <w:rPr>
          <w:u w:val="single"/>
          <w:lang w:val="fr-FR"/>
        </w:rPr>
        <w:t>Coordonnateur</w:t>
      </w:r>
      <w:r w:rsidR="00D9689A" w:rsidRPr="004867C2">
        <w:rPr>
          <w:u w:val="single"/>
          <w:lang w:val="fr-FR"/>
        </w:rPr>
        <w:t> </w:t>
      </w:r>
      <w:r w:rsidR="00D9689A" w:rsidRPr="004867C2">
        <w:rPr>
          <w:lang w:val="fr-FR"/>
        </w:rPr>
        <w:t>: Groupe de travail informel sur la mutagénicité des cellules germinales (sous-catégorie 1B) (travaux organisés par le Centre commun de recherche (CCR) de la Commission européenne)</w:t>
      </w:r>
    </w:p>
    <w:p w14:paraId="39BB0881" w14:textId="77777777" w:rsidR="00D9689A" w:rsidRPr="004867C2" w:rsidRDefault="00D9689A" w:rsidP="00D025A6">
      <w:pPr>
        <w:pStyle w:val="SingleTxtG"/>
        <w:ind w:left="1701"/>
        <w:rPr>
          <w:lang w:val="fr-FR"/>
        </w:rPr>
      </w:pPr>
      <w:r w:rsidRPr="00D025A6">
        <w:rPr>
          <w:u w:val="single"/>
          <w:lang w:val="fr-FR"/>
        </w:rPr>
        <w:t>Référence</w:t>
      </w:r>
      <w:r w:rsidR="00D025A6">
        <w:rPr>
          <w:lang w:val="fr-FR"/>
        </w:rPr>
        <w:t> </w:t>
      </w:r>
      <w:r w:rsidRPr="004867C2">
        <w:rPr>
          <w:lang w:val="fr-FR"/>
        </w:rPr>
        <w:t xml:space="preserve">: </w:t>
      </w:r>
      <w:r w:rsidR="00D025A6" w:rsidRPr="004867C2">
        <w:rPr>
          <w:lang w:val="fr-FR"/>
        </w:rPr>
        <w:t>d</w:t>
      </w:r>
      <w:r w:rsidRPr="004867C2">
        <w:rPr>
          <w:lang w:val="fr-FR"/>
        </w:rPr>
        <w:t>ocument informel INF.37 et par</w:t>
      </w:r>
      <w:r w:rsidR="00D025A6">
        <w:rPr>
          <w:lang w:val="fr-FR"/>
        </w:rPr>
        <w:t>.</w:t>
      </w:r>
      <w:r w:rsidRPr="004867C2">
        <w:rPr>
          <w:lang w:val="fr-FR"/>
        </w:rPr>
        <w:t xml:space="preserve"> 35 du présent rapport</w:t>
      </w:r>
    </w:p>
    <w:p w14:paraId="5741FEF3" w14:textId="77777777" w:rsidR="00D9689A" w:rsidRPr="004867C2" w:rsidRDefault="00D9689A" w:rsidP="00D9689A">
      <w:pPr>
        <w:pStyle w:val="SingleTxtG"/>
        <w:ind w:left="1701" w:hanging="567"/>
        <w:rPr>
          <w:lang w:val="fr-FR"/>
        </w:rPr>
      </w:pPr>
      <w:r w:rsidRPr="004867C2">
        <w:rPr>
          <w:lang w:val="fr-FR"/>
        </w:rPr>
        <w:t>e)</w:t>
      </w:r>
      <w:r w:rsidRPr="004867C2">
        <w:rPr>
          <w:lang w:val="fr-FR"/>
        </w:rPr>
        <w:tab/>
        <w:t>Questions pratiques de classification</w:t>
      </w:r>
    </w:p>
    <w:p w14:paraId="19DE9210" w14:textId="77777777" w:rsidR="00D9689A" w:rsidRPr="004867C2" w:rsidRDefault="00D9689A" w:rsidP="00D9689A">
      <w:pPr>
        <w:pStyle w:val="SingleTxtG"/>
        <w:ind w:left="1701"/>
        <w:rPr>
          <w:lang w:val="fr-FR"/>
        </w:rPr>
      </w:pPr>
      <w:r w:rsidRPr="004867C2">
        <w:rPr>
          <w:u w:val="single"/>
          <w:lang w:val="fr-FR"/>
        </w:rPr>
        <w:t>Pays chef de file</w:t>
      </w:r>
      <w:r w:rsidRPr="004867C2">
        <w:rPr>
          <w:lang w:val="fr-FR"/>
        </w:rPr>
        <w:t> : États</w:t>
      </w:r>
      <w:r w:rsidRPr="004867C2">
        <w:rPr>
          <w:lang w:val="fr-FR"/>
        </w:rPr>
        <w:noBreakHyphen/>
        <w:t>Unis d</w:t>
      </w:r>
      <w:r w:rsidR="00412DEA">
        <w:rPr>
          <w:lang w:val="fr-FR"/>
        </w:rPr>
        <w:t>’</w:t>
      </w:r>
      <w:r w:rsidRPr="004867C2">
        <w:rPr>
          <w:lang w:val="fr-FR"/>
        </w:rPr>
        <w:t>Amérique</w:t>
      </w:r>
    </w:p>
    <w:p w14:paraId="0A9624DE" w14:textId="77777777" w:rsidR="00D9689A" w:rsidRPr="004867C2" w:rsidRDefault="00D9689A" w:rsidP="00D9689A">
      <w:pPr>
        <w:pStyle w:val="SingleTxtG"/>
        <w:ind w:left="1701"/>
        <w:rPr>
          <w:lang w:val="fr-FR"/>
        </w:rPr>
      </w:pPr>
      <w:r w:rsidRPr="004867C2">
        <w:rPr>
          <w:u w:val="single"/>
          <w:lang w:val="fr-FR"/>
        </w:rPr>
        <w:t>Coordonnateur</w:t>
      </w:r>
      <w:r w:rsidRPr="004867C2">
        <w:rPr>
          <w:lang w:val="fr-FR"/>
        </w:rPr>
        <w:t> : Groupe de travail informel chargé des questions pratiques de classification</w:t>
      </w:r>
    </w:p>
    <w:p w14:paraId="3D10FCD7" w14:textId="77777777" w:rsidR="00D9689A" w:rsidRPr="004867C2" w:rsidRDefault="00D9689A" w:rsidP="00D9689A">
      <w:pPr>
        <w:pStyle w:val="SingleTxtG"/>
        <w:ind w:left="1701"/>
        <w:rPr>
          <w:lang w:val="fr-FR"/>
        </w:rPr>
      </w:pPr>
      <w:r w:rsidRPr="004867C2">
        <w:rPr>
          <w:u w:val="single"/>
          <w:lang w:val="fr-FR"/>
        </w:rPr>
        <w:t>Mandat</w:t>
      </w:r>
      <w:r w:rsidRPr="004867C2">
        <w:rPr>
          <w:lang w:val="fr-FR"/>
        </w:rPr>
        <w:t> : document informel INF.31 et par</w:t>
      </w:r>
      <w:r w:rsidR="00D025A6">
        <w:rPr>
          <w:lang w:val="fr-FR"/>
        </w:rPr>
        <w:t>.</w:t>
      </w:r>
      <w:r w:rsidRPr="004867C2">
        <w:rPr>
          <w:lang w:val="fr-FR"/>
        </w:rPr>
        <w:t xml:space="preserve"> 27 du présent rapport.</w:t>
      </w:r>
    </w:p>
    <w:p w14:paraId="4FC093AE" w14:textId="77777777" w:rsidR="00D9689A" w:rsidRPr="004867C2" w:rsidRDefault="00D9689A" w:rsidP="00D9689A">
      <w:pPr>
        <w:pStyle w:val="SingleTxtG"/>
        <w:ind w:left="1701" w:hanging="567"/>
        <w:rPr>
          <w:lang w:val="fr-FR"/>
        </w:rPr>
      </w:pPr>
      <w:r w:rsidRPr="004867C2">
        <w:rPr>
          <w:lang w:val="fr-FR"/>
        </w:rPr>
        <w:t>f)</w:t>
      </w:r>
      <w:r w:rsidRPr="004867C2">
        <w:rPr>
          <w:lang w:val="fr-FR"/>
        </w:rPr>
        <w:tab/>
        <w:t>Nanomatériaux</w:t>
      </w:r>
    </w:p>
    <w:p w14:paraId="29EE504E" w14:textId="77777777" w:rsidR="00D9689A" w:rsidRPr="00D025A6" w:rsidRDefault="00D9689A" w:rsidP="00D9689A">
      <w:pPr>
        <w:pStyle w:val="SingleTxtG"/>
        <w:ind w:left="1701"/>
        <w:rPr>
          <w:spacing w:val="-2"/>
          <w:lang w:val="fr-FR"/>
        </w:rPr>
      </w:pPr>
      <w:r w:rsidRPr="00D025A6">
        <w:rPr>
          <w:spacing w:val="-2"/>
          <w:u w:val="single"/>
          <w:lang w:val="fr-FR"/>
        </w:rPr>
        <w:t>Mandat</w:t>
      </w:r>
      <w:r w:rsidRPr="00D025A6">
        <w:rPr>
          <w:spacing w:val="-2"/>
          <w:lang w:val="fr-FR"/>
        </w:rPr>
        <w:t> : document informel INF.27 (trente-deuxième session) et rapport du Sous</w:t>
      </w:r>
      <w:r w:rsidR="00D025A6">
        <w:rPr>
          <w:spacing w:val="-2"/>
          <w:lang w:val="fr-FR"/>
        </w:rPr>
        <w:noBreakHyphen/>
      </w:r>
      <w:r w:rsidRPr="00D025A6">
        <w:rPr>
          <w:spacing w:val="-2"/>
          <w:lang w:val="fr-FR"/>
        </w:rPr>
        <w:t>Comité sur s</w:t>
      </w:r>
      <w:r w:rsidR="00D025A6" w:rsidRPr="00D025A6">
        <w:rPr>
          <w:spacing w:val="-2"/>
          <w:lang w:val="fr-FR"/>
        </w:rPr>
        <w:t>es</w:t>
      </w:r>
      <w:r w:rsidRPr="00D025A6">
        <w:rPr>
          <w:spacing w:val="-2"/>
          <w:lang w:val="fr-FR"/>
        </w:rPr>
        <w:t xml:space="preserve"> trente-deuxième</w:t>
      </w:r>
      <w:r w:rsidR="00D025A6" w:rsidRPr="00D025A6">
        <w:rPr>
          <w:spacing w:val="-2"/>
          <w:lang w:val="fr-FR"/>
        </w:rPr>
        <w:t>,</w:t>
      </w:r>
      <w:r w:rsidRPr="00D025A6">
        <w:rPr>
          <w:spacing w:val="-2"/>
          <w:lang w:val="fr-FR"/>
        </w:rPr>
        <w:t xml:space="preserve"> trente-sixième et trente-huitième sessions (ST/SG/AC.10/C.4/64, par</w:t>
      </w:r>
      <w:r w:rsidR="00D025A6" w:rsidRPr="00D025A6">
        <w:rPr>
          <w:spacing w:val="-2"/>
          <w:lang w:val="fr-FR"/>
        </w:rPr>
        <w:t>.</w:t>
      </w:r>
      <w:r w:rsidRPr="00D025A6">
        <w:rPr>
          <w:spacing w:val="-2"/>
          <w:lang w:val="fr-FR"/>
        </w:rPr>
        <w:t> 32 ; ST/SG/AC.10/C.4/72, par</w:t>
      </w:r>
      <w:r w:rsidR="00D025A6" w:rsidRPr="00D025A6">
        <w:rPr>
          <w:spacing w:val="-2"/>
          <w:lang w:val="fr-FR"/>
        </w:rPr>
        <w:t>.</w:t>
      </w:r>
      <w:r w:rsidRPr="00D025A6">
        <w:rPr>
          <w:spacing w:val="-2"/>
          <w:lang w:val="fr-FR"/>
        </w:rPr>
        <w:t> 42 ; ST/SG/AC.10/C.4/76, par</w:t>
      </w:r>
      <w:r w:rsidR="00D025A6" w:rsidRPr="00D025A6">
        <w:rPr>
          <w:spacing w:val="-2"/>
          <w:lang w:val="fr-FR"/>
        </w:rPr>
        <w:t>.</w:t>
      </w:r>
      <w:r w:rsidRPr="00D025A6">
        <w:rPr>
          <w:spacing w:val="-2"/>
          <w:lang w:val="fr-FR"/>
        </w:rPr>
        <w:t> 24) et par</w:t>
      </w:r>
      <w:r w:rsidR="00D025A6" w:rsidRPr="00D025A6">
        <w:rPr>
          <w:spacing w:val="-2"/>
          <w:lang w:val="fr-FR"/>
        </w:rPr>
        <w:t>. </w:t>
      </w:r>
      <w:r w:rsidRPr="00D025A6">
        <w:rPr>
          <w:spacing w:val="-2"/>
          <w:lang w:val="fr-FR"/>
        </w:rPr>
        <w:t>54 c) du présent rapport</w:t>
      </w:r>
    </w:p>
    <w:p w14:paraId="368B8EDD" w14:textId="77777777" w:rsidR="00D9689A" w:rsidRPr="004867C2" w:rsidRDefault="00D9689A" w:rsidP="00D9689A">
      <w:pPr>
        <w:pStyle w:val="SingleTxtG"/>
        <w:ind w:left="1701" w:hanging="567"/>
        <w:rPr>
          <w:lang w:val="fr-FR"/>
        </w:rPr>
      </w:pPr>
      <w:r w:rsidRPr="004867C2">
        <w:rPr>
          <w:lang w:val="fr-FR"/>
        </w:rPr>
        <w:t>g)</w:t>
      </w:r>
      <w:r w:rsidRPr="004867C2">
        <w:rPr>
          <w:lang w:val="fr-FR"/>
        </w:rPr>
        <w:tab/>
        <w:t>Classification simultanée dans les classes de danger physique et la précédence des dangers</w:t>
      </w:r>
    </w:p>
    <w:p w14:paraId="22F4758D" w14:textId="77777777" w:rsidR="00D9689A" w:rsidRPr="004867C2" w:rsidRDefault="00D9689A" w:rsidP="00D9689A">
      <w:pPr>
        <w:pStyle w:val="SingleTxtG"/>
        <w:ind w:left="1701"/>
        <w:rPr>
          <w:lang w:val="fr-FR"/>
        </w:rPr>
      </w:pPr>
      <w:r w:rsidRPr="004867C2">
        <w:rPr>
          <w:u w:val="single"/>
          <w:lang w:val="fr-FR"/>
        </w:rPr>
        <w:t>Pays chef de file</w:t>
      </w:r>
      <w:r w:rsidRPr="004867C2">
        <w:rPr>
          <w:lang w:val="fr-FR"/>
        </w:rPr>
        <w:t> : Allemagne</w:t>
      </w:r>
    </w:p>
    <w:p w14:paraId="174E5DB8" w14:textId="77777777" w:rsidR="00D9689A" w:rsidRPr="004867C2" w:rsidRDefault="00D9689A" w:rsidP="00D9689A">
      <w:pPr>
        <w:pStyle w:val="SingleTxtG"/>
        <w:ind w:left="1700"/>
        <w:rPr>
          <w:lang w:val="fr-FR"/>
        </w:rPr>
      </w:pPr>
      <w:r w:rsidRPr="004867C2">
        <w:rPr>
          <w:u w:val="single"/>
          <w:lang w:val="fr-FR"/>
        </w:rPr>
        <w:t>Mandat</w:t>
      </w:r>
      <w:r w:rsidRPr="004867C2">
        <w:rPr>
          <w:lang w:val="fr-FR"/>
        </w:rPr>
        <w:t> : ST/SG/AC.10/C.4/2018/21, tel que modifié et rapport du Sous-Comité sur sa trente-sixième session (ST/SG/AC.10/C.4/72, par</w:t>
      </w:r>
      <w:r w:rsidR="00D025A6">
        <w:rPr>
          <w:lang w:val="fr-FR"/>
        </w:rPr>
        <w:t>.</w:t>
      </w:r>
      <w:r w:rsidRPr="004867C2">
        <w:rPr>
          <w:lang w:val="fr-FR"/>
        </w:rPr>
        <w:t xml:space="preserve"> 74). Voir également le paragraphe 25 du présent rapport</w:t>
      </w:r>
    </w:p>
    <w:p w14:paraId="346E17DD" w14:textId="77777777" w:rsidR="00D9689A" w:rsidRPr="004867C2" w:rsidRDefault="00D9689A" w:rsidP="00D9689A">
      <w:pPr>
        <w:pStyle w:val="H23G"/>
        <w:rPr>
          <w:lang w:val="fr-FR"/>
        </w:rPr>
      </w:pPr>
      <w:r w:rsidRPr="004867C2">
        <w:rPr>
          <w:lang w:val="fr-FR"/>
        </w:rPr>
        <w:lastRenderedPageBreak/>
        <w:tab/>
        <w:t>2.</w:t>
      </w:r>
      <w:r w:rsidRPr="004867C2">
        <w:rPr>
          <w:lang w:val="fr-FR"/>
        </w:rPr>
        <w:tab/>
        <w:t>D</w:t>
      </w:r>
      <w:r w:rsidR="00412DEA">
        <w:rPr>
          <w:lang w:val="fr-FR"/>
        </w:rPr>
        <w:t>’</w:t>
      </w:r>
      <w:r w:rsidRPr="004867C2">
        <w:rPr>
          <w:lang w:val="fr-FR"/>
        </w:rPr>
        <w:t>autres questions relatives à la communication des dangers, y compris :</w:t>
      </w:r>
    </w:p>
    <w:p w14:paraId="7E963FB7" w14:textId="77777777" w:rsidR="00D9689A" w:rsidRPr="004867C2" w:rsidRDefault="00D9689A" w:rsidP="00D9689A">
      <w:pPr>
        <w:pStyle w:val="SingleTxtG"/>
        <w:keepNext/>
        <w:keepLines/>
        <w:ind w:left="1701" w:hanging="567"/>
        <w:rPr>
          <w:lang w:val="fr-FR"/>
        </w:rPr>
      </w:pPr>
      <w:r w:rsidRPr="004867C2">
        <w:rPr>
          <w:lang w:val="fr-FR"/>
        </w:rPr>
        <w:t>a)</w:t>
      </w:r>
      <w:r w:rsidRPr="004867C2">
        <w:rPr>
          <w:lang w:val="fr-FR"/>
        </w:rPr>
        <w:tab/>
        <w:t>Questions pratiques d</w:t>
      </w:r>
      <w:r w:rsidR="00412DEA">
        <w:rPr>
          <w:lang w:val="fr-FR"/>
        </w:rPr>
        <w:t>’</w:t>
      </w:r>
      <w:r w:rsidRPr="004867C2">
        <w:rPr>
          <w:lang w:val="fr-FR"/>
        </w:rPr>
        <w:t>étiquetage</w:t>
      </w:r>
    </w:p>
    <w:p w14:paraId="651745CA" w14:textId="77777777" w:rsidR="00D9689A" w:rsidRPr="004867C2" w:rsidRDefault="00D9689A" w:rsidP="00D9689A">
      <w:pPr>
        <w:pStyle w:val="SingleTxtG"/>
        <w:ind w:left="1701"/>
        <w:rPr>
          <w:lang w:val="fr-FR"/>
        </w:rPr>
      </w:pPr>
      <w:r w:rsidRPr="004867C2">
        <w:rPr>
          <w:u w:val="single"/>
          <w:lang w:val="fr-FR"/>
        </w:rPr>
        <w:t>Organisation chef de file</w:t>
      </w:r>
      <w:r w:rsidRPr="004867C2">
        <w:rPr>
          <w:lang w:val="fr-FR"/>
        </w:rPr>
        <w:t> : Cefic</w:t>
      </w:r>
    </w:p>
    <w:p w14:paraId="48DD4F64" w14:textId="77777777" w:rsidR="00D9689A" w:rsidRPr="004867C2" w:rsidRDefault="00D9689A" w:rsidP="00D9689A">
      <w:pPr>
        <w:pStyle w:val="SingleTxtG"/>
        <w:ind w:left="1701"/>
        <w:rPr>
          <w:lang w:val="fr-FR"/>
        </w:rPr>
      </w:pPr>
      <w:r w:rsidRPr="004867C2">
        <w:rPr>
          <w:u w:val="single"/>
          <w:lang w:val="fr-FR"/>
        </w:rPr>
        <w:t>Document de référence </w:t>
      </w:r>
      <w:r w:rsidRPr="004867C2">
        <w:rPr>
          <w:lang w:val="fr-FR"/>
        </w:rPr>
        <w:t>: document informel INF.28 et par</w:t>
      </w:r>
      <w:r w:rsidR="00D025A6">
        <w:rPr>
          <w:lang w:val="fr-FR"/>
        </w:rPr>
        <w:t>.</w:t>
      </w:r>
      <w:r w:rsidRPr="004867C2">
        <w:rPr>
          <w:lang w:val="fr-FR"/>
        </w:rPr>
        <w:t xml:space="preserve"> 37 du présent rapport </w:t>
      </w:r>
    </w:p>
    <w:p w14:paraId="6D3B9694" w14:textId="77777777" w:rsidR="00D9689A" w:rsidRPr="004867C2" w:rsidRDefault="00D9689A" w:rsidP="00D9689A">
      <w:pPr>
        <w:pStyle w:val="SingleTxtG"/>
        <w:ind w:left="1701" w:hanging="567"/>
        <w:rPr>
          <w:lang w:val="fr-FR"/>
        </w:rPr>
      </w:pPr>
      <w:r w:rsidRPr="004867C2">
        <w:rPr>
          <w:lang w:val="fr-FR"/>
        </w:rPr>
        <w:t>b)</w:t>
      </w:r>
      <w:r w:rsidRPr="004867C2">
        <w:rPr>
          <w:lang w:val="fr-FR"/>
        </w:rPr>
        <w:tab/>
        <w:t>Amélioration des annexes 1 à 3 du SGH et rationalisation des conseils de prudence</w:t>
      </w:r>
    </w:p>
    <w:p w14:paraId="220C9125" w14:textId="77777777" w:rsidR="00D9689A" w:rsidRPr="004867C2" w:rsidRDefault="00D9689A" w:rsidP="00D9689A">
      <w:pPr>
        <w:pStyle w:val="SingleTxtG"/>
        <w:ind w:left="1701"/>
        <w:rPr>
          <w:lang w:val="fr-FR"/>
        </w:rPr>
      </w:pPr>
      <w:r w:rsidRPr="004867C2">
        <w:rPr>
          <w:u w:val="single"/>
          <w:lang w:val="fr-FR"/>
        </w:rPr>
        <w:t>Pays chef de file</w:t>
      </w:r>
      <w:r w:rsidRPr="004867C2">
        <w:rPr>
          <w:lang w:val="fr-FR"/>
        </w:rPr>
        <w:t> : Royaume-Uni</w:t>
      </w:r>
    </w:p>
    <w:p w14:paraId="57290923" w14:textId="77777777" w:rsidR="00D9689A" w:rsidRPr="004867C2" w:rsidRDefault="00D9689A" w:rsidP="00D9689A">
      <w:pPr>
        <w:pStyle w:val="SingleTxtG"/>
        <w:ind w:left="1701"/>
        <w:rPr>
          <w:lang w:val="fr-FR"/>
        </w:rPr>
      </w:pPr>
      <w:r w:rsidRPr="004867C2">
        <w:rPr>
          <w:u w:val="single"/>
          <w:lang w:val="fr-FR"/>
        </w:rPr>
        <w:t>Mandat</w:t>
      </w:r>
      <w:r w:rsidRPr="004867C2">
        <w:rPr>
          <w:lang w:val="fr-FR"/>
        </w:rPr>
        <w:t> : document informel INF.21 et par</w:t>
      </w:r>
      <w:r w:rsidR="00D025A6">
        <w:rPr>
          <w:lang w:val="fr-FR"/>
        </w:rPr>
        <w:t>.</w:t>
      </w:r>
      <w:r w:rsidRPr="004867C2">
        <w:rPr>
          <w:lang w:val="fr-FR"/>
        </w:rPr>
        <w:t xml:space="preserve"> 55 du présent rapport</w:t>
      </w:r>
    </w:p>
    <w:p w14:paraId="5C50759B" w14:textId="77777777" w:rsidR="00D9689A" w:rsidRPr="004867C2" w:rsidRDefault="00D9689A" w:rsidP="00D9689A">
      <w:pPr>
        <w:pStyle w:val="H23G"/>
        <w:keepNext w:val="0"/>
        <w:keepLines w:val="0"/>
        <w:rPr>
          <w:lang w:val="fr-FR"/>
        </w:rPr>
      </w:pPr>
      <w:r w:rsidRPr="004867C2">
        <w:rPr>
          <w:lang w:val="fr-FR"/>
        </w:rPr>
        <w:tab/>
        <w:t>3.</w:t>
      </w:r>
      <w:r w:rsidRPr="004867C2">
        <w:rPr>
          <w:lang w:val="fr-FR"/>
        </w:rPr>
        <w:tab/>
        <w:t>Questions relatives à la mise en œuvre, y compris :</w:t>
      </w:r>
    </w:p>
    <w:p w14:paraId="15BC98BF" w14:textId="77777777" w:rsidR="00D9689A" w:rsidRPr="004867C2" w:rsidRDefault="00D9689A" w:rsidP="00D9689A">
      <w:pPr>
        <w:pStyle w:val="SingleTxtG"/>
        <w:ind w:left="1701" w:hanging="567"/>
        <w:rPr>
          <w:lang w:val="fr-FR"/>
        </w:rPr>
      </w:pPr>
      <w:r w:rsidRPr="004867C2">
        <w:rPr>
          <w:lang w:val="fr-FR"/>
        </w:rPr>
        <w:t>a)</w:t>
      </w:r>
      <w:r w:rsidRPr="004867C2">
        <w:rPr>
          <w:lang w:val="fr-FR"/>
        </w:rPr>
        <w:tab/>
        <w:t>Examiner les possibilités d</w:t>
      </w:r>
      <w:r w:rsidR="00412DEA">
        <w:rPr>
          <w:lang w:val="fr-FR"/>
        </w:rPr>
        <w:t>’</w:t>
      </w:r>
      <w:r w:rsidRPr="004867C2">
        <w:rPr>
          <w:lang w:val="fr-FR"/>
        </w:rPr>
        <w:t>élaboration d</w:t>
      </w:r>
      <w:r w:rsidR="00412DEA">
        <w:rPr>
          <w:lang w:val="fr-FR"/>
        </w:rPr>
        <w:t>’</w:t>
      </w:r>
      <w:r w:rsidRPr="004867C2">
        <w:rPr>
          <w:lang w:val="fr-FR"/>
        </w:rPr>
        <w:t>une liste des produits chimiques classés conformément au SGH</w:t>
      </w:r>
    </w:p>
    <w:p w14:paraId="7F3C9E44" w14:textId="77777777" w:rsidR="00D9689A" w:rsidRPr="004867C2" w:rsidRDefault="00D9689A" w:rsidP="00D9689A">
      <w:pPr>
        <w:pStyle w:val="SingleTxtG"/>
        <w:ind w:left="1701"/>
        <w:rPr>
          <w:lang w:val="fr-FR"/>
        </w:rPr>
      </w:pPr>
      <w:r w:rsidRPr="004867C2">
        <w:rPr>
          <w:u w:val="single"/>
          <w:lang w:val="fr-FR"/>
        </w:rPr>
        <w:t>Pays chef de file</w:t>
      </w:r>
      <w:r w:rsidRPr="004867C2">
        <w:rPr>
          <w:lang w:val="fr-FR"/>
        </w:rPr>
        <w:t> : Canada et États-Unis d</w:t>
      </w:r>
      <w:r w:rsidR="00412DEA">
        <w:rPr>
          <w:lang w:val="fr-FR"/>
        </w:rPr>
        <w:t>’</w:t>
      </w:r>
      <w:r w:rsidRPr="004867C2">
        <w:rPr>
          <w:lang w:val="fr-FR"/>
        </w:rPr>
        <w:t>Amérique</w:t>
      </w:r>
    </w:p>
    <w:p w14:paraId="53909076" w14:textId="77777777" w:rsidR="00D9689A" w:rsidRPr="004867C2" w:rsidRDefault="00D9689A" w:rsidP="00D9689A">
      <w:pPr>
        <w:pStyle w:val="SingleTxtG"/>
        <w:ind w:left="1701"/>
        <w:rPr>
          <w:lang w:val="fr-FR"/>
        </w:rPr>
      </w:pPr>
      <w:r w:rsidRPr="004867C2">
        <w:rPr>
          <w:u w:val="single"/>
          <w:lang w:val="fr-FR"/>
        </w:rPr>
        <w:t>Mandat</w:t>
      </w:r>
      <w:r w:rsidRPr="004867C2">
        <w:rPr>
          <w:lang w:val="fr-FR"/>
        </w:rPr>
        <w:t> : document ST/SG/AC.10/C.4/2020/17 et par</w:t>
      </w:r>
      <w:r w:rsidR="00D025A6">
        <w:rPr>
          <w:lang w:val="fr-FR"/>
        </w:rPr>
        <w:t>.</w:t>
      </w:r>
      <w:r w:rsidRPr="004867C2">
        <w:rPr>
          <w:lang w:val="fr-FR"/>
        </w:rPr>
        <w:t xml:space="preserve"> 44 et 45 du présent rapport)</w:t>
      </w:r>
    </w:p>
    <w:p w14:paraId="6C02DF26" w14:textId="77777777" w:rsidR="00D9689A" w:rsidRPr="004867C2" w:rsidRDefault="00D9689A" w:rsidP="00D9689A">
      <w:pPr>
        <w:pStyle w:val="SingleTxtG"/>
        <w:ind w:left="1701" w:hanging="567"/>
        <w:rPr>
          <w:lang w:val="fr-FR"/>
        </w:rPr>
      </w:pPr>
      <w:r w:rsidRPr="004867C2">
        <w:rPr>
          <w:lang w:val="fr-FR"/>
        </w:rPr>
        <w:t>b)</w:t>
      </w:r>
      <w:r w:rsidRPr="004867C2">
        <w:rPr>
          <w:lang w:val="fr-FR"/>
        </w:rPr>
        <w:tab/>
        <w:t>Faciliter la mise en œuvre coordonnée dans les pays et en suivre l</w:t>
      </w:r>
      <w:r w:rsidR="00412DEA">
        <w:rPr>
          <w:lang w:val="fr-FR"/>
        </w:rPr>
        <w:t>’</w:t>
      </w:r>
      <w:r w:rsidRPr="004867C2">
        <w:rPr>
          <w:lang w:val="fr-FR"/>
        </w:rPr>
        <w:t>avancement</w:t>
      </w:r>
    </w:p>
    <w:p w14:paraId="45379E4E" w14:textId="77777777" w:rsidR="00D9689A" w:rsidRPr="004867C2" w:rsidRDefault="00D9689A" w:rsidP="00D9689A">
      <w:pPr>
        <w:pStyle w:val="SingleTxtG"/>
        <w:ind w:left="1701" w:hanging="567"/>
        <w:rPr>
          <w:lang w:val="fr-FR"/>
        </w:rPr>
      </w:pPr>
      <w:r w:rsidRPr="004867C2">
        <w:rPr>
          <w:lang w:val="fr-FR"/>
        </w:rPr>
        <w:t>c)</w:t>
      </w:r>
      <w:r w:rsidRPr="004867C2">
        <w:rPr>
          <w:lang w:val="fr-FR"/>
        </w:rPr>
        <w:tab/>
        <w:t>Coopérer avec d</w:t>
      </w:r>
      <w:r w:rsidR="00412DEA">
        <w:rPr>
          <w:lang w:val="fr-FR"/>
        </w:rPr>
        <w:t>’</w:t>
      </w:r>
      <w:r w:rsidRPr="004867C2">
        <w:rPr>
          <w:lang w:val="fr-FR"/>
        </w:rPr>
        <w:t>autres organes ou organisations internationales chargés d</w:t>
      </w:r>
      <w:r w:rsidR="00412DEA">
        <w:rPr>
          <w:lang w:val="fr-FR"/>
        </w:rPr>
        <w:t>’</w:t>
      </w:r>
      <w:r w:rsidRPr="004867C2">
        <w:rPr>
          <w:lang w:val="fr-FR"/>
        </w:rPr>
        <w:t>administrer les accords et conventions internationales traitant des questions de gestion des produits chimiques, en vue de faire appliquer le SGH par l</w:t>
      </w:r>
      <w:r w:rsidR="00412DEA">
        <w:rPr>
          <w:lang w:val="fr-FR"/>
        </w:rPr>
        <w:t>’</w:t>
      </w:r>
      <w:r w:rsidRPr="004867C2">
        <w:rPr>
          <w:lang w:val="fr-FR"/>
        </w:rPr>
        <w:t>intermédiaire de tels instruments</w:t>
      </w:r>
    </w:p>
    <w:p w14:paraId="01C0E697" w14:textId="77777777" w:rsidR="00D9689A" w:rsidRPr="004867C2" w:rsidRDefault="00D9689A" w:rsidP="00D025A6">
      <w:pPr>
        <w:pStyle w:val="H23G"/>
        <w:rPr>
          <w:lang w:val="fr-FR"/>
        </w:rPr>
      </w:pPr>
      <w:r w:rsidRPr="004867C2">
        <w:rPr>
          <w:lang w:val="fr-FR"/>
        </w:rPr>
        <w:tab/>
        <w:t>4.</w:t>
      </w:r>
      <w:r w:rsidRPr="004867C2">
        <w:rPr>
          <w:lang w:val="fr-FR"/>
        </w:rPr>
        <w:tab/>
        <w:t>Orientations sur l</w:t>
      </w:r>
      <w:r w:rsidR="00412DEA">
        <w:rPr>
          <w:lang w:val="fr-FR"/>
        </w:rPr>
        <w:t>’</w:t>
      </w:r>
      <w:r w:rsidRPr="004867C2">
        <w:rPr>
          <w:lang w:val="fr-FR"/>
        </w:rPr>
        <w:t>application des critères du SGH, y compris :</w:t>
      </w:r>
    </w:p>
    <w:p w14:paraId="605AD092" w14:textId="77777777" w:rsidR="00D9689A" w:rsidRPr="004867C2" w:rsidRDefault="00D9689A" w:rsidP="00D9689A">
      <w:pPr>
        <w:pStyle w:val="SingleTxtG"/>
        <w:ind w:left="1701" w:hanging="567"/>
        <w:rPr>
          <w:lang w:val="fr-FR"/>
        </w:rPr>
      </w:pPr>
      <w:r w:rsidRPr="004867C2">
        <w:rPr>
          <w:lang w:val="fr-FR"/>
        </w:rPr>
        <w:t>a)</w:t>
      </w:r>
      <w:r w:rsidRPr="004867C2">
        <w:rPr>
          <w:lang w:val="fr-FR"/>
        </w:rPr>
        <w:tab/>
        <w:t>Élaboration d</w:t>
      </w:r>
      <w:r w:rsidR="00412DEA">
        <w:rPr>
          <w:lang w:val="fr-FR"/>
        </w:rPr>
        <w:t>’</w:t>
      </w:r>
      <w:r w:rsidRPr="004867C2">
        <w:rPr>
          <w:lang w:val="fr-FR"/>
        </w:rPr>
        <w:t>exemples illustrant l</w:t>
      </w:r>
      <w:r w:rsidR="00412DEA">
        <w:rPr>
          <w:lang w:val="fr-FR"/>
        </w:rPr>
        <w:t>’</w:t>
      </w:r>
      <w:r w:rsidRPr="004867C2">
        <w:rPr>
          <w:lang w:val="fr-FR"/>
        </w:rPr>
        <w:t>application des critères et les éventuelles questions connexes de communication des dangers, le cas échéant</w:t>
      </w:r>
    </w:p>
    <w:p w14:paraId="17006735" w14:textId="77777777" w:rsidR="00D9689A" w:rsidRPr="004867C2" w:rsidRDefault="00D9689A" w:rsidP="00D9689A">
      <w:pPr>
        <w:pStyle w:val="SingleTxtG"/>
        <w:ind w:left="1701"/>
        <w:rPr>
          <w:lang w:val="fr-FR"/>
        </w:rPr>
      </w:pPr>
      <w:r w:rsidRPr="004867C2">
        <w:rPr>
          <w:u w:val="single"/>
          <w:lang w:val="fr-FR"/>
        </w:rPr>
        <w:t>Pays chef de file</w:t>
      </w:r>
      <w:r w:rsidRPr="004867C2">
        <w:rPr>
          <w:lang w:val="fr-FR"/>
        </w:rPr>
        <w:t> : États-Unis d</w:t>
      </w:r>
      <w:r w:rsidR="00412DEA">
        <w:rPr>
          <w:lang w:val="fr-FR"/>
        </w:rPr>
        <w:t>’</w:t>
      </w:r>
      <w:r w:rsidRPr="004867C2">
        <w:rPr>
          <w:lang w:val="fr-FR"/>
        </w:rPr>
        <w:t>Amérique</w:t>
      </w:r>
    </w:p>
    <w:p w14:paraId="05841188" w14:textId="77777777" w:rsidR="00D9689A" w:rsidRPr="004867C2" w:rsidRDefault="00D9689A" w:rsidP="00D9689A">
      <w:pPr>
        <w:pStyle w:val="SingleTxtG"/>
        <w:ind w:left="1701"/>
        <w:rPr>
          <w:lang w:val="fr-FR"/>
        </w:rPr>
      </w:pPr>
      <w:r w:rsidRPr="004867C2">
        <w:rPr>
          <w:u w:val="single"/>
          <w:lang w:val="fr-FR"/>
        </w:rPr>
        <w:t>Coordonnateur</w:t>
      </w:r>
      <w:r w:rsidRPr="004867C2">
        <w:rPr>
          <w:lang w:val="fr-FR"/>
        </w:rPr>
        <w:t> : Groupe de travail informel par correspondance chargé des questions pratiques de classification</w:t>
      </w:r>
    </w:p>
    <w:p w14:paraId="36A14781" w14:textId="77777777" w:rsidR="00D9689A" w:rsidRPr="004867C2" w:rsidRDefault="00D9689A" w:rsidP="00D9689A">
      <w:pPr>
        <w:pStyle w:val="SingleTxtG"/>
        <w:ind w:left="1701"/>
        <w:rPr>
          <w:lang w:val="fr-FR"/>
        </w:rPr>
      </w:pPr>
      <w:r w:rsidRPr="004867C2">
        <w:rPr>
          <w:u w:val="single"/>
          <w:lang w:val="fr-FR"/>
        </w:rPr>
        <w:t>Mandat</w:t>
      </w:r>
      <w:r w:rsidRPr="004867C2">
        <w:rPr>
          <w:lang w:val="fr-FR"/>
        </w:rPr>
        <w:t> : document informel INF.31 et par</w:t>
      </w:r>
      <w:r w:rsidR="00D025A6">
        <w:rPr>
          <w:lang w:val="fr-FR"/>
        </w:rPr>
        <w:t>.</w:t>
      </w:r>
      <w:r w:rsidRPr="004867C2">
        <w:rPr>
          <w:lang w:val="fr-FR"/>
        </w:rPr>
        <w:t xml:space="preserve"> 27 du présent rapport.</w:t>
      </w:r>
    </w:p>
    <w:p w14:paraId="6440E312" w14:textId="77777777" w:rsidR="00D9689A" w:rsidRPr="004867C2" w:rsidRDefault="00D9689A" w:rsidP="00D9689A">
      <w:pPr>
        <w:pStyle w:val="SingleTxtG"/>
        <w:ind w:left="1701" w:hanging="567"/>
        <w:rPr>
          <w:lang w:val="fr-FR"/>
        </w:rPr>
      </w:pPr>
      <w:r w:rsidRPr="004867C2">
        <w:rPr>
          <w:lang w:val="fr-FR"/>
        </w:rPr>
        <w:t>b)</w:t>
      </w:r>
      <w:r w:rsidRPr="004867C2">
        <w:rPr>
          <w:lang w:val="fr-FR"/>
        </w:rPr>
        <w:tab/>
        <w:t>Alignement des orientations figurant dans l</w:t>
      </w:r>
      <w:r w:rsidR="00412DEA">
        <w:rPr>
          <w:lang w:val="fr-FR"/>
        </w:rPr>
        <w:t>’</w:t>
      </w:r>
      <w:r w:rsidRPr="004867C2">
        <w:rPr>
          <w:lang w:val="fr-FR"/>
        </w:rPr>
        <w:t>annexe 9 (sect</w:t>
      </w:r>
      <w:r w:rsidR="00D025A6">
        <w:rPr>
          <w:lang w:val="fr-FR"/>
        </w:rPr>
        <w:t>.</w:t>
      </w:r>
      <w:r w:rsidRPr="004867C2">
        <w:rPr>
          <w:lang w:val="fr-FR"/>
        </w:rPr>
        <w:t> A9.7) et dans l</w:t>
      </w:r>
      <w:r w:rsidR="00412DEA">
        <w:rPr>
          <w:lang w:val="fr-FR"/>
        </w:rPr>
        <w:t>’</w:t>
      </w:r>
      <w:r w:rsidRPr="004867C2">
        <w:rPr>
          <w:lang w:val="fr-FR"/>
        </w:rPr>
        <w:t>annexe 10 du SGH sur les critères du chapitre 4.1</w:t>
      </w:r>
    </w:p>
    <w:p w14:paraId="2854271F" w14:textId="77777777" w:rsidR="00D9689A" w:rsidRPr="004867C2" w:rsidRDefault="00D9689A" w:rsidP="00D9689A">
      <w:pPr>
        <w:pStyle w:val="SingleTxtG"/>
        <w:ind w:left="1701"/>
        <w:rPr>
          <w:lang w:val="fr-FR"/>
        </w:rPr>
      </w:pPr>
      <w:r w:rsidRPr="004867C2">
        <w:rPr>
          <w:u w:val="single"/>
          <w:lang w:val="fr-FR"/>
        </w:rPr>
        <w:t>Organisation chef de file</w:t>
      </w:r>
      <w:r w:rsidRPr="004867C2">
        <w:rPr>
          <w:lang w:val="fr-FR"/>
        </w:rPr>
        <w:t> : ICMM</w:t>
      </w:r>
    </w:p>
    <w:p w14:paraId="3F6D9439" w14:textId="77777777" w:rsidR="00D9689A" w:rsidRPr="004867C2" w:rsidRDefault="00D9689A" w:rsidP="00D9689A">
      <w:pPr>
        <w:pStyle w:val="SingleTxtG"/>
        <w:ind w:left="1701"/>
        <w:rPr>
          <w:lang w:val="fr-FR"/>
        </w:rPr>
      </w:pPr>
      <w:r w:rsidRPr="004867C2">
        <w:rPr>
          <w:u w:val="single"/>
          <w:lang w:val="fr-FR"/>
        </w:rPr>
        <w:t>Mandat</w:t>
      </w:r>
      <w:r w:rsidRPr="004867C2">
        <w:rPr>
          <w:lang w:val="fr-FR"/>
        </w:rPr>
        <w:t> : document informel INF.9/Rev.1 et par</w:t>
      </w:r>
      <w:r w:rsidR="00D025A6">
        <w:rPr>
          <w:lang w:val="fr-FR"/>
        </w:rPr>
        <w:t>.</w:t>
      </w:r>
      <w:r w:rsidRPr="004867C2">
        <w:rPr>
          <w:lang w:val="fr-FR"/>
        </w:rPr>
        <w:t xml:space="preserve"> 42 du présent rapport.</w:t>
      </w:r>
    </w:p>
    <w:p w14:paraId="69DC1EE1" w14:textId="77777777" w:rsidR="00D9689A" w:rsidRPr="004867C2" w:rsidRDefault="00D9689A" w:rsidP="00D025A6">
      <w:pPr>
        <w:pStyle w:val="H23G"/>
        <w:rPr>
          <w:lang w:val="fr-FR"/>
        </w:rPr>
      </w:pPr>
      <w:r w:rsidRPr="004867C2">
        <w:rPr>
          <w:lang w:val="fr-FR"/>
        </w:rPr>
        <w:tab/>
        <w:t>5.</w:t>
      </w:r>
      <w:r w:rsidRPr="004867C2">
        <w:rPr>
          <w:lang w:val="fr-FR"/>
        </w:rPr>
        <w:tab/>
        <w:t>Renforcement des capacités</w:t>
      </w:r>
    </w:p>
    <w:p w14:paraId="3C998537" w14:textId="77777777" w:rsidR="00D9689A" w:rsidRPr="004867C2" w:rsidRDefault="00D9689A" w:rsidP="00D9689A">
      <w:pPr>
        <w:pStyle w:val="SingleTxtG"/>
        <w:ind w:left="1701" w:hanging="567"/>
        <w:rPr>
          <w:lang w:val="fr-FR"/>
        </w:rPr>
      </w:pPr>
      <w:r w:rsidRPr="004867C2">
        <w:rPr>
          <w:lang w:val="fr-FR"/>
        </w:rPr>
        <w:t>a)</w:t>
      </w:r>
      <w:r w:rsidRPr="004867C2">
        <w:rPr>
          <w:lang w:val="fr-FR"/>
        </w:rPr>
        <w:tab/>
        <w:t>Examiner les rapports sur les activités de formation et de renforcement des capacités</w:t>
      </w:r>
    </w:p>
    <w:p w14:paraId="689862E6" w14:textId="77777777" w:rsidR="00D9689A" w:rsidRPr="004867C2" w:rsidRDefault="00D9689A" w:rsidP="00D9689A">
      <w:pPr>
        <w:pStyle w:val="SingleTxtG"/>
        <w:ind w:left="1701" w:hanging="567"/>
        <w:rPr>
          <w:lang w:val="fr-FR"/>
        </w:rPr>
      </w:pPr>
      <w:r w:rsidRPr="004867C2">
        <w:rPr>
          <w:lang w:val="fr-FR"/>
        </w:rPr>
        <w:t>b)</w:t>
      </w:r>
      <w:r w:rsidRPr="004867C2">
        <w:rPr>
          <w:lang w:val="fr-FR"/>
        </w:rPr>
        <w:tab/>
        <w:t>Apporter une assistance aux programmes des Nations Unies et aux institutions spécialisées menant des activités de formation et de renforcement des capacités, notamment l</w:t>
      </w:r>
      <w:r w:rsidR="00412DEA">
        <w:rPr>
          <w:lang w:val="fr-FR"/>
        </w:rPr>
        <w:t>’</w:t>
      </w:r>
      <w:r w:rsidRPr="004867C2">
        <w:rPr>
          <w:lang w:val="fr-FR"/>
        </w:rPr>
        <w:t>UNITAR, l</w:t>
      </w:r>
      <w:r w:rsidR="00412DEA">
        <w:rPr>
          <w:lang w:val="fr-FR"/>
        </w:rPr>
        <w:t>’</w:t>
      </w:r>
      <w:r w:rsidRPr="004867C2">
        <w:rPr>
          <w:lang w:val="fr-FR"/>
        </w:rPr>
        <w:t>OIT, la FAO et le PIST/OMS, en élaborant des documents directifs, en fournissant des conseils pour les programmes de formation et en recensant les experts et ressources disponibles</w:t>
      </w:r>
    </w:p>
    <w:p w14:paraId="3916FC2E" w14:textId="77777777" w:rsidR="00D9689A" w:rsidRPr="004867C2" w:rsidRDefault="00D9689A" w:rsidP="00D9689A">
      <w:pPr>
        <w:spacing w:before="240"/>
        <w:jc w:val="center"/>
        <w:rPr>
          <w:u w:val="single"/>
          <w:lang w:val="fr-FR"/>
        </w:rPr>
      </w:pPr>
      <w:r w:rsidRPr="004867C2">
        <w:rPr>
          <w:u w:val="single"/>
          <w:lang w:val="fr-FR"/>
        </w:rPr>
        <w:tab/>
      </w:r>
      <w:r w:rsidRPr="004867C2">
        <w:rPr>
          <w:u w:val="single"/>
          <w:lang w:val="fr-FR"/>
        </w:rPr>
        <w:tab/>
      </w:r>
      <w:r w:rsidRPr="004867C2">
        <w:rPr>
          <w:u w:val="single"/>
          <w:lang w:val="fr-FR"/>
        </w:rPr>
        <w:tab/>
      </w:r>
    </w:p>
    <w:sectPr w:rsidR="00D9689A" w:rsidRPr="004867C2" w:rsidSect="00D9689A">
      <w:headerReference w:type="even" r:id="rId19"/>
      <w:headerReference w:type="default" r:id="rId20"/>
      <w:footerReference w:type="even" r:id="rId21"/>
      <w:footerReference w:type="default" r:id="rId22"/>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7B6C5" w14:textId="77777777" w:rsidR="001937B6" w:rsidRDefault="001937B6" w:rsidP="00F95C08">
      <w:pPr>
        <w:spacing w:line="240" w:lineRule="auto"/>
      </w:pPr>
    </w:p>
  </w:endnote>
  <w:endnote w:type="continuationSeparator" w:id="0">
    <w:p w14:paraId="41679F9A" w14:textId="77777777" w:rsidR="001937B6" w:rsidRPr="00AC3823" w:rsidRDefault="001937B6" w:rsidP="00AC3823">
      <w:pPr>
        <w:pStyle w:val="Footer"/>
      </w:pPr>
    </w:p>
  </w:endnote>
  <w:endnote w:type="continuationNotice" w:id="1">
    <w:p w14:paraId="4698328A" w14:textId="77777777" w:rsidR="001937B6" w:rsidRDefault="001937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2F99A" w14:textId="77777777" w:rsidR="00C6275B" w:rsidRPr="00830C8C" w:rsidRDefault="00C6275B" w:rsidP="00830C8C">
    <w:pPr>
      <w:pStyle w:val="Footer"/>
      <w:tabs>
        <w:tab w:val="right" w:pos="9638"/>
      </w:tabs>
    </w:pPr>
    <w:r w:rsidRPr="00830C8C">
      <w:rPr>
        <w:b/>
        <w:sz w:val="18"/>
      </w:rPr>
      <w:fldChar w:fldCharType="begin"/>
    </w:r>
    <w:r w:rsidRPr="00830C8C">
      <w:rPr>
        <w:b/>
        <w:sz w:val="18"/>
      </w:rPr>
      <w:instrText xml:space="preserve"> PAGE  \* MERGEFORMAT </w:instrText>
    </w:r>
    <w:r w:rsidRPr="00830C8C">
      <w:rPr>
        <w:b/>
        <w:sz w:val="18"/>
      </w:rPr>
      <w:fldChar w:fldCharType="separate"/>
    </w:r>
    <w:r w:rsidRPr="00830C8C">
      <w:rPr>
        <w:b/>
        <w:noProof/>
        <w:sz w:val="18"/>
      </w:rPr>
      <w:t>2</w:t>
    </w:r>
    <w:r w:rsidRPr="00830C8C">
      <w:rPr>
        <w:b/>
        <w:sz w:val="18"/>
      </w:rPr>
      <w:fldChar w:fldCharType="end"/>
    </w:r>
    <w:r>
      <w:rPr>
        <w:b/>
        <w:sz w:val="18"/>
      </w:rPr>
      <w:tab/>
    </w:r>
    <w:r>
      <w:t>GE.21-00458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E3C02" w14:textId="77777777" w:rsidR="00C6275B" w:rsidRPr="00830C8C" w:rsidRDefault="00C6275B" w:rsidP="00830C8C">
    <w:pPr>
      <w:pStyle w:val="Footer"/>
      <w:tabs>
        <w:tab w:val="right" w:pos="9638"/>
      </w:tabs>
      <w:rPr>
        <w:b/>
        <w:sz w:val="18"/>
      </w:rPr>
    </w:pPr>
    <w:r>
      <w:t>GE.21-00458</w:t>
    </w:r>
    <w:r>
      <w:tab/>
    </w:r>
    <w:r w:rsidRPr="00830C8C">
      <w:rPr>
        <w:b/>
        <w:sz w:val="18"/>
      </w:rPr>
      <w:fldChar w:fldCharType="begin"/>
    </w:r>
    <w:r w:rsidRPr="00830C8C">
      <w:rPr>
        <w:b/>
        <w:sz w:val="18"/>
      </w:rPr>
      <w:instrText xml:space="preserve"> PAGE  \* MERGEFORMAT </w:instrText>
    </w:r>
    <w:r w:rsidRPr="00830C8C">
      <w:rPr>
        <w:b/>
        <w:sz w:val="18"/>
      </w:rPr>
      <w:fldChar w:fldCharType="separate"/>
    </w:r>
    <w:r w:rsidRPr="00830C8C">
      <w:rPr>
        <w:b/>
        <w:noProof/>
        <w:sz w:val="18"/>
      </w:rPr>
      <w:t>3</w:t>
    </w:r>
    <w:r w:rsidRPr="00830C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A4ABA" w14:textId="77777777" w:rsidR="00C6275B" w:rsidRPr="00830C8C" w:rsidRDefault="00C6275B" w:rsidP="00830C8C">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F1DFFB7" wp14:editId="5CE7D8F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00458  (</w:t>
    </w:r>
    <w:proofErr w:type="gramEnd"/>
    <w:r>
      <w:rPr>
        <w:sz w:val="20"/>
      </w:rPr>
      <w:t>F)</w:t>
    </w:r>
    <w:r>
      <w:rPr>
        <w:noProof/>
        <w:sz w:val="20"/>
      </w:rPr>
      <w:drawing>
        <wp:anchor distT="0" distB="0" distL="114300" distR="114300" simplePos="0" relativeHeight="251660288" behindDoc="0" locked="0" layoutInCell="1" allowOverlap="1" wp14:anchorId="457C1CA7" wp14:editId="45641C18">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160321    1</w:t>
    </w:r>
    <w:r w:rsidR="00C27D1C">
      <w:rPr>
        <w:sz w:val="20"/>
      </w:rPr>
      <w:t>7</w:t>
    </w:r>
    <w:r>
      <w:rPr>
        <w:sz w:val="20"/>
      </w:rPr>
      <w:t>0321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1CD1D" w14:textId="77777777" w:rsidR="00C6275B" w:rsidRPr="00566E09" w:rsidRDefault="00C6275B" w:rsidP="00566E09">
    <w:pPr>
      <w:pStyle w:val="Footer"/>
    </w:pPr>
    <w:r>
      <w:rPr>
        <w:noProof/>
      </w:rPr>
      <mc:AlternateContent>
        <mc:Choice Requires="wps">
          <w:drawing>
            <wp:anchor distT="0" distB="0" distL="114300" distR="114300" simplePos="0" relativeHeight="251664384" behindDoc="0" locked="0" layoutInCell="1" allowOverlap="1" wp14:anchorId="282094DE" wp14:editId="04FBDCCC">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98B560" w14:textId="77777777" w:rsidR="00C6275B" w:rsidRPr="00830C8C" w:rsidRDefault="00C6275B" w:rsidP="00566E09">
                          <w:pPr>
                            <w:pStyle w:val="Footer"/>
                            <w:tabs>
                              <w:tab w:val="right" w:pos="9638"/>
                            </w:tabs>
                          </w:pPr>
                          <w:r w:rsidRPr="00830C8C">
                            <w:rPr>
                              <w:b/>
                              <w:sz w:val="18"/>
                            </w:rPr>
                            <w:fldChar w:fldCharType="begin"/>
                          </w:r>
                          <w:r w:rsidRPr="00830C8C">
                            <w:rPr>
                              <w:b/>
                              <w:sz w:val="18"/>
                            </w:rPr>
                            <w:instrText xml:space="preserve"> PAGE  \* MERGEFORMAT </w:instrText>
                          </w:r>
                          <w:r w:rsidRPr="00830C8C">
                            <w:rPr>
                              <w:b/>
                              <w:sz w:val="18"/>
                            </w:rPr>
                            <w:fldChar w:fldCharType="separate"/>
                          </w:r>
                          <w:r>
                            <w:rPr>
                              <w:b/>
                              <w:sz w:val="18"/>
                            </w:rPr>
                            <w:t>18</w:t>
                          </w:r>
                          <w:r w:rsidRPr="00830C8C">
                            <w:rPr>
                              <w:b/>
                              <w:sz w:val="18"/>
                            </w:rPr>
                            <w:fldChar w:fldCharType="end"/>
                          </w:r>
                          <w:r>
                            <w:rPr>
                              <w:b/>
                              <w:sz w:val="18"/>
                            </w:rPr>
                            <w:tab/>
                          </w:r>
                          <w:r>
                            <w:t>GE.21-00458</w:t>
                          </w:r>
                        </w:p>
                        <w:p w14:paraId="76730820" w14:textId="77777777" w:rsidR="00C6275B" w:rsidRDefault="00C6275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82094DE" id="_x0000_t202" coordsize="21600,21600" o:spt="202" path="m,l,21600r21600,l21600,xe">
              <v:stroke joinstyle="miter"/>
              <v:path gradientshapeok="t" o:connecttype="rect"/>
            </v:shapetype>
            <v:shape id="Zone de texte 7"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CtTNUI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4D98B560" w14:textId="77777777" w:rsidR="00C6275B" w:rsidRPr="00830C8C" w:rsidRDefault="00C6275B" w:rsidP="00566E09">
                    <w:pPr>
                      <w:pStyle w:val="Pieddepage"/>
                      <w:tabs>
                        <w:tab w:val="right" w:pos="9638"/>
                      </w:tabs>
                    </w:pPr>
                    <w:r w:rsidRPr="00830C8C">
                      <w:rPr>
                        <w:b/>
                        <w:sz w:val="18"/>
                      </w:rPr>
                      <w:fldChar w:fldCharType="begin"/>
                    </w:r>
                    <w:r w:rsidRPr="00830C8C">
                      <w:rPr>
                        <w:b/>
                        <w:sz w:val="18"/>
                      </w:rPr>
                      <w:instrText xml:space="preserve"> PAGE  \* MERGEFORMAT </w:instrText>
                    </w:r>
                    <w:r w:rsidRPr="00830C8C">
                      <w:rPr>
                        <w:b/>
                        <w:sz w:val="18"/>
                      </w:rPr>
                      <w:fldChar w:fldCharType="separate"/>
                    </w:r>
                    <w:r>
                      <w:rPr>
                        <w:b/>
                        <w:sz w:val="18"/>
                      </w:rPr>
                      <w:t>18</w:t>
                    </w:r>
                    <w:r w:rsidRPr="00830C8C">
                      <w:rPr>
                        <w:b/>
                        <w:sz w:val="18"/>
                      </w:rPr>
                      <w:fldChar w:fldCharType="end"/>
                    </w:r>
                    <w:r>
                      <w:rPr>
                        <w:b/>
                        <w:sz w:val="18"/>
                      </w:rPr>
                      <w:tab/>
                    </w:r>
                    <w:r>
                      <w:t>GE.21-00458</w:t>
                    </w:r>
                  </w:p>
                  <w:p w14:paraId="76730820" w14:textId="77777777" w:rsidR="00C6275B" w:rsidRDefault="00C6275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8356E" w14:textId="77777777" w:rsidR="00C6275B" w:rsidRPr="00566E09" w:rsidRDefault="00C6275B" w:rsidP="00566E09">
    <w:pPr>
      <w:pStyle w:val="Footer"/>
    </w:pPr>
    <w:r>
      <w:rPr>
        <w:noProof/>
      </w:rPr>
      <mc:AlternateContent>
        <mc:Choice Requires="wps">
          <w:drawing>
            <wp:anchor distT="0" distB="0" distL="114300" distR="114300" simplePos="0" relativeHeight="251662336" behindDoc="0" locked="0" layoutInCell="1" allowOverlap="1" wp14:anchorId="4D5230E9" wp14:editId="652B3A53">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325B6E" w14:textId="77777777" w:rsidR="00C6275B" w:rsidRPr="00830C8C" w:rsidRDefault="00C6275B" w:rsidP="00566E09">
                          <w:pPr>
                            <w:pStyle w:val="Footer"/>
                            <w:tabs>
                              <w:tab w:val="right" w:pos="9638"/>
                            </w:tabs>
                            <w:rPr>
                              <w:b/>
                              <w:sz w:val="18"/>
                            </w:rPr>
                          </w:pPr>
                          <w:r>
                            <w:t>GE.21-00458</w:t>
                          </w:r>
                          <w:r>
                            <w:tab/>
                          </w:r>
                          <w:r w:rsidRPr="00830C8C">
                            <w:rPr>
                              <w:b/>
                              <w:sz w:val="18"/>
                            </w:rPr>
                            <w:fldChar w:fldCharType="begin"/>
                          </w:r>
                          <w:r w:rsidRPr="00830C8C">
                            <w:rPr>
                              <w:b/>
                              <w:sz w:val="18"/>
                            </w:rPr>
                            <w:instrText xml:space="preserve"> PAGE  \* MERGEFORMAT </w:instrText>
                          </w:r>
                          <w:r w:rsidRPr="00830C8C">
                            <w:rPr>
                              <w:b/>
                              <w:sz w:val="18"/>
                            </w:rPr>
                            <w:fldChar w:fldCharType="separate"/>
                          </w:r>
                          <w:r>
                            <w:rPr>
                              <w:b/>
                              <w:sz w:val="18"/>
                            </w:rPr>
                            <w:t>17</w:t>
                          </w:r>
                          <w:r w:rsidRPr="00830C8C">
                            <w:rPr>
                              <w:b/>
                              <w:sz w:val="18"/>
                            </w:rPr>
                            <w:fldChar w:fldCharType="end"/>
                          </w:r>
                        </w:p>
                        <w:p w14:paraId="78EA943A" w14:textId="77777777" w:rsidR="00C6275B" w:rsidRDefault="00C6275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D5230E9" id="_x0000_t202" coordsize="21600,21600" o:spt="202" path="m,l,21600r21600,l21600,xe">
              <v:stroke joinstyle="miter"/>
              <v:path gradientshapeok="t" o:connecttype="rect"/>
            </v:shapetype>
            <v:shape id="Zone de texte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e46k0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7A325B6E" w14:textId="77777777" w:rsidR="00C6275B" w:rsidRPr="00830C8C" w:rsidRDefault="00C6275B" w:rsidP="00566E09">
                    <w:pPr>
                      <w:pStyle w:val="Pieddepage"/>
                      <w:tabs>
                        <w:tab w:val="right" w:pos="9638"/>
                      </w:tabs>
                      <w:rPr>
                        <w:b/>
                        <w:sz w:val="18"/>
                      </w:rPr>
                    </w:pPr>
                    <w:r>
                      <w:t>GE.21-00458</w:t>
                    </w:r>
                    <w:r>
                      <w:tab/>
                    </w:r>
                    <w:r w:rsidRPr="00830C8C">
                      <w:rPr>
                        <w:b/>
                        <w:sz w:val="18"/>
                      </w:rPr>
                      <w:fldChar w:fldCharType="begin"/>
                    </w:r>
                    <w:r w:rsidRPr="00830C8C">
                      <w:rPr>
                        <w:b/>
                        <w:sz w:val="18"/>
                      </w:rPr>
                      <w:instrText xml:space="preserve"> PAGE  \* MERGEFORMAT </w:instrText>
                    </w:r>
                    <w:r w:rsidRPr="00830C8C">
                      <w:rPr>
                        <w:b/>
                        <w:sz w:val="18"/>
                      </w:rPr>
                      <w:fldChar w:fldCharType="separate"/>
                    </w:r>
                    <w:r>
                      <w:rPr>
                        <w:b/>
                        <w:sz w:val="18"/>
                      </w:rPr>
                      <w:t>17</w:t>
                    </w:r>
                    <w:r w:rsidRPr="00830C8C">
                      <w:rPr>
                        <w:b/>
                        <w:sz w:val="18"/>
                      </w:rPr>
                      <w:fldChar w:fldCharType="end"/>
                    </w:r>
                  </w:p>
                  <w:p w14:paraId="78EA943A" w14:textId="77777777" w:rsidR="00C6275B" w:rsidRDefault="00C6275B"/>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82D5" w14:textId="77777777" w:rsidR="00C6275B" w:rsidRPr="00D9689A" w:rsidRDefault="00C6275B" w:rsidP="00D9689A">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20</w:t>
    </w:r>
    <w:r>
      <w:rPr>
        <w:b/>
        <w:sz w:val="18"/>
      </w:rPr>
      <w:fldChar w:fldCharType="end"/>
    </w:r>
    <w:r>
      <w:rPr>
        <w:b/>
        <w:sz w:val="18"/>
      </w:rPr>
      <w:tab/>
    </w:r>
    <w:r w:rsidRPr="00D9689A">
      <w:t>GE.21-00458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A43CF" w14:textId="77777777" w:rsidR="00C6275B" w:rsidRPr="00D9689A" w:rsidRDefault="00C6275B" w:rsidP="00D9689A">
    <w:pPr>
      <w:pStyle w:val="Footer"/>
      <w:tabs>
        <w:tab w:val="right" w:pos="9638"/>
      </w:tabs>
      <w:rPr>
        <w:b/>
        <w:sz w:val="18"/>
      </w:rPr>
    </w:pPr>
    <w:r>
      <w:t>GE.</w:t>
    </w:r>
    <w:r w:rsidRPr="00D9689A">
      <w:t>21</w:t>
    </w:r>
    <w:r>
      <w:t>-</w:t>
    </w:r>
    <w:r w:rsidRPr="00D9689A">
      <w:t>00458</w:t>
    </w:r>
    <w:r>
      <w:tab/>
    </w:r>
    <w:r>
      <w:rPr>
        <w:b/>
        <w:sz w:val="18"/>
      </w:rPr>
      <w:fldChar w:fldCharType="begin"/>
    </w:r>
    <w:r>
      <w:rPr>
        <w:b/>
        <w:sz w:val="18"/>
      </w:rPr>
      <w:instrText xml:space="preserve"> PAGE  \* MERGEFORMAT </w:instrText>
    </w:r>
    <w:r>
      <w:rPr>
        <w:b/>
        <w:sz w:val="18"/>
      </w:rPr>
      <w:fldChar w:fldCharType="separate"/>
    </w:r>
    <w:r>
      <w:rPr>
        <w:b/>
        <w:noProof/>
        <w:sz w:val="18"/>
      </w:rPr>
      <w:t>21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6D6C7" w14:textId="77777777" w:rsidR="001937B6" w:rsidRPr="00AC3823" w:rsidRDefault="001937B6" w:rsidP="00AC3823">
      <w:pPr>
        <w:pStyle w:val="Footer"/>
        <w:tabs>
          <w:tab w:val="right" w:pos="2155"/>
        </w:tabs>
        <w:spacing w:after="80" w:line="240" w:lineRule="atLeast"/>
        <w:ind w:left="680"/>
        <w:rPr>
          <w:u w:val="single"/>
        </w:rPr>
      </w:pPr>
      <w:r>
        <w:rPr>
          <w:u w:val="single"/>
        </w:rPr>
        <w:tab/>
      </w:r>
    </w:p>
  </w:footnote>
  <w:footnote w:type="continuationSeparator" w:id="0">
    <w:p w14:paraId="6A62593B" w14:textId="77777777" w:rsidR="001937B6" w:rsidRPr="00AC3823" w:rsidRDefault="001937B6" w:rsidP="00AC3823">
      <w:pPr>
        <w:pStyle w:val="Footer"/>
        <w:tabs>
          <w:tab w:val="right" w:pos="2155"/>
        </w:tabs>
        <w:spacing w:after="80" w:line="240" w:lineRule="atLeast"/>
        <w:ind w:left="680"/>
        <w:rPr>
          <w:u w:val="single"/>
        </w:rPr>
      </w:pPr>
      <w:r>
        <w:rPr>
          <w:u w:val="single"/>
        </w:rPr>
        <w:tab/>
      </w:r>
    </w:p>
  </w:footnote>
  <w:footnote w:type="continuationNotice" w:id="1">
    <w:p w14:paraId="3698612B" w14:textId="77777777" w:rsidR="001937B6" w:rsidRPr="00AC3823" w:rsidRDefault="001937B6">
      <w:pPr>
        <w:spacing w:line="240" w:lineRule="auto"/>
        <w:rPr>
          <w:sz w:val="2"/>
          <w:szCs w:val="2"/>
        </w:rPr>
      </w:pPr>
    </w:p>
  </w:footnote>
  <w:footnote w:id="2">
    <w:p w14:paraId="00FEEA9D" w14:textId="77777777" w:rsidR="00C6275B" w:rsidRPr="00AE0017" w:rsidRDefault="00C6275B" w:rsidP="002A2200">
      <w:pPr>
        <w:pStyle w:val="FootnoteText"/>
      </w:pPr>
      <w:r>
        <w:rPr>
          <w:lang w:val="fr-FR"/>
        </w:rPr>
        <w:tab/>
      </w:r>
      <w:r>
        <w:rPr>
          <w:rStyle w:val="FootnoteReference"/>
          <w:lang w:val="fr-FR"/>
        </w:rPr>
        <w:footnoteRef/>
      </w:r>
      <w:r>
        <w:rPr>
          <w:lang w:val="fr-FR"/>
        </w:rPr>
        <w:tab/>
        <w:t>Voir le rapport du Sous-Comité TMD sur sa cinquante-septième session (document ST/SG/AC.10/C.3/114).</w:t>
      </w:r>
    </w:p>
  </w:footnote>
  <w:footnote w:id="3">
    <w:p w14:paraId="4E7B3DB6" w14:textId="77777777" w:rsidR="00C6275B" w:rsidRPr="00AE0017" w:rsidRDefault="00C6275B" w:rsidP="002A2200">
      <w:pPr>
        <w:pStyle w:val="FootnoteText"/>
      </w:pPr>
      <w:r>
        <w:rPr>
          <w:lang w:val="fr-FR"/>
        </w:rPr>
        <w:tab/>
      </w:r>
      <w:r>
        <w:rPr>
          <w:rStyle w:val="FootnoteReference"/>
          <w:lang w:val="fr-FR"/>
        </w:rPr>
        <w:footnoteRef/>
      </w:r>
      <w:r>
        <w:rPr>
          <w:lang w:val="fr-FR"/>
        </w:rPr>
        <w:tab/>
        <w:t>Voir le rapport du Sous-Comité TMD sur sa cinquante-septième session (document ST/SG/AC.10/C.3/114).</w:t>
      </w:r>
    </w:p>
  </w:footnote>
  <w:footnote w:id="4">
    <w:p w14:paraId="68FB3D31" w14:textId="77777777" w:rsidR="00C6275B" w:rsidRPr="00AE0017" w:rsidRDefault="00C6275B" w:rsidP="002A2200">
      <w:pPr>
        <w:pStyle w:val="FootnoteText"/>
      </w:pPr>
      <w:r>
        <w:rPr>
          <w:lang w:val="fr-FR"/>
        </w:rPr>
        <w:tab/>
      </w:r>
      <w:r>
        <w:rPr>
          <w:rStyle w:val="FootnoteReference"/>
          <w:lang w:val="fr-FR"/>
        </w:rPr>
        <w:footnoteRef/>
      </w:r>
      <w:r>
        <w:rPr>
          <w:lang w:val="fr-FR"/>
        </w:rPr>
        <w:tab/>
        <w:t>Voir le rapport du Sous-Comité TMD sur sa cinquante-septième session (document ST/SG/AC.10/C.3/114).</w:t>
      </w:r>
    </w:p>
  </w:footnote>
  <w:footnote w:id="5">
    <w:p w14:paraId="09677073" w14:textId="07AC942C" w:rsidR="00C6275B" w:rsidRPr="00AE0017" w:rsidRDefault="00C6275B" w:rsidP="002A2200">
      <w:pPr>
        <w:pStyle w:val="FootnoteText"/>
        <w:rPr>
          <w:lang w:val="fr-FR"/>
        </w:rPr>
      </w:pPr>
      <w:r>
        <w:rPr>
          <w:lang w:val="fr-FR"/>
        </w:rPr>
        <w:tab/>
      </w:r>
      <w:r w:rsidRPr="00E901AD">
        <w:rPr>
          <w:rStyle w:val="FootnoteReference"/>
          <w:lang w:val="fr-FR"/>
        </w:rPr>
        <w:footnoteRef/>
      </w:r>
      <w:r w:rsidRPr="00E901AD">
        <w:rPr>
          <w:lang w:val="fr-FR"/>
        </w:rPr>
        <w:tab/>
      </w:r>
      <w:hyperlink r:id="rId1" w:history="1">
        <w:r w:rsidRPr="00E901AD">
          <w:rPr>
            <w:rStyle w:val="Hyperlink"/>
            <w:color w:val="auto"/>
            <w:lang w:val="fr-FR"/>
          </w:rPr>
          <w:t>https://unece.org/transportdangerous-goods/ghs-guidance</w:t>
        </w:r>
      </w:hyperlink>
      <w:r>
        <w:rPr>
          <w:lang w:val="fr-FR"/>
        </w:rPr>
        <w:t>.</w:t>
      </w:r>
    </w:p>
  </w:footnote>
  <w:footnote w:id="6">
    <w:p w14:paraId="6051919D" w14:textId="72879121" w:rsidR="00C6275B" w:rsidRPr="00AE0017" w:rsidRDefault="00C6275B" w:rsidP="002A2200">
      <w:pPr>
        <w:pStyle w:val="FootnoteText"/>
        <w:rPr>
          <w:lang w:val="fr-FR"/>
        </w:rPr>
      </w:pPr>
      <w:r>
        <w:rPr>
          <w:lang w:val="fr-FR"/>
        </w:rPr>
        <w:tab/>
      </w:r>
      <w:r w:rsidRPr="00E901AD">
        <w:rPr>
          <w:rStyle w:val="FootnoteReference"/>
          <w:lang w:val="fr-FR"/>
        </w:rPr>
        <w:footnoteRef/>
      </w:r>
      <w:r w:rsidRPr="00E901AD">
        <w:rPr>
          <w:lang w:val="fr-FR"/>
        </w:rPr>
        <w:tab/>
      </w:r>
      <w:hyperlink r:id="rId2" w:history="1">
        <w:r w:rsidRPr="00E901AD">
          <w:rPr>
            <w:rStyle w:val="Hyperlink"/>
            <w:color w:val="auto"/>
            <w:lang w:val="fr-FR"/>
          </w:rPr>
          <w:t>http://www.unece.org/trans/danger/publi/ghs/implementation_e.html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56CB" w14:textId="7908785E" w:rsidR="00C6275B" w:rsidRPr="00830C8C" w:rsidRDefault="001937B6">
    <w:pPr>
      <w:pStyle w:val="Header"/>
    </w:pPr>
    <w:r>
      <w:fldChar w:fldCharType="begin"/>
    </w:r>
    <w:r>
      <w:instrText xml:space="preserve"> TITLE  \* MERGEFORMAT </w:instrText>
    </w:r>
    <w:r>
      <w:fldChar w:fldCharType="separate"/>
    </w:r>
    <w:r w:rsidR="00BB2395">
      <w:t>ST/SG/AC.10/C.4/78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9FE3C" w14:textId="46D002C2" w:rsidR="00C6275B" w:rsidRPr="00830C8C" w:rsidRDefault="001937B6" w:rsidP="00830C8C">
    <w:pPr>
      <w:pStyle w:val="Header"/>
      <w:jc w:val="right"/>
    </w:pPr>
    <w:r>
      <w:fldChar w:fldCharType="begin"/>
    </w:r>
    <w:r>
      <w:instrText xml:space="preserve"> TITLE  \* MERGEFORMAT </w:instrText>
    </w:r>
    <w:r>
      <w:fldChar w:fldCharType="separate"/>
    </w:r>
    <w:r w:rsidR="00BB2395">
      <w:t>ST/SG/AC.10/C.4/78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3E2E" w14:textId="77777777" w:rsidR="00C6275B" w:rsidRPr="00566E09" w:rsidRDefault="00C6275B" w:rsidP="00566E09">
    <w:r>
      <w:rPr>
        <w:noProof/>
      </w:rPr>
      <mc:AlternateContent>
        <mc:Choice Requires="wps">
          <w:drawing>
            <wp:anchor distT="0" distB="0" distL="114300" distR="114300" simplePos="0" relativeHeight="251663360" behindDoc="0" locked="0" layoutInCell="1" allowOverlap="1" wp14:anchorId="1EB6BCF0" wp14:editId="637B056C">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8ED4BCE" w14:textId="1A3E8403" w:rsidR="00C6275B" w:rsidRPr="00830C8C" w:rsidRDefault="001937B6" w:rsidP="00566E09">
                          <w:pPr>
                            <w:pStyle w:val="Header"/>
                          </w:pPr>
                          <w:r>
                            <w:fldChar w:fldCharType="begin"/>
                          </w:r>
                          <w:r>
                            <w:instrText xml:space="preserve"> TITLE  \* MERGEFORMAT </w:instrText>
                          </w:r>
                          <w:r>
                            <w:fldChar w:fldCharType="separate"/>
                          </w:r>
                          <w:r w:rsidR="00BB2395">
                            <w:t>ST/SG/AC.10/C.4/78</w:t>
                          </w:r>
                          <w:r>
                            <w:fldChar w:fldCharType="end"/>
                          </w:r>
                        </w:p>
                        <w:p w14:paraId="72821AF7" w14:textId="77777777" w:rsidR="00C6275B" w:rsidRDefault="00C6275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B6BCF0"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SYVAIAAKo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" fillcolor="#4f81bd [3204]" stroked="f" strokeweight=".5pt">
              <v:fill opacity="0"/>
              <v:path arrowok="t"/>
              <v:textbox style="layout-flow:vertical" inset="0,0,0,0">
                <w:txbxContent>
                  <w:p w14:paraId="68ED4BCE" w14:textId="1A3E8403" w:rsidR="00C6275B" w:rsidRPr="00830C8C" w:rsidRDefault="001937B6" w:rsidP="00566E09">
                    <w:pPr>
                      <w:pStyle w:val="Header"/>
                    </w:pPr>
                    <w:r>
                      <w:fldChar w:fldCharType="begin"/>
                    </w:r>
                    <w:r>
                      <w:instrText xml:space="preserve"> TITLE  \* MERGEFORMAT </w:instrText>
                    </w:r>
                    <w:r>
                      <w:fldChar w:fldCharType="separate"/>
                    </w:r>
                    <w:r w:rsidR="00BB2395">
                      <w:t>ST/SG/AC.10/C.4/78</w:t>
                    </w:r>
                    <w:r>
                      <w:fldChar w:fldCharType="end"/>
                    </w:r>
                  </w:p>
                  <w:p w14:paraId="72821AF7" w14:textId="77777777" w:rsidR="00C6275B" w:rsidRDefault="00C6275B"/>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1786A" w14:textId="77777777" w:rsidR="00C6275B" w:rsidRPr="00566E09" w:rsidRDefault="00C6275B" w:rsidP="00566E09">
    <w:r>
      <w:rPr>
        <w:noProof/>
      </w:rPr>
      <mc:AlternateContent>
        <mc:Choice Requires="wps">
          <w:drawing>
            <wp:anchor distT="0" distB="0" distL="114300" distR="114300" simplePos="0" relativeHeight="251661312" behindDoc="0" locked="0" layoutInCell="1" allowOverlap="1" wp14:anchorId="018BEFF5" wp14:editId="708136CF">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05A8F49" w14:textId="232506AF" w:rsidR="00C6275B" w:rsidRPr="00830C8C" w:rsidRDefault="001937B6" w:rsidP="00566E09">
                          <w:pPr>
                            <w:pStyle w:val="Header"/>
                            <w:jc w:val="right"/>
                          </w:pPr>
                          <w:r>
                            <w:fldChar w:fldCharType="begin"/>
                          </w:r>
                          <w:r>
                            <w:instrText xml:space="preserve"> TITLE  \* MERGEFORMAT </w:instrText>
                          </w:r>
                          <w:r>
                            <w:fldChar w:fldCharType="separate"/>
                          </w:r>
                          <w:r w:rsidR="00BB2395">
                            <w:t>ST/SG/AC.10/C.4/78</w:t>
                          </w:r>
                          <w:r>
                            <w:fldChar w:fldCharType="end"/>
                          </w:r>
                        </w:p>
                        <w:p w14:paraId="6D37A95A" w14:textId="77777777" w:rsidR="00C6275B" w:rsidRDefault="00C6275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18BEFF5"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" fillcolor="#4f81bd [3204]" stroked="f" strokeweight=".5pt">
              <v:fill opacity="0"/>
              <v:stroke joinstyle="round"/>
              <v:textbox style="layout-flow:vertical" inset="0,0,0,0">
                <w:txbxContent>
                  <w:p w14:paraId="405A8F49" w14:textId="232506AF" w:rsidR="00C6275B" w:rsidRPr="00830C8C" w:rsidRDefault="001937B6" w:rsidP="00566E09">
                    <w:pPr>
                      <w:pStyle w:val="Header"/>
                      <w:jc w:val="right"/>
                    </w:pPr>
                    <w:r>
                      <w:fldChar w:fldCharType="begin"/>
                    </w:r>
                    <w:r>
                      <w:instrText xml:space="preserve"> TITLE  \* MERGEFORMAT </w:instrText>
                    </w:r>
                    <w:r>
                      <w:fldChar w:fldCharType="separate"/>
                    </w:r>
                    <w:r w:rsidR="00BB2395">
                      <w:t>ST/SG/AC.10/C.4/78</w:t>
                    </w:r>
                    <w:r>
                      <w:fldChar w:fldCharType="end"/>
                    </w:r>
                  </w:p>
                  <w:p w14:paraId="6D37A95A" w14:textId="77777777" w:rsidR="00C6275B" w:rsidRDefault="00C6275B"/>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77F5A" w14:textId="5C7D53B5" w:rsidR="00C6275B" w:rsidRPr="00D9689A" w:rsidRDefault="001937B6" w:rsidP="00D9689A">
    <w:pPr>
      <w:pStyle w:val="Header"/>
    </w:pPr>
    <w:r>
      <w:fldChar w:fldCharType="begin"/>
    </w:r>
    <w:r>
      <w:instrText xml:space="preserve"> TITLE  \* MERGEFORMAT </w:instrText>
    </w:r>
    <w:r>
      <w:fldChar w:fldCharType="separate"/>
    </w:r>
    <w:r w:rsidR="00BB2395">
      <w:t>ST/SG/AC.10/C.4/78</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06323" w14:textId="7A7A0B4F" w:rsidR="00C6275B" w:rsidRPr="00D9689A" w:rsidRDefault="001937B6" w:rsidP="00D9689A">
    <w:pPr>
      <w:pStyle w:val="Header"/>
      <w:jc w:val="right"/>
    </w:pPr>
    <w:r>
      <w:fldChar w:fldCharType="begin"/>
    </w:r>
    <w:r>
      <w:instrText xml:space="preserve"> TITLE  \* MERGEFORMAT </w:instrText>
    </w:r>
    <w:r>
      <w:fldChar w:fldCharType="separate"/>
    </w:r>
    <w:r w:rsidR="00BB2395">
      <w:t>ST/SG/AC.10/C.4/78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553F4E"/>
    <w:multiLevelType w:val="hybridMultilevel"/>
    <w:tmpl w:val="AB242CCA"/>
    <w:lvl w:ilvl="0" w:tplc="4A3A0E9E">
      <w:start w:val="1"/>
      <w:numFmt w:val="lowerLetter"/>
      <w:lvlText w:val="(%1)"/>
      <w:lvlJc w:val="left"/>
      <w:pPr>
        <w:ind w:left="1854"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256B62"/>
    <w:multiLevelType w:val="hybridMultilevel"/>
    <w:tmpl w:val="A9943C50"/>
    <w:lvl w:ilvl="0" w:tplc="4A3A0E9E">
      <w:start w:val="1"/>
      <w:numFmt w:val="lowerLetter"/>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8"/>
  </w:num>
  <w:num w:numId="16">
    <w:abstractNumId w:val="12"/>
  </w:num>
  <w:num w:numId="17">
    <w:abstractNumId w:val="17"/>
  </w:num>
  <w:num w:numId="18">
    <w:abstractNumId w:val="16"/>
  </w:num>
  <w:num w:numId="19">
    <w:abstractNumId w:val="10"/>
  </w:num>
  <w:num w:numId="20">
    <w:abstractNumId w:val="19"/>
  </w:num>
  <w:num w:numId="21">
    <w:abstractNumId w:val="20"/>
  </w:num>
  <w:num w:numId="22">
    <w:abstractNumId w:val="23"/>
  </w:num>
  <w:num w:numId="23">
    <w:abstractNumId w:val="14"/>
  </w:num>
  <w:num w:numId="24">
    <w:abstractNumId w:val="11"/>
  </w:num>
  <w:num w:numId="25">
    <w:abstractNumId w:val="2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1E"/>
    <w:rsid w:val="00017F94"/>
    <w:rsid w:val="00023842"/>
    <w:rsid w:val="000305D3"/>
    <w:rsid w:val="000334F9"/>
    <w:rsid w:val="000555A1"/>
    <w:rsid w:val="0007796D"/>
    <w:rsid w:val="000B7790"/>
    <w:rsid w:val="00111F2F"/>
    <w:rsid w:val="00132EA9"/>
    <w:rsid w:val="0014365E"/>
    <w:rsid w:val="00172E49"/>
    <w:rsid w:val="00176178"/>
    <w:rsid w:val="001937B6"/>
    <w:rsid w:val="001F525A"/>
    <w:rsid w:val="002147B2"/>
    <w:rsid w:val="00223272"/>
    <w:rsid w:val="0024779E"/>
    <w:rsid w:val="00283190"/>
    <w:rsid w:val="002832AC"/>
    <w:rsid w:val="002921BA"/>
    <w:rsid w:val="002A2200"/>
    <w:rsid w:val="002A2902"/>
    <w:rsid w:val="002D7C93"/>
    <w:rsid w:val="003607A1"/>
    <w:rsid w:val="00367CAF"/>
    <w:rsid w:val="003A0DF5"/>
    <w:rsid w:val="003B16A8"/>
    <w:rsid w:val="00412DEA"/>
    <w:rsid w:val="00441C3B"/>
    <w:rsid w:val="00446FE5"/>
    <w:rsid w:val="00452396"/>
    <w:rsid w:val="004563B3"/>
    <w:rsid w:val="004E468C"/>
    <w:rsid w:val="004F36B2"/>
    <w:rsid w:val="0051036C"/>
    <w:rsid w:val="005505B7"/>
    <w:rsid w:val="00566E09"/>
    <w:rsid w:val="00573BE5"/>
    <w:rsid w:val="00584DC4"/>
    <w:rsid w:val="00586ED3"/>
    <w:rsid w:val="00596AA9"/>
    <w:rsid w:val="005D261E"/>
    <w:rsid w:val="00614F2E"/>
    <w:rsid w:val="0068456F"/>
    <w:rsid w:val="00687C30"/>
    <w:rsid w:val="0071601D"/>
    <w:rsid w:val="00737B0D"/>
    <w:rsid w:val="007A62E6"/>
    <w:rsid w:val="0080684C"/>
    <w:rsid w:val="008123E0"/>
    <w:rsid w:val="00830C8C"/>
    <w:rsid w:val="00871C75"/>
    <w:rsid w:val="008776DC"/>
    <w:rsid w:val="008A51D7"/>
    <w:rsid w:val="008B40CD"/>
    <w:rsid w:val="0091043D"/>
    <w:rsid w:val="009705C8"/>
    <w:rsid w:val="009801F5"/>
    <w:rsid w:val="009C1CF4"/>
    <w:rsid w:val="00A30353"/>
    <w:rsid w:val="00A81281"/>
    <w:rsid w:val="00AC3823"/>
    <w:rsid w:val="00AE323C"/>
    <w:rsid w:val="00B00181"/>
    <w:rsid w:val="00B00B0D"/>
    <w:rsid w:val="00B765F7"/>
    <w:rsid w:val="00BA0CA9"/>
    <w:rsid w:val="00BB2395"/>
    <w:rsid w:val="00BB4431"/>
    <w:rsid w:val="00C02897"/>
    <w:rsid w:val="00C27D1C"/>
    <w:rsid w:val="00C479AD"/>
    <w:rsid w:val="00C6275B"/>
    <w:rsid w:val="00D025A6"/>
    <w:rsid w:val="00D3439C"/>
    <w:rsid w:val="00D7237C"/>
    <w:rsid w:val="00D9689A"/>
    <w:rsid w:val="00DB1831"/>
    <w:rsid w:val="00DD0AA5"/>
    <w:rsid w:val="00DD3BFD"/>
    <w:rsid w:val="00DE2FC7"/>
    <w:rsid w:val="00DF6678"/>
    <w:rsid w:val="00E25B1C"/>
    <w:rsid w:val="00E31F04"/>
    <w:rsid w:val="00E901AD"/>
    <w:rsid w:val="00ED59A4"/>
    <w:rsid w:val="00EF2E22"/>
    <w:rsid w:val="00F01738"/>
    <w:rsid w:val="00F54BDF"/>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CDCF1"/>
  <w15:docId w15:val="{909E600C-2291-4114-85B7-2565F78D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99"/>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qFormat/>
    <w:locked/>
    <w:rsid w:val="00830C8C"/>
    <w:rPr>
      <w:rFonts w:ascii="Times New Roman" w:eastAsiaTheme="minorHAnsi" w:hAnsi="Times New Roman" w:cs="Times New Roman"/>
      <w:sz w:val="20"/>
      <w:szCs w:val="20"/>
      <w:lang w:eastAsia="en-US"/>
    </w:rPr>
  </w:style>
  <w:style w:type="character" w:customStyle="1" w:styleId="HChGChar">
    <w:name w:val="_ H _Ch_G Char"/>
    <w:link w:val="HChG"/>
    <w:locked/>
    <w:rsid w:val="00830C8C"/>
    <w:rPr>
      <w:rFonts w:ascii="Times New Roman" w:eastAsiaTheme="minorHAnsi" w:hAnsi="Times New Roman" w:cs="Times New Roman"/>
      <w:b/>
      <w:sz w:val="28"/>
      <w:szCs w:val="20"/>
      <w:lang w:eastAsia="en-US"/>
    </w:rPr>
  </w:style>
  <w:style w:type="numbering" w:styleId="111111">
    <w:name w:val="Outline List 2"/>
    <w:basedOn w:val="NoList"/>
    <w:semiHidden/>
    <w:rsid w:val="002A2200"/>
    <w:pPr>
      <w:numPr>
        <w:numId w:val="21"/>
      </w:numPr>
    </w:pPr>
  </w:style>
  <w:style w:type="numbering" w:styleId="1ai">
    <w:name w:val="Outline List 1"/>
    <w:basedOn w:val="NoList"/>
    <w:semiHidden/>
    <w:rsid w:val="002A2200"/>
    <w:pPr>
      <w:numPr>
        <w:numId w:val="22"/>
      </w:numPr>
    </w:pPr>
  </w:style>
  <w:style w:type="character" w:customStyle="1" w:styleId="H1GChar">
    <w:name w:val="_ H_1_G Char"/>
    <w:link w:val="H1G"/>
    <w:locked/>
    <w:rsid w:val="002A2200"/>
    <w:rPr>
      <w:rFonts w:ascii="Times New Roman" w:eastAsiaTheme="minorHAnsi" w:hAnsi="Times New Roman" w:cs="Times New Roman"/>
      <w:b/>
      <w:sz w:val="24"/>
      <w:szCs w:val="20"/>
      <w:lang w:eastAsia="en-US"/>
    </w:rPr>
  </w:style>
  <w:style w:type="character" w:styleId="CommentReference">
    <w:name w:val="annotation reference"/>
    <w:basedOn w:val="DefaultParagraphFont"/>
    <w:uiPriority w:val="99"/>
    <w:semiHidden/>
    <w:unhideWhenUsed/>
    <w:rsid w:val="002A2200"/>
    <w:rPr>
      <w:sz w:val="16"/>
      <w:szCs w:val="16"/>
    </w:rPr>
  </w:style>
  <w:style w:type="paragraph" w:styleId="CommentText">
    <w:name w:val="annotation text"/>
    <w:basedOn w:val="Normal"/>
    <w:link w:val="CommentTextChar"/>
    <w:uiPriority w:val="99"/>
    <w:semiHidden/>
    <w:unhideWhenUsed/>
    <w:rsid w:val="002A2200"/>
    <w:pPr>
      <w:spacing w:line="240" w:lineRule="auto"/>
    </w:pPr>
    <w:rPr>
      <w:rFonts w:eastAsia="SimSun"/>
      <w:lang w:val="en-GB" w:eastAsia="zh-CN"/>
    </w:rPr>
  </w:style>
  <w:style w:type="character" w:customStyle="1" w:styleId="CommentTextChar">
    <w:name w:val="Comment Text Char"/>
    <w:basedOn w:val="DefaultParagraphFont"/>
    <w:link w:val="CommentText"/>
    <w:uiPriority w:val="99"/>
    <w:semiHidden/>
    <w:rsid w:val="002A2200"/>
    <w:rPr>
      <w:rFonts w:ascii="Times New Roman" w:eastAsia="SimSun" w:hAnsi="Times New Roman" w:cs="Times New Roman"/>
      <w:sz w:val="20"/>
      <w:szCs w:val="20"/>
      <w:lang w:val="en-GB"/>
    </w:rPr>
  </w:style>
  <w:style w:type="character" w:customStyle="1" w:styleId="H23GChar">
    <w:name w:val="_ H_2/3_G Char"/>
    <w:link w:val="H23G"/>
    <w:locked/>
    <w:rsid w:val="002A2200"/>
    <w:rPr>
      <w:rFonts w:ascii="Times New Roman" w:eastAsiaTheme="minorHAnsi" w:hAnsi="Times New Roman" w:cs="Times New Roman"/>
      <w:b/>
      <w:sz w:val="20"/>
      <w:szCs w:val="20"/>
      <w:lang w:eastAsia="en-US"/>
    </w:rPr>
  </w:style>
  <w:style w:type="character" w:styleId="UnresolvedMention">
    <w:name w:val="Unresolved Mention"/>
    <w:basedOn w:val="DefaultParagraphFont"/>
    <w:uiPriority w:val="99"/>
    <w:semiHidden/>
    <w:unhideWhenUsed/>
    <w:rsid w:val="00E90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5.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footer" Target="footer7.xml"/><Relationship Id="rId27"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danger/publi/ghs/implementation_e.html" TargetMode="External"/><Relationship Id="rId1" Type="http://schemas.openxmlformats.org/officeDocument/2006/relationships/hyperlink" Target="https://unece.org/transportdangerous-goods/gh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7B161-73F6-4627-8935-FAB28B935093}"/>
</file>

<file path=customXml/itemProps2.xml><?xml version="1.0" encoding="utf-8"?>
<ds:datastoreItem xmlns:ds="http://schemas.openxmlformats.org/officeDocument/2006/customXml" ds:itemID="{F13E8D2C-DE81-478D-A68A-F1D9CBB09551}"/>
</file>

<file path=customXml/itemProps3.xml><?xml version="1.0" encoding="utf-8"?>
<ds:datastoreItem xmlns:ds="http://schemas.openxmlformats.org/officeDocument/2006/customXml" ds:itemID="{3A7292B0-CC5D-41CF-8246-8284D1D6A6DE}"/>
</file>

<file path=docProps/app.xml><?xml version="1.0" encoding="utf-8"?>
<Properties xmlns="http://schemas.openxmlformats.org/officeDocument/2006/extended-properties" xmlns:vt="http://schemas.openxmlformats.org/officeDocument/2006/docPropsVTypes">
  <Template>Normal.dotm</Template>
  <TotalTime>2</TotalTime>
  <Pages>22</Pages>
  <Words>8782</Words>
  <Characters>50064</Characters>
  <Application>Microsoft Office Word</Application>
  <DocSecurity>0</DocSecurity>
  <Lines>417</Lines>
  <Paragraphs>117</Paragraphs>
  <ScaleCrop>false</ScaleCrop>
  <HeadingPairs>
    <vt:vector size="2" baseType="variant">
      <vt:variant>
        <vt:lpstr>Titre</vt:lpstr>
      </vt:variant>
      <vt:variant>
        <vt:i4>1</vt:i4>
      </vt:variant>
    </vt:vector>
  </HeadingPairs>
  <TitlesOfParts>
    <vt:vector size="1" baseType="lpstr">
      <vt:lpstr>ST/SG/AC.10/C.4/78</vt:lpstr>
    </vt:vector>
  </TitlesOfParts>
  <Company>DCM</Company>
  <LinksUpToDate>false</LinksUpToDate>
  <CharactersWithSpaces>58729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ST/SG/AC.10/C.4/78</dc:title>
  <dc:subject/>
  <dc:creator>Sandrine CLERE</dc:creator>
  <cp:keywords/>
  <cp:lastModifiedBy>Laurence Berthet</cp:lastModifiedBy>
  <cp:revision>3</cp:revision>
  <cp:lastPrinted>2021-05-18T11:24:00Z</cp:lastPrinted>
  <dcterms:created xsi:type="dcterms:W3CDTF">2021-05-18T11:24:00Z</dcterms:created>
  <dcterms:modified xsi:type="dcterms:W3CDTF">2021-05-18T11:24:00Z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