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6B6EF5D" w14:textId="77777777" w:rsidTr="00F01738">
        <w:trPr>
          <w:trHeight w:hRule="exact" w:val="851"/>
        </w:trPr>
        <w:tc>
          <w:tcPr>
            <w:tcW w:w="1276" w:type="dxa"/>
            <w:tcBorders>
              <w:bottom w:val="single" w:sz="4" w:space="0" w:color="auto"/>
            </w:tcBorders>
          </w:tcPr>
          <w:p w14:paraId="2E0A2BEA" w14:textId="77777777" w:rsidR="00132EA9" w:rsidRPr="00DB58B5" w:rsidRDefault="00132EA9" w:rsidP="00DF6A23"/>
        </w:tc>
        <w:tc>
          <w:tcPr>
            <w:tcW w:w="2268" w:type="dxa"/>
            <w:tcBorders>
              <w:bottom w:val="single" w:sz="4" w:space="0" w:color="auto"/>
            </w:tcBorders>
            <w:vAlign w:val="bottom"/>
          </w:tcPr>
          <w:p w14:paraId="5743727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8B43DA" w14:textId="41E3FC92" w:rsidR="00132EA9" w:rsidRPr="00DB58B5" w:rsidRDefault="00DF6A23" w:rsidP="00DF6A23">
            <w:pPr>
              <w:jc w:val="right"/>
            </w:pPr>
            <w:r w:rsidRPr="00DF6A23">
              <w:rPr>
                <w:sz w:val="40"/>
              </w:rPr>
              <w:t>ST</w:t>
            </w:r>
            <w:r>
              <w:t>/SG/AC.10/C.4/2021/6</w:t>
            </w:r>
          </w:p>
        </w:tc>
      </w:tr>
      <w:tr w:rsidR="00132EA9" w:rsidRPr="00DB58B5" w14:paraId="19DE9E66" w14:textId="77777777" w:rsidTr="00F01738">
        <w:trPr>
          <w:trHeight w:hRule="exact" w:val="2835"/>
        </w:trPr>
        <w:tc>
          <w:tcPr>
            <w:tcW w:w="1276" w:type="dxa"/>
            <w:tcBorders>
              <w:top w:val="single" w:sz="4" w:space="0" w:color="auto"/>
              <w:bottom w:val="single" w:sz="12" w:space="0" w:color="auto"/>
            </w:tcBorders>
          </w:tcPr>
          <w:p w14:paraId="1309B594" w14:textId="77777777" w:rsidR="00132EA9" w:rsidRPr="00DB58B5" w:rsidRDefault="00132EA9" w:rsidP="00F01738">
            <w:pPr>
              <w:spacing w:before="120"/>
              <w:jc w:val="center"/>
            </w:pPr>
            <w:r>
              <w:rPr>
                <w:noProof/>
                <w:lang w:eastAsia="fr-CH"/>
              </w:rPr>
              <w:drawing>
                <wp:inline distT="0" distB="0" distL="0" distR="0" wp14:anchorId="2A9950C2" wp14:editId="56BBE7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87ACB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935E1E2" w14:textId="77777777" w:rsidR="00132EA9" w:rsidRDefault="00DF6A23" w:rsidP="00F01738">
            <w:pPr>
              <w:spacing w:before="240"/>
            </w:pPr>
            <w:proofErr w:type="spellStart"/>
            <w:r>
              <w:t>Distr</w:t>
            </w:r>
            <w:proofErr w:type="spellEnd"/>
            <w:r>
              <w:t xml:space="preserve">. </w:t>
            </w:r>
            <w:proofErr w:type="gramStart"/>
            <w:r>
              <w:t>générale</w:t>
            </w:r>
            <w:proofErr w:type="gramEnd"/>
          </w:p>
          <w:p w14:paraId="214DA8BD" w14:textId="77777777" w:rsidR="00DF6A23" w:rsidRDefault="00DF6A23" w:rsidP="00DF6A23">
            <w:pPr>
              <w:spacing w:line="240" w:lineRule="exact"/>
            </w:pPr>
            <w:r>
              <w:t>16 avril 2021</w:t>
            </w:r>
          </w:p>
          <w:p w14:paraId="5BA2F9D0" w14:textId="77777777" w:rsidR="00DF6A23" w:rsidRDefault="00DF6A23" w:rsidP="00DF6A23">
            <w:pPr>
              <w:spacing w:line="240" w:lineRule="exact"/>
            </w:pPr>
            <w:r>
              <w:t>Français</w:t>
            </w:r>
          </w:p>
          <w:p w14:paraId="4DFA6417" w14:textId="1234A9F8" w:rsidR="00DF6A23" w:rsidRPr="00DB58B5" w:rsidRDefault="00DF6A23" w:rsidP="00DF6A23">
            <w:pPr>
              <w:spacing w:line="240" w:lineRule="exact"/>
            </w:pPr>
            <w:r>
              <w:t>Original : anglais</w:t>
            </w:r>
          </w:p>
        </w:tc>
      </w:tr>
    </w:tbl>
    <w:p w14:paraId="1F7D57C1" w14:textId="517B5545" w:rsidR="00DF6A23" w:rsidRPr="00516D67" w:rsidRDefault="00DF6A23" w:rsidP="00886390">
      <w:pPr>
        <w:spacing w:before="120"/>
        <w:rPr>
          <w:b/>
          <w:sz w:val="24"/>
          <w:szCs w:val="24"/>
          <w:lang w:val="fr-FR"/>
        </w:rPr>
      </w:pPr>
      <w:r w:rsidRPr="00516D67">
        <w:rPr>
          <w:b/>
          <w:sz w:val="24"/>
          <w:szCs w:val="24"/>
          <w:lang w:val="fr-FR"/>
        </w:rPr>
        <w:t>Comité d</w:t>
      </w:r>
      <w:r w:rsidR="00886390">
        <w:rPr>
          <w:b/>
          <w:sz w:val="24"/>
          <w:szCs w:val="24"/>
          <w:lang w:val="fr-FR"/>
        </w:rPr>
        <w:t>’</w:t>
      </w:r>
      <w:r w:rsidRPr="00516D67">
        <w:rPr>
          <w:b/>
          <w:sz w:val="24"/>
          <w:szCs w:val="24"/>
          <w:lang w:val="fr-FR"/>
        </w:rPr>
        <w:t xml:space="preserve">experts du transport des marchandises </w:t>
      </w:r>
      <w:r w:rsidR="00886390">
        <w:rPr>
          <w:b/>
          <w:sz w:val="24"/>
          <w:szCs w:val="24"/>
          <w:lang w:val="fr-FR"/>
        </w:rPr>
        <w:br/>
      </w:r>
      <w:r w:rsidRPr="00516D67">
        <w:rPr>
          <w:b/>
          <w:sz w:val="24"/>
          <w:szCs w:val="24"/>
          <w:lang w:val="fr-FR"/>
        </w:rPr>
        <w:t xml:space="preserve">dangereuses et du Système général harmonisé </w:t>
      </w:r>
      <w:r w:rsidR="00886390">
        <w:rPr>
          <w:b/>
          <w:sz w:val="24"/>
          <w:szCs w:val="24"/>
          <w:lang w:val="fr-FR"/>
        </w:rPr>
        <w:br/>
      </w:r>
      <w:r w:rsidRPr="00516D67">
        <w:rPr>
          <w:b/>
          <w:sz w:val="24"/>
          <w:szCs w:val="24"/>
          <w:lang w:val="fr-FR"/>
        </w:rPr>
        <w:t>de</w:t>
      </w:r>
      <w:r w:rsidR="00886390">
        <w:rPr>
          <w:b/>
          <w:sz w:val="24"/>
          <w:szCs w:val="24"/>
          <w:lang w:val="fr-FR"/>
        </w:rPr>
        <w:t xml:space="preserve"> </w:t>
      </w:r>
      <w:r w:rsidRPr="00516D67">
        <w:rPr>
          <w:b/>
          <w:sz w:val="24"/>
          <w:szCs w:val="24"/>
          <w:lang w:val="fr-FR"/>
        </w:rPr>
        <w:t>classification et d</w:t>
      </w:r>
      <w:r w:rsidR="00886390">
        <w:rPr>
          <w:b/>
          <w:sz w:val="24"/>
          <w:szCs w:val="24"/>
          <w:lang w:val="fr-FR"/>
        </w:rPr>
        <w:t>’</w:t>
      </w:r>
      <w:r w:rsidRPr="00516D67">
        <w:rPr>
          <w:b/>
          <w:sz w:val="24"/>
          <w:szCs w:val="24"/>
          <w:lang w:val="fr-FR"/>
        </w:rPr>
        <w:t>étiquetage des produits chimiques</w:t>
      </w:r>
    </w:p>
    <w:p w14:paraId="269C3CC4" w14:textId="5807AF4B" w:rsidR="00DF6A23" w:rsidRPr="00886390" w:rsidRDefault="00DF6A23" w:rsidP="00DF6A23">
      <w:pPr>
        <w:spacing w:before="120"/>
        <w:ind w:right="4394"/>
        <w:rPr>
          <w:b/>
          <w:color w:val="000000"/>
          <w:lang w:val="fr-FR"/>
        </w:rPr>
      </w:pPr>
      <w:r w:rsidRPr="00516D67">
        <w:rPr>
          <w:b/>
          <w:lang w:val="fr-FR"/>
        </w:rPr>
        <w:t>Sous-Comité d</w:t>
      </w:r>
      <w:r w:rsidR="00886390">
        <w:rPr>
          <w:b/>
          <w:lang w:val="fr-FR"/>
        </w:rPr>
        <w:t>’</w:t>
      </w:r>
      <w:r w:rsidRPr="00516D67">
        <w:rPr>
          <w:b/>
          <w:lang w:val="fr-FR"/>
        </w:rPr>
        <w:t>experts du Système général harmonisé de classification et d</w:t>
      </w:r>
      <w:r w:rsidR="00886390">
        <w:rPr>
          <w:b/>
          <w:lang w:val="fr-FR"/>
        </w:rPr>
        <w:t>’</w:t>
      </w:r>
      <w:r w:rsidRPr="00516D67">
        <w:rPr>
          <w:b/>
          <w:lang w:val="fr-FR"/>
        </w:rPr>
        <w:t>étiquetage des produits chimiques</w:t>
      </w:r>
    </w:p>
    <w:p w14:paraId="52D3E0C7" w14:textId="77777777" w:rsidR="00DF6A23" w:rsidRPr="00516D67" w:rsidRDefault="00DF6A23" w:rsidP="00DF6A23">
      <w:pPr>
        <w:spacing w:before="120"/>
        <w:ind w:right="4394"/>
        <w:rPr>
          <w:b/>
          <w:lang w:val="fr-FR"/>
        </w:rPr>
      </w:pPr>
      <w:r w:rsidRPr="00516D67">
        <w:rPr>
          <w:b/>
          <w:lang w:val="fr-FR"/>
        </w:rPr>
        <w:t>Quarantième session</w:t>
      </w:r>
    </w:p>
    <w:p w14:paraId="25630743" w14:textId="77777777" w:rsidR="00DF6A23" w:rsidRPr="00516D67" w:rsidRDefault="00DF6A23" w:rsidP="00DF6A23">
      <w:pPr>
        <w:ind w:right="4394"/>
        <w:rPr>
          <w:lang w:val="fr-FR"/>
        </w:rPr>
      </w:pPr>
      <w:r w:rsidRPr="00516D67">
        <w:rPr>
          <w:lang w:val="fr-FR"/>
        </w:rPr>
        <w:t>Genève, 5-7 juillet 2021</w:t>
      </w:r>
    </w:p>
    <w:p w14:paraId="631A6E6E" w14:textId="41C41D54" w:rsidR="00DF6A23" w:rsidRPr="00516D67" w:rsidRDefault="00DF6A23" w:rsidP="00DF6A23">
      <w:pPr>
        <w:ind w:right="4394"/>
        <w:rPr>
          <w:lang w:val="fr-FR"/>
        </w:rPr>
      </w:pPr>
      <w:r w:rsidRPr="00516D67">
        <w:rPr>
          <w:lang w:val="fr-FR"/>
        </w:rPr>
        <w:t>Point 2 i) de l</w:t>
      </w:r>
      <w:r w:rsidR="00886390">
        <w:rPr>
          <w:lang w:val="fr-FR"/>
        </w:rPr>
        <w:t>’</w:t>
      </w:r>
      <w:r w:rsidRPr="00516D67">
        <w:rPr>
          <w:lang w:val="fr-FR"/>
        </w:rPr>
        <w:t>ordre du jour provisoire</w:t>
      </w:r>
    </w:p>
    <w:p w14:paraId="080B4AAE" w14:textId="14865395" w:rsidR="00DF6A23" w:rsidRPr="00516D67" w:rsidRDefault="00DF6A23" w:rsidP="00886390">
      <w:pPr>
        <w:rPr>
          <w:b/>
          <w:bCs/>
          <w:lang w:val="fr-FR"/>
        </w:rPr>
      </w:pPr>
      <w:r w:rsidRPr="00516D67">
        <w:rPr>
          <w:b/>
          <w:bCs/>
          <w:lang w:val="fr-FR"/>
        </w:rPr>
        <w:t xml:space="preserve">Travaux relatifs au Système général harmonisé de classification </w:t>
      </w:r>
      <w:r w:rsidR="00886390">
        <w:rPr>
          <w:b/>
          <w:bCs/>
          <w:lang w:val="fr-FR"/>
        </w:rPr>
        <w:br/>
      </w:r>
      <w:r w:rsidRPr="00516D67">
        <w:rPr>
          <w:b/>
          <w:bCs/>
          <w:lang w:val="fr-FR"/>
        </w:rPr>
        <w:t>et d</w:t>
      </w:r>
      <w:r w:rsidR="00886390">
        <w:rPr>
          <w:b/>
          <w:bCs/>
          <w:lang w:val="fr-FR"/>
        </w:rPr>
        <w:t>’</w:t>
      </w:r>
      <w:r w:rsidRPr="00516D67">
        <w:rPr>
          <w:b/>
          <w:bCs/>
          <w:lang w:val="fr-FR"/>
        </w:rPr>
        <w:t>étiquetage des produits chimiques (SGH)</w:t>
      </w:r>
      <w:r w:rsidR="00886390">
        <w:rPr>
          <w:b/>
          <w:bCs/>
          <w:lang w:val="fr-FR"/>
        </w:rPr>
        <w:t> </w:t>
      </w:r>
      <w:r w:rsidRPr="00516D67">
        <w:rPr>
          <w:b/>
          <w:bCs/>
          <w:lang w:val="fr-FR"/>
        </w:rPr>
        <w:t>:</w:t>
      </w:r>
      <w:r w:rsidRPr="00516D67">
        <w:rPr>
          <w:lang w:val="fr-FR"/>
        </w:rPr>
        <w:t xml:space="preserve"> </w:t>
      </w:r>
      <w:r w:rsidRPr="00516D67">
        <w:rPr>
          <w:b/>
          <w:bCs/>
          <w:lang w:val="fr-FR"/>
        </w:rPr>
        <w:t>Autres questions</w:t>
      </w:r>
    </w:p>
    <w:p w14:paraId="343CAB16" w14:textId="482A0E92" w:rsidR="00DF6A23" w:rsidRPr="00516D67" w:rsidRDefault="00886390" w:rsidP="00886390">
      <w:pPr>
        <w:pStyle w:val="HChG"/>
        <w:rPr>
          <w:sz w:val="24"/>
          <w:lang w:val="fr-FR"/>
        </w:rPr>
      </w:pPr>
      <w:r>
        <w:rPr>
          <w:lang w:val="fr-FR"/>
        </w:rPr>
        <w:tab/>
      </w:r>
      <w:r>
        <w:rPr>
          <w:lang w:val="fr-FR"/>
        </w:rPr>
        <w:tab/>
      </w:r>
      <w:r w:rsidR="00DF6A23" w:rsidRPr="00516D67">
        <w:rPr>
          <w:lang w:val="fr-FR"/>
        </w:rPr>
        <w:tab/>
        <w:t>Harmonisation du chapitre 2.17 avec le chapitre 2.1</w:t>
      </w:r>
      <w:r>
        <w:rPr>
          <w:lang w:val="fr-FR"/>
        </w:rPr>
        <w:t> </w:t>
      </w:r>
      <w:r w:rsidR="00DF6A23" w:rsidRPr="00516D67">
        <w:rPr>
          <w:lang w:val="fr-FR"/>
        </w:rPr>
        <w:t>: correction à apporter au SGH Rev.9</w:t>
      </w:r>
    </w:p>
    <w:p w14:paraId="167C3579" w14:textId="65188B7B" w:rsidR="00DF6A23" w:rsidRPr="00516D67" w:rsidRDefault="00DF6A23" w:rsidP="00DF6A23">
      <w:pPr>
        <w:pStyle w:val="H1G"/>
        <w:rPr>
          <w:lang w:val="fr-FR"/>
        </w:rPr>
      </w:pPr>
      <w:r w:rsidRPr="00516D67">
        <w:rPr>
          <w:lang w:val="fr-FR"/>
        </w:rPr>
        <w:tab/>
      </w:r>
      <w:r w:rsidRPr="00516D67">
        <w:rPr>
          <w:lang w:val="fr-FR"/>
        </w:rPr>
        <w:tab/>
      </w:r>
      <w:r w:rsidRPr="00516D67">
        <w:rPr>
          <w:lang w:val="fr-FR"/>
        </w:rPr>
        <w:tab/>
        <w:t>Communication de l</w:t>
      </w:r>
      <w:r w:rsidR="00886390">
        <w:rPr>
          <w:lang w:val="fr-FR"/>
        </w:rPr>
        <w:t>’</w:t>
      </w:r>
      <w:r w:rsidRPr="00516D67">
        <w:rPr>
          <w:lang w:val="fr-FR"/>
        </w:rPr>
        <w:t>expert de la Suède</w:t>
      </w:r>
      <w:r w:rsidRPr="00886390">
        <w:rPr>
          <w:rStyle w:val="FootnoteReference"/>
          <w:b w:val="0"/>
          <w:bCs/>
          <w:sz w:val="20"/>
          <w:vertAlign w:val="baseline"/>
        </w:rPr>
        <w:footnoteReference w:customMarkFollows="1" w:id="2"/>
        <w:t>*</w:t>
      </w:r>
    </w:p>
    <w:p w14:paraId="361C2B90" w14:textId="77777777" w:rsidR="00DF6A23" w:rsidRPr="00516D67" w:rsidRDefault="00DF6A23" w:rsidP="00DF6A23">
      <w:pPr>
        <w:pStyle w:val="HChG"/>
        <w:rPr>
          <w:lang w:val="fr-FR"/>
        </w:rPr>
      </w:pPr>
      <w:r w:rsidRPr="00516D67">
        <w:rPr>
          <w:lang w:val="fr-FR"/>
        </w:rPr>
        <w:tab/>
      </w:r>
      <w:r w:rsidRPr="00516D67">
        <w:rPr>
          <w:lang w:val="fr-FR"/>
        </w:rPr>
        <w:tab/>
        <w:t>Contexte</w:t>
      </w:r>
    </w:p>
    <w:p w14:paraId="71C00D86" w14:textId="73A1E7BA" w:rsidR="00DF6A23" w:rsidRPr="00516D67" w:rsidRDefault="00DF6A23" w:rsidP="00DF6A23">
      <w:pPr>
        <w:pStyle w:val="SingleTxtG"/>
        <w:rPr>
          <w:lang w:val="fr-FR"/>
        </w:rPr>
      </w:pPr>
      <w:r w:rsidRPr="00516D67">
        <w:rPr>
          <w:lang w:val="fr-FR"/>
        </w:rPr>
        <w:t>1.</w:t>
      </w:r>
      <w:r w:rsidRPr="00516D67">
        <w:rPr>
          <w:lang w:val="fr-FR"/>
        </w:rPr>
        <w:tab/>
        <w:t xml:space="preserve">Par rapport à la révision 8 et aux éditions précédentes du SGH, la révision 9 du SGH comprend un chapitre 2.1 entièrement révisé en ce qui concerne les matières explosibles. Ce nouveau chapitre sur les matières explosibles découle des travaux de révision du chapitre 2.1 du SGH qui ont été effectués entre </w:t>
      </w:r>
      <w:proofErr w:type="gramStart"/>
      <w:r w:rsidRPr="00516D67">
        <w:rPr>
          <w:lang w:val="fr-FR"/>
        </w:rPr>
        <w:t>les vingt-neuvième</w:t>
      </w:r>
      <w:proofErr w:type="gramEnd"/>
      <w:r w:rsidRPr="00516D67">
        <w:rPr>
          <w:lang w:val="fr-FR"/>
        </w:rPr>
        <w:t xml:space="preserve"> et trente-neuvième sessions du Sous-Comité et qui se sont achevés en décembre 2020</w:t>
      </w:r>
      <w:r>
        <w:rPr>
          <w:rStyle w:val="FootnoteReference"/>
        </w:rPr>
        <w:footnoteReference w:id="3"/>
      </w:r>
      <w:r w:rsidRPr="00516D67">
        <w:rPr>
          <w:lang w:val="fr-FR"/>
        </w:rPr>
        <w:t>.</w:t>
      </w:r>
    </w:p>
    <w:p w14:paraId="6FD3C231" w14:textId="79D84556" w:rsidR="00DF6A23" w:rsidRPr="00516D67" w:rsidRDefault="00DF6A23" w:rsidP="00DF6A23">
      <w:pPr>
        <w:pStyle w:val="SingleTxtG"/>
        <w:rPr>
          <w:lang w:val="fr-FR"/>
        </w:rPr>
      </w:pPr>
      <w:r w:rsidRPr="00516D67">
        <w:rPr>
          <w:lang w:val="fr-FR"/>
        </w:rPr>
        <w:t>2.</w:t>
      </w:r>
      <w:r w:rsidRPr="00516D67">
        <w:rPr>
          <w:lang w:val="fr-FR"/>
        </w:rPr>
        <w:tab/>
        <w:t>Cette refonte complète du chapitre 2.1 du SGH a également entraîné de nombreuses modifications corrélatives de diverses parties du SGH (en particulier les annexes 1 à 3) ainsi que du Manuel d</w:t>
      </w:r>
      <w:r w:rsidR="00886390">
        <w:rPr>
          <w:lang w:val="fr-FR"/>
        </w:rPr>
        <w:t>’</w:t>
      </w:r>
      <w:r w:rsidRPr="00516D67">
        <w:rPr>
          <w:lang w:val="fr-FR"/>
        </w:rPr>
        <w:t>épreuves et de critères (en particulier la partie I). Dans le cadre des travaux intenses menés à la fin de l</w:t>
      </w:r>
      <w:r w:rsidR="00886390">
        <w:rPr>
          <w:lang w:val="fr-FR"/>
        </w:rPr>
        <w:t>’</w:t>
      </w:r>
      <w:r w:rsidRPr="00516D67">
        <w:rPr>
          <w:lang w:val="fr-FR"/>
        </w:rPr>
        <w:t>exercice biennal précédent, il a toutefois été oublié de modifier également le chapitre 2.17 du SGH, qui correspond à la classe de danger des matières explosibles désensibilisées. Les conséquences pratiques du léger décalage actuel entre ce chapitre et le chapitre 2.1 devraient toutefois être très mineures.</w:t>
      </w:r>
    </w:p>
    <w:p w14:paraId="29CDBD06" w14:textId="77777777" w:rsidR="00DF6A23" w:rsidRPr="00516D67" w:rsidRDefault="00DF6A23" w:rsidP="00886390">
      <w:pPr>
        <w:pStyle w:val="HChG"/>
        <w:rPr>
          <w:lang w:val="fr-FR"/>
        </w:rPr>
      </w:pPr>
      <w:r w:rsidRPr="00516D67">
        <w:rPr>
          <w:lang w:val="fr-FR"/>
        </w:rPr>
        <w:tab/>
      </w:r>
      <w:r w:rsidRPr="00516D67">
        <w:rPr>
          <w:lang w:val="fr-FR"/>
        </w:rPr>
        <w:tab/>
        <w:t>Problème</w:t>
      </w:r>
    </w:p>
    <w:p w14:paraId="54D96652" w14:textId="191785D6" w:rsidR="00DF6A23" w:rsidRPr="00516D67" w:rsidRDefault="00DF6A23" w:rsidP="00DF6A23">
      <w:pPr>
        <w:pStyle w:val="SingleTxtG"/>
        <w:rPr>
          <w:lang w:val="fr-FR"/>
        </w:rPr>
      </w:pPr>
      <w:r w:rsidRPr="00516D67">
        <w:rPr>
          <w:lang w:val="fr-FR"/>
        </w:rPr>
        <w:t>3.</w:t>
      </w:r>
      <w:r w:rsidRPr="00516D67">
        <w:rPr>
          <w:lang w:val="fr-FR"/>
        </w:rPr>
        <w:tab/>
        <w:t>Dans le chapitre 2.17 est actuellement utilisée l</w:t>
      </w:r>
      <w:r w:rsidR="00886390">
        <w:rPr>
          <w:lang w:val="fr-FR"/>
        </w:rPr>
        <w:t>’</w:t>
      </w:r>
      <w:r w:rsidRPr="00516D67">
        <w:rPr>
          <w:lang w:val="fr-FR"/>
        </w:rPr>
        <w:t>expression « matières explosibles instables », qui correspond à une classification des matières explosibles qui a été abrogée lors de l</w:t>
      </w:r>
      <w:r w:rsidR="00886390">
        <w:rPr>
          <w:lang w:val="fr-FR"/>
        </w:rPr>
        <w:t>’</w:t>
      </w:r>
      <w:r w:rsidRPr="00516D67">
        <w:rPr>
          <w:lang w:val="fr-FR"/>
        </w:rPr>
        <w:t>introduction du nouveau chapitre 2.1 révisé. Il est également fait référence à la possibilité que ces matières explosibles soient « stabilisées », une expression qui se rapporte à cette classification abrogée. En outre, la logique de décision du chapitre 2.17 fait référence au résultat de la classification des matières explosibles dans la « division 1.1 », qui n</w:t>
      </w:r>
      <w:r w:rsidR="00886390">
        <w:rPr>
          <w:lang w:val="fr-FR"/>
        </w:rPr>
        <w:t>’</w:t>
      </w:r>
      <w:r w:rsidRPr="00516D67">
        <w:rPr>
          <w:lang w:val="fr-FR"/>
        </w:rPr>
        <w:t xml:space="preserve">est pas une </w:t>
      </w:r>
      <w:r w:rsidRPr="00516D67">
        <w:rPr>
          <w:lang w:val="fr-FR"/>
        </w:rPr>
        <w:lastRenderedPageBreak/>
        <w:t>classification du SGH au sens du chapitre 2.1 dans la révision 9 du SGH. En outre, il existe une référence à une note du chapitre 2.1 qui n</w:t>
      </w:r>
      <w:r w:rsidR="00886390">
        <w:rPr>
          <w:lang w:val="fr-FR"/>
        </w:rPr>
        <w:t>’</w:t>
      </w:r>
      <w:r w:rsidRPr="00516D67">
        <w:rPr>
          <w:lang w:val="fr-FR"/>
        </w:rPr>
        <w:t>existe plus.</w:t>
      </w:r>
    </w:p>
    <w:p w14:paraId="33373B25" w14:textId="77777777" w:rsidR="00DF6A23" w:rsidRPr="00516D67" w:rsidRDefault="00DF6A23" w:rsidP="00886390">
      <w:pPr>
        <w:pStyle w:val="HChG"/>
        <w:rPr>
          <w:lang w:val="fr-FR"/>
        </w:rPr>
      </w:pPr>
      <w:r w:rsidRPr="00516D67">
        <w:rPr>
          <w:lang w:val="fr-FR"/>
        </w:rPr>
        <w:tab/>
      </w:r>
      <w:r w:rsidRPr="00516D67">
        <w:rPr>
          <w:lang w:val="fr-FR"/>
        </w:rPr>
        <w:tab/>
        <w:t>Proposition</w:t>
      </w:r>
    </w:p>
    <w:p w14:paraId="68E4CEBC" w14:textId="21B4EE9B" w:rsidR="00DF6A23" w:rsidRPr="00516D67" w:rsidRDefault="00DF6A23" w:rsidP="00DF6A23">
      <w:pPr>
        <w:pStyle w:val="SingleTxtG"/>
        <w:rPr>
          <w:lang w:val="fr-FR"/>
        </w:rPr>
      </w:pPr>
      <w:r w:rsidRPr="00516D67">
        <w:rPr>
          <w:lang w:val="fr-FR"/>
        </w:rPr>
        <w:t>4.</w:t>
      </w:r>
      <w:r w:rsidRPr="00516D67">
        <w:rPr>
          <w:lang w:val="fr-FR"/>
        </w:rPr>
        <w:tab/>
        <w:t>Il est proposé de modifier le chapitre 2.17 de manière à l</w:t>
      </w:r>
      <w:r w:rsidR="00886390">
        <w:rPr>
          <w:lang w:val="fr-FR"/>
        </w:rPr>
        <w:t>’</w:t>
      </w:r>
      <w:r w:rsidRPr="00516D67">
        <w:rPr>
          <w:lang w:val="fr-FR"/>
        </w:rPr>
        <w:t>aligner sur le chapitre 2.1 tel qu</w:t>
      </w:r>
      <w:r w:rsidR="00886390">
        <w:rPr>
          <w:lang w:val="fr-FR"/>
        </w:rPr>
        <w:t>’</w:t>
      </w:r>
      <w:r w:rsidRPr="00516D67">
        <w:rPr>
          <w:lang w:val="fr-FR"/>
        </w:rPr>
        <w:t>il figure dans la révision 9 du SGH, comme indiqué ci-après (les suppressions figurent en caractères gras barrés, les ajouts en caractères gras soulignés). De l</w:t>
      </w:r>
      <w:r w:rsidR="00886390">
        <w:rPr>
          <w:lang w:val="fr-FR"/>
        </w:rPr>
        <w:t>’</w:t>
      </w:r>
      <w:r w:rsidRPr="00516D67">
        <w:rPr>
          <w:lang w:val="fr-FR"/>
        </w:rPr>
        <w:t>avis de l</w:t>
      </w:r>
      <w:r w:rsidR="00886390">
        <w:rPr>
          <w:lang w:val="fr-FR"/>
        </w:rPr>
        <w:t>’</w:t>
      </w:r>
      <w:r w:rsidRPr="00516D67">
        <w:rPr>
          <w:lang w:val="fr-FR"/>
        </w:rPr>
        <w:t>expert de la Suède, ces modifications semblent simples et ne posent pas de problème car elles n</w:t>
      </w:r>
      <w:r w:rsidR="00886390">
        <w:rPr>
          <w:lang w:val="fr-FR"/>
        </w:rPr>
        <w:t>’</w:t>
      </w:r>
      <w:r w:rsidRPr="00516D67">
        <w:rPr>
          <w:lang w:val="fr-FR"/>
        </w:rPr>
        <w:t>affectent pas la classification et l</w:t>
      </w:r>
      <w:r w:rsidR="00886390">
        <w:rPr>
          <w:lang w:val="fr-FR"/>
        </w:rPr>
        <w:t>’</w:t>
      </w:r>
      <w:r w:rsidRPr="00516D67">
        <w:rPr>
          <w:lang w:val="fr-FR"/>
        </w:rPr>
        <w:t>étiquetage des matières explosibles désensibilisées.</w:t>
      </w:r>
    </w:p>
    <w:p w14:paraId="2CDBE966" w14:textId="78E8F770" w:rsidR="00DF6A23" w:rsidRPr="00516D67" w:rsidRDefault="00DF6A23" w:rsidP="00DF6A23">
      <w:pPr>
        <w:pStyle w:val="SingleTxtG"/>
        <w:numPr>
          <w:ilvl w:val="0"/>
          <w:numId w:val="17"/>
        </w:numPr>
        <w:tabs>
          <w:tab w:val="clear" w:pos="2268"/>
          <w:tab w:val="clear" w:pos="2835"/>
        </w:tabs>
        <w:ind w:left="1134" w:firstLine="0"/>
        <w:rPr>
          <w:lang w:val="fr-FR"/>
        </w:rPr>
      </w:pPr>
      <w:r w:rsidRPr="00516D67">
        <w:rPr>
          <w:lang w:val="fr-FR"/>
        </w:rPr>
        <w:t>Dans la section 2.17.1 consacrée aux « Définitions et considérations générales », apporter les modifications suivantes</w:t>
      </w:r>
      <w:r w:rsidR="00886390">
        <w:rPr>
          <w:lang w:val="fr-FR"/>
        </w:rPr>
        <w:t> </w:t>
      </w:r>
      <w:r w:rsidRPr="00516D67">
        <w:rPr>
          <w:lang w:val="fr-FR"/>
        </w:rPr>
        <w:t>:</w:t>
      </w:r>
    </w:p>
    <w:p w14:paraId="0B95C580" w14:textId="6619BE9D" w:rsidR="00DF6A23" w:rsidRPr="00516D67" w:rsidRDefault="00DF6A23" w:rsidP="00DF6A23">
      <w:pPr>
        <w:pStyle w:val="SingleTxtG"/>
        <w:rPr>
          <w:lang w:val="fr-FR"/>
        </w:rPr>
      </w:pPr>
      <w:r w:rsidRPr="00516D67">
        <w:rPr>
          <w:lang w:val="fr-FR"/>
        </w:rPr>
        <w:t>« 2.17.1.1</w:t>
      </w:r>
      <w:r w:rsidRPr="00516D67">
        <w:rPr>
          <w:lang w:val="fr-FR"/>
        </w:rPr>
        <w:tab/>
      </w:r>
      <w:r w:rsidRPr="00516D67">
        <w:rPr>
          <w:rFonts w:eastAsia="Times New Roman"/>
          <w:lang w:val="fr-FR"/>
        </w:rPr>
        <w:t xml:space="preserve">Par </w:t>
      </w:r>
      <w:r w:rsidRPr="00516D67">
        <w:rPr>
          <w:rFonts w:eastAsia="Times New Roman"/>
          <w:i/>
          <w:lang w:val="fr-FR"/>
        </w:rPr>
        <w:t>matière explosible désensibilisée</w:t>
      </w:r>
      <w:r w:rsidRPr="00886390">
        <w:rPr>
          <w:rFonts w:eastAsia="Times New Roman"/>
          <w:iCs/>
          <w:lang w:val="fr-FR"/>
        </w:rPr>
        <w:t xml:space="preserve">, </w:t>
      </w:r>
      <w:r w:rsidRPr="00516D67">
        <w:rPr>
          <w:rFonts w:eastAsia="Times New Roman"/>
          <w:lang w:val="fr-FR"/>
        </w:rPr>
        <w:t>on entend une substance explosible ou un mélange explosible de substances, solide ou liquide, qui a été désensibilisé pour neutraliser ses propriétés explosives de telle sorte qu</w:t>
      </w:r>
      <w:r w:rsidR="00886390">
        <w:rPr>
          <w:rFonts w:eastAsia="Times New Roman"/>
          <w:lang w:val="fr-FR"/>
        </w:rPr>
        <w:t>’</w:t>
      </w:r>
      <w:r w:rsidRPr="00516D67">
        <w:rPr>
          <w:rFonts w:eastAsia="Times New Roman"/>
          <w:lang w:val="fr-FR"/>
        </w:rPr>
        <w:t>il n</w:t>
      </w:r>
      <w:r w:rsidR="00886390">
        <w:rPr>
          <w:rFonts w:eastAsia="Times New Roman"/>
          <w:lang w:val="fr-FR"/>
        </w:rPr>
        <w:t>’</w:t>
      </w:r>
      <w:r w:rsidRPr="00516D67">
        <w:rPr>
          <w:rFonts w:eastAsia="Times New Roman"/>
          <w:lang w:val="fr-FR"/>
        </w:rPr>
        <w:t>explose pas en masse et ne se consume pas trop rapidement, et qui ne relève donc pas de la classe de danger «</w:t>
      </w:r>
      <w:r w:rsidR="00886390">
        <w:rPr>
          <w:rFonts w:eastAsia="Times New Roman"/>
          <w:lang w:val="fr-FR"/>
        </w:rPr>
        <w:t> </w:t>
      </w:r>
      <w:r w:rsidRPr="00516D67">
        <w:rPr>
          <w:rFonts w:eastAsia="Times New Roman"/>
          <w:lang w:val="fr-FR"/>
        </w:rPr>
        <w:t>Matières explosibles</w:t>
      </w:r>
      <w:r w:rsidR="00886390">
        <w:rPr>
          <w:rFonts w:eastAsia="Times New Roman"/>
          <w:lang w:val="fr-FR"/>
        </w:rPr>
        <w:t> </w:t>
      </w:r>
      <w:r w:rsidRPr="00516D67">
        <w:rPr>
          <w:rFonts w:eastAsia="Times New Roman"/>
          <w:lang w:val="fr-FR"/>
        </w:rPr>
        <w:t>» (chap</w:t>
      </w:r>
      <w:r w:rsidR="00886390">
        <w:rPr>
          <w:rFonts w:eastAsia="Times New Roman"/>
          <w:lang w:val="fr-FR"/>
        </w:rPr>
        <w:t>.</w:t>
      </w:r>
      <w:r w:rsidRPr="00516D67">
        <w:rPr>
          <w:rFonts w:eastAsia="Times New Roman"/>
          <w:lang w:val="fr-FR"/>
        </w:rPr>
        <w:t xml:space="preserve"> 2.1 ; voir </w:t>
      </w:r>
      <w:r w:rsidRPr="00516D67">
        <w:rPr>
          <w:rFonts w:eastAsia="Times New Roman"/>
          <w:b/>
          <w:bCs/>
          <w:strike/>
          <w:lang w:val="fr-FR"/>
        </w:rPr>
        <w:t>aussi le NOTA 2 du paragraphe 2.1.2.2</w:t>
      </w:r>
      <w:r w:rsidRPr="00516D67">
        <w:rPr>
          <w:rFonts w:eastAsia="Times New Roman"/>
          <w:lang w:val="fr-FR"/>
        </w:rPr>
        <w:t xml:space="preserve"> </w:t>
      </w:r>
      <w:r w:rsidRPr="00516D67">
        <w:rPr>
          <w:b/>
          <w:u w:val="single"/>
          <w:lang w:val="fr-FR"/>
        </w:rPr>
        <w:t>le paragraphe</w:t>
      </w:r>
      <w:r w:rsidR="00886390">
        <w:rPr>
          <w:b/>
          <w:u w:val="single"/>
          <w:lang w:val="fr-FR"/>
        </w:rPr>
        <w:t> </w:t>
      </w:r>
      <w:r w:rsidRPr="00516D67">
        <w:rPr>
          <w:b/>
          <w:u w:val="single"/>
          <w:lang w:val="fr-FR"/>
        </w:rPr>
        <w:t>2.1.1.2.2</w:t>
      </w:r>
      <w:r w:rsidRPr="00516D67">
        <w:rPr>
          <w:rFonts w:eastAsia="Times New Roman"/>
          <w:lang w:val="fr-FR"/>
        </w:rPr>
        <w:t>)</w:t>
      </w:r>
      <w:r w:rsidRPr="00886390">
        <w:rPr>
          <w:rFonts w:eastAsia="Times New Roman"/>
          <w:bCs/>
          <w:sz w:val="18"/>
          <w:szCs w:val="18"/>
          <w:vertAlign w:val="superscript"/>
          <w:lang w:val="fr-FR"/>
        </w:rPr>
        <w:t>1</w:t>
      </w:r>
      <w:r w:rsidRPr="00516D67">
        <w:rPr>
          <w:rFonts w:eastAsia="Times New Roman"/>
          <w:lang w:val="fr-FR"/>
        </w:rPr>
        <w:t>.</w:t>
      </w:r>
    </w:p>
    <w:p w14:paraId="0BC67201" w14:textId="2E278E41" w:rsidR="00DF6A23" w:rsidRPr="00516D67" w:rsidRDefault="00DF6A23" w:rsidP="00DF6A23">
      <w:pPr>
        <w:pStyle w:val="SingleTxtG"/>
        <w:rPr>
          <w:lang w:val="fr-FR"/>
        </w:rPr>
      </w:pPr>
      <w:r w:rsidRPr="00886390">
        <w:rPr>
          <w:sz w:val="18"/>
          <w:szCs w:val="18"/>
          <w:vertAlign w:val="superscript"/>
          <w:lang w:val="fr-FR"/>
        </w:rPr>
        <w:t>1</w:t>
      </w:r>
      <w:r w:rsidRPr="00516D67">
        <w:rPr>
          <w:vertAlign w:val="superscript"/>
          <w:lang w:val="fr-FR"/>
        </w:rPr>
        <w:tab/>
      </w:r>
      <w:r w:rsidRPr="00516D67">
        <w:rPr>
          <w:i/>
          <w:iCs/>
          <w:lang w:val="fr-FR"/>
        </w:rPr>
        <w:t>Il est possible qu</w:t>
      </w:r>
      <w:r w:rsidR="00886390">
        <w:rPr>
          <w:i/>
          <w:iCs/>
          <w:lang w:val="fr-FR"/>
        </w:rPr>
        <w:t>’</w:t>
      </w:r>
      <w:r w:rsidRPr="00516D67">
        <w:rPr>
          <w:i/>
          <w:iCs/>
          <w:lang w:val="fr-FR"/>
        </w:rPr>
        <w:t xml:space="preserve">une matière explosible </w:t>
      </w:r>
      <w:r w:rsidRPr="00516D67">
        <w:rPr>
          <w:b/>
          <w:bCs/>
          <w:i/>
          <w:iCs/>
          <w:strike/>
          <w:lang w:val="fr-FR"/>
        </w:rPr>
        <w:t>instable, telle que définie au chapitre 2.1, soit stabilisée par désensibilisation</w:t>
      </w:r>
      <w:r w:rsidRPr="00516D67">
        <w:rPr>
          <w:b/>
          <w:bCs/>
          <w:i/>
          <w:iCs/>
          <w:u w:val="single"/>
          <w:lang w:val="fr-FR"/>
        </w:rPr>
        <w:t xml:space="preserve"> trop sensible pour être affectée à la catégorie 2 du chapit</w:t>
      </w:r>
      <w:r>
        <w:rPr>
          <w:b/>
          <w:bCs/>
          <w:i/>
          <w:iCs/>
          <w:u w:val="single"/>
          <w:lang w:val="fr-FR"/>
        </w:rPr>
        <w:t>re</w:t>
      </w:r>
      <w:r w:rsidRPr="00516D67">
        <w:rPr>
          <w:b/>
          <w:bCs/>
          <w:i/>
          <w:iCs/>
          <w:u w:val="single"/>
          <w:lang w:val="fr-FR"/>
        </w:rPr>
        <w:t xml:space="preserve"> 2.1 soit désensibilisée </w:t>
      </w:r>
      <w:r w:rsidRPr="00516D67">
        <w:rPr>
          <w:i/>
          <w:iCs/>
          <w:lang w:val="fr-FR"/>
        </w:rPr>
        <w:t>et puisse alors être classée comme matière explosible désensibilisée, à</w:t>
      </w:r>
      <w:r w:rsidR="00886390">
        <w:rPr>
          <w:i/>
          <w:iCs/>
          <w:lang w:val="fr-FR"/>
        </w:rPr>
        <w:t xml:space="preserve"> </w:t>
      </w:r>
      <w:r w:rsidRPr="00516D67">
        <w:rPr>
          <w:i/>
          <w:iCs/>
          <w:lang w:val="fr-FR"/>
        </w:rPr>
        <w:t>condition qu</w:t>
      </w:r>
      <w:r w:rsidR="00886390">
        <w:rPr>
          <w:i/>
          <w:iCs/>
          <w:lang w:val="fr-FR"/>
        </w:rPr>
        <w:t>’</w:t>
      </w:r>
      <w:r w:rsidRPr="00516D67">
        <w:rPr>
          <w:i/>
          <w:iCs/>
          <w:lang w:val="fr-FR"/>
        </w:rPr>
        <w:t>elle satisfasse à tous les critères énoncés au chapitre 2.17. Une telle matière explosible désensibilisée doit être soumise aux épreuves de la série 3 (Recommandations relatives au transport des marchandises dangereuses, Manuel d</w:t>
      </w:r>
      <w:r w:rsidR="00886390">
        <w:rPr>
          <w:i/>
          <w:iCs/>
          <w:lang w:val="fr-FR"/>
        </w:rPr>
        <w:t>’</w:t>
      </w:r>
      <w:r w:rsidRPr="00516D67">
        <w:rPr>
          <w:i/>
          <w:iCs/>
          <w:lang w:val="fr-FR"/>
        </w:rPr>
        <w:t>épreuves et de critères, première partie), les</w:t>
      </w:r>
      <w:r w:rsidR="00886390">
        <w:rPr>
          <w:i/>
          <w:iCs/>
          <w:lang w:val="fr-FR"/>
        </w:rPr>
        <w:t xml:space="preserve"> </w:t>
      </w:r>
      <w:r w:rsidRPr="00516D67">
        <w:rPr>
          <w:i/>
          <w:iCs/>
          <w:lang w:val="fr-FR"/>
        </w:rPr>
        <w:t>informations relatives à sa sensibilité mécanique étant susceptibles d</w:t>
      </w:r>
      <w:r w:rsidR="00886390">
        <w:rPr>
          <w:i/>
          <w:iCs/>
          <w:lang w:val="fr-FR"/>
        </w:rPr>
        <w:t>’</w:t>
      </w:r>
      <w:r w:rsidRPr="00516D67">
        <w:rPr>
          <w:i/>
          <w:iCs/>
          <w:lang w:val="fr-FR"/>
        </w:rPr>
        <w:t>être importantes pour déterminer les conditions de sa manipulation et de son emploi en toute sécurité. Les résultats obtenus doivent être communiqués sur la fiche de données de sécurité.</w:t>
      </w:r>
      <w:r>
        <w:rPr>
          <w:i/>
          <w:iCs/>
          <w:lang w:val="fr-FR"/>
        </w:rPr>
        <w:t> </w:t>
      </w:r>
      <w:r w:rsidRPr="00886390">
        <w:rPr>
          <w:lang w:val="fr-FR"/>
        </w:rPr>
        <w:t>»</w:t>
      </w:r>
      <w:r w:rsidRPr="00516D67">
        <w:rPr>
          <w:i/>
          <w:iCs/>
          <w:lang w:val="fr-FR"/>
        </w:rPr>
        <w:t>.</w:t>
      </w:r>
    </w:p>
    <w:p w14:paraId="5710542C" w14:textId="77777777" w:rsidR="00DF6A23" w:rsidRPr="00516D67" w:rsidRDefault="00DF6A23" w:rsidP="00DF6A23">
      <w:pPr>
        <w:pStyle w:val="SingleTxtG"/>
        <w:numPr>
          <w:ilvl w:val="0"/>
          <w:numId w:val="17"/>
        </w:numPr>
        <w:tabs>
          <w:tab w:val="clear" w:pos="2268"/>
          <w:tab w:val="clear" w:pos="2835"/>
        </w:tabs>
        <w:rPr>
          <w:lang w:val="fr-FR"/>
        </w:rPr>
      </w:pPr>
      <w:r w:rsidRPr="00516D67">
        <w:rPr>
          <w:lang w:val="fr-FR"/>
        </w:rPr>
        <w:t>Dans le diagramme de décision 2.17.1 pour les matières explosibles désensibilisées, apporter les modifications suivantes</w:t>
      </w:r>
      <w:r>
        <w:rPr>
          <w:lang w:val="fr-FR"/>
        </w:rPr>
        <w:t> </w:t>
      </w:r>
      <w:r w:rsidRPr="00516D67">
        <w:rPr>
          <w:lang w:val="fr-FR"/>
        </w:rPr>
        <w:t>:</w:t>
      </w:r>
    </w:p>
    <w:p w14:paraId="0C6F72F1" w14:textId="37DBB362" w:rsidR="00DF6A23" w:rsidRDefault="00DF6A23" w:rsidP="00DF6A23">
      <w:pPr>
        <w:pStyle w:val="SingleTxtG"/>
      </w:pPr>
      <w:r w:rsidRPr="00516D67">
        <w:rPr>
          <w:lang w:val="fr-FR"/>
        </w:rPr>
        <w:t xml:space="preserve">Remplacer </w:t>
      </w:r>
      <w:r>
        <w:rPr>
          <w:lang w:val="fr-FR"/>
        </w:rPr>
        <w:t>« </w:t>
      </w:r>
      <w:r w:rsidRPr="00516D67">
        <w:rPr>
          <w:b/>
          <w:bCs/>
          <w:strike/>
          <w:lang w:val="fr-FR"/>
        </w:rPr>
        <w:t>Division 1.1</w:t>
      </w:r>
      <w:r>
        <w:rPr>
          <w:lang w:val="fr-FR"/>
        </w:rPr>
        <w:t> »</w:t>
      </w:r>
      <w:r w:rsidRPr="00516D67">
        <w:rPr>
          <w:lang w:val="fr-FR"/>
        </w:rPr>
        <w:t xml:space="preserve"> par </w:t>
      </w:r>
      <w:r>
        <w:rPr>
          <w:lang w:val="fr-FR"/>
        </w:rPr>
        <w:t>« </w:t>
      </w:r>
      <w:r w:rsidRPr="00516D67">
        <w:rPr>
          <w:b/>
          <w:bCs/>
          <w:u w:val="single"/>
          <w:lang w:val="fr-FR"/>
        </w:rPr>
        <w:t>Sous-catégorie 2A</w:t>
      </w:r>
      <w:r>
        <w:rPr>
          <w:lang w:val="fr-FR"/>
        </w:rPr>
        <w:t> »</w:t>
      </w:r>
      <w:r w:rsidRPr="00516D67">
        <w:rPr>
          <w:lang w:val="fr-FR"/>
        </w:rPr>
        <w:t xml:space="preserve"> dans les deux cases les plus à droite qui représentent le résultat de la classification lorsqu</w:t>
      </w:r>
      <w:r>
        <w:rPr>
          <w:lang w:val="fr-FR"/>
        </w:rPr>
        <w:t xml:space="preserve">e </w:t>
      </w:r>
      <w:r w:rsidRPr="00516D67">
        <w:rPr>
          <w:lang w:val="fr-FR"/>
        </w:rPr>
        <w:t>le résultat d</w:t>
      </w:r>
      <w:r w:rsidR="00886390">
        <w:rPr>
          <w:lang w:val="fr-FR"/>
        </w:rPr>
        <w:t>’</w:t>
      </w:r>
      <w:r w:rsidRPr="00516D67">
        <w:rPr>
          <w:lang w:val="fr-FR"/>
        </w:rPr>
        <w:t>un essai</w:t>
      </w:r>
      <w:r>
        <w:rPr>
          <w:lang w:val="fr-FR"/>
        </w:rPr>
        <w:t xml:space="preserve"> est </w:t>
      </w:r>
      <w:r w:rsidRPr="00516D67">
        <w:rPr>
          <w:lang w:val="fr-FR"/>
        </w:rPr>
        <w:t xml:space="preserve">une explosion </w:t>
      </w:r>
      <w:r>
        <w:rPr>
          <w:lang w:val="fr-FR"/>
        </w:rPr>
        <w:t>en</w:t>
      </w:r>
      <w:r w:rsidRPr="00516D67">
        <w:rPr>
          <w:lang w:val="fr-FR"/>
        </w:rPr>
        <w:t xml:space="preserve"> masse.</w:t>
      </w:r>
    </w:p>
    <w:p w14:paraId="17C690D7" w14:textId="398AE7A9" w:rsidR="00446FE5" w:rsidRPr="00DF6A23" w:rsidRDefault="00DF6A23" w:rsidP="00DF6A23">
      <w:pPr>
        <w:pStyle w:val="SingleTxtG"/>
        <w:spacing w:before="240" w:after="0"/>
        <w:jc w:val="center"/>
        <w:rPr>
          <w:u w:val="single"/>
        </w:rPr>
      </w:pPr>
      <w:r>
        <w:rPr>
          <w:u w:val="single"/>
        </w:rPr>
        <w:tab/>
      </w:r>
      <w:r>
        <w:rPr>
          <w:u w:val="single"/>
        </w:rPr>
        <w:tab/>
      </w:r>
      <w:r>
        <w:rPr>
          <w:u w:val="single"/>
        </w:rPr>
        <w:tab/>
      </w:r>
    </w:p>
    <w:sectPr w:rsidR="00446FE5" w:rsidRPr="00DF6A23" w:rsidSect="00DF6A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4B72" w14:textId="77777777" w:rsidR="009F7FB0" w:rsidRDefault="009F7FB0" w:rsidP="00F95C08">
      <w:pPr>
        <w:spacing w:line="240" w:lineRule="auto"/>
      </w:pPr>
    </w:p>
  </w:endnote>
  <w:endnote w:type="continuationSeparator" w:id="0">
    <w:p w14:paraId="107935D8" w14:textId="77777777" w:rsidR="009F7FB0" w:rsidRPr="00AC3823" w:rsidRDefault="009F7FB0" w:rsidP="00AC3823">
      <w:pPr>
        <w:pStyle w:val="Footer"/>
      </w:pPr>
    </w:p>
  </w:endnote>
  <w:endnote w:type="continuationNotice" w:id="1">
    <w:p w14:paraId="22FCED18" w14:textId="77777777" w:rsidR="009F7FB0" w:rsidRDefault="009F7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579F" w14:textId="76A37174" w:rsidR="00DF6A23" w:rsidRPr="00DF6A23" w:rsidRDefault="00DF6A23" w:rsidP="00DF6A23">
    <w:pPr>
      <w:pStyle w:val="Footer"/>
      <w:tabs>
        <w:tab w:val="right" w:pos="9638"/>
      </w:tabs>
    </w:pPr>
    <w:r w:rsidRPr="00DF6A23">
      <w:rPr>
        <w:b/>
        <w:sz w:val="18"/>
      </w:rPr>
      <w:fldChar w:fldCharType="begin"/>
    </w:r>
    <w:r w:rsidRPr="00DF6A23">
      <w:rPr>
        <w:b/>
        <w:sz w:val="18"/>
      </w:rPr>
      <w:instrText xml:space="preserve"> PAGE  \* MERGEFORMAT </w:instrText>
    </w:r>
    <w:r w:rsidRPr="00DF6A23">
      <w:rPr>
        <w:b/>
        <w:sz w:val="18"/>
      </w:rPr>
      <w:fldChar w:fldCharType="separate"/>
    </w:r>
    <w:r w:rsidRPr="00DF6A23">
      <w:rPr>
        <w:b/>
        <w:noProof/>
        <w:sz w:val="18"/>
      </w:rPr>
      <w:t>2</w:t>
    </w:r>
    <w:r w:rsidRPr="00DF6A23">
      <w:rPr>
        <w:b/>
        <w:sz w:val="18"/>
      </w:rPr>
      <w:fldChar w:fldCharType="end"/>
    </w:r>
    <w:r>
      <w:rPr>
        <w:b/>
        <w:sz w:val="18"/>
      </w:rPr>
      <w:tab/>
    </w:r>
    <w:r>
      <w:t>GE.21-05074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EE8E" w14:textId="6FF077A2" w:rsidR="00DF6A23" w:rsidRPr="00DF6A23" w:rsidRDefault="00DF6A23" w:rsidP="00DF6A23">
    <w:pPr>
      <w:pStyle w:val="Footer"/>
      <w:tabs>
        <w:tab w:val="right" w:pos="9638"/>
      </w:tabs>
      <w:rPr>
        <w:b/>
        <w:sz w:val="18"/>
      </w:rPr>
    </w:pPr>
    <w:r>
      <w:t>GE.21-05074</w:t>
    </w:r>
    <w:r>
      <w:tab/>
    </w:r>
    <w:r w:rsidRPr="00DF6A23">
      <w:rPr>
        <w:b/>
        <w:sz w:val="18"/>
      </w:rPr>
      <w:fldChar w:fldCharType="begin"/>
    </w:r>
    <w:r w:rsidRPr="00DF6A23">
      <w:rPr>
        <w:b/>
        <w:sz w:val="18"/>
      </w:rPr>
      <w:instrText xml:space="preserve"> PAGE  \* MERGEFORMAT </w:instrText>
    </w:r>
    <w:r w:rsidRPr="00DF6A23">
      <w:rPr>
        <w:b/>
        <w:sz w:val="18"/>
      </w:rPr>
      <w:fldChar w:fldCharType="separate"/>
    </w:r>
    <w:r w:rsidRPr="00DF6A23">
      <w:rPr>
        <w:b/>
        <w:noProof/>
        <w:sz w:val="18"/>
      </w:rPr>
      <w:t>3</w:t>
    </w:r>
    <w:r w:rsidRPr="00DF6A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B752" w14:textId="2B3BFA4E" w:rsidR="0068456F" w:rsidRPr="00DF6A23" w:rsidRDefault="00DF6A23" w:rsidP="00DF6A2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E6C17F8" wp14:editId="1099BE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05074  (</w:t>
    </w:r>
    <w:proofErr w:type="gramEnd"/>
    <w:r>
      <w:rPr>
        <w:sz w:val="20"/>
      </w:rPr>
      <w:t>F)</w:t>
    </w:r>
    <w:r>
      <w:rPr>
        <w:noProof/>
        <w:sz w:val="20"/>
      </w:rPr>
      <w:drawing>
        <wp:anchor distT="0" distB="0" distL="114300" distR="114300" simplePos="0" relativeHeight="251660288" behindDoc="0" locked="0" layoutInCell="1" allowOverlap="1" wp14:anchorId="434DE06D" wp14:editId="677FB08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04AB" w14:textId="77777777" w:rsidR="009F7FB0" w:rsidRPr="00AC3823" w:rsidRDefault="009F7FB0" w:rsidP="00AC3823">
      <w:pPr>
        <w:pStyle w:val="Footer"/>
        <w:tabs>
          <w:tab w:val="right" w:pos="2155"/>
        </w:tabs>
        <w:spacing w:after="80" w:line="240" w:lineRule="atLeast"/>
        <w:ind w:left="680"/>
        <w:rPr>
          <w:u w:val="single"/>
        </w:rPr>
      </w:pPr>
      <w:r>
        <w:rPr>
          <w:u w:val="single"/>
        </w:rPr>
        <w:tab/>
      </w:r>
    </w:p>
  </w:footnote>
  <w:footnote w:type="continuationSeparator" w:id="0">
    <w:p w14:paraId="1CC1496D" w14:textId="77777777" w:rsidR="009F7FB0" w:rsidRPr="00AC3823" w:rsidRDefault="009F7FB0" w:rsidP="00AC3823">
      <w:pPr>
        <w:pStyle w:val="Footer"/>
        <w:tabs>
          <w:tab w:val="right" w:pos="2155"/>
        </w:tabs>
        <w:spacing w:after="80" w:line="240" w:lineRule="atLeast"/>
        <w:ind w:left="680"/>
        <w:rPr>
          <w:u w:val="single"/>
        </w:rPr>
      </w:pPr>
      <w:r>
        <w:rPr>
          <w:u w:val="single"/>
        </w:rPr>
        <w:tab/>
      </w:r>
    </w:p>
  </w:footnote>
  <w:footnote w:type="continuationNotice" w:id="1">
    <w:p w14:paraId="0456A106" w14:textId="77777777" w:rsidR="009F7FB0" w:rsidRPr="00AC3823" w:rsidRDefault="009F7FB0">
      <w:pPr>
        <w:spacing w:line="240" w:lineRule="auto"/>
        <w:rPr>
          <w:sz w:val="2"/>
          <w:szCs w:val="2"/>
        </w:rPr>
      </w:pPr>
    </w:p>
  </w:footnote>
  <w:footnote w:id="2">
    <w:p w14:paraId="3B9E39E6" w14:textId="421A17E7" w:rsidR="00DF6A23" w:rsidRPr="00DF6A23" w:rsidRDefault="00DF6A23">
      <w:pPr>
        <w:pStyle w:val="FootnoteText"/>
      </w:pPr>
      <w:r>
        <w:rPr>
          <w:rStyle w:val="FootnoteReference"/>
        </w:rPr>
        <w:tab/>
      </w:r>
      <w:r w:rsidRPr="00DF6A23">
        <w:rPr>
          <w:rStyle w:val="FootnoteReference"/>
          <w:sz w:val="20"/>
          <w:vertAlign w:val="baseline"/>
        </w:rPr>
        <w:t>*</w:t>
      </w:r>
      <w:r>
        <w:rPr>
          <w:rStyle w:val="FootnoteReference"/>
          <w:sz w:val="20"/>
          <w:vertAlign w:val="baseline"/>
        </w:rPr>
        <w:tab/>
      </w:r>
      <w:r w:rsidRPr="000131D5">
        <w:rPr>
          <w:lang w:val="fr-FR"/>
        </w:rPr>
        <w:t>A/75/6 (sect. 20), par. 20.51.</w:t>
      </w:r>
    </w:p>
  </w:footnote>
  <w:footnote w:id="3">
    <w:p w14:paraId="2543C5FB" w14:textId="243F4E99" w:rsidR="00DF6A23" w:rsidRDefault="00DF6A23">
      <w:pPr>
        <w:pStyle w:val="FootnoteText"/>
        <w:rPr>
          <w:lang w:val="fr-FR"/>
        </w:rPr>
      </w:pPr>
      <w:r>
        <w:tab/>
      </w:r>
      <w:r>
        <w:rPr>
          <w:rStyle w:val="FootnoteReference"/>
        </w:rPr>
        <w:footnoteRef/>
      </w:r>
      <w:r>
        <w:tab/>
      </w:r>
      <w:r w:rsidRPr="000131D5">
        <w:rPr>
          <w:lang w:val="fr-FR"/>
        </w:rPr>
        <w:t>Voir le rapport du Sous-Comité sur les travaux de sa trente-neuvième session (ST/SG/AC.10/C.4/78).</w:t>
      </w:r>
    </w:p>
    <w:p w14:paraId="2BB6FEB4" w14:textId="77777777" w:rsidR="00DF6A23" w:rsidRDefault="00DF6A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BEE6" w14:textId="041551FD" w:rsidR="00DF6A23" w:rsidRPr="00DF6A23" w:rsidRDefault="002925D4">
    <w:pPr>
      <w:pStyle w:val="Header"/>
    </w:pPr>
    <w:r>
      <w:fldChar w:fldCharType="begin"/>
    </w:r>
    <w:r>
      <w:instrText xml:space="preserve"> TITLE  \* MERGEFORMAT </w:instrText>
    </w:r>
    <w:r>
      <w:fldChar w:fldCharType="separate"/>
    </w:r>
    <w:r>
      <w:t>ST/SG/AC.10/C.4/2021/6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D829" w14:textId="60C384B8" w:rsidR="00DF6A23" w:rsidRPr="00DF6A23" w:rsidRDefault="002925D4" w:rsidP="00DF6A23">
    <w:pPr>
      <w:pStyle w:val="Header"/>
      <w:jc w:val="right"/>
    </w:pPr>
    <w:r>
      <w:fldChar w:fldCharType="begin"/>
    </w:r>
    <w:r>
      <w:instrText xml:space="preserve"> TITLE  \* MERGEFORMAT </w:instrText>
    </w:r>
    <w:r>
      <w:fldChar w:fldCharType="separate"/>
    </w:r>
    <w:r>
      <w:t>ST/SG/AC.10/C.4/2021/6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EB2E96"/>
    <w:multiLevelType w:val="hybridMultilevel"/>
    <w:tmpl w:val="3B7A0EBA"/>
    <w:lvl w:ilvl="0" w:tplc="AE7C7A4C">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B0"/>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925D4"/>
    <w:rsid w:val="002D7C93"/>
    <w:rsid w:val="00441C3B"/>
    <w:rsid w:val="00446FE5"/>
    <w:rsid w:val="00452396"/>
    <w:rsid w:val="004933A7"/>
    <w:rsid w:val="004E468C"/>
    <w:rsid w:val="005505B7"/>
    <w:rsid w:val="00573BE5"/>
    <w:rsid w:val="00584DC4"/>
    <w:rsid w:val="00586ED3"/>
    <w:rsid w:val="00596AA9"/>
    <w:rsid w:val="0068456F"/>
    <w:rsid w:val="0071601D"/>
    <w:rsid w:val="007A62E6"/>
    <w:rsid w:val="0080684C"/>
    <w:rsid w:val="008123E0"/>
    <w:rsid w:val="00871C75"/>
    <w:rsid w:val="008776DC"/>
    <w:rsid w:val="00886390"/>
    <w:rsid w:val="008B40CD"/>
    <w:rsid w:val="009705C8"/>
    <w:rsid w:val="009C1CF4"/>
    <w:rsid w:val="009F7FB0"/>
    <w:rsid w:val="00A30353"/>
    <w:rsid w:val="00A81281"/>
    <w:rsid w:val="00AC3823"/>
    <w:rsid w:val="00AE323C"/>
    <w:rsid w:val="00B00181"/>
    <w:rsid w:val="00B00B0D"/>
    <w:rsid w:val="00B765F7"/>
    <w:rsid w:val="00BA0CA9"/>
    <w:rsid w:val="00BB5C68"/>
    <w:rsid w:val="00C02897"/>
    <w:rsid w:val="00D3439C"/>
    <w:rsid w:val="00DB1831"/>
    <w:rsid w:val="00DD3BFD"/>
    <w:rsid w:val="00DF4B2E"/>
    <w:rsid w:val="00DF6678"/>
    <w:rsid w:val="00DF6A2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ABCD3"/>
  <w15:docId w15:val="{B7EB5AB4-07D8-4994-8026-4A5A741E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F6A23"/>
    <w:rPr>
      <w:rFonts w:ascii="Times New Roman" w:eastAsiaTheme="minorHAnsi" w:hAnsi="Times New Roman" w:cs="Times New Roman"/>
      <w:b/>
      <w:sz w:val="28"/>
      <w:szCs w:val="20"/>
      <w:lang w:eastAsia="en-US"/>
    </w:rPr>
  </w:style>
  <w:style w:type="character" w:customStyle="1" w:styleId="H1GChar">
    <w:name w:val="_ H_1_G Char"/>
    <w:link w:val="H1G"/>
    <w:locked/>
    <w:rsid w:val="00DF6A23"/>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DF6A2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73651-0139-46A7-B97E-3D09DFFE6196}"/>
</file>

<file path=customXml/itemProps2.xml><?xml version="1.0" encoding="utf-8"?>
<ds:datastoreItem xmlns:ds="http://schemas.openxmlformats.org/officeDocument/2006/customXml" ds:itemID="{3E10AC61-221F-45D4-AAAC-7807A850663D}"/>
</file>

<file path=customXml/itemProps3.xml><?xml version="1.0" encoding="utf-8"?>
<ds:datastoreItem xmlns:ds="http://schemas.openxmlformats.org/officeDocument/2006/customXml" ds:itemID="{EBD35051-A223-4158-88D5-BA6FFE045D8B}"/>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ST/SG/AC.10/C.4/2021/6</vt:lpstr>
    </vt:vector>
  </TitlesOfParts>
  <Company>DCM</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ST/SG/AC.10/C.4/2021/6</dc:title>
  <dc:subject/>
  <dc:creator>Maud DARICHE</dc:creator>
  <cp:keywords/>
  <cp:lastModifiedBy>Laurence Berthet</cp:lastModifiedBy>
  <cp:revision>3</cp:revision>
  <cp:lastPrinted>2021-05-11T08:53:00Z</cp:lastPrinted>
  <dcterms:created xsi:type="dcterms:W3CDTF">2021-05-11T08:53:00Z</dcterms:created>
  <dcterms:modified xsi:type="dcterms:W3CDTF">2021-05-11T08:53:00Z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