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802E63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23F722" w14:textId="77777777" w:rsidR="00132EA9" w:rsidRPr="00DB58B5" w:rsidRDefault="00132EA9" w:rsidP="0055536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CCB4D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423549" w14:textId="46908A9C" w:rsidR="00132EA9" w:rsidRPr="00DB58B5" w:rsidRDefault="00555369" w:rsidP="00555369">
            <w:pPr>
              <w:jc w:val="right"/>
            </w:pPr>
            <w:r w:rsidRPr="00555369">
              <w:rPr>
                <w:sz w:val="40"/>
              </w:rPr>
              <w:t>ST</w:t>
            </w:r>
            <w:r>
              <w:t>/SG/AC</w:t>
            </w:r>
            <w:r w:rsidR="00CB0425" w:rsidRPr="00CB0425">
              <w:t>.</w:t>
            </w:r>
            <w:r>
              <w:t>10/C</w:t>
            </w:r>
            <w:r w:rsidR="00CB0425" w:rsidRPr="00CB0425">
              <w:t>.</w:t>
            </w:r>
            <w:r>
              <w:t>4/2021/3</w:t>
            </w:r>
          </w:p>
        </w:tc>
      </w:tr>
      <w:tr w:rsidR="00132EA9" w:rsidRPr="00DB58B5" w14:paraId="190BE9E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45F13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34AB43" wp14:editId="009B287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4B2B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7E7DB3" w14:textId="6DCD8208" w:rsidR="00132EA9" w:rsidRDefault="00555369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CB0425" w:rsidRPr="00CB0425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04C94AE3" w14:textId="77777777" w:rsidR="00555369" w:rsidRDefault="00555369" w:rsidP="00555369">
            <w:pPr>
              <w:spacing w:line="240" w:lineRule="exact"/>
            </w:pPr>
            <w:r>
              <w:t>12 avril 2021</w:t>
            </w:r>
          </w:p>
          <w:p w14:paraId="071362A3" w14:textId="77777777" w:rsidR="00555369" w:rsidRDefault="00555369" w:rsidP="00555369">
            <w:pPr>
              <w:spacing w:line="240" w:lineRule="exact"/>
            </w:pPr>
            <w:r>
              <w:t>Français</w:t>
            </w:r>
          </w:p>
          <w:p w14:paraId="1688CC22" w14:textId="76D06024" w:rsidR="00555369" w:rsidRPr="00DB58B5" w:rsidRDefault="00555369" w:rsidP="00555369">
            <w:pPr>
              <w:spacing w:line="240" w:lineRule="exact"/>
            </w:pPr>
            <w:r>
              <w:t>Original : anglais</w:t>
            </w:r>
          </w:p>
        </w:tc>
      </w:tr>
    </w:tbl>
    <w:p w14:paraId="641C0373" w14:textId="2960A444" w:rsidR="00555369" w:rsidRPr="002B3978" w:rsidRDefault="00555369" w:rsidP="00555369">
      <w:pPr>
        <w:spacing w:before="120"/>
        <w:rPr>
          <w:b/>
          <w:sz w:val="24"/>
          <w:szCs w:val="24"/>
          <w:lang w:val="fr-FR"/>
        </w:rPr>
      </w:pPr>
      <w:r w:rsidRPr="0083032E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83032E">
        <w:rPr>
          <w:b/>
          <w:sz w:val="24"/>
          <w:szCs w:val="24"/>
          <w:lang w:val="fr-FR"/>
        </w:rPr>
        <w:t xml:space="preserve">experts du transport des marchandises </w:t>
      </w:r>
      <w:r>
        <w:rPr>
          <w:b/>
          <w:sz w:val="24"/>
          <w:szCs w:val="24"/>
          <w:lang w:val="fr-FR"/>
        </w:rPr>
        <w:br/>
      </w:r>
      <w:r w:rsidRPr="0083032E">
        <w:rPr>
          <w:b/>
          <w:sz w:val="24"/>
          <w:szCs w:val="24"/>
          <w:lang w:val="fr-FR"/>
        </w:rPr>
        <w:t xml:space="preserve">dangereuses et du Système général harmonisé </w:t>
      </w:r>
      <w:r>
        <w:rPr>
          <w:b/>
          <w:sz w:val="24"/>
          <w:szCs w:val="24"/>
          <w:lang w:val="fr-FR"/>
        </w:rPr>
        <w:br/>
      </w:r>
      <w:r w:rsidRPr="0083032E">
        <w:rPr>
          <w:b/>
          <w:sz w:val="24"/>
          <w:szCs w:val="24"/>
          <w:lang w:val="fr-FR"/>
        </w:rPr>
        <w:t>de</w:t>
      </w:r>
      <w:r>
        <w:rPr>
          <w:b/>
          <w:sz w:val="24"/>
          <w:szCs w:val="24"/>
          <w:lang w:val="fr-FR"/>
        </w:rPr>
        <w:t> </w:t>
      </w:r>
      <w:r w:rsidRPr="0083032E">
        <w:rPr>
          <w:b/>
          <w:sz w:val="24"/>
          <w:szCs w:val="24"/>
          <w:lang w:val="fr-FR"/>
        </w:rPr>
        <w:t>classification et d</w:t>
      </w:r>
      <w:r>
        <w:rPr>
          <w:b/>
          <w:sz w:val="24"/>
          <w:szCs w:val="24"/>
          <w:lang w:val="fr-FR"/>
        </w:rPr>
        <w:t>’</w:t>
      </w:r>
      <w:r w:rsidRPr="0083032E">
        <w:rPr>
          <w:b/>
          <w:sz w:val="24"/>
          <w:szCs w:val="24"/>
          <w:lang w:val="fr-FR"/>
        </w:rPr>
        <w:t>étiquetage des produits chimiques</w:t>
      </w:r>
    </w:p>
    <w:p w14:paraId="21BD3B74" w14:textId="77777777" w:rsidR="00555369" w:rsidRPr="002B3978" w:rsidRDefault="00555369" w:rsidP="00555369">
      <w:pPr>
        <w:spacing w:before="120"/>
        <w:ind w:right="4394"/>
        <w:rPr>
          <w:rFonts w:ascii="Helv" w:hAnsi="Helv" w:cs="Helv"/>
          <w:b/>
          <w:color w:val="000000"/>
          <w:lang w:val="fr-FR"/>
        </w:rPr>
      </w:pPr>
      <w:r w:rsidRPr="0083032E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83032E">
        <w:rPr>
          <w:b/>
          <w:lang w:val="fr-FR"/>
        </w:rPr>
        <w:t>experts du Système général harmonisé de</w:t>
      </w:r>
      <w:r>
        <w:rPr>
          <w:b/>
          <w:lang w:val="fr-FR"/>
        </w:rPr>
        <w:t> </w:t>
      </w:r>
      <w:r w:rsidRPr="0083032E">
        <w:rPr>
          <w:b/>
          <w:lang w:val="fr-FR"/>
        </w:rPr>
        <w:t>classification et d</w:t>
      </w:r>
      <w:r>
        <w:rPr>
          <w:b/>
          <w:lang w:val="fr-FR"/>
        </w:rPr>
        <w:t>’</w:t>
      </w:r>
      <w:r w:rsidRPr="0083032E">
        <w:rPr>
          <w:b/>
          <w:lang w:val="fr-FR"/>
        </w:rPr>
        <w:t>étiquetage des produits chimiques</w:t>
      </w:r>
    </w:p>
    <w:p w14:paraId="739EA176" w14:textId="77777777" w:rsidR="00555369" w:rsidRPr="002B3978" w:rsidRDefault="00555369" w:rsidP="00555369">
      <w:pPr>
        <w:spacing w:before="120"/>
        <w:ind w:right="4394"/>
        <w:rPr>
          <w:b/>
          <w:lang w:val="fr-FR"/>
        </w:rPr>
      </w:pPr>
      <w:r w:rsidRPr="002B3978">
        <w:rPr>
          <w:b/>
          <w:lang w:val="fr-FR"/>
        </w:rPr>
        <w:t>Quarantième session</w:t>
      </w:r>
    </w:p>
    <w:p w14:paraId="27A52148" w14:textId="77777777" w:rsidR="00555369" w:rsidRPr="002B3978" w:rsidRDefault="00555369" w:rsidP="00555369">
      <w:pPr>
        <w:ind w:right="4394"/>
        <w:rPr>
          <w:lang w:val="fr-FR"/>
        </w:rPr>
      </w:pPr>
      <w:r w:rsidRPr="002B3978">
        <w:rPr>
          <w:lang w:val="fr-FR"/>
        </w:rPr>
        <w:t>Genève, 5-7 juillet 2021</w:t>
      </w:r>
    </w:p>
    <w:p w14:paraId="04FA92EA" w14:textId="77777777" w:rsidR="00555369" w:rsidRPr="002B3978" w:rsidRDefault="00555369" w:rsidP="00555369">
      <w:pPr>
        <w:ind w:right="4394"/>
        <w:rPr>
          <w:lang w:val="fr-FR"/>
        </w:rPr>
      </w:pPr>
      <w:r w:rsidRPr="002B3978">
        <w:rPr>
          <w:lang w:val="fr-FR"/>
        </w:rPr>
        <w:t>Point 2 e) de l</w:t>
      </w:r>
      <w:r>
        <w:rPr>
          <w:lang w:val="fr-FR"/>
        </w:rPr>
        <w:t>’</w:t>
      </w:r>
      <w:r w:rsidRPr="002B3978">
        <w:rPr>
          <w:lang w:val="fr-FR"/>
        </w:rPr>
        <w:t>ordre du jour provisoire</w:t>
      </w:r>
    </w:p>
    <w:p w14:paraId="1BE2C0A0" w14:textId="6688FE4C" w:rsidR="00555369" w:rsidRPr="002B3978" w:rsidRDefault="00555369" w:rsidP="00555369">
      <w:pPr>
        <w:ind w:right="1134"/>
        <w:rPr>
          <w:b/>
          <w:bCs/>
          <w:lang w:val="fr-FR"/>
        </w:rPr>
      </w:pPr>
      <w:r w:rsidRPr="00BA0E21">
        <w:rPr>
          <w:b/>
          <w:bCs/>
          <w:lang w:val="fr-FR"/>
        </w:rPr>
        <w:t xml:space="preserve">Travaux relatifs au Système général harmonisé de classification </w:t>
      </w:r>
      <w:r>
        <w:rPr>
          <w:b/>
          <w:bCs/>
          <w:lang w:val="fr-FR"/>
        </w:rPr>
        <w:br/>
      </w:r>
      <w:r w:rsidRPr="00BA0E21">
        <w:rPr>
          <w:b/>
          <w:bCs/>
          <w:lang w:val="fr-FR"/>
        </w:rPr>
        <w:t>et d</w:t>
      </w:r>
      <w:r>
        <w:rPr>
          <w:b/>
          <w:bCs/>
          <w:lang w:val="fr-FR"/>
        </w:rPr>
        <w:t>’</w:t>
      </w:r>
      <w:r w:rsidRPr="00BA0E21">
        <w:rPr>
          <w:b/>
          <w:bCs/>
          <w:lang w:val="fr-FR"/>
        </w:rPr>
        <w:t>étiquetage des produits chimiques (SGH)</w:t>
      </w:r>
      <w:r>
        <w:rPr>
          <w:b/>
          <w:bCs/>
          <w:lang w:val="fr-FR"/>
        </w:rPr>
        <w:t> </w:t>
      </w:r>
      <w:r w:rsidRPr="002B3978">
        <w:rPr>
          <w:b/>
          <w:bCs/>
          <w:lang w:val="fr-FR"/>
        </w:rPr>
        <w:t xml:space="preserve">: critères de classification </w:t>
      </w:r>
      <w:r>
        <w:rPr>
          <w:b/>
          <w:bCs/>
          <w:lang w:val="fr-FR"/>
        </w:rPr>
        <w:br/>
      </w:r>
      <w:r w:rsidRPr="002B3978">
        <w:rPr>
          <w:b/>
          <w:bCs/>
          <w:lang w:val="fr-FR"/>
        </w:rPr>
        <w:t xml:space="preserve">de la mutagénicité </w:t>
      </w:r>
      <w:r>
        <w:rPr>
          <w:b/>
          <w:bCs/>
          <w:lang w:val="fr-FR"/>
        </w:rPr>
        <w:t>sur l</w:t>
      </w:r>
      <w:r w:rsidRPr="002B3978">
        <w:rPr>
          <w:b/>
          <w:bCs/>
          <w:lang w:val="fr-FR"/>
        </w:rPr>
        <w:t>es cellules germinales (sous-catégorie 1B)</w:t>
      </w:r>
    </w:p>
    <w:p w14:paraId="650474A4" w14:textId="3187F0C8" w:rsidR="00555369" w:rsidRPr="002B3978" w:rsidRDefault="00555369" w:rsidP="00555369">
      <w:pPr>
        <w:pStyle w:val="HChG"/>
        <w:rPr>
          <w:lang w:val="fr-FR"/>
        </w:rPr>
      </w:pPr>
      <w:r w:rsidRPr="002B3978">
        <w:rPr>
          <w:lang w:val="fr-FR"/>
        </w:rPr>
        <w:tab/>
      </w:r>
      <w:r w:rsidRPr="002B3978">
        <w:rPr>
          <w:lang w:val="fr-FR"/>
        </w:rPr>
        <w:tab/>
        <w:t xml:space="preserve">Mandat et programme de travail du groupe de travail informel </w:t>
      </w:r>
      <w:r>
        <w:rPr>
          <w:lang w:val="fr-FR"/>
        </w:rPr>
        <w:t>d</w:t>
      </w:r>
      <w:r w:rsidRPr="002B3978">
        <w:rPr>
          <w:lang w:val="fr-FR"/>
        </w:rPr>
        <w:t xml:space="preserve">es critères de classification de la mutagénicité </w:t>
      </w:r>
      <w:r w:rsidR="00CB0425">
        <w:rPr>
          <w:lang w:val="fr-FR"/>
        </w:rPr>
        <w:br/>
      </w:r>
      <w:r>
        <w:rPr>
          <w:lang w:val="fr-FR"/>
        </w:rPr>
        <w:t>sur</w:t>
      </w:r>
      <w:r w:rsidR="00CB0425">
        <w:rPr>
          <w:lang w:val="fr-FR"/>
        </w:rPr>
        <w:t xml:space="preserve"> </w:t>
      </w:r>
      <w:r>
        <w:rPr>
          <w:lang w:val="fr-FR"/>
        </w:rPr>
        <w:t>l</w:t>
      </w:r>
      <w:r w:rsidRPr="002B3978">
        <w:rPr>
          <w:lang w:val="fr-FR"/>
        </w:rPr>
        <w:t>es</w:t>
      </w:r>
      <w:r w:rsidR="00CB0425">
        <w:rPr>
          <w:lang w:val="fr-FR"/>
        </w:rPr>
        <w:t xml:space="preserve"> </w:t>
      </w:r>
      <w:r w:rsidRPr="002B3978">
        <w:rPr>
          <w:lang w:val="fr-FR"/>
        </w:rPr>
        <w:t xml:space="preserve">cellules germinales </w:t>
      </w:r>
    </w:p>
    <w:p w14:paraId="76FBB275" w14:textId="51260CC3" w:rsidR="00555369" w:rsidRPr="002B3978" w:rsidRDefault="00555369" w:rsidP="00555369">
      <w:pPr>
        <w:pStyle w:val="H1G"/>
        <w:rPr>
          <w:lang w:val="fr-FR"/>
        </w:rPr>
      </w:pPr>
      <w:r w:rsidRPr="002B3978">
        <w:rPr>
          <w:lang w:val="fr-FR"/>
        </w:rPr>
        <w:tab/>
      </w:r>
      <w:r w:rsidRPr="002B3978">
        <w:rPr>
          <w:lang w:val="fr-FR"/>
        </w:rPr>
        <w:tab/>
      </w:r>
      <w:r>
        <w:rPr>
          <w:lang w:val="fr-FR"/>
        </w:rPr>
        <w:t>Communication de</w:t>
      </w:r>
      <w:r w:rsidRPr="002B3978">
        <w:rPr>
          <w:lang w:val="fr-FR"/>
        </w:rPr>
        <w:t xml:space="preserve"> l</w:t>
      </w:r>
      <w:r>
        <w:rPr>
          <w:lang w:val="fr-FR"/>
        </w:rPr>
        <w:t>’</w:t>
      </w:r>
      <w:r w:rsidRPr="002B3978">
        <w:rPr>
          <w:lang w:val="fr-FR"/>
        </w:rPr>
        <w:t xml:space="preserve">Union européenne au nom du groupe </w:t>
      </w:r>
      <w:r>
        <w:rPr>
          <w:lang w:val="fr-FR"/>
        </w:rPr>
        <w:br/>
      </w:r>
      <w:proofErr w:type="gramStart"/>
      <w:r w:rsidRPr="002B3978">
        <w:rPr>
          <w:lang w:val="fr-FR"/>
        </w:rPr>
        <w:t>de</w:t>
      </w:r>
      <w:proofErr w:type="gramEnd"/>
      <w:r w:rsidRPr="002B3978">
        <w:rPr>
          <w:lang w:val="fr-FR"/>
        </w:rPr>
        <w:t xml:space="preserve"> travail informel </w:t>
      </w:r>
      <w:r>
        <w:rPr>
          <w:lang w:val="fr-FR"/>
        </w:rPr>
        <w:t>d</w:t>
      </w:r>
      <w:r w:rsidRPr="002B3978">
        <w:rPr>
          <w:lang w:val="fr-FR"/>
        </w:rPr>
        <w:t xml:space="preserve">es critères de classification </w:t>
      </w:r>
      <w:r>
        <w:rPr>
          <w:lang w:val="fr-FR"/>
        </w:rPr>
        <w:br/>
      </w:r>
      <w:r w:rsidRPr="002B3978">
        <w:rPr>
          <w:lang w:val="fr-FR"/>
        </w:rPr>
        <w:t xml:space="preserve">de la mutagénicité </w:t>
      </w:r>
      <w:r>
        <w:rPr>
          <w:lang w:val="fr-FR"/>
        </w:rPr>
        <w:t>sur l</w:t>
      </w:r>
      <w:r w:rsidRPr="002B3978">
        <w:rPr>
          <w:lang w:val="fr-FR"/>
        </w:rPr>
        <w:t>es cellules germinales</w:t>
      </w:r>
      <w:r w:rsidRPr="0055536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0FA2E83" w14:textId="77777777" w:rsidR="00555369" w:rsidRPr="002B3978" w:rsidRDefault="00555369" w:rsidP="00555369">
      <w:pPr>
        <w:pStyle w:val="HChG"/>
        <w:rPr>
          <w:lang w:val="fr-FR"/>
        </w:rPr>
      </w:pPr>
      <w:r w:rsidRPr="002B3978">
        <w:rPr>
          <w:lang w:val="fr-FR"/>
        </w:rPr>
        <w:tab/>
      </w:r>
      <w:r w:rsidRPr="002B3978">
        <w:rPr>
          <w:lang w:val="fr-FR"/>
        </w:rPr>
        <w:tab/>
        <w:t>Contexte</w:t>
      </w:r>
    </w:p>
    <w:p w14:paraId="08D722BF" w14:textId="5F8A6ECC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rFonts w:eastAsia="Times New Roman"/>
          <w:szCs w:val="22"/>
          <w:lang w:val="fr-FR" w:eastAsia="en-GB" w:bidi="en-GB"/>
        </w:rPr>
        <w:t>1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ab/>
        <w:t xml:space="preserve">Il est fait référence à la proposition </w:t>
      </w:r>
      <w:r>
        <w:rPr>
          <w:rFonts w:eastAsia="Times New Roman"/>
          <w:szCs w:val="22"/>
          <w:lang w:val="fr-FR" w:eastAsia="en-GB" w:bidi="en-GB"/>
        </w:rPr>
        <w:t>figurant</w:t>
      </w:r>
      <w:r w:rsidRPr="002B3978">
        <w:rPr>
          <w:rFonts w:eastAsia="Times New Roman"/>
          <w:szCs w:val="22"/>
          <w:lang w:val="fr-FR" w:eastAsia="en-GB" w:bidi="en-GB"/>
        </w:rPr>
        <w:t xml:space="preserve"> dans le document ST/SG/AC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>10/C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>4/2020/13, au document informel INF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37 </w:t>
      </w:r>
      <w:r w:rsidRPr="002B3978">
        <w:rPr>
          <w:lang w:val="fr-FR"/>
        </w:rPr>
        <w:t>(</w:t>
      </w:r>
      <w:r>
        <w:rPr>
          <w:lang w:val="fr-FR"/>
        </w:rPr>
        <w:t xml:space="preserve">trente-neuvième </w:t>
      </w:r>
      <w:r w:rsidRPr="002B3978">
        <w:rPr>
          <w:lang w:val="fr-FR"/>
        </w:rPr>
        <w:t xml:space="preserve">session) (Union européenne) </w:t>
      </w:r>
      <w:r>
        <w:rPr>
          <w:lang w:val="fr-FR"/>
        </w:rPr>
        <w:t>intitulé « </w:t>
      </w:r>
      <w:r w:rsidRPr="00A52BEF">
        <w:rPr>
          <w:lang w:val="fr-FR"/>
        </w:rPr>
        <w:t xml:space="preserve">Clarification of the </w:t>
      </w:r>
      <w:proofErr w:type="spellStart"/>
      <w:r w:rsidRPr="00A52BEF">
        <w:rPr>
          <w:lang w:val="fr-FR"/>
        </w:rPr>
        <w:t>criteria</w:t>
      </w:r>
      <w:proofErr w:type="spellEnd"/>
      <w:r w:rsidRPr="00A52BEF">
        <w:rPr>
          <w:lang w:val="fr-FR"/>
        </w:rPr>
        <w:t xml:space="preserve"> for classification for </w:t>
      </w:r>
      <w:proofErr w:type="spellStart"/>
      <w:r w:rsidRPr="00A52BEF">
        <w:rPr>
          <w:lang w:val="fr-FR"/>
        </w:rPr>
        <w:t>germ</w:t>
      </w:r>
      <w:proofErr w:type="spellEnd"/>
      <w:r w:rsidRPr="00A52BEF">
        <w:rPr>
          <w:lang w:val="fr-FR"/>
        </w:rPr>
        <w:t xml:space="preserve"> </w:t>
      </w:r>
      <w:proofErr w:type="spellStart"/>
      <w:r w:rsidRPr="00A52BEF">
        <w:rPr>
          <w:lang w:val="fr-FR"/>
        </w:rPr>
        <w:t>cell</w:t>
      </w:r>
      <w:proofErr w:type="spellEnd"/>
      <w:r w:rsidRPr="00A52BEF">
        <w:rPr>
          <w:lang w:val="fr-FR"/>
        </w:rPr>
        <w:t xml:space="preserve"> </w:t>
      </w:r>
      <w:proofErr w:type="spellStart"/>
      <w:r w:rsidRPr="00A52BEF">
        <w:rPr>
          <w:lang w:val="fr-FR"/>
        </w:rPr>
        <w:t>mutagenicity</w:t>
      </w:r>
      <w:proofErr w:type="spellEnd"/>
      <w:r w:rsidRPr="00A52BEF">
        <w:rPr>
          <w:lang w:val="fr-FR"/>
        </w:rPr>
        <w:t xml:space="preserve"> in </w:t>
      </w:r>
      <w:proofErr w:type="spellStart"/>
      <w:r w:rsidRPr="00A52BEF">
        <w:rPr>
          <w:lang w:val="fr-FR"/>
        </w:rPr>
        <w:t>category</w:t>
      </w:r>
      <w:proofErr w:type="spellEnd"/>
      <w:r>
        <w:rPr>
          <w:lang w:val="fr-FR"/>
        </w:rPr>
        <w:t> </w:t>
      </w:r>
      <w:r w:rsidRPr="00A52BEF">
        <w:rPr>
          <w:lang w:val="fr-FR"/>
        </w:rPr>
        <w:t>1B</w:t>
      </w:r>
      <w:r>
        <w:rPr>
          <w:lang w:val="fr-FR"/>
        </w:rPr>
        <w:t> » (« </w:t>
      </w:r>
      <w:r w:rsidRPr="00A52BEF">
        <w:rPr>
          <w:iCs/>
          <w:lang w:val="fr-FR"/>
        </w:rPr>
        <w:t>Précision concernant les critères de classification de la mutagénicité sur les cellules germinales dans la catégorie 1B</w:t>
      </w:r>
      <w:r>
        <w:rPr>
          <w:iCs/>
          <w:lang w:val="fr-FR"/>
        </w:rPr>
        <w:t> »)</w:t>
      </w:r>
      <w:r w:rsidRPr="00A52BEF">
        <w:rPr>
          <w:i/>
          <w:lang w:val="fr-FR"/>
        </w:rPr>
        <w:t xml:space="preserve"> </w:t>
      </w:r>
      <w:r w:rsidRPr="002B3978">
        <w:rPr>
          <w:lang w:val="fr-FR"/>
        </w:rPr>
        <w:t>et au rapport du Sous-</w:t>
      </w:r>
      <w:r>
        <w:rPr>
          <w:lang w:val="fr-FR"/>
        </w:rPr>
        <w:t>C</w:t>
      </w:r>
      <w:r w:rsidRPr="002B3978">
        <w:rPr>
          <w:lang w:val="fr-FR"/>
        </w:rPr>
        <w:t xml:space="preserve">omité sur sa trente-neuvième </w:t>
      </w:r>
      <w:r w:rsidRPr="002B3978">
        <w:rPr>
          <w:rFonts w:eastAsia="Times New Roman"/>
          <w:szCs w:val="22"/>
          <w:lang w:val="fr-FR" w:eastAsia="en-GB" w:bidi="en-GB"/>
        </w:rPr>
        <w:t>session (ST/SG/AC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>10/C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>4/78)</w:t>
      </w:r>
      <w:r>
        <w:rPr>
          <w:rFonts w:eastAsia="Times New Roman"/>
          <w:szCs w:val="22"/>
          <w:lang w:val="fr-FR" w:eastAsia="en-GB" w:bidi="en-GB"/>
        </w:rPr>
        <w:t>, au cours de laquelle celui-ci</w:t>
      </w:r>
      <w:r w:rsidRPr="002B3978">
        <w:rPr>
          <w:rFonts w:eastAsia="Times New Roman"/>
          <w:szCs w:val="22"/>
          <w:lang w:val="fr-FR" w:eastAsia="en-GB" w:bidi="en-GB"/>
        </w:rPr>
        <w:t xml:space="preserve"> a donné son accord de principe à la proposition de traiter la question décrite dans le document informel INF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37 </w:t>
      </w:r>
      <w:r>
        <w:rPr>
          <w:rFonts w:eastAsia="Times New Roman"/>
          <w:szCs w:val="22"/>
          <w:lang w:val="fr-FR" w:eastAsia="en-GB" w:bidi="en-GB"/>
        </w:rPr>
        <w:t xml:space="preserve">dans le cadre </w:t>
      </w:r>
      <w:r w:rsidRPr="002B3978">
        <w:rPr>
          <w:rFonts w:eastAsia="Times New Roman"/>
          <w:szCs w:val="22"/>
          <w:lang w:val="fr-FR" w:eastAsia="en-GB" w:bidi="en-GB"/>
        </w:rPr>
        <w:t>d</w:t>
      </w:r>
      <w:r>
        <w:rPr>
          <w:rFonts w:eastAsia="Times New Roman"/>
          <w:szCs w:val="22"/>
          <w:lang w:val="fr-FR" w:eastAsia="en-GB" w:bidi="en-GB"/>
        </w:rPr>
        <w:t>’</w:t>
      </w:r>
      <w:r w:rsidRPr="002B3978">
        <w:rPr>
          <w:rFonts w:eastAsia="Times New Roman"/>
          <w:szCs w:val="22"/>
          <w:lang w:val="fr-FR" w:eastAsia="en-GB" w:bidi="en-GB"/>
        </w:rPr>
        <w:t>un groupe de travail informel, à condition que l</w:t>
      </w:r>
      <w:r>
        <w:rPr>
          <w:rFonts w:eastAsia="Times New Roman"/>
          <w:szCs w:val="22"/>
          <w:lang w:val="fr-FR" w:eastAsia="en-GB" w:bidi="en-GB"/>
        </w:rPr>
        <w:t>’</w:t>
      </w:r>
      <w:r w:rsidRPr="00974D23">
        <w:rPr>
          <w:rFonts w:eastAsia="Times New Roman"/>
          <w:szCs w:val="22"/>
          <w:lang w:val="fr-FR" w:eastAsia="en-GB" w:bidi="en-GB"/>
        </w:rPr>
        <w:t xml:space="preserve">Organisation de coopération et de développement économiques </w:t>
      </w:r>
      <w:r>
        <w:rPr>
          <w:rFonts w:eastAsia="Times New Roman"/>
          <w:szCs w:val="22"/>
          <w:lang w:val="fr-FR" w:eastAsia="en-GB" w:bidi="en-GB"/>
        </w:rPr>
        <w:t>(</w:t>
      </w:r>
      <w:r w:rsidRPr="002B3978">
        <w:rPr>
          <w:rFonts w:eastAsia="Times New Roman"/>
          <w:szCs w:val="22"/>
          <w:lang w:val="fr-FR" w:eastAsia="en-GB" w:bidi="en-GB"/>
        </w:rPr>
        <w:t>OCDE</w:t>
      </w:r>
      <w:r>
        <w:rPr>
          <w:rFonts w:eastAsia="Times New Roman"/>
          <w:szCs w:val="22"/>
          <w:lang w:val="fr-FR" w:eastAsia="en-GB" w:bidi="en-GB"/>
        </w:rPr>
        <w:t>)</w:t>
      </w:r>
      <w:r w:rsidRPr="002B3978">
        <w:rPr>
          <w:rFonts w:eastAsia="Times New Roman"/>
          <w:szCs w:val="22"/>
          <w:lang w:val="fr-FR" w:eastAsia="en-GB" w:bidi="en-GB"/>
        </w:rPr>
        <w:t xml:space="preserve"> participe aux travaux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 Le Sous-</w:t>
      </w:r>
      <w:r>
        <w:rPr>
          <w:rFonts w:eastAsia="Times New Roman"/>
          <w:szCs w:val="22"/>
          <w:lang w:val="fr-FR" w:eastAsia="en-GB" w:bidi="en-GB"/>
        </w:rPr>
        <w:t>C</w:t>
      </w:r>
      <w:r w:rsidRPr="002B3978">
        <w:rPr>
          <w:rFonts w:eastAsia="Times New Roman"/>
          <w:szCs w:val="22"/>
          <w:lang w:val="fr-FR" w:eastAsia="en-GB" w:bidi="en-GB"/>
        </w:rPr>
        <w:t xml:space="preserve">omité a convenu que la première tâche du groupe de travail informel serait de </w:t>
      </w:r>
      <w:r>
        <w:rPr>
          <w:rFonts w:eastAsia="Times New Roman"/>
          <w:szCs w:val="22"/>
          <w:lang w:val="fr-FR" w:eastAsia="en-GB" w:bidi="en-GB"/>
        </w:rPr>
        <w:t>débattre</w:t>
      </w:r>
      <w:r w:rsidRPr="002B3978">
        <w:rPr>
          <w:rFonts w:eastAsia="Times New Roman"/>
          <w:szCs w:val="22"/>
          <w:lang w:val="fr-FR" w:eastAsia="en-GB" w:bidi="en-GB"/>
        </w:rPr>
        <w:t xml:space="preserve"> et de convenir d</w:t>
      </w:r>
      <w:r>
        <w:rPr>
          <w:rFonts w:eastAsia="Times New Roman"/>
          <w:szCs w:val="22"/>
          <w:lang w:val="fr-FR" w:eastAsia="en-GB" w:bidi="en-GB"/>
        </w:rPr>
        <w:t>u</w:t>
      </w:r>
      <w:r w:rsidRPr="002B3978">
        <w:rPr>
          <w:rFonts w:eastAsia="Times New Roman"/>
          <w:szCs w:val="22"/>
          <w:lang w:val="fr-FR" w:eastAsia="en-GB" w:bidi="en-GB"/>
        </w:rPr>
        <w:t xml:space="preserve"> </w:t>
      </w:r>
      <w:r w:rsidRPr="00444C1B">
        <w:rPr>
          <w:rFonts w:eastAsia="Times New Roman"/>
          <w:szCs w:val="22"/>
          <w:lang w:val="fr-FR" w:eastAsia="en-GB" w:bidi="en-GB"/>
        </w:rPr>
        <w:t xml:space="preserve">mandat </w:t>
      </w:r>
      <w:r w:rsidRPr="002B3978">
        <w:rPr>
          <w:rFonts w:eastAsia="Times New Roman"/>
          <w:szCs w:val="22"/>
          <w:lang w:val="fr-FR" w:eastAsia="en-GB" w:bidi="en-GB"/>
        </w:rPr>
        <w:t>de ses travaux sur la base du projet de document informel INF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>37 et en tenant compte des commentaires faits par le Sous-</w:t>
      </w:r>
      <w:r>
        <w:rPr>
          <w:rFonts w:eastAsia="Times New Roman"/>
          <w:szCs w:val="22"/>
          <w:lang w:val="fr-FR" w:eastAsia="en-GB" w:bidi="en-GB"/>
        </w:rPr>
        <w:t>C</w:t>
      </w:r>
      <w:r w:rsidRPr="002B3978">
        <w:rPr>
          <w:rFonts w:eastAsia="Times New Roman"/>
          <w:szCs w:val="22"/>
          <w:lang w:val="fr-FR" w:eastAsia="en-GB" w:bidi="en-GB"/>
        </w:rPr>
        <w:t xml:space="preserve">omité, </w:t>
      </w:r>
      <w:r>
        <w:rPr>
          <w:rFonts w:eastAsia="Times New Roman"/>
          <w:szCs w:val="22"/>
          <w:lang w:val="fr-FR" w:eastAsia="en-GB" w:bidi="en-GB"/>
        </w:rPr>
        <w:t>notamment d’examiner</w:t>
      </w:r>
      <w:r w:rsidRPr="002B3978">
        <w:rPr>
          <w:rFonts w:eastAsia="Times New Roman"/>
          <w:szCs w:val="22"/>
          <w:lang w:val="fr-FR" w:eastAsia="en-GB" w:bidi="en-GB"/>
        </w:rPr>
        <w:t xml:space="preserve"> tout travail visant à saisir les </w:t>
      </w:r>
      <w:r w:rsidRPr="00BF79AB">
        <w:rPr>
          <w:rFonts w:eastAsia="Times New Roman"/>
          <w:szCs w:val="22"/>
          <w:lang w:val="fr-FR" w:eastAsia="en-GB" w:bidi="en-GB"/>
        </w:rPr>
        <w:t>méthodes d</w:t>
      </w:r>
      <w:r>
        <w:rPr>
          <w:rFonts w:eastAsia="Times New Roman"/>
          <w:szCs w:val="22"/>
          <w:lang w:val="fr-FR" w:eastAsia="en-GB" w:bidi="en-GB"/>
        </w:rPr>
        <w:t>’</w:t>
      </w:r>
      <w:r w:rsidRPr="00BF79AB">
        <w:rPr>
          <w:rFonts w:eastAsia="Times New Roman"/>
          <w:szCs w:val="22"/>
          <w:lang w:val="fr-FR" w:eastAsia="en-GB" w:bidi="en-GB"/>
        </w:rPr>
        <w:t>expérimentation non animale</w:t>
      </w:r>
      <w:r w:rsidRPr="002B3978">
        <w:rPr>
          <w:rFonts w:eastAsia="Times New Roman"/>
          <w:szCs w:val="22"/>
          <w:lang w:val="fr-FR" w:eastAsia="en-GB" w:bidi="en-GB"/>
        </w:rPr>
        <w:t xml:space="preserve"> avec le </w:t>
      </w:r>
      <w:r w:rsidRPr="00BF79AB">
        <w:rPr>
          <w:rFonts w:eastAsia="Times New Roman"/>
          <w:szCs w:val="22"/>
          <w:lang w:val="fr-FR" w:eastAsia="en-GB" w:bidi="en-GB"/>
        </w:rPr>
        <w:t>groupe de travail informel des méthodes d</w:t>
      </w:r>
      <w:r>
        <w:rPr>
          <w:rFonts w:eastAsia="Times New Roman"/>
          <w:szCs w:val="22"/>
          <w:lang w:val="fr-FR" w:eastAsia="en-GB" w:bidi="en-GB"/>
        </w:rPr>
        <w:t>’</w:t>
      </w:r>
      <w:r w:rsidRPr="00BF79AB">
        <w:rPr>
          <w:rFonts w:eastAsia="Times New Roman"/>
          <w:szCs w:val="22"/>
          <w:lang w:val="fr-FR" w:eastAsia="en-GB" w:bidi="en-GB"/>
        </w:rPr>
        <w:t>expérimentation non animales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 Le groupe de travail informel </w:t>
      </w:r>
      <w:r>
        <w:rPr>
          <w:rFonts w:eastAsia="Times New Roman"/>
          <w:szCs w:val="22"/>
          <w:lang w:val="fr-FR" w:eastAsia="en-GB" w:bidi="en-GB"/>
        </w:rPr>
        <w:t>communiquerait</w:t>
      </w:r>
      <w:r w:rsidRPr="002B3978">
        <w:rPr>
          <w:rFonts w:eastAsia="Times New Roman"/>
          <w:szCs w:val="22"/>
          <w:lang w:val="fr-FR" w:eastAsia="en-GB" w:bidi="en-GB"/>
        </w:rPr>
        <w:t xml:space="preserve"> le </w:t>
      </w:r>
      <w:r w:rsidRPr="00444C1B">
        <w:rPr>
          <w:rFonts w:eastAsia="Times New Roman"/>
          <w:szCs w:val="22"/>
          <w:lang w:val="fr-FR" w:eastAsia="en-GB" w:bidi="en-GB"/>
        </w:rPr>
        <w:t xml:space="preserve">mandat </w:t>
      </w:r>
      <w:r w:rsidRPr="002B3978">
        <w:rPr>
          <w:rFonts w:eastAsia="Times New Roman"/>
          <w:szCs w:val="22"/>
          <w:lang w:val="fr-FR" w:eastAsia="en-GB" w:bidi="en-GB"/>
        </w:rPr>
        <w:t>convenu et un programme de travail détaillé au Sous-Comité pour examen à une session ultérieure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 Il a été noté que les travaux du groupe de travail informel seraient organisés par le Centre commun de recherche (CCR) de la Commission européenne</w:t>
      </w:r>
      <w:r w:rsidR="00CB0425" w:rsidRPr="00CB0425">
        <w:rPr>
          <w:rFonts w:eastAsia="Times New Roman"/>
          <w:szCs w:val="22"/>
          <w:lang w:val="fr-FR" w:eastAsia="en-GB" w:bidi="en-GB"/>
        </w:rPr>
        <w:t>.</w:t>
      </w:r>
      <w:r w:rsidRPr="002B3978">
        <w:rPr>
          <w:rFonts w:eastAsia="Times New Roman"/>
          <w:szCs w:val="22"/>
          <w:lang w:val="fr-FR" w:eastAsia="en-GB" w:bidi="en-GB"/>
        </w:rPr>
        <w:t xml:space="preserve"> </w:t>
      </w:r>
    </w:p>
    <w:p w14:paraId="405CB3FB" w14:textId="6B68292E" w:rsidR="00555369" w:rsidRPr="002B3978" w:rsidRDefault="00555369" w:rsidP="00555369">
      <w:pPr>
        <w:pStyle w:val="SingleTxtG"/>
        <w:keepNext/>
        <w:keepLines/>
        <w:rPr>
          <w:lang w:val="fr-FR"/>
        </w:rPr>
      </w:pPr>
      <w:r w:rsidRPr="002B3978">
        <w:rPr>
          <w:lang w:val="fr-FR"/>
        </w:rPr>
        <w:lastRenderedPageBreak/>
        <w:t>2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  <w:t xml:space="preserve">Le projet de mandat a été examiné lors de la réunion de lancement du groupe de travail informel </w:t>
      </w:r>
      <w:r>
        <w:rPr>
          <w:lang w:val="fr-FR"/>
        </w:rPr>
        <w:t>d</w:t>
      </w:r>
      <w:r w:rsidRPr="002B3978">
        <w:rPr>
          <w:lang w:val="fr-FR"/>
        </w:rPr>
        <w:t xml:space="preserve">es critères de classification de la mutagénicité </w:t>
      </w:r>
      <w:r>
        <w:rPr>
          <w:lang w:val="fr-FR"/>
        </w:rPr>
        <w:t>s</w:t>
      </w:r>
      <w:r w:rsidRPr="002B3978">
        <w:rPr>
          <w:lang w:val="fr-FR"/>
        </w:rPr>
        <w:t>ur les cellules germinales, qui s</w:t>
      </w:r>
      <w:r>
        <w:rPr>
          <w:lang w:val="fr-FR"/>
        </w:rPr>
        <w:t>’</w:t>
      </w:r>
      <w:r w:rsidRPr="002B3978">
        <w:rPr>
          <w:lang w:val="fr-FR"/>
        </w:rPr>
        <w:t>est tenue le 2 mars 2021, dans l</w:t>
      </w:r>
      <w:r>
        <w:rPr>
          <w:lang w:val="fr-FR"/>
        </w:rPr>
        <w:t>’objectif</w:t>
      </w:r>
      <w:r w:rsidRPr="002B3978">
        <w:rPr>
          <w:lang w:val="fr-FR"/>
        </w:rPr>
        <w:t xml:space="preserve"> de soumettre </w:t>
      </w:r>
      <w:r>
        <w:rPr>
          <w:lang w:val="fr-FR"/>
        </w:rPr>
        <w:t>a</w:t>
      </w:r>
      <w:r w:rsidRPr="002B3978">
        <w:rPr>
          <w:lang w:val="fr-FR"/>
        </w:rPr>
        <w:t>u Sous-Comité</w:t>
      </w:r>
      <w:r>
        <w:rPr>
          <w:lang w:val="fr-FR"/>
        </w:rPr>
        <w:t>,</w:t>
      </w:r>
      <w:r w:rsidRPr="002B3978">
        <w:rPr>
          <w:lang w:val="fr-FR"/>
        </w:rPr>
        <w:t xml:space="preserve"> pour approbation à la quarantième session</w:t>
      </w:r>
      <w:r>
        <w:rPr>
          <w:lang w:val="fr-FR"/>
        </w:rPr>
        <w:t>,</w:t>
      </w:r>
      <w:r w:rsidRPr="002B3978">
        <w:rPr>
          <w:lang w:val="fr-FR"/>
        </w:rPr>
        <w:t xml:space="preserve"> le mandat proposé par le groupe de travail informe</w:t>
      </w:r>
      <w:r>
        <w:rPr>
          <w:lang w:val="fr-FR"/>
        </w:rPr>
        <w:t>l</w:t>
      </w:r>
      <w:r w:rsidRPr="002B3978">
        <w:rPr>
          <w:lang w:val="fr-FR"/>
        </w:rPr>
        <w:t xml:space="preserve"> accompagné d</w:t>
      </w:r>
      <w:r>
        <w:rPr>
          <w:lang w:val="fr-FR"/>
        </w:rPr>
        <w:t>’</w:t>
      </w:r>
      <w:r w:rsidRPr="002B3978">
        <w:rPr>
          <w:lang w:val="fr-FR"/>
        </w:rPr>
        <w:t>un programme de travail détaillé</w:t>
      </w:r>
      <w:r w:rsidR="00CB0425" w:rsidRPr="00CB0425">
        <w:rPr>
          <w:lang w:val="fr-FR"/>
        </w:rPr>
        <w:t>.</w:t>
      </w:r>
    </w:p>
    <w:p w14:paraId="3F717FAC" w14:textId="5878E149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lang w:val="fr-FR"/>
        </w:rPr>
        <w:t>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</w:r>
      <w:r>
        <w:rPr>
          <w:lang w:val="fr-FR"/>
        </w:rPr>
        <w:t>L</w:t>
      </w:r>
      <w:r w:rsidRPr="002B3978">
        <w:rPr>
          <w:lang w:val="fr-FR"/>
        </w:rPr>
        <w:t xml:space="preserve">a proposition initiale approuvée par le </w:t>
      </w:r>
      <w:r>
        <w:rPr>
          <w:lang w:val="fr-FR"/>
        </w:rPr>
        <w:t>S</w:t>
      </w:r>
      <w:r w:rsidRPr="002B3978">
        <w:rPr>
          <w:lang w:val="fr-FR"/>
        </w:rPr>
        <w:t>ous-</w:t>
      </w:r>
      <w:r>
        <w:rPr>
          <w:lang w:val="fr-FR"/>
        </w:rPr>
        <w:t>C</w:t>
      </w:r>
      <w:r w:rsidRPr="002B3978">
        <w:rPr>
          <w:lang w:val="fr-FR"/>
        </w:rPr>
        <w:t xml:space="preserve">omité </w:t>
      </w:r>
      <w:r>
        <w:rPr>
          <w:lang w:val="fr-FR"/>
        </w:rPr>
        <w:t>était</w:t>
      </w:r>
      <w:r w:rsidRPr="002B3978">
        <w:rPr>
          <w:lang w:val="fr-FR"/>
        </w:rPr>
        <w:t xml:space="preserve"> concentr</w:t>
      </w:r>
      <w:r>
        <w:rPr>
          <w:lang w:val="fr-FR"/>
        </w:rPr>
        <w:t>ée</w:t>
      </w:r>
      <w:r w:rsidRPr="002B3978">
        <w:rPr>
          <w:lang w:val="fr-FR"/>
        </w:rPr>
        <w:t xml:space="preserve"> sur la révision des critères de la catégorie 1B, </w:t>
      </w:r>
      <w:r>
        <w:rPr>
          <w:lang w:val="fr-FR"/>
        </w:rPr>
        <w:t xml:space="preserve">mais </w:t>
      </w:r>
      <w:r w:rsidRPr="002B3978">
        <w:rPr>
          <w:lang w:val="fr-FR"/>
        </w:rPr>
        <w:t>les membres du groupe de travail informel ont ressenti le besoin de revoir également les critères des catégories 1A et 2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En particulier, le critère de la catégorie 1A a été extrêmement difficile à appliquer en raison de l</w:t>
      </w:r>
      <w:r>
        <w:rPr>
          <w:lang w:val="fr-FR"/>
        </w:rPr>
        <w:t>’</w:t>
      </w:r>
      <w:r w:rsidRPr="002B3978">
        <w:rPr>
          <w:lang w:val="fr-FR"/>
        </w:rPr>
        <w:t>indisponibilité de données provenant d</w:t>
      </w:r>
      <w:r>
        <w:rPr>
          <w:lang w:val="fr-FR"/>
        </w:rPr>
        <w:t>’</w:t>
      </w:r>
      <w:r w:rsidRPr="002B3978">
        <w:rPr>
          <w:lang w:val="fr-FR"/>
        </w:rPr>
        <w:t>études épidémiologiques sur l</w:t>
      </w:r>
      <w:r>
        <w:rPr>
          <w:lang w:val="fr-FR"/>
        </w:rPr>
        <w:t>’</w:t>
      </w:r>
      <w:r w:rsidRPr="002B3978">
        <w:rPr>
          <w:lang w:val="fr-FR"/>
        </w:rPr>
        <w:t>homme ainsi que d</w:t>
      </w:r>
      <w:r>
        <w:rPr>
          <w:lang w:val="fr-FR"/>
        </w:rPr>
        <w:t>’</w:t>
      </w:r>
      <w:r w:rsidRPr="002B3978">
        <w:rPr>
          <w:lang w:val="fr-FR"/>
        </w:rPr>
        <w:t>orientations limitées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Dans l</w:t>
      </w:r>
      <w:r>
        <w:rPr>
          <w:lang w:val="fr-FR"/>
        </w:rPr>
        <w:t>’</w:t>
      </w:r>
      <w:r w:rsidRPr="002B3978">
        <w:rPr>
          <w:lang w:val="fr-FR"/>
        </w:rPr>
        <w:t xml:space="preserve">ensemble, il sera important de </w:t>
      </w:r>
      <w:r>
        <w:rPr>
          <w:lang w:val="fr-FR"/>
        </w:rPr>
        <w:t>précis</w:t>
      </w:r>
      <w:r w:rsidRPr="002B3978">
        <w:rPr>
          <w:lang w:val="fr-FR"/>
        </w:rPr>
        <w:t>er l</w:t>
      </w:r>
      <w:r>
        <w:rPr>
          <w:lang w:val="fr-FR"/>
        </w:rPr>
        <w:t>e degré de</w:t>
      </w:r>
      <w:r w:rsidRPr="002B3978">
        <w:rPr>
          <w:lang w:val="fr-FR"/>
        </w:rPr>
        <w:t xml:space="preserve"> rigueur des </w:t>
      </w:r>
      <w:r>
        <w:rPr>
          <w:lang w:val="fr-FR"/>
        </w:rPr>
        <w:t xml:space="preserve">éléments de </w:t>
      </w:r>
      <w:r w:rsidRPr="002B3978">
        <w:rPr>
          <w:lang w:val="fr-FR"/>
        </w:rPr>
        <w:t>preuve nécessaires à la classification dans chacune des catégories</w:t>
      </w:r>
      <w:r w:rsidR="00CB0425" w:rsidRPr="00CB0425">
        <w:rPr>
          <w:lang w:val="fr-FR"/>
        </w:rPr>
        <w:t>.</w:t>
      </w:r>
    </w:p>
    <w:p w14:paraId="003BBB03" w14:textId="12CB097E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rStyle w:val="acopre"/>
          <w:lang w:val="fr-FR"/>
        </w:rPr>
        <w:t>4</w:t>
      </w:r>
      <w:r w:rsidR="00CB0425" w:rsidRPr="00CB0425">
        <w:rPr>
          <w:rStyle w:val="acopre"/>
          <w:lang w:val="fr-FR"/>
        </w:rPr>
        <w:t>.</w:t>
      </w:r>
      <w:r w:rsidRPr="002B3978">
        <w:rPr>
          <w:rStyle w:val="acopre"/>
          <w:lang w:val="fr-FR"/>
        </w:rPr>
        <w:tab/>
      </w:r>
      <w:r w:rsidRPr="002B3978">
        <w:rPr>
          <w:lang w:val="fr-FR"/>
        </w:rPr>
        <w:t>Outre les points spécifiés dans le document informel INF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37, les questions </w:t>
      </w:r>
      <w:r>
        <w:rPr>
          <w:lang w:val="fr-FR"/>
        </w:rPr>
        <w:t>additionnell</w:t>
      </w:r>
      <w:r w:rsidRPr="002B3978">
        <w:rPr>
          <w:lang w:val="fr-FR"/>
        </w:rPr>
        <w:t>es détaillées ci-dessous ont été incluses dans le mandat : i) revoir les critères de classification dans la catégorie 1A et la catégorie 2</w:t>
      </w:r>
      <w:r>
        <w:rPr>
          <w:lang w:val="fr-FR"/>
        </w:rPr>
        <w:t> ;</w:t>
      </w:r>
      <w:r w:rsidRPr="002B3978">
        <w:rPr>
          <w:lang w:val="fr-FR"/>
        </w:rPr>
        <w:t xml:space="preserve"> ii) s</w:t>
      </w:r>
      <w:r>
        <w:rPr>
          <w:lang w:val="fr-FR"/>
        </w:rPr>
        <w:t>’</w:t>
      </w:r>
      <w:r w:rsidRPr="002B3978">
        <w:rPr>
          <w:lang w:val="fr-FR"/>
        </w:rPr>
        <w:t>assurer que les critères révisés sont cohérents entre eux</w:t>
      </w:r>
      <w:r>
        <w:rPr>
          <w:lang w:val="fr-FR"/>
        </w:rPr>
        <w:t> ;</w:t>
      </w:r>
      <w:r w:rsidRPr="002B3978">
        <w:rPr>
          <w:lang w:val="fr-FR"/>
        </w:rPr>
        <w:t xml:space="preserve"> et iii) modifier la logique de décision et les orientations du chapitre 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5, si nécessaire, </w:t>
      </w:r>
      <w:r>
        <w:rPr>
          <w:lang w:val="fr-FR"/>
        </w:rPr>
        <w:t>de manière qu’elles con</w:t>
      </w:r>
      <w:r w:rsidRPr="002B3978">
        <w:rPr>
          <w:lang w:val="fr-FR"/>
        </w:rPr>
        <w:t>cord</w:t>
      </w:r>
      <w:r>
        <w:rPr>
          <w:lang w:val="fr-FR"/>
        </w:rPr>
        <w:t>ent</w:t>
      </w:r>
      <w:r w:rsidRPr="002B3978">
        <w:rPr>
          <w:lang w:val="fr-FR"/>
        </w:rPr>
        <w:t xml:space="preserve"> avec les critères révisés</w:t>
      </w:r>
      <w:r w:rsidR="00CB0425" w:rsidRPr="00CB0425">
        <w:rPr>
          <w:lang w:val="fr-FR"/>
        </w:rPr>
        <w:t>.</w:t>
      </w:r>
    </w:p>
    <w:p w14:paraId="0E82072F" w14:textId="77777777" w:rsidR="00555369" w:rsidRPr="002B3978" w:rsidRDefault="00555369" w:rsidP="00555369">
      <w:pPr>
        <w:pStyle w:val="HChG"/>
        <w:rPr>
          <w:lang w:val="fr-FR"/>
        </w:rPr>
      </w:pPr>
      <w:r w:rsidRPr="002B3978">
        <w:rPr>
          <w:lang w:val="fr-FR"/>
        </w:rPr>
        <w:tab/>
      </w:r>
      <w:r w:rsidRPr="002B3978">
        <w:rPr>
          <w:lang w:val="fr-FR"/>
        </w:rPr>
        <w:tab/>
        <w:t>Proposition</w:t>
      </w:r>
    </w:p>
    <w:p w14:paraId="2D5A462E" w14:textId="052C8A5F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lang w:val="fr-FR"/>
        </w:rPr>
        <w:t>5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  <w:t>Les termes de référence suivants sont proposés pour le groupe de</w:t>
      </w:r>
      <w:r w:rsidRPr="007705C5">
        <w:rPr>
          <w:lang w:val="fr-FR"/>
        </w:rPr>
        <w:t xml:space="preserve"> </w:t>
      </w:r>
      <w:r w:rsidRPr="002B3978">
        <w:rPr>
          <w:lang w:val="fr-FR"/>
        </w:rPr>
        <w:t>travail informel</w:t>
      </w:r>
      <w:r w:rsidRPr="00555369">
        <w:rPr>
          <w:rStyle w:val="FootnoteReference"/>
        </w:rPr>
        <w:footnoteReference w:id="3"/>
      </w:r>
      <w:r>
        <w:rPr>
          <w:lang w:val="fr-FR"/>
        </w:rPr>
        <w:t> </w:t>
      </w:r>
      <w:r w:rsidRPr="002B3978">
        <w:rPr>
          <w:lang w:val="fr-FR"/>
        </w:rPr>
        <w:t>:</w:t>
      </w:r>
    </w:p>
    <w:p w14:paraId="7B432C14" w14:textId="77777777" w:rsidR="00555369" w:rsidRDefault="00555369" w:rsidP="00555369">
      <w:pPr>
        <w:pStyle w:val="SingleTxtG"/>
        <w:ind w:firstLine="567"/>
        <w:rPr>
          <w:lang w:val="fr-FR"/>
        </w:rPr>
      </w:pPr>
      <w:r w:rsidRPr="002B3978">
        <w:rPr>
          <w:lang w:val="fr-FR"/>
        </w:rPr>
        <w:tab/>
        <w:t>a)</w:t>
      </w:r>
      <w:r w:rsidRPr="002B3978">
        <w:rPr>
          <w:lang w:val="fr-FR"/>
        </w:rPr>
        <w:tab/>
        <w:t>Revoir les critères de classification :</w:t>
      </w:r>
    </w:p>
    <w:p w14:paraId="5AFEF7B8" w14:textId="77777777" w:rsidR="00555369" w:rsidRDefault="00555369" w:rsidP="00555369">
      <w:pPr>
        <w:pStyle w:val="SingleTxtG"/>
        <w:ind w:left="2694" w:hanging="426"/>
        <w:rPr>
          <w:lang w:val="fr-FR"/>
        </w:rPr>
      </w:pPr>
      <w:r w:rsidRPr="002B3978">
        <w:rPr>
          <w:lang w:val="fr-FR"/>
        </w:rPr>
        <w:t>i)</w:t>
      </w:r>
      <w:r w:rsidRPr="002B3978">
        <w:rPr>
          <w:lang w:val="fr-FR"/>
        </w:rPr>
        <w:tab/>
      </w:r>
      <w:r w:rsidRPr="00BA6BEE">
        <w:rPr>
          <w:lang w:val="fr-FR"/>
        </w:rPr>
        <w:t xml:space="preserve">Revoir </w:t>
      </w:r>
      <w:r w:rsidRPr="002B3978">
        <w:rPr>
          <w:lang w:val="fr-FR"/>
        </w:rPr>
        <w:t>les critères de classification dans la catégorie 1B, y compris l</w:t>
      </w:r>
      <w:r>
        <w:rPr>
          <w:lang w:val="fr-FR"/>
        </w:rPr>
        <w:t>’</w:t>
      </w:r>
      <w:r w:rsidRPr="002B3978">
        <w:rPr>
          <w:lang w:val="fr-FR"/>
        </w:rPr>
        <w:t>utilisation d</w:t>
      </w:r>
      <w:r>
        <w:rPr>
          <w:lang w:val="fr-FR"/>
        </w:rPr>
        <w:t>’</w:t>
      </w:r>
      <w:r w:rsidRPr="002B3978">
        <w:rPr>
          <w:lang w:val="fr-FR"/>
        </w:rPr>
        <w:t>autres types de données comme preuve indirecte d</w:t>
      </w:r>
      <w:r>
        <w:rPr>
          <w:lang w:val="fr-FR"/>
        </w:rPr>
        <w:t>’</w:t>
      </w:r>
      <w:r w:rsidRPr="002B3978">
        <w:rPr>
          <w:lang w:val="fr-FR"/>
        </w:rPr>
        <w:t xml:space="preserve">interaction avec les cellules germinales, telles que les données toxicocinétiques </w:t>
      </w:r>
      <w:r>
        <w:rPr>
          <w:lang w:val="fr-FR"/>
        </w:rPr>
        <w:t>issues</w:t>
      </w:r>
      <w:r w:rsidRPr="002B3978">
        <w:rPr>
          <w:lang w:val="fr-FR"/>
        </w:rPr>
        <w:t xml:space="preserve"> d</w:t>
      </w:r>
      <w:r>
        <w:rPr>
          <w:lang w:val="fr-FR"/>
        </w:rPr>
        <w:t>’</w:t>
      </w:r>
      <w:r w:rsidRPr="002B3978">
        <w:rPr>
          <w:lang w:val="fr-FR"/>
        </w:rPr>
        <w:t xml:space="preserve">études </w:t>
      </w:r>
      <w:r w:rsidRPr="002B3978">
        <w:rPr>
          <w:i/>
          <w:lang w:val="fr-FR"/>
        </w:rPr>
        <w:t xml:space="preserve">in vivo </w:t>
      </w:r>
      <w:r w:rsidRPr="002B3978">
        <w:rPr>
          <w:lang w:val="fr-FR"/>
        </w:rPr>
        <w:t>actuellement acceptées et/ou les données justificatives provenant d</w:t>
      </w:r>
      <w:r>
        <w:rPr>
          <w:lang w:val="fr-FR"/>
        </w:rPr>
        <w:t>’</w:t>
      </w:r>
      <w:r w:rsidRPr="002B3978">
        <w:rPr>
          <w:lang w:val="fr-FR"/>
        </w:rPr>
        <w:t>autres études disponibles</w:t>
      </w:r>
      <w:r>
        <w:rPr>
          <w:lang w:val="fr-FR"/>
        </w:rPr>
        <w:t> ;</w:t>
      </w:r>
    </w:p>
    <w:p w14:paraId="027242D0" w14:textId="77777777" w:rsidR="00555369" w:rsidRDefault="00555369" w:rsidP="00555369">
      <w:pPr>
        <w:pStyle w:val="SingleTxtG"/>
        <w:ind w:left="2694" w:hanging="426"/>
        <w:rPr>
          <w:lang w:val="fr-FR"/>
        </w:rPr>
      </w:pPr>
      <w:r w:rsidRPr="002B3978">
        <w:rPr>
          <w:lang w:val="fr-FR"/>
        </w:rPr>
        <w:t>ii)</w:t>
      </w:r>
      <w:r w:rsidRPr="002B3978">
        <w:rPr>
          <w:lang w:val="fr-FR"/>
        </w:rPr>
        <w:tab/>
      </w:r>
      <w:r w:rsidRPr="00BA6BEE">
        <w:rPr>
          <w:lang w:val="fr-FR"/>
        </w:rPr>
        <w:t xml:space="preserve">Revoir </w:t>
      </w:r>
      <w:r w:rsidRPr="002B3978">
        <w:rPr>
          <w:lang w:val="fr-FR"/>
        </w:rPr>
        <w:t>les critères de classification dans la catégorie 2</w:t>
      </w:r>
      <w:r>
        <w:rPr>
          <w:lang w:val="fr-FR"/>
        </w:rPr>
        <w:t> ;</w:t>
      </w:r>
    </w:p>
    <w:p w14:paraId="7479C76D" w14:textId="77777777" w:rsidR="00555369" w:rsidRDefault="00555369" w:rsidP="00555369">
      <w:pPr>
        <w:pStyle w:val="SingleTxtG"/>
        <w:ind w:left="2694" w:hanging="426"/>
        <w:rPr>
          <w:lang w:val="fr-FR"/>
        </w:rPr>
      </w:pPr>
      <w:r w:rsidRPr="002B3978">
        <w:rPr>
          <w:lang w:val="fr-FR"/>
        </w:rPr>
        <w:t>iii)</w:t>
      </w:r>
      <w:r w:rsidRPr="002B3978">
        <w:rPr>
          <w:lang w:val="fr-FR"/>
        </w:rPr>
        <w:tab/>
        <w:t>Revoir le critère de classification dans la catégorie 1A</w:t>
      </w:r>
      <w:r>
        <w:rPr>
          <w:lang w:val="fr-FR"/>
        </w:rPr>
        <w:t> ;</w:t>
      </w:r>
    </w:p>
    <w:p w14:paraId="7EE4A4B2" w14:textId="77777777" w:rsidR="00555369" w:rsidRDefault="00555369" w:rsidP="00555369">
      <w:pPr>
        <w:pStyle w:val="SingleTxtG"/>
        <w:ind w:left="2694" w:hanging="426"/>
        <w:rPr>
          <w:lang w:val="fr-FR"/>
        </w:rPr>
      </w:pPr>
      <w:r w:rsidRPr="002B3978">
        <w:rPr>
          <w:lang w:val="fr-FR"/>
        </w:rPr>
        <w:t>iv)</w:t>
      </w:r>
      <w:r w:rsidRPr="002B3978">
        <w:rPr>
          <w:lang w:val="fr-FR"/>
        </w:rPr>
        <w:tab/>
      </w:r>
      <w:r>
        <w:rPr>
          <w:lang w:val="fr-FR"/>
        </w:rPr>
        <w:t>Réfléchir à la question de savoir</w:t>
      </w:r>
      <w:r w:rsidRPr="002B3978">
        <w:rPr>
          <w:lang w:val="fr-FR"/>
        </w:rPr>
        <w:t xml:space="preserve"> si des révisions doivent être apportées aux critères et réviser </w:t>
      </w:r>
      <w:r>
        <w:rPr>
          <w:lang w:val="fr-FR"/>
        </w:rPr>
        <w:t>ceux-ci</w:t>
      </w:r>
      <w:r w:rsidRPr="002B3978">
        <w:rPr>
          <w:lang w:val="fr-FR"/>
        </w:rPr>
        <w:t xml:space="preserve"> et/ou fournir de</w:t>
      </w:r>
      <w:r>
        <w:rPr>
          <w:lang w:val="fr-FR"/>
        </w:rPr>
        <w:t xml:space="preserve"> nouvelle</w:t>
      </w:r>
      <w:r w:rsidRPr="002B3978">
        <w:rPr>
          <w:lang w:val="fr-FR"/>
        </w:rPr>
        <w:t xml:space="preserve">s orientations, </w:t>
      </w:r>
      <w:r>
        <w:rPr>
          <w:lang w:val="fr-FR"/>
        </w:rPr>
        <w:t>selon que de besoin</w:t>
      </w:r>
      <w:r w:rsidRPr="002B3978">
        <w:rPr>
          <w:lang w:val="fr-FR"/>
        </w:rPr>
        <w:t xml:space="preserve">, </w:t>
      </w:r>
      <w:r>
        <w:rPr>
          <w:lang w:val="fr-FR"/>
        </w:rPr>
        <w:t>en fonction des</w:t>
      </w:r>
      <w:r w:rsidRPr="002B3978">
        <w:rPr>
          <w:lang w:val="fr-FR"/>
        </w:rPr>
        <w:t xml:space="preserve"> résultats de l</w:t>
      </w:r>
      <w:r>
        <w:rPr>
          <w:lang w:val="fr-FR"/>
        </w:rPr>
        <w:t>’</w:t>
      </w:r>
      <w:r w:rsidRPr="002B3978">
        <w:rPr>
          <w:lang w:val="fr-FR"/>
        </w:rPr>
        <w:t>examen</w:t>
      </w:r>
      <w:r>
        <w:rPr>
          <w:lang w:val="fr-FR"/>
        </w:rPr>
        <w:t> ;</w:t>
      </w:r>
    </w:p>
    <w:p w14:paraId="248F3A6D" w14:textId="77777777" w:rsidR="00555369" w:rsidRDefault="00555369" w:rsidP="00555369">
      <w:pPr>
        <w:pStyle w:val="SingleTxtG"/>
        <w:ind w:left="2694" w:hanging="426"/>
        <w:rPr>
          <w:lang w:val="fr-FR"/>
        </w:rPr>
      </w:pPr>
      <w:r w:rsidRPr="002B3978">
        <w:rPr>
          <w:lang w:val="fr-FR"/>
        </w:rPr>
        <w:t>v)</w:t>
      </w:r>
      <w:r w:rsidRPr="002B3978">
        <w:rPr>
          <w:lang w:val="fr-FR"/>
        </w:rPr>
        <w:tab/>
        <w:t>Veiller à ce que les critères soient cohérents entre eux après toute révision</w:t>
      </w:r>
      <w:r>
        <w:rPr>
          <w:lang w:val="fr-FR"/>
        </w:rPr>
        <w:t> ;</w:t>
      </w:r>
    </w:p>
    <w:p w14:paraId="25C12185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b)</w:t>
      </w:r>
      <w:r w:rsidRPr="002B3978">
        <w:rPr>
          <w:lang w:val="fr-FR"/>
        </w:rPr>
        <w:tab/>
        <w:t>Veiller à ce que la formulation soit cohérente et non redondante</w:t>
      </w:r>
      <w:r w:rsidRPr="00F77474">
        <w:rPr>
          <w:lang w:val="fr-FR"/>
        </w:rPr>
        <w:t xml:space="preserve"> </w:t>
      </w:r>
      <w:r w:rsidRPr="002B3978">
        <w:rPr>
          <w:lang w:val="fr-FR"/>
        </w:rPr>
        <w:t>dans l</w:t>
      </w:r>
      <w:r>
        <w:rPr>
          <w:lang w:val="fr-FR"/>
        </w:rPr>
        <w:t>’</w:t>
      </w:r>
      <w:r w:rsidRPr="002B3978">
        <w:rPr>
          <w:lang w:val="fr-FR"/>
        </w:rPr>
        <w:t>ensemble du texte du chapitre</w:t>
      </w:r>
      <w:r>
        <w:rPr>
          <w:lang w:val="fr-FR"/>
        </w:rPr>
        <w:t>,</w:t>
      </w:r>
      <w:r w:rsidRPr="002B3978">
        <w:rPr>
          <w:lang w:val="fr-FR"/>
        </w:rPr>
        <w:t xml:space="preserve"> et éviter l</w:t>
      </w:r>
      <w:r>
        <w:rPr>
          <w:lang w:val="fr-FR"/>
        </w:rPr>
        <w:t xml:space="preserve">es </w:t>
      </w:r>
      <w:r w:rsidRPr="002B3978">
        <w:rPr>
          <w:lang w:val="fr-FR"/>
        </w:rPr>
        <w:t>utilisation</w:t>
      </w:r>
      <w:r>
        <w:rPr>
          <w:lang w:val="fr-FR"/>
        </w:rPr>
        <w:t>s</w:t>
      </w:r>
      <w:r w:rsidRPr="002B3978">
        <w:rPr>
          <w:lang w:val="fr-FR"/>
        </w:rPr>
        <w:t xml:space="preserve"> incohérente</w:t>
      </w:r>
      <w:r>
        <w:rPr>
          <w:lang w:val="fr-FR"/>
        </w:rPr>
        <w:t>s</w:t>
      </w:r>
      <w:r w:rsidRPr="002B3978">
        <w:rPr>
          <w:lang w:val="fr-FR"/>
        </w:rPr>
        <w:t xml:space="preserve"> des mots </w:t>
      </w:r>
      <w:r>
        <w:rPr>
          <w:lang w:val="fr-FR"/>
        </w:rPr>
        <w:t>« </w:t>
      </w:r>
      <w:r w:rsidRPr="002B3978">
        <w:rPr>
          <w:lang w:val="fr-FR"/>
        </w:rPr>
        <w:t>mutagénicité</w:t>
      </w:r>
      <w:r>
        <w:rPr>
          <w:lang w:val="fr-FR"/>
        </w:rPr>
        <w:t> »</w:t>
      </w:r>
      <w:r w:rsidRPr="002B3978">
        <w:rPr>
          <w:lang w:val="fr-FR"/>
        </w:rPr>
        <w:t xml:space="preserve"> et </w:t>
      </w:r>
      <w:r>
        <w:rPr>
          <w:lang w:val="fr-FR"/>
        </w:rPr>
        <w:t>« </w:t>
      </w:r>
      <w:r w:rsidRPr="002B3978">
        <w:rPr>
          <w:lang w:val="fr-FR"/>
        </w:rPr>
        <w:t>hér</w:t>
      </w:r>
      <w:r>
        <w:rPr>
          <w:lang w:val="fr-FR"/>
        </w:rPr>
        <w:t>itable » ;</w:t>
      </w:r>
    </w:p>
    <w:p w14:paraId="7D2FAE73" w14:textId="5CAE98CE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c)</w:t>
      </w:r>
      <w:r w:rsidRPr="002B3978">
        <w:rPr>
          <w:lang w:val="fr-FR"/>
        </w:rPr>
        <w:tab/>
        <w:t>Mettre à jour le chapitre en fonction de l</w:t>
      </w:r>
      <w:r>
        <w:rPr>
          <w:lang w:val="fr-FR"/>
        </w:rPr>
        <w:t>’</w:t>
      </w:r>
      <w:r w:rsidRPr="002B3978">
        <w:rPr>
          <w:lang w:val="fr-FR"/>
        </w:rPr>
        <w:t>état actuel de la science, en</w:t>
      </w:r>
      <w:r>
        <w:rPr>
          <w:lang w:val="fr-FR"/>
        </w:rPr>
        <w:t xml:space="preserve"> y</w:t>
      </w:r>
      <w:r w:rsidRPr="002B3978">
        <w:rPr>
          <w:lang w:val="fr-FR"/>
        </w:rPr>
        <w:t xml:space="preserve"> in</w:t>
      </w:r>
      <w:r>
        <w:rPr>
          <w:lang w:val="fr-FR"/>
        </w:rPr>
        <w:t>tégr</w:t>
      </w:r>
      <w:r w:rsidRPr="002B3978">
        <w:rPr>
          <w:lang w:val="fr-FR"/>
        </w:rPr>
        <w:t>ant les direct</w:t>
      </w:r>
      <w:r>
        <w:rPr>
          <w:lang w:val="fr-FR"/>
        </w:rPr>
        <w:t>iv</w:t>
      </w:r>
      <w:r w:rsidRPr="002B3978">
        <w:rPr>
          <w:lang w:val="fr-FR"/>
        </w:rPr>
        <w:t xml:space="preserve">es </w:t>
      </w:r>
      <w:r>
        <w:rPr>
          <w:lang w:val="fr-FR"/>
        </w:rPr>
        <w:t xml:space="preserve">relatives aux expérimentations </w:t>
      </w:r>
      <w:r w:rsidRPr="002B3978">
        <w:rPr>
          <w:lang w:val="fr-FR"/>
        </w:rPr>
        <w:t>nouvellement disponibles, le cas échéant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</w:t>
      </w:r>
      <w:r>
        <w:rPr>
          <w:lang w:val="fr-FR"/>
        </w:rPr>
        <w:t>Réfléchir à</w:t>
      </w:r>
      <w:r w:rsidRPr="002B3978">
        <w:rPr>
          <w:lang w:val="fr-FR"/>
        </w:rPr>
        <w:t xml:space="preserve"> l</w:t>
      </w:r>
      <w:r>
        <w:rPr>
          <w:lang w:val="fr-FR"/>
        </w:rPr>
        <w:t>’</w:t>
      </w:r>
      <w:r w:rsidRPr="002B3978">
        <w:rPr>
          <w:lang w:val="fr-FR"/>
        </w:rPr>
        <w:t>opportunité d</w:t>
      </w:r>
      <w:r>
        <w:rPr>
          <w:lang w:val="fr-FR"/>
        </w:rPr>
        <w:t>’</w:t>
      </w:r>
      <w:r w:rsidRPr="002B3978">
        <w:rPr>
          <w:lang w:val="fr-FR"/>
        </w:rPr>
        <w:t>in</w:t>
      </w:r>
      <w:r>
        <w:rPr>
          <w:lang w:val="fr-FR"/>
        </w:rPr>
        <w:t>tégrer</w:t>
      </w:r>
      <w:r w:rsidRPr="002B3978">
        <w:rPr>
          <w:lang w:val="fr-FR"/>
        </w:rPr>
        <w:t xml:space="preserve"> des </w:t>
      </w:r>
      <w:r w:rsidRPr="00F77474">
        <w:rPr>
          <w:lang w:val="fr-FR"/>
        </w:rPr>
        <w:t xml:space="preserve">expérimentations </w:t>
      </w:r>
      <w:r w:rsidRPr="002B3978">
        <w:rPr>
          <w:lang w:val="fr-FR"/>
        </w:rPr>
        <w:t>non conformes aux direct</w:t>
      </w:r>
      <w:r>
        <w:rPr>
          <w:lang w:val="fr-FR"/>
        </w:rPr>
        <w:t>iv</w:t>
      </w:r>
      <w:r w:rsidRPr="002B3978">
        <w:rPr>
          <w:lang w:val="fr-FR"/>
        </w:rPr>
        <w:t xml:space="preserve">es et de regrouper les </w:t>
      </w:r>
      <w:r w:rsidRPr="00F77474">
        <w:rPr>
          <w:lang w:val="fr-FR"/>
        </w:rPr>
        <w:t>expérimentations</w:t>
      </w:r>
      <w:r>
        <w:rPr>
          <w:lang w:val="fr-FR"/>
        </w:rPr>
        <w:t> ;</w:t>
      </w:r>
    </w:p>
    <w:p w14:paraId="29446864" w14:textId="7CB54ACF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d)</w:t>
      </w:r>
      <w:r w:rsidRPr="002B3978">
        <w:rPr>
          <w:lang w:val="fr-FR"/>
        </w:rPr>
        <w:tab/>
        <w:t>Inclure des paragraphes concernant les méthodes non expérimentales similaires à ceux du chapitre 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>2 nouvellement révisé sur la corrosion</w:t>
      </w:r>
      <w:r>
        <w:rPr>
          <w:lang w:val="fr-FR"/>
        </w:rPr>
        <w:t xml:space="preserve"> et l’</w:t>
      </w:r>
      <w:r w:rsidRPr="002B3978">
        <w:rPr>
          <w:lang w:val="fr-FR"/>
        </w:rPr>
        <w:t xml:space="preserve">irritation </w:t>
      </w:r>
      <w:r>
        <w:rPr>
          <w:lang w:val="fr-FR"/>
        </w:rPr>
        <w:t>cutanées</w:t>
      </w:r>
      <w:r w:rsidRPr="002B3978">
        <w:rPr>
          <w:lang w:val="fr-FR"/>
        </w:rPr>
        <w:t xml:space="preserve"> et étendre la note sur l</w:t>
      </w:r>
      <w:r>
        <w:rPr>
          <w:lang w:val="fr-FR"/>
        </w:rPr>
        <w:t xml:space="preserve">a </w:t>
      </w:r>
      <w:r w:rsidRPr="0065799E">
        <w:rPr>
          <w:lang w:val="fr-FR"/>
        </w:rPr>
        <w:t xml:space="preserve">lecture croisée </w:t>
      </w:r>
      <w:r w:rsidRPr="002B3978">
        <w:rPr>
          <w:lang w:val="fr-FR"/>
        </w:rPr>
        <w:t>pour qu</w:t>
      </w:r>
      <w:r>
        <w:rPr>
          <w:lang w:val="fr-FR"/>
        </w:rPr>
        <w:t>’</w:t>
      </w:r>
      <w:r w:rsidRPr="002B3978">
        <w:rPr>
          <w:lang w:val="fr-FR"/>
        </w:rPr>
        <w:t>elle soit conforme à ce chapitre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En outre, indiquer qu</w:t>
      </w:r>
      <w:r>
        <w:rPr>
          <w:lang w:val="fr-FR"/>
        </w:rPr>
        <w:t>’</w:t>
      </w:r>
      <w:r w:rsidRPr="002B3978">
        <w:rPr>
          <w:lang w:val="fr-FR"/>
        </w:rPr>
        <w:t>un</w:t>
      </w:r>
      <w:r>
        <w:rPr>
          <w:lang w:val="fr-FR"/>
        </w:rPr>
        <w:t>e</w:t>
      </w:r>
      <w:r w:rsidRPr="002B3978">
        <w:rPr>
          <w:lang w:val="fr-FR"/>
        </w:rPr>
        <w:t xml:space="preserve"> </w:t>
      </w:r>
      <w:r w:rsidRPr="00D262BF">
        <w:rPr>
          <w:lang w:val="fr-FR"/>
        </w:rPr>
        <w:t xml:space="preserve">lecture croisée </w:t>
      </w:r>
      <w:r w:rsidRPr="002B3978">
        <w:rPr>
          <w:lang w:val="fr-FR"/>
        </w:rPr>
        <w:t>peut être étayé</w:t>
      </w:r>
      <w:r>
        <w:rPr>
          <w:lang w:val="fr-FR"/>
        </w:rPr>
        <w:t>e</w:t>
      </w:r>
      <w:r w:rsidRPr="002B3978">
        <w:rPr>
          <w:lang w:val="fr-FR"/>
        </w:rPr>
        <w:t xml:space="preserve"> par des résultats positifs dans des essais de mutagénicité </w:t>
      </w:r>
      <w:r w:rsidRPr="002B3978">
        <w:rPr>
          <w:i/>
          <w:iCs/>
          <w:lang w:val="fr-FR"/>
        </w:rPr>
        <w:t xml:space="preserve">in vitro </w:t>
      </w:r>
      <w:r w:rsidRPr="002B3978">
        <w:rPr>
          <w:lang w:val="fr-FR"/>
        </w:rPr>
        <w:t xml:space="preserve">sur des </w:t>
      </w:r>
      <w:r>
        <w:rPr>
          <w:lang w:val="fr-FR"/>
        </w:rPr>
        <w:t xml:space="preserve">cellules </w:t>
      </w:r>
      <w:r w:rsidRPr="002B3978">
        <w:rPr>
          <w:lang w:val="fr-FR"/>
        </w:rPr>
        <w:t>mamm</w:t>
      </w:r>
      <w:r>
        <w:rPr>
          <w:lang w:val="fr-FR"/>
        </w:rPr>
        <w:t>alienn</w:t>
      </w:r>
      <w:r w:rsidRPr="002B3978">
        <w:rPr>
          <w:lang w:val="fr-FR"/>
        </w:rPr>
        <w:t>es</w:t>
      </w:r>
      <w:r>
        <w:rPr>
          <w:lang w:val="fr-FR"/>
        </w:rPr>
        <w:t> ;</w:t>
      </w:r>
    </w:p>
    <w:p w14:paraId="40658C7C" w14:textId="77777777" w:rsidR="00555369" w:rsidRDefault="00555369" w:rsidP="00CB0425">
      <w:pPr>
        <w:pStyle w:val="SingleTxtG"/>
        <w:keepNext/>
        <w:keepLines/>
        <w:ind w:left="2268" w:hanging="567"/>
        <w:rPr>
          <w:lang w:val="fr-FR"/>
        </w:rPr>
      </w:pPr>
      <w:r w:rsidRPr="002B3978">
        <w:rPr>
          <w:lang w:val="fr-FR"/>
        </w:rPr>
        <w:lastRenderedPageBreak/>
        <w:t>e)</w:t>
      </w:r>
      <w:r w:rsidRPr="002B3978">
        <w:rPr>
          <w:lang w:val="fr-FR"/>
        </w:rPr>
        <w:tab/>
      </w:r>
      <w:r>
        <w:rPr>
          <w:lang w:val="fr-FR"/>
        </w:rPr>
        <w:t>Établir</w:t>
      </w:r>
      <w:r w:rsidRPr="002B3978">
        <w:rPr>
          <w:lang w:val="fr-FR"/>
        </w:rPr>
        <w:t xml:space="preserve"> des projets d</w:t>
      </w:r>
      <w:r>
        <w:rPr>
          <w:lang w:val="fr-FR"/>
        </w:rPr>
        <w:t>’</w:t>
      </w:r>
      <w:r w:rsidRPr="002B3978">
        <w:rPr>
          <w:lang w:val="fr-FR"/>
        </w:rPr>
        <w:t>amendements et d</w:t>
      </w:r>
      <w:r>
        <w:rPr>
          <w:lang w:val="fr-FR"/>
        </w:rPr>
        <w:t>’</w:t>
      </w:r>
      <w:r w:rsidRPr="002B3978">
        <w:rPr>
          <w:lang w:val="fr-FR"/>
        </w:rPr>
        <w:t xml:space="preserve">ajouts au SGH </w:t>
      </w:r>
      <w:r>
        <w:rPr>
          <w:lang w:val="fr-FR"/>
        </w:rPr>
        <w:t>en vue de</w:t>
      </w:r>
      <w:r w:rsidRPr="002B3978">
        <w:rPr>
          <w:lang w:val="fr-FR"/>
        </w:rPr>
        <w:t xml:space="preserve"> faciliter la classification des dangers à l</w:t>
      </w:r>
      <w:r>
        <w:rPr>
          <w:lang w:val="fr-FR"/>
        </w:rPr>
        <w:t>’</w:t>
      </w:r>
      <w:r w:rsidRPr="002B3978">
        <w:rPr>
          <w:lang w:val="fr-FR"/>
        </w:rPr>
        <w:t xml:space="preserve">aide de </w:t>
      </w:r>
      <w:r w:rsidRPr="00D262BF">
        <w:rPr>
          <w:lang w:val="fr-FR"/>
        </w:rPr>
        <w:t>méthodes d</w:t>
      </w:r>
      <w:r>
        <w:rPr>
          <w:lang w:val="fr-FR"/>
        </w:rPr>
        <w:t>’</w:t>
      </w:r>
      <w:r w:rsidRPr="00D262BF">
        <w:rPr>
          <w:lang w:val="fr-FR"/>
        </w:rPr>
        <w:t>expérimentation non animales</w:t>
      </w:r>
      <w:r w:rsidRPr="002B3978">
        <w:rPr>
          <w:lang w:val="fr-FR"/>
        </w:rPr>
        <w:t xml:space="preserve">, le cas échéant, et consulter le groupe de travail informel </w:t>
      </w:r>
      <w:r>
        <w:rPr>
          <w:lang w:val="fr-FR"/>
        </w:rPr>
        <w:t>d</w:t>
      </w:r>
      <w:r w:rsidRPr="002B3978">
        <w:rPr>
          <w:lang w:val="fr-FR"/>
        </w:rPr>
        <w:t>es méthodes d</w:t>
      </w:r>
      <w:r>
        <w:rPr>
          <w:lang w:val="fr-FR"/>
        </w:rPr>
        <w:t>’</w:t>
      </w:r>
      <w:r w:rsidRPr="002B3978">
        <w:rPr>
          <w:lang w:val="fr-FR"/>
        </w:rPr>
        <w:t>expérimentation non animale</w:t>
      </w:r>
      <w:r>
        <w:rPr>
          <w:lang w:val="fr-FR"/>
        </w:rPr>
        <w:t>s</w:t>
      </w:r>
      <w:r w:rsidRPr="002B3978">
        <w:rPr>
          <w:lang w:val="fr-FR"/>
        </w:rPr>
        <w:t xml:space="preserve"> en vue de les soumettre directement au Sous-Comité sous forme de proposition dans un document de travail</w:t>
      </w:r>
      <w:r>
        <w:rPr>
          <w:lang w:val="fr-FR"/>
        </w:rPr>
        <w:t> ;</w:t>
      </w:r>
    </w:p>
    <w:p w14:paraId="12CB47D1" w14:textId="66AB3140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f)</w:t>
      </w:r>
      <w:r w:rsidRPr="002B3978">
        <w:rPr>
          <w:lang w:val="fr-FR"/>
        </w:rPr>
        <w:tab/>
        <w:t>Revoir l</w:t>
      </w:r>
      <w:r>
        <w:rPr>
          <w:lang w:val="fr-FR"/>
        </w:rPr>
        <w:t>’</w:t>
      </w:r>
      <w:r w:rsidRPr="002B3978">
        <w:rPr>
          <w:lang w:val="fr-FR"/>
        </w:rPr>
        <w:t>actuelle section 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>5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5 sur la logique de décision et les orientations </w:t>
      </w:r>
      <w:r>
        <w:rPr>
          <w:lang w:val="fr-FR"/>
        </w:rPr>
        <w:t xml:space="preserve">pour le mettre en conformité avec </w:t>
      </w:r>
      <w:r w:rsidRPr="002B3978">
        <w:rPr>
          <w:lang w:val="fr-FR"/>
        </w:rPr>
        <w:t>tout</w:t>
      </w:r>
      <w:r>
        <w:rPr>
          <w:lang w:val="fr-FR"/>
        </w:rPr>
        <w:t>e révision des</w:t>
      </w:r>
      <w:r w:rsidRPr="002B3978">
        <w:rPr>
          <w:lang w:val="fr-FR"/>
        </w:rPr>
        <w:t xml:space="preserve"> critère</w:t>
      </w:r>
      <w:r>
        <w:rPr>
          <w:lang w:val="fr-FR"/>
        </w:rPr>
        <w:t>s ;</w:t>
      </w:r>
    </w:p>
    <w:p w14:paraId="1B8EDD71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g)</w:t>
      </w:r>
      <w:r w:rsidRPr="002B3978">
        <w:rPr>
          <w:lang w:val="fr-FR"/>
        </w:rPr>
        <w:tab/>
        <w:t>Examiner toute nouvelle information pertinente pour les travaux</w:t>
      </w:r>
      <w:r>
        <w:rPr>
          <w:lang w:val="fr-FR"/>
        </w:rPr>
        <w:t xml:space="preserve"> que</w:t>
      </w:r>
      <w:r w:rsidRPr="002B3978">
        <w:rPr>
          <w:lang w:val="fr-FR"/>
        </w:rPr>
        <w:t xml:space="preserve"> fourni</w:t>
      </w:r>
      <w:r>
        <w:rPr>
          <w:lang w:val="fr-FR"/>
        </w:rPr>
        <w:t>raient</w:t>
      </w:r>
      <w:r w:rsidRPr="002B3978">
        <w:rPr>
          <w:lang w:val="fr-FR"/>
        </w:rPr>
        <w:t xml:space="preserve"> d</w:t>
      </w:r>
      <w:r>
        <w:rPr>
          <w:lang w:val="fr-FR"/>
        </w:rPr>
        <w:t>’</w:t>
      </w:r>
      <w:r w:rsidRPr="002B3978">
        <w:rPr>
          <w:lang w:val="fr-FR"/>
        </w:rPr>
        <w:t xml:space="preserve">autres organisations ou institutions internationales, </w:t>
      </w:r>
      <w:r>
        <w:rPr>
          <w:lang w:val="fr-FR"/>
        </w:rPr>
        <w:t>par exemple</w:t>
      </w:r>
      <w:r w:rsidRPr="002B3978">
        <w:rPr>
          <w:lang w:val="fr-FR"/>
        </w:rPr>
        <w:t xml:space="preserve"> l</w:t>
      </w:r>
      <w:r>
        <w:rPr>
          <w:lang w:val="fr-FR"/>
        </w:rPr>
        <w:t>’</w:t>
      </w:r>
      <w:r w:rsidRPr="002B3978">
        <w:rPr>
          <w:lang w:val="fr-FR"/>
        </w:rPr>
        <w:t>OCDE ou l</w:t>
      </w:r>
      <w:r>
        <w:rPr>
          <w:lang w:val="fr-FR"/>
        </w:rPr>
        <w:t>’</w:t>
      </w:r>
      <w:r w:rsidRPr="002B3978">
        <w:rPr>
          <w:lang w:val="fr-FR"/>
        </w:rPr>
        <w:t>Institut des sciences de la santé et de l</w:t>
      </w:r>
      <w:r>
        <w:rPr>
          <w:lang w:val="fr-FR"/>
        </w:rPr>
        <w:t>’</w:t>
      </w:r>
      <w:r w:rsidRPr="002B3978">
        <w:rPr>
          <w:lang w:val="fr-FR"/>
        </w:rPr>
        <w:t>environnement (HESI)</w:t>
      </w:r>
      <w:r>
        <w:rPr>
          <w:lang w:val="fr-FR"/>
        </w:rPr>
        <w:t> ;</w:t>
      </w:r>
    </w:p>
    <w:p w14:paraId="52D1FA96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h)</w:t>
      </w:r>
      <w:r w:rsidRPr="002B3978">
        <w:rPr>
          <w:lang w:val="fr-FR"/>
        </w:rPr>
        <w:tab/>
      </w:r>
      <w:r>
        <w:rPr>
          <w:lang w:val="fr-FR"/>
        </w:rPr>
        <w:t>Détecter</w:t>
      </w:r>
      <w:r w:rsidRPr="002B3978">
        <w:rPr>
          <w:lang w:val="fr-FR"/>
        </w:rPr>
        <w:t xml:space="preserve"> les erreurs techniques et/ou les améliorations rédactionnelles au cours de l</w:t>
      </w:r>
      <w:r>
        <w:rPr>
          <w:lang w:val="fr-FR"/>
        </w:rPr>
        <w:t>’</w:t>
      </w:r>
      <w:r w:rsidRPr="002B3978">
        <w:rPr>
          <w:lang w:val="fr-FR"/>
        </w:rPr>
        <w:t xml:space="preserve">examen des chapitres qui ne sont pas liés à la classification de la mutagénicité </w:t>
      </w:r>
      <w:r>
        <w:rPr>
          <w:lang w:val="fr-FR"/>
        </w:rPr>
        <w:t>sur l</w:t>
      </w:r>
      <w:r w:rsidRPr="002B3978">
        <w:rPr>
          <w:lang w:val="fr-FR"/>
        </w:rPr>
        <w:t xml:space="preserve">es cellules germinales et les envoyer au groupe de travail informel </w:t>
      </w:r>
      <w:r w:rsidRPr="00030E8D">
        <w:rPr>
          <w:lang w:val="fr-FR"/>
        </w:rPr>
        <w:t xml:space="preserve">des questions pratiques de classification </w:t>
      </w:r>
      <w:r w:rsidRPr="002B3978">
        <w:rPr>
          <w:lang w:val="fr-FR"/>
        </w:rPr>
        <w:t>pour qu</w:t>
      </w:r>
      <w:r>
        <w:rPr>
          <w:lang w:val="fr-FR"/>
        </w:rPr>
        <w:t>’</w:t>
      </w:r>
      <w:r w:rsidRPr="002B3978">
        <w:rPr>
          <w:lang w:val="fr-FR"/>
        </w:rPr>
        <w:t xml:space="preserve">elles soient soumises directement au </w:t>
      </w:r>
      <w:r>
        <w:rPr>
          <w:lang w:val="fr-FR"/>
        </w:rPr>
        <w:t>Sous-Comité</w:t>
      </w:r>
      <w:r w:rsidRPr="002B3978">
        <w:rPr>
          <w:lang w:val="fr-FR"/>
        </w:rPr>
        <w:t xml:space="preserve"> sous forme de proposition dans un document de travail</w:t>
      </w:r>
      <w:r>
        <w:rPr>
          <w:lang w:val="fr-FR"/>
        </w:rPr>
        <w:t> ;</w:t>
      </w:r>
    </w:p>
    <w:p w14:paraId="5C8731B8" w14:textId="57DB4FC6" w:rsidR="00555369" w:rsidRPr="002B3978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i)</w:t>
      </w:r>
      <w:r w:rsidRPr="002B3978">
        <w:rPr>
          <w:lang w:val="fr-FR"/>
        </w:rPr>
        <w:tab/>
        <w:t>Rendre compte de l</w:t>
      </w:r>
      <w:r>
        <w:rPr>
          <w:lang w:val="fr-FR"/>
        </w:rPr>
        <w:t>’</w:t>
      </w:r>
      <w:r w:rsidRPr="002B3978">
        <w:rPr>
          <w:lang w:val="fr-FR"/>
        </w:rPr>
        <w:t xml:space="preserve">avancement des travaux au </w:t>
      </w:r>
      <w:r>
        <w:rPr>
          <w:lang w:val="fr-FR"/>
        </w:rPr>
        <w:t>S</w:t>
      </w:r>
      <w:r w:rsidRPr="002B3978">
        <w:rPr>
          <w:lang w:val="fr-FR"/>
        </w:rPr>
        <w:t>ous-</w:t>
      </w:r>
      <w:r>
        <w:rPr>
          <w:lang w:val="fr-FR"/>
        </w:rPr>
        <w:t>C</w:t>
      </w:r>
      <w:r w:rsidRPr="002B3978">
        <w:rPr>
          <w:lang w:val="fr-FR"/>
        </w:rPr>
        <w:t xml:space="preserve">omité </w:t>
      </w:r>
      <w:r>
        <w:rPr>
          <w:lang w:val="fr-FR"/>
        </w:rPr>
        <w:t>selon qu’il conviendra</w:t>
      </w:r>
      <w:r w:rsidR="00CB0425" w:rsidRPr="00CB0425">
        <w:rPr>
          <w:lang w:val="fr-FR"/>
        </w:rPr>
        <w:t>.</w:t>
      </w:r>
    </w:p>
    <w:p w14:paraId="498B48E5" w14:textId="77777777" w:rsidR="00555369" w:rsidRPr="002B3978" w:rsidRDefault="00555369" w:rsidP="00CB0425">
      <w:pPr>
        <w:pStyle w:val="HChG"/>
        <w:rPr>
          <w:lang w:val="fr-FR"/>
        </w:rPr>
      </w:pPr>
      <w:r w:rsidRPr="002B3978">
        <w:rPr>
          <w:lang w:val="fr-FR"/>
        </w:rPr>
        <w:tab/>
      </w:r>
      <w:r w:rsidRPr="002B3978">
        <w:rPr>
          <w:lang w:val="fr-FR"/>
        </w:rPr>
        <w:tab/>
        <w:t>Programme de travail</w:t>
      </w:r>
    </w:p>
    <w:p w14:paraId="7F7845FD" w14:textId="2DC7C29E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lang w:val="fr-FR"/>
        </w:rPr>
        <w:t>6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  <w:t xml:space="preserve">Les travaux seront menés </w:t>
      </w:r>
      <w:r>
        <w:rPr>
          <w:lang w:val="fr-FR"/>
        </w:rPr>
        <w:t>au moyen</w:t>
      </w:r>
      <w:r w:rsidRPr="002B3978">
        <w:rPr>
          <w:lang w:val="fr-FR"/>
        </w:rPr>
        <w:t xml:space="preserve"> de </w:t>
      </w:r>
      <w:r>
        <w:rPr>
          <w:lang w:val="fr-FR"/>
        </w:rPr>
        <w:t>débats</w:t>
      </w:r>
      <w:r w:rsidRPr="002B3978">
        <w:rPr>
          <w:lang w:val="fr-FR"/>
        </w:rPr>
        <w:t xml:space="preserve"> lors de réunions environ bimensuelles et par procédure écrite, en fonction des questions à débattre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Les réunions seront organisées en ligne ou en face à face en marge des réunions du </w:t>
      </w:r>
      <w:r>
        <w:rPr>
          <w:lang w:val="fr-FR"/>
        </w:rPr>
        <w:t>Sous-Comité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Le CCR, au nom </w:t>
      </w:r>
      <w:r>
        <w:rPr>
          <w:lang w:val="fr-FR"/>
        </w:rPr>
        <w:t xml:space="preserve">du </w:t>
      </w:r>
      <w:r w:rsidRPr="002B3978">
        <w:rPr>
          <w:lang w:val="fr-FR"/>
        </w:rPr>
        <w:t xml:space="preserve">groupe de travail informel et en accord avec </w:t>
      </w:r>
      <w:r>
        <w:rPr>
          <w:lang w:val="fr-FR"/>
        </w:rPr>
        <w:t>lui</w:t>
      </w:r>
      <w:r w:rsidRPr="002B3978">
        <w:rPr>
          <w:lang w:val="fr-FR"/>
        </w:rPr>
        <w:t xml:space="preserve">, informera le </w:t>
      </w:r>
      <w:r>
        <w:rPr>
          <w:lang w:val="fr-FR"/>
        </w:rPr>
        <w:t>Sous-Comité</w:t>
      </w:r>
      <w:r w:rsidRPr="002B3978">
        <w:rPr>
          <w:lang w:val="fr-FR"/>
        </w:rPr>
        <w:t xml:space="preserve"> de l</w:t>
      </w:r>
      <w:r>
        <w:rPr>
          <w:lang w:val="fr-FR"/>
        </w:rPr>
        <w:t>’</w:t>
      </w:r>
      <w:r w:rsidRPr="002B3978">
        <w:rPr>
          <w:lang w:val="fr-FR"/>
        </w:rPr>
        <w:t xml:space="preserve">avancement des travaux du groupe </w:t>
      </w:r>
      <w:r>
        <w:rPr>
          <w:lang w:val="fr-FR"/>
        </w:rPr>
        <w:t xml:space="preserve">à </w:t>
      </w:r>
      <w:r w:rsidRPr="002B3978">
        <w:rPr>
          <w:lang w:val="fr-FR"/>
        </w:rPr>
        <w:t xml:space="preserve">chaque réunion du </w:t>
      </w:r>
      <w:r>
        <w:rPr>
          <w:lang w:val="fr-FR"/>
        </w:rPr>
        <w:t>Sous-Comité</w:t>
      </w:r>
      <w:r w:rsidR="00CB0425" w:rsidRPr="00CB0425">
        <w:rPr>
          <w:lang w:val="fr-FR"/>
        </w:rPr>
        <w:t>.</w:t>
      </w:r>
    </w:p>
    <w:p w14:paraId="44220215" w14:textId="0284CE42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lang w:val="fr-FR"/>
        </w:rPr>
        <w:t>7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  <w:t xml:space="preserve">Toute nouvelle information pertinente pour les différentes questions </w:t>
      </w:r>
      <w:r>
        <w:rPr>
          <w:lang w:val="fr-FR"/>
        </w:rPr>
        <w:t xml:space="preserve">qui serait </w:t>
      </w:r>
      <w:r w:rsidRPr="002B3978">
        <w:rPr>
          <w:lang w:val="fr-FR"/>
        </w:rPr>
        <w:t>fourni</w:t>
      </w:r>
      <w:r>
        <w:rPr>
          <w:lang w:val="fr-FR"/>
        </w:rPr>
        <w:t>e par</w:t>
      </w:r>
      <w:r w:rsidRPr="002B3978">
        <w:rPr>
          <w:lang w:val="fr-FR"/>
        </w:rPr>
        <w:t xml:space="preserve"> d</w:t>
      </w:r>
      <w:r>
        <w:rPr>
          <w:lang w:val="fr-FR"/>
        </w:rPr>
        <w:t>’</w:t>
      </w:r>
      <w:r w:rsidRPr="002B3978">
        <w:rPr>
          <w:lang w:val="fr-FR"/>
        </w:rPr>
        <w:t>autres organisations ou institutions internationales, telles que l</w:t>
      </w:r>
      <w:r>
        <w:rPr>
          <w:lang w:val="fr-FR"/>
        </w:rPr>
        <w:t>’</w:t>
      </w:r>
      <w:r w:rsidRPr="002B3978">
        <w:rPr>
          <w:lang w:val="fr-FR"/>
        </w:rPr>
        <w:t>OCDE ou l</w:t>
      </w:r>
      <w:r>
        <w:rPr>
          <w:lang w:val="fr-FR"/>
        </w:rPr>
        <w:t>’</w:t>
      </w:r>
      <w:r w:rsidRPr="002B3978">
        <w:rPr>
          <w:lang w:val="fr-FR"/>
        </w:rPr>
        <w:t xml:space="preserve">HESI, sera examinée lorsque </w:t>
      </w:r>
      <w:r>
        <w:rPr>
          <w:lang w:val="fr-FR"/>
        </w:rPr>
        <w:t xml:space="preserve">cela </w:t>
      </w:r>
      <w:r w:rsidRPr="002B3978">
        <w:rPr>
          <w:lang w:val="fr-FR"/>
        </w:rPr>
        <w:t>sera jugé nécessaire tout au long des travaux du groupe de travail informel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 </w:t>
      </w:r>
    </w:p>
    <w:p w14:paraId="67B6AD2D" w14:textId="02DFA66D" w:rsidR="00555369" w:rsidRPr="002B3978" w:rsidRDefault="00555369" w:rsidP="00555369">
      <w:pPr>
        <w:pStyle w:val="SingleTxtG"/>
        <w:rPr>
          <w:lang w:val="fr-FR"/>
        </w:rPr>
      </w:pPr>
      <w:r w:rsidRPr="002B3978">
        <w:rPr>
          <w:lang w:val="fr-FR"/>
        </w:rPr>
        <w:t>8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  <w:t>Les axes de travail proposés sont détaillés ci-dessous :</w:t>
      </w:r>
    </w:p>
    <w:p w14:paraId="661E9779" w14:textId="77777777" w:rsidR="00555369" w:rsidRDefault="00555369" w:rsidP="00555369">
      <w:pPr>
        <w:pStyle w:val="SingleTxtG"/>
        <w:ind w:firstLine="567"/>
        <w:rPr>
          <w:b/>
          <w:bCs/>
          <w:lang w:val="fr-FR"/>
        </w:rPr>
      </w:pPr>
      <w:r w:rsidRPr="002B3978">
        <w:rPr>
          <w:b/>
          <w:bCs/>
          <w:lang w:val="fr-FR"/>
        </w:rPr>
        <w:t>Axe de travail 1</w:t>
      </w:r>
      <w:r>
        <w:rPr>
          <w:b/>
          <w:bCs/>
          <w:lang w:val="fr-FR"/>
        </w:rPr>
        <w:t> </w:t>
      </w:r>
      <w:r w:rsidRPr="00CB0425">
        <w:rPr>
          <w:lang w:val="fr-FR"/>
        </w:rPr>
        <w:t>:</w:t>
      </w:r>
    </w:p>
    <w:p w14:paraId="3EA5EE06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a)</w:t>
      </w:r>
      <w:r w:rsidRPr="002B3978">
        <w:rPr>
          <w:lang w:val="fr-FR"/>
        </w:rPr>
        <w:tab/>
        <w:t>Terminologie</w:t>
      </w:r>
      <w:r>
        <w:rPr>
          <w:lang w:val="fr-FR"/>
        </w:rPr>
        <w:t> ;</w:t>
      </w:r>
    </w:p>
    <w:p w14:paraId="7EA939B0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b)</w:t>
      </w:r>
      <w:r w:rsidRPr="002B3978">
        <w:rPr>
          <w:lang w:val="fr-FR"/>
        </w:rPr>
        <w:tab/>
        <w:t>M</w:t>
      </w:r>
      <w:r>
        <w:rPr>
          <w:lang w:val="fr-FR"/>
        </w:rPr>
        <w:t>is</w:t>
      </w:r>
      <w:r w:rsidRPr="002B3978">
        <w:rPr>
          <w:lang w:val="fr-FR"/>
        </w:rPr>
        <w:t xml:space="preserve">e à jour </w:t>
      </w:r>
      <w:r>
        <w:rPr>
          <w:lang w:val="fr-FR"/>
        </w:rPr>
        <w:t>du</w:t>
      </w:r>
      <w:r w:rsidRPr="002B3978">
        <w:rPr>
          <w:lang w:val="fr-FR"/>
        </w:rPr>
        <w:t xml:space="preserve"> chapitre en fonction de l</w:t>
      </w:r>
      <w:r>
        <w:rPr>
          <w:lang w:val="fr-FR"/>
        </w:rPr>
        <w:t>’</w:t>
      </w:r>
      <w:r w:rsidRPr="002B3978">
        <w:rPr>
          <w:lang w:val="fr-FR"/>
        </w:rPr>
        <w:t>état actuel de la science, comme décrit au point c)</w:t>
      </w:r>
      <w:r>
        <w:rPr>
          <w:lang w:val="fr-FR"/>
        </w:rPr>
        <w:t> ;</w:t>
      </w:r>
    </w:p>
    <w:p w14:paraId="3D170927" w14:textId="7C476F04" w:rsidR="00555369" w:rsidRPr="002B3978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c)</w:t>
      </w:r>
      <w:r w:rsidRPr="002B3978">
        <w:rPr>
          <w:lang w:val="fr-FR"/>
        </w:rPr>
        <w:tab/>
        <w:t xml:space="preserve">Méthodes non expérimentales, lecture croisée et consultation du groupe de travail informel </w:t>
      </w:r>
      <w:r>
        <w:rPr>
          <w:lang w:val="fr-FR"/>
        </w:rPr>
        <w:t>d</w:t>
      </w:r>
      <w:r w:rsidRPr="002B3978">
        <w:rPr>
          <w:lang w:val="fr-FR"/>
        </w:rPr>
        <w:t xml:space="preserve">es </w:t>
      </w:r>
      <w:r w:rsidRPr="00D262BF">
        <w:rPr>
          <w:lang w:val="fr-FR"/>
        </w:rPr>
        <w:t>méthodes d</w:t>
      </w:r>
      <w:r>
        <w:rPr>
          <w:lang w:val="fr-FR"/>
        </w:rPr>
        <w:t>’</w:t>
      </w:r>
      <w:r w:rsidRPr="00D262BF">
        <w:rPr>
          <w:lang w:val="fr-FR"/>
        </w:rPr>
        <w:t>expérimentation non animales</w:t>
      </w:r>
      <w:r w:rsidR="00CB0425" w:rsidRPr="00CB0425">
        <w:rPr>
          <w:lang w:val="fr-FR"/>
        </w:rPr>
        <w:t>.</w:t>
      </w:r>
    </w:p>
    <w:p w14:paraId="37C6EC85" w14:textId="77777777" w:rsidR="00555369" w:rsidRDefault="00555369" w:rsidP="00555369">
      <w:pPr>
        <w:pStyle w:val="SingleTxtG"/>
        <w:ind w:firstLine="567"/>
        <w:rPr>
          <w:lang w:val="fr-FR"/>
        </w:rPr>
      </w:pPr>
      <w:r w:rsidRPr="002B3978">
        <w:rPr>
          <w:b/>
          <w:bCs/>
          <w:lang w:val="fr-FR"/>
        </w:rPr>
        <w:t xml:space="preserve">Axe de travail 2 </w:t>
      </w:r>
      <w:r w:rsidRPr="002B3978">
        <w:rPr>
          <w:lang w:val="fr-FR"/>
        </w:rPr>
        <w:t xml:space="preserve">: </w:t>
      </w:r>
      <w:r>
        <w:rPr>
          <w:lang w:val="fr-FR"/>
        </w:rPr>
        <w:t>R</w:t>
      </w:r>
      <w:r w:rsidRPr="002B3978">
        <w:rPr>
          <w:lang w:val="fr-FR"/>
        </w:rPr>
        <w:t>évision de</w:t>
      </w:r>
      <w:r>
        <w:rPr>
          <w:lang w:val="fr-FR"/>
        </w:rPr>
        <w:t>s c</w:t>
      </w:r>
      <w:r w:rsidRPr="002B3978">
        <w:rPr>
          <w:lang w:val="fr-FR"/>
        </w:rPr>
        <w:t>ritères</w:t>
      </w:r>
      <w:r>
        <w:rPr>
          <w:lang w:val="fr-FR"/>
        </w:rPr>
        <w:t> :</w:t>
      </w:r>
    </w:p>
    <w:p w14:paraId="656C6B81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a)</w:t>
      </w:r>
      <w:r w:rsidRPr="002B3978">
        <w:rPr>
          <w:lang w:val="fr-FR"/>
        </w:rPr>
        <w:tab/>
        <w:t>Revoir et réviser, si nécessaire, les critères de la catégorie 1B</w:t>
      </w:r>
      <w:r>
        <w:rPr>
          <w:lang w:val="fr-FR"/>
        </w:rPr>
        <w:t> ;</w:t>
      </w:r>
    </w:p>
    <w:p w14:paraId="0B650EC1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b)</w:t>
      </w:r>
      <w:r w:rsidRPr="002B3978">
        <w:rPr>
          <w:lang w:val="fr-FR"/>
        </w:rPr>
        <w:tab/>
        <w:t>Revoir et réviser, si nécessaire, les critères de la catégorie 2</w:t>
      </w:r>
      <w:r>
        <w:rPr>
          <w:lang w:val="fr-FR"/>
        </w:rPr>
        <w:t> ;</w:t>
      </w:r>
    </w:p>
    <w:p w14:paraId="3EF3C241" w14:textId="128E608B" w:rsidR="00555369" w:rsidRPr="002B3978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c)</w:t>
      </w:r>
      <w:r w:rsidRPr="002B3978">
        <w:rPr>
          <w:lang w:val="fr-FR"/>
        </w:rPr>
        <w:tab/>
        <w:t>Revoir et réviser, si nécessaire, les critères de la catégorie 1A</w:t>
      </w:r>
      <w:r w:rsidR="00CB0425" w:rsidRPr="00CB0425">
        <w:rPr>
          <w:lang w:val="fr-FR"/>
        </w:rPr>
        <w:t>.</w:t>
      </w:r>
    </w:p>
    <w:p w14:paraId="286FFDAC" w14:textId="422A0991" w:rsidR="00555369" w:rsidRDefault="00555369" w:rsidP="00555369">
      <w:pPr>
        <w:pStyle w:val="SingleTxtG"/>
        <w:ind w:left="1701"/>
        <w:rPr>
          <w:lang w:val="fr-FR"/>
        </w:rPr>
      </w:pPr>
      <w:r w:rsidRPr="002B3978">
        <w:rPr>
          <w:b/>
          <w:lang w:val="fr-FR"/>
        </w:rPr>
        <w:t xml:space="preserve">Axe de travail 3 </w:t>
      </w:r>
      <w:r w:rsidRPr="00CB0425">
        <w:rPr>
          <w:bCs/>
          <w:lang w:val="fr-FR"/>
        </w:rPr>
        <w:t xml:space="preserve">: </w:t>
      </w:r>
      <w:r w:rsidRPr="002B3978">
        <w:rPr>
          <w:lang w:val="fr-FR"/>
        </w:rPr>
        <w:t>Examiner les sections pertinentes du chapitre 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5 en se référant aux résultats des axes de travail 1 et 2 et proposer des textes </w:t>
      </w:r>
      <w:r>
        <w:rPr>
          <w:lang w:val="fr-FR"/>
        </w:rPr>
        <w:t>additionnel</w:t>
      </w:r>
      <w:r w:rsidRPr="002B3978">
        <w:rPr>
          <w:lang w:val="fr-FR"/>
        </w:rPr>
        <w:t xml:space="preserve"> ou modificatifs, si cela est jugé nécessaire</w:t>
      </w:r>
      <w:r>
        <w:rPr>
          <w:lang w:val="fr-FR"/>
        </w:rPr>
        <w:t> :</w:t>
      </w:r>
    </w:p>
    <w:p w14:paraId="6B6382F4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a)</w:t>
      </w:r>
      <w:r w:rsidRPr="002B3978">
        <w:rPr>
          <w:lang w:val="fr-FR"/>
        </w:rPr>
        <w:tab/>
        <w:t>Veiller à ce que les critères révisés pour les différentes catégories soient cohérents entre eux</w:t>
      </w:r>
      <w:r>
        <w:rPr>
          <w:lang w:val="fr-FR"/>
        </w:rPr>
        <w:t> ;</w:t>
      </w:r>
    </w:p>
    <w:p w14:paraId="63A3B1D1" w14:textId="77777777" w:rsidR="00555369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t>b)</w:t>
      </w:r>
      <w:r w:rsidRPr="002B3978">
        <w:rPr>
          <w:lang w:val="fr-FR"/>
        </w:rPr>
        <w:tab/>
        <w:t>Logique de décision et orientation</w:t>
      </w:r>
      <w:r>
        <w:rPr>
          <w:lang w:val="fr-FR"/>
        </w:rPr>
        <w:t> ;</w:t>
      </w:r>
    </w:p>
    <w:p w14:paraId="19E97D6A" w14:textId="4823D318" w:rsidR="00555369" w:rsidRPr="002B3978" w:rsidRDefault="00555369" w:rsidP="00555369">
      <w:pPr>
        <w:pStyle w:val="SingleTxtG"/>
        <w:ind w:left="2268" w:hanging="567"/>
        <w:rPr>
          <w:lang w:val="fr-FR"/>
        </w:rPr>
      </w:pPr>
      <w:r w:rsidRPr="002B3978">
        <w:rPr>
          <w:lang w:val="fr-FR"/>
        </w:rPr>
        <w:lastRenderedPageBreak/>
        <w:t>c)</w:t>
      </w:r>
      <w:r w:rsidRPr="002B3978">
        <w:rPr>
          <w:lang w:val="fr-FR"/>
        </w:rPr>
        <w:tab/>
        <w:t xml:space="preserve">Consulter le groupe de travail informel </w:t>
      </w:r>
      <w:r w:rsidRPr="00030E8D">
        <w:rPr>
          <w:lang w:val="fr-FR"/>
        </w:rPr>
        <w:t>des questions pratiques de classification</w:t>
      </w:r>
      <w:r>
        <w:rPr>
          <w:lang w:val="fr-FR"/>
        </w:rPr>
        <w:t xml:space="preserve"> au sujet d</w:t>
      </w:r>
      <w:r w:rsidRPr="002B3978">
        <w:rPr>
          <w:lang w:val="fr-FR"/>
        </w:rPr>
        <w:t xml:space="preserve">es erreurs techniques ou </w:t>
      </w:r>
      <w:r>
        <w:rPr>
          <w:lang w:val="fr-FR"/>
        </w:rPr>
        <w:t>d</w:t>
      </w:r>
      <w:r w:rsidRPr="002B3978">
        <w:rPr>
          <w:lang w:val="fr-FR"/>
        </w:rPr>
        <w:t>es améliorations rédactionnelles</w:t>
      </w:r>
      <w:r w:rsidR="00CB0425" w:rsidRPr="00CB0425">
        <w:rPr>
          <w:lang w:val="fr-FR"/>
        </w:rPr>
        <w:t>.</w:t>
      </w:r>
    </w:p>
    <w:p w14:paraId="7919FE10" w14:textId="668D41FF" w:rsidR="00555369" w:rsidRDefault="00555369" w:rsidP="00555369">
      <w:pPr>
        <w:pStyle w:val="SingleTxtG"/>
      </w:pPr>
      <w:r w:rsidRPr="002B3978">
        <w:rPr>
          <w:lang w:val="fr-FR"/>
        </w:rPr>
        <w:t>9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ab/>
      </w:r>
      <w:r>
        <w:rPr>
          <w:lang w:val="fr-FR"/>
        </w:rPr>
        <w:t>Le</w:t>
      </w:r>
      <w:r w:rsidRPr="002B3978">
        <w:rPr>
          <w:lang w:val="fr-FR"/>
        </w:rPr>
        <w:t xml:space="preserve"> groupe de travail informel </w:t>
      </w:r>
      <w:r>
        <w:rPr>
          <w:lang w:val="fr-FR"/>
        </w:rPr>
        <w:t>a pour</w:t>
      </w:r>
      <w:r w:rsidRPr="002B3978">
        <w:rPr>
          <w:lang w:val="fr-FR"/>
        </w:rPr>
        <w:t xml:space="preserve"> objectif de </w:t>
      </w:r>
      <w:r>
        <w:rPr>
          <w:lang w:val="fr-FR"/>
        </w:rPr>
        <w:t>mettre au point</w:t>
      </w:r>
      <w:r w:rsidRPr="002B3978">
        <w:rPr>
          <w:lang w:val="fr-FR"/>
        </w:rPr>
        <w:t xml:space="preserve"> un projet de texte révisé du chapitre 3</w:t>
      </w:r>
      <w:r w:rsidR="00CB0425" w:rsidRPr="00CB0425">
        <w:rPr>
          <w:lang w:val="fr-FR"/>
        </w:rPr>
        <w:t>.</w:t>
      </w:r>
      <w:r w:rsidRPr="002B3978">
        <w:rPr>
          <w:lang w:val="fr-FR"/>
        </w:rPr>
        <w:t xml:space="preserve">5 et de le </w:t>
      </w:r>
      <w:r>
        <w:rPr>
          <w:lang w:val="fr-FR"/>
        </w:rPr>
        <w:t>soumettre</w:t>
      </w:r>
      <w:r w:rsidRPr="002B3978">
        <w:rPr>
          <w:lang w:val="fr-FR"/>
        </w:rPr>
        <w:t xml:space="preserve"> au </w:t>
      </w:r>
      <w:r>
        <w:rPr>
          <w:lang w:val="fr-FR"/>
        </w:rPr>
        <w:t>Sous-Comité</w:t>
      </w:r>
      <w:r w:rsidRPr="002B3978">
        <w:rPr>
          <w:lang w:val="fr-FR"/>
        </w:rPr>
        <w:t xml:space="preserve"> au cours d</w:t>
      </w:r>
      <w:r>
        <w:rPr>
          <w:lang w:val="fr-FR"/>
        </w:rPr>
        <w:t>u présent</w:t>
      </w:r>
      <w:r w:rsidRPr="002B3978">
        <w:rPr>
          <w:lang w:val="fr-FR"/>
        </w:rPr>
        <w:t xml:space="preserve"> </w:t>
      </w:r>
      <w:r>
        <w:rPr>
          <w:lang w:val="fr-FR"/>
        </w:rPr>
        <w:t>exercice</w:t>
      </w:r>
      <w:r w:rsidRPr="002B3978">
        <w:rPr>
          <w:lang w:val="fr-FR"/>
        </w:rPr>
        <w:t xml:space="preserve"> biennal et avant décembre 2022 en vue d</w:t>
      </w:r>
      <w:r>
        <w:rPr>
          <w:lang w:val="fr-FR"/>
        </w:rPr>
        <w:t>’</w:t>
      </w:r>
      <w:r w:rsidRPr="002B3978">
        <w:rPr>
          <w:lang w:val="fr-FR"/>
        </w:rPr>
        <w:t>une éventuelle inclusion dans la dixième édition révisée du SGH</w:t>
      </w:r>
      <w:r w:rsidR="00CB0425" w:rsidRPr="00CB0425">
        <w:rPr>
          <w:lang w:val="fr-FR"/>
        </w:rPr>
        <w:t>.</w:t>
      </w:r>
    </w:p>
    <w:p w14:paraId="3A7A207A" w14:textId="7BF5A605" w:rsidR="00446FE5" w:rsidRPr="00555369" w:rsidRDefault="00555369" w:rsidP="005553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55369" w:rsidSect="005553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7D7F" w14:textId="77777777" w:rsidR="00B776B5" w:rsidRDefault="00B776B5" w:rsidP="00F95C08">
      <w:pPr>
        <w:spacing w:line="240" w:lineRule="auto"/>
      </w:pPr>
    </w:p>
  </w:endnote>
  <w:endnote w:type="continuationSeparator" w:id="0">
    <w:p w14:paraId="3083B452" w14:textId="77777777" w:rsidR="00B776B5" w:rsidRPr="00AC3823" w:rsidRDefault="00B776B5" w:rsidP="00AC3823">
      <w:pPr>
        <w:pStyle w:val="Footer"/>
      </w:pPr>
    </w:p>
  </w:endnote>
  <w:endnote w:type="continuationNotice" w:id="1">
    <w:p w14:paraId="4EA53312" w14:textId="77777777" w:rsidR="00B776B5" w:rsidRDefault="00B776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1B84" w14:textId="2C66049D" w:rsidR="00555369" w:rsidRPr="00555369" w:rsidRDefault="00555369" w:rsidP="00555369">
    <w:pPr>
      <w:pStyle w:val="Footer"/>
      <w:tabs>
        <w:tab w:val="right" w:pos="9638"/>
      </w:tabs>
    </w:pPr>
    <w:r w:rsidRPr="00555369">
      <w:rPr>
        <w:b/>
        <w:sz w:val="18"/>
      </w:rPr>
      <w:fldChar w:fldCharType="begin"/>
    </w:r>
    <w:r w:rsidRPr="00555369">
      <w:rPr>
        <w:b/>
        <w:sz w:val="18"/>
      </w:rPr>
      <w:instrText xml:space="preserve"> PAGE  \* MERGEFORMAT </w:instrText>
    </w:r>
    <w:r w:rsidRPr="00555369">
      <w:rPr>
        <w:b/>
        <w:sz w:val="18"/>
      </w:rPr>
      <w:fldChar w:fldCharType="separate"/>
    </w:r>
    <w:r w:rsidRPr="00555369">
      <w:rPr>
        <w:b/>
        <w:noProof/>
        <w:sz w:val="18"/>
      </w:rPr>
      <w:t>2</w:t>
    </w:r>
    <w:r w:rsidRPr="00555369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CB0425" w:rsidRPr="00CB0425">
      <w:t>.</w:t>
    </w:r>
    <w:r>
      <w:t>21-04762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1305" w14:textId="0245DA01" w:rsidR="00555369" w:rsidRPr="00555369" w:rsidRDefault="00555369" w:rsidP="00555369">
    <w:pPr>
      <w:pStyle w:val="Footer"/>
      <w:tabs>
        <w:tab w:val="right" w:pos="9638"/>
      </w:tabs>
      <w:rPr>
        <w:b/>
        <w:sz w:val="18"/>
      </w:rPr>
    </w:pPr>
    <w:r>
      <w:t>GE</w:t>
    </w:r>
    <w:r w:rsidR="00CB0425" w:rsidRPr="00CB0425">
      <w:t>.</w:t>
    </w:r>
    <w:r>
      <w:t>21-04762</w:t>
    </w:r>
    <w:r>
      <w:tab/>
    </w:r>
    <w:r w:rsidRPr="00555369">
      <w:rPr>
        <w:b/>
        <w:sz w:val="18"/>
      </w:rPr>
      <w:fldChar w:fldCharType="begin"/>
    </w:r>
    <w:r w:rsidRPr="00555369">
      <w:rPr>
        <w:b/>
        <w:sz w:val="18"/>
      </w:rPr>
      <w:instrText xml:space="preserve"> PAGE  \* MERGEFORMAT </w:instrText>
    </w:r>
    <w:r w:rsidRPr="00555369">
      <w:rPr>
        <w:b/>
        <w:sz w:val="18"/>
      </w:rPr>
      <w:fldChar w:fldCharType="separate"/>
    </w:r>
    <w:r w:rsidRPr="00555369">
      <w:rPr>
        <w:b/>
        <w:noProof/>
        <w:sz w:val="18"/>
      </w:rPr>
      <w:t>3</w:t>
    </w:r>
    <w:r w:rsidRPr="005553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1990" w14:textId="59A3F416" w:rsidR="0068456F" w:rsidRPr="00555369" w:rsidRDefault="00555369" w:rsidP="00555369">
    <w:pPr>
      <w:pStyle w:val="Footer"/>
      <w:spacing w:before="120"/>
      <w:rPr>
        <w:sz w:val="20"/>
      </w:rPr>
    </w:pPr>
    <w:r>
      <w:rPr>
        <w:sz w:val="20"/>
      </w:rPr>
      <w:t>GE</w:t>
    </w:r>
    <w:r w:rsidR="00CB0425" w:rsidRPr="00CB0425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8BA304" wp14:editId="49E372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04762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4555DF" wp14:editId="3571A08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110521    110521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4D0D" w14:textId="77777777" w:rsidR="00B776B5" w:rsidRPr="00AC3823" w:rsidRDefault="00B776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54B5D6" w14:textId="77777777" w:rsidR="00B776B5" w:rsidRPr="00AC3823" w:rsidRDefault="00B776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1BF6A3" w14:textId="77777777" w:rsidR="00B776B5" w:rsidRPr="00AC3823" w:rsidRDefault="00B776B5">
      <w:pPr>
        <w:spacing w:line="240" w:lineRule="auto"/>
        <w:rPr>
          <w:sz w:val="2"/>
          <w:szCs w:val="2"/>
        </w:rPr>
      </w:pPr>
    </w:p>
  </w:footnote>
  <w:footnote w:id="2">
    <w:p w14:paraId="3BC46E01" w14:textId="632DBBF5" w:rsidR="00555369" w:rsidRPr="00555369" w:rsidRDefault="00555369" w:rsidP="00555369">
      <w:pPr>
        <w:pStyle w:val="FootnoteText"/>
      </w:pPr>
      <w:r>
        <w:rPr>
          <w:rStyle w:val="FootnoteReference"/>
        </w:rPr>
        <w:tab/>
      </w:r>
      <w:r w:rsidRPr="0055536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31C88">
        <w:t>A/75/6 (sect</w:t>
      </w:r>
      <w:r w:rsidR="00CB0425" w:rsidRPr="00CB0425">
        <w:t>.</w:t>
      </w:r>
      <w:r w:rsidRPr="00C31C88">
        <w:t xml:space="preserve"> 20), par</w:t>
      </w:r>
      <w:r w:rsidR="00CB0425" w:rsidRPr="00CB0425">
        <w:t>.</w:t>
      </w:r>
      <w:r w:rsidRPr="00C31C88">
        <w:t xml:space="preserve"> 20</w:t>
      </w:r>
      <w:r w:rsidR="00CB0425" w:rsidRPr="00CB0425">
        <w:t>.</w:t>
      </w:r>
      <w:r w:rsidRPr="00C31C88">
        <w:t>51</w:t>
      </w:r>
      <w:r w:rsidR="00CB0425" w:rsidRPr="00CB0425">
        <w:t>.</w:t>
      </w:r>
    </w:p>
  </w:footnote>
  <w:footnote w:id="3">
    <w:p w14:paraId="441D2400" w14:textId="03539BCB" w:rsidR="00555369" w:rsidRPr="00C31C88" w:rsidRDefault="00555369" w:rsidP="00555369">
      <w:pPr>
        <w:pStyle w:val="FootnoteText"/>
      </w:pPr>
      <w:r w:rsidRPr="00C31C88">
        <w:tab/>
      </w:r>
      <w:r w:rsidRPr="00555369">
        <w:rPr>
          <w:rStyle w:val="FootnoteReference"/>
        </w:rPr>
        <w:footnoteRef/>
      </w:r>
      <w:r w:rsidRPr="00C31C88">
        <w:tab/>
      </w:r>
      <w:r w:rsidRPr="00C31C88">
        <w:rPr>
          <w:color w:val="252424"/>
          <w:sz w:val="16"/>
          <w:szCs w:val="16"/>
        </w:rPr>
        <w:t>Il n'est pas prévu de revoir les sections sur les mélanges</w:t>
      </w:r>
      <w:r w:rsidR="00CB0425" w:rsidRPr="00CB0425">
        <w:rPr>
          <w:color w:val="252424"/>
          <w:sz w:val="16"/>
          <w:szCs w:val="16"/>
        </w:rPr>
        <w:t>.</w:t>
      </w:r>
      <w:r w:rsidRPr="00C31C88">
        <w:rPr>
          <w:color w:val="252424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6575" w14:textId="40BE5775" w:rsidR="00555369" w:rsidRPr="00555369" w:rsidRDefault="000C62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5846">
      <w:t>ST/SG/AC.10/C.4/2021/3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F53A" w14:textId="3C8DC871" w:rsidR="00555369" w:rsidRPr="00555369" w:rsidRDefault="000C62A3" w:rsidP="005553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5846">
      <w:t>ST/SG/AC.10/C.4/2021/3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B5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55369"/>
    <w:rsid w:val="00573BE5"/>
    <w:rsid w:val="00584DC4"/>
    <w:rsid w:val="00586ED3"/>
    <w:rsid w:val="00596AA9"/>
    <w:rsid w:val="0068456F"/>
    <w:rsid w:val="006B04B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26B7E"/>
    <w:rsid w:val="00A30353"/>
    <w:rsid w:val="00A81281"/>
    <w:rsid w:val="00AC3823"/>
    <w:rsid w:val="00AE323C"/>
    <w:rsid w:val="00B00181"/>
    <w:rsid w:val="00B00B0D"/>
    <w:rsid w:val="00B765F7"/>
    <w:rsid w:val="00B776B5"/>
    <w:rsid w:val="00BA0CA9"/>
    <w:rsid w:val="00C02897"/>
    <w:rsid w:val="00CB0425"/>
    <w:rsid w:val="00D25846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0735F"/>
  <w15:docId w15:val="{33B5FB6B-821E-4179-B017-4DCE6524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55536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copre">
    <w:name w:val="acopre"/>
    <w:basedOn w:val="DefaultParagraphFont"/>
    <w:rsid w:val="005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ST/SG/AC.10/C.4/2021/3</dc:title>
  <dc:subject/>
  <dc:creator>Maud DARICHE</dc:creator>
  <cp:keywords/>
  <cp:lastModifiedBy>Laurence Berthet</cp:lastModifiedBy>
  <cp:revision>4</cp:revision>
  <cp:lastPrinted>2021-05-11T09:01:00Z</cp:lastPrinted>
  <dcterms:created xsi:type="dcterms:W3CDTF">2021-05-11T09:01:00Z</dcterms:created>
  <dcterms:modified xsi:type="dcterms:W3CDTF">2021-05-11T09:01:00Z</dcterms:modified>
</cp:coreProperties>
</file>