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026C2C" w14:paraId="33DA2B10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1EA06F8" w14:textId="77777777" w:rsidR="00132EA9" w:rsidRPr="00DB58B5" w:rsidRDefault="00132EA9" w:rsidP="001D6EC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A1A0BDF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4463133" w14:textId="441F34F2" w:rsidR="00132EA9" w:rsidRPr="001D6EC1" w:rsidRDefault="001D6EC1" w:rsidP="001D6EC1">
            <w:pPr>
              <w:jc w:val="right"/>
              <w:rPr>
                <w:lang w:val="en-US"/>
              </w:rPr>
            </w:pPr>
            <w:r w:rsidRPr="001D6EC1">
              <w:rPr>
                <w:sz w:val="40"/>
                <w:lang w:val="en-US"/>
              </w:rPr>
              <w:t>ST</w:t>
            </w:r>
            <w:r w:rsidRPr="001D6EC1">
              <w:rPr>
                <w:lang w:val="en-US"/>
              </w:rPr>
              <w:t>/SG/AC.10/C.3/115/Add.1</w:t>
            </w:r>
          </w:p>
        </w:tc>
      </w:tr>
      <w:tr w:rsidR="00132EA9" w:rsidRPr="00DB58B5" w14:paraId="7B6AEF70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3B2E296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C979A4E" wp14:editId="2F074A5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AB678E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CB98CB" w14:textId="77777777" w:rsidR="00132EA9" w:rsidRDefault="001D6EC1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0EEC18D7" w14:textId="77777777" w:rsidR="001D6EC1" w:rsidRDefault="001D6EC1" w:rsidP="001D6EC1">
            <w:pPr>
              <w:spacing w:line="240" w:lineRule="exact"/>
            </w:pPr>
            <w:r>
              <w:t>23 avril 2021</w:t>
            </w:r>
          </w:p>
          <w:p w14:paraId="086EE0C2" w14:textId="77777777" w:rsidR="001D6EC1" w:rsidRDefault="001D6EC1" w:rsidP="001D6EC1">
            <w:pPr>
              <w:spacing w:line="240" w:lineRule="exact"/>
            </w:pPr>
            <w:r>
              <w:t>Français</w:t>
            </w:r>
          </w:p>
          <w:p w14:paraId="1AB0604B" w14:textId="48F27D54" w:rsidR="001D6EC1" w:rsidRPr="00DB58B5" w:rsidRDefault="001D6EC1" w:rsidP="001D6EC1">
            <w:pPr>
              <w:spacing w:line="240" w:lineRule="exact"/>
            </w:pPr>
            <w:r>
              <w:t>Original : anglais</w:t>
            </w:r>
          </w:p>
        </w:tc>
      </w:tr>
    </w:tbl>
    <w:p w14:paraId="46057233" w14:textId="7F121A27" w:rsidR="001D6EC1" w:rsidRPr="00CA0680" w:rsidRDefault="001D6EC1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59FAF481" w14:textId="4649463A" w:rsidR="001D6EC1" w:rsidRPr="00CA0680" w:rsidRDefault="001D6EC1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76828C9F" w14:textId="77777777" w:rsidR="001D6EC1" w:rsidRPr="001B71B3" w:rsidRDefault="001D6EC1" w:rsidP="001D6EC1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Cinquante-huitième session</w:t>
      </w:r>
    </w:p>
    <w:p w14:paraId="09599644" w14:textId="3531804A" w:rsidR="001D6EC1" w:rsidRDefault="001D6EC1" w:rsidP="001D6EC1">
      <w:pPr>
        <w:rPr>
          <w:lang w:val="fr-FR"/>
        </w:rPr>
      </w:pPr>
      <w:r>
        <w:rPr>
          <w:lang w:val="fr-FR"/>
        </w:rPr>
        <w:t>Genève, 28 juin-2 juillet 2021</w:t>
      </w:r>
    </w:p>
    <w:p w14:paraId="4CE674C3" w14:textId="2516E6F1" w:rsidR="001D6EC1" w:rsidRPr="001B71B3" w:rsidRDefault="001D6EC1" w:rsidP="001D6EC1">
      <w:pPr>
        <w:rPr>
          <w:lang w:val="fr-FR"/>
        </w:rPr>
      </w:pPr>
      <w:r>
        <w:rPr>
          <w:lang w:val="fr-FR"/>
        </w:rPr>
        <w:t>Point 1 de l’ordre du jour provisoire</w:t>
      </w:r>
    </w:p>
    <w:p w14:paraId="6543A02A" w14:textId="5E3902F3" w:rsidR="00446FE5" w:rsidRDefault="001D6EC1" w:rsidP="001D6EC1">
      <w:pPr>
        <w:rPr>
          <w:b/>
          <w:bCs/>
          <w:lang w:val="fr-FR"/>
        </w:rPr>
      </w:pPr>
      <w:r>
        <w:rPr>
          <w:b/>
          <w:bCs/>
          <w:lang w:val="fr-FR"/>
        </w:rPr>
        <w:t>Adoption de l’ordre du jour</w:t>
      </w:r>
    </w:p>
    <w:p w14:paraId="236D0CAD" w14:textId="6E328B3D" w:rsidR="001D6EC1" w:rsidRPr="001B71B3" w:rsidRDefault="001D6EC1" w:rsidP="001D6EC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Ordre du jour provisoire de la cinquante-huitième session</w:t>
      </w:r>
      <w:r w:rsidR="00E5774D" w:rsidRPr="007C492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298BFD99" w14:textId="77777777" w:rsidR="001D6EC1" w:rsidRPr="001B71B3" w:rsidRDefault="001D6EC1" w:rsidP="001D6EC1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1D6EC1">
        <w:t>Additif</w:t>
      </w:r>
    </w:p>
    <w:p w14:paraId="4E348DC3" w14:textId="10A06735" w:rsidR="001D6EC1" w:rsidRDefault="001D6EC1" w:rsidP="001D6EC1">
      <w:pPr>
        <w:pStyle w:val="H56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Qui se tiendra au Palais des Nations, à Genève, du lundi 28</w:t>
      </w:r>
      <w:r w:rsidR="00F84384">
        <w:rPr>
          <w:lang w:val="fr-FR"/>
        </w:rPr>
        <w:t> </w:t>
      </w:r>
      <w:r>
        <w:rPr>
          <w:lang w:val="fr-FR"/>
        </w:rPr>
        <w:t>juin 2021, à 10 heures, au 2 juillet 2021</w:t>
      </w:r>
    </w:p>
    <w:p w14:paraId="460D8602" w14:textId="5A4EE27E" w:rsidR="001D6EC1" w:rsidRPr="001B71B3" w:rsidRDefault="001D6EC1" w:rsidP="001D6EC1">
      <w:pPr>
        <w:pStyle w:val="SingleTxtG"/>
        <w:rPr>
          <w:i/>
          <w:iCs/>
          <w:lang w:val="fr-FR"/>
        </w:rPr>
      </w:pPr>
      <w:r>
        <w:rPr>
          <w:b/>
          <w:bCs/>
          <w:i/>
          <w:iCs/>
          <w:lang w:val="fr-FR"/>
        </w:rPr>
        <w:t>Note du secrétariat :</w:t>
      </w:r>
      <w:r>
        <w:rPr>
          <w:i/>
          <w:iCs/>
          <w:lang w:val="fr-FR"/>
        </w:rPr>
        <w:t xml:space="preserve"> En raison des risques persistants liés à la propagation du virus responsable de la COVID-19 et du maintien des mesures visant à l’endiguer mises en œuvre dans le monde entier, notamment les restrictions de voyage et le confinement, il est prévu que la cinquante-huitième session du Sous-Comité se tienne de nouveau sous forme hybride, avec des services d’interprétation.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Ces modalités permettront aux représentants d’y participer soit en personne soit à distance pour ceux qui ne seront pas en mesure de se rendre à Genève.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 xml:space="preserve">La session hybride se tiendra aux horaires suivants : </w:t>
      </w:r>
      <w:r>
        <w:rPr>
          <w:b/>
          <w:bCs/>
          <w:i/>
          <w:iCs/>
          <w:lang w:val="fr-FR"/>
        </w:rPr>
        <w:t>du lundi au vendredi, de 10 heures à midi et de 14 h 30 à 16 h 30 (heure de Genève)</w:t>
      </w:r>
      <w:r>
        <w:rPr>
          <w:i/>
          <w:iCs/>
          <w:lang w:val="fr-FR"/>
        </w:rPr>
        <w:t>.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De plus amples détails sur les liens de connexion seront transmis par courrier électronique à tous les participants inscrits avant la session.</w:t>
      </w:r>
      <w:r>
        <w:rPr>
          <w:lang w:val="fr-FR"/>
        </w:rPr>
        <w:t xml:space="preserve"> </w:t>
      </w:r>
      <w:r>
        <w:rPr>
          <w:i/>
          <w:iCs/>
          <w:lang w:val="fr-FR"/>
        </w:rPr>
        <w:t>En ce qui concerne les modalités d’inscription, voir les notes au bas de la page de couverture de l’ordre du jour provisoire (document ST/SG/AC.10/C/3/115).</w:t>
      </w:r>
    </w:p>
    <w:p w14:paraId="0FDAE07C" w14:textId="77777777" w:rsidR="001D6EC1" w:rsidRPr="001B71B3" w:rsidRDefault="001D6EC1" w:rsidP="001D6EC1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Liste des documents</w:t>
      </w:r>
    </w:p>
    <w:p w14:paraId="5AE29BC9" w14:textId="70AC3D62" w:rsidR="001D6EC1" w:rsidRPr="001B71B3" w:rsidRDefault="001D6EC1" w:rsidP="001D6EC1">
      <w:pPr>
        <w:pStyle w:val="H1G"/>
        <w:rPr>
          <w:lang w:val="fr-FR"/>
        </w:rPr>
      </w:pPr>
      <w:r>
        <w:rPr>
          <w:lang w:val="fr-FR"/>
        </w:rPr>
        <w:tab/>
        <w:t>1.</w:t>
      </w:r>
      <w:r>
        <w:rPr>
          <w:lang w:val="fr-FR"/>
        </w:rPr>
        <w:tab/>
      </w:r>
      <w:r w:rsidRPr="001D6EC1">
        <w:t>Adoption</w:t>
      </w:r>
      <w:r>
        <w:rPr>
          <w:lang w:val="fr-FR"/>
        </w:rPr>
        <w:t xml:space="preserve"> de l’ordre du jour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1D6EC1" w:rsidRPr="0037516B" w14:paraId="2E07F3C0" w14:textId="77777777" w:rsidTr="00ED64AA">
        <w:tc>
          <w:tcPr>
            <w:tcW w:w="3119" w:type="dxa"/>
            <w:hideMark/>
          </w:tcPr>
          <w:p w14:paraId="427F4456" w14:textId="77777777" w:rsidR="001D6EC1" w:rsidRDefault="001D6EC1" w:rsidP="00F84384">
            <w:pPr>
              <w:pStyle w:val="SingleTxtG"/>
              <w:spacing w:before="40"/>
              <w:ind w:left="0" w:right="57"/>
              <w:jc w:val="left"/>
            </w:pPr>
            <w:r>
              <w:rPr>
                <w:lang w:val="fr-FR"/>
              </w:rPr>
              <w:t>ST/SG/AC.10/C.3/115</w:t>
            </w:r>
          </w:p>
        </w:tc>
        <w:tc>
          <w:tcPr>
            <w:tcW w:w="4253" w:type="dxa"/>
            <w:hideMark/>
          </w:tcPr>
          <w:p w14:paraId="276D7AAD" w14:textId="77777777" w:rsidR="001D6EC1" w:rsidRPr="001B71B3" w:rsidRDefault="001D6EC1" w:rsidP="002649B2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Ordre du jour provisoire de la cinquante-huitième session</w:t>
            </w:r>
          </w:p>
        </w:tc>
      </w:tr>
      <w:tr w:rsidR="001D6EC1" w:rsidRPr="0037516B" w14:paraId="4EB8C313" w14:textId="77777777" w:rsidTr="00ED64AA">
        <w:tc>
          <w:tcPr>
            <w:tcW w:w="3119" w:type="dxa"/>
            <w:hideMark/>
          </w:tcPr>
          <w:p w14:paraId="021EC95F" w14:textId="77777777" w:rsidR="001D6EC1" w:rsidRPr="001D6EC1" w:rsidRDefault="001D6EC1" w:rsidP="00F84384">
            <w:pPr>
              <w:pStyle w:val="SingleTxtG"/>
              <w:spacing w:before="40"/>
              <w:ind w:left="0" w:right="57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>ST/SG/AC.10/C.3/115/Add.1</w:t>
            </w:r>
          </w:p>
        </w:tc>
        <w:tc>
          <w:tcPr>
            <w:tcW w:w="4253" w:type="dxa"/>
            <w:hideMark/>
          </w:tcPr>
          <w:p w14:paraId="721FF2F6" w14:textId="77777777" w:rsidR="001D6EC1" w:rsidRPr="001B71B3" w:rsidRDefault="001D6EC1" w:rsidP="002649B2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Liste des documents et annotations</w:t>
            </w:r>
          </w:p>
        </w:tc>
      </w:tr>
    </w:tbl>
    <w:p w14:paraId="21209C7A" w14:textId="77777777" w:rsidR="001D6EC1" w:rsidRPr="00432AF4" w:rsidRDefault="001D6EC1" w:rsidP="001D6EC1">
      <w:pPr>
        <w:pStyle w:val="H1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1D6EC1">
        <w:t>Documents</w:t>
      </w:r>
      <w:r>
        <w:rPr>
          <w:lang w:val="fr-FR"/>
        </w:rPr>
        <w:t xml:space="preserve"> de référence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1D6EC1" w:rsidRPr="0037516B" w14:paraId="0F8CAF15" w14:textId="77777777" w:rsidTr="00ED64AA">
        <w:tc>
          <w:tcPr>
            <w:tcW w:w="3119" w:type="dxa"/>
            <w:hideMark/>
          </w:tcPr>
          <w:p w14:paraId="7B1FAF5C" w14:textId="77777777" w:rsidR="001D6EC1" w:rsidRPr="00601CF2" w:rsidRDefault="001D6EC1" w:rsidP="00F84384">
            <w:pPr>
              <w:pStyle w:val="SingleTxtG"/>
              <w:spacing w:before="40"/>
              <w:ind w:left="0" w:right="57"/>
              <w:jc w:val="left"/>
            </w:pPr>
            <w:r>
              <w:rPr>
                <w:lang w:val="fr-FR"/>
              </w:rPr>
              <w:t>ST/SG/AC.10/1/Rev.21</w:t>
            </w:r>
          </w:p>
        </w:tc>
        <w:tc>
          <w:tcPr>
            <w:tcW w:w="4253" w:type="dxa"/>
            <w:hideMark/>
          </w:tcPr>
          <w:p w14:paraId="099761B9" w14:textId="471BEFF2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Recommandations relatives au transport des marchandises dangereuses, Règlement type, vingt</w:t>
            </w:r>
            <w:r w:rsidR="00E573DB">
              <w:rPr>
                <w:lang w:val="fr-FR"/>
              </w:rPr>
              <w:t> </w:t>
            </w:r>
            <w:r>
              <w:rPr>
                <w:lang w:val="fr-FR"/>
              </w:rPr>
              <w:t>et</w:t>
            </w:r>
            <w:r w:rsidR="00E573DB">
              <w:rPr>
                <w:lang w:val="fr-FR"/>
              </w:rPr>
              <w:t> </w:t>
            </w:r>
            <w:r>
              <w:rPr>
                <w:lang w:val="fr-FR"/>
              </w:rPr>
              <w:t>unième édition révisée</w:t>
            </w:r>
          </w:p>
        </w:tc>
      </w:tr>
      <w:tr w:rsidR="001D6EC1" w:rsidRPr="0037516B" w14:paraId="0530D29F" w14:textId="77777777" w:rsidTr="00ED64AA">
        <w:tc>
          <w:tcPr>
            <w:tcW w:w="3119" w:type="dxa"/>
            <w:hideMark/>
          </w:tcPr>
          <w:p w14:paraId="232566F0" w14:textId="77777777" w:rsidR="001D6EC1" w:rsidRPr="00601CF2" w:rsidRDefault="001D6EC1" w:rsidP="00F84384">
            <w:pPr>
              <w:pStyle w:val="SingleTxtG"/>
              <w:spacing w:before="40"/>
              <w:ind w:left="0" w:right="57"/>
              <w:jc w:val="left"/>
            </w:pPr>
            <w:r>
              <w:rPr>
                <w:lang w:val="fr-FR"/>
              </w:rPr>
              <w:t>ST/SG/AC.10/11/Rev.7</w:t>
            </w:r>
          </w:p>
        </w:tc>
        <w:tc>
          <w:tcPr>
            <w:tcW w:w="4253" w:type="dxa"/>
            <w:hideMark/>
          </w:tcPr>
          <w:p w14:paraId="6CEAC267" w14:textId="328CA1C2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Recommandations relatives au transport des marchandises dangereuses, Manuel d’épreuves et de critères, septième édition révisée, telle que modifiée</w:t>
            </w:r>
          </w:p>
        </w:tc>
      </w:tr>
      <w:tr w:rsidR="001D6EC1" w:rsidRPr="0037516B" w14:paraId="342ED575" w14:textId="77777777" w:rsidTr="00ED64AA">
        <w:tc>
          <w:tcPr>
            <w:tcW w:w="3119" w:type="dxa"/>
            <w:hideMark/>
          </w:tcPr>
          <w:p w14:paraId="3D0CD223" w14:textId="77777777" w:rsidR="001D6EC1" w:rsidRPr="00601CF2" w:rsidRDefault="001D6EC1" w:rsidP="00F84384">
            <w:pPr>
              <w:pStyle w:val="SingleTxtG"/>
              <w:spacing w:before="40"/>
              <w:ind w:left="0" w:right="57"/>
              <w:jc w:val="left"/>
            </w:pPr>
            <w:r>
              <w:rPr>
                <w:lang w:val="fr-FR"/>
              </w:rPr>
              <w:t>ST/SG/AC.10/30/Rev.8</w:t>
            </w:r>
          </w:p>
        </w:tc>
        <w:tc>
          <w:tcPr>
            <w:tcW w:w="4253" w:type="dxa"/>
            <w:hideMark/>
          </w:tcPr>
          <w:p w14:paraId="2FE66148" w14:textId="537B076B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Système général harmonisé de classification et d’étiquetage des produits chimiques (SGH), huitième édition révisée</w:t>
            </w:r>
          </w:p>
        </w:tc>
      </w:tr>
      <w:tr w:rsidR="001D6EC1" w:rsidRPr="0037516B" w14:paraId="6523995A" w14:textId="77777777" w:rsidTr="00ED64AA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FBC3B" w14:textId="77777777" w:rsidR="001D6EC1" w:rsidRDefault="001D6EC1" w:rsidP="002649B2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ST/SG/AC.10/C.3/114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4C4ED" w14:textId="57434D4C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Rapport du Sous-Comité d’experts du transport des marchandises dangereuses sur sa cinquante-septième session</w:t>
            </w:r>
          </w:p>
        </w:tc>
      </w:tr>
      <w:tr w:rsidR="001D6EC1" w:rsidRPr="0037516B" w14:paraId="45C26D25" w14:textId="77777777" w:rsidTr="00ED64AA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F0935" w14:textId="77777777" w:rsidR="001D6EC1" w:rsidRDefault="001D6EC1" w:rsidP="00F84384">
            <w:pPr>
              <w:pStyle w:val="SingleTxtG"/>
              <w:spacing w:before="40"/>
              <w:ind w:left="0" w:right="57"/>
              <w:jc w:val="left"/>
            </w:pPr>
            <w:r>
              <w:rPr>
                <w:lang w:val="fr-FR"/>
              </w:rPr>
              <w:t>ST/SG/AC.10/C.4/78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1053B" w14:textId="5DC83CF8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Rapport du Sous-Comité d’experts du Système général harmonisé de classification et d’étiquetage des produits chimiques sur sa trente-neuvième session</w:t>
            </w:r>
          </w:p>
        </w:tc>
      </w:tr>
      <w:tr w:rsidR="001D6EC1" w:rsidRPr="0037516B" w14:paraId="2E621DCA" w14:textId="77777777" w:rsidTr="00ED64AA"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1ED92" w14:textId="77777777" w:rsidR="001D6EC1" w:rsidRPr="001B71B3" w:rsidRDefault="001D6EC1" w:rsidP="00F84384">
            <w:pPr>
              <w:pStyle w:val="SingleTxtG"/>
              <w:spacing w:before="40"/>
              <w:ind w:left="0" w:right="57"/>
              <w:jc w:val="left"/>
              <w:rPr>
                <w:lang w:val="fr-FR"/>
              </w:rPr>
            </w:pPr>
            <w:r>
              <w:rPr>
                <w:lang w:val="fr-FR"/>
              </w:rPr>
              <w:t>ST/SG/AC.10/48 et Add.1 à 3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3DEAB" w14:textId="53708761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Rapport du Comité d’experts du transport des marchandises dangereuses et du Système général harmonisé de classification et d’étiquetage des produits chimiques sur sa dixième session</w:t>
            </w:r>
          </w:p>
        </w:tc>
      </w:tr>
    </w:tbl>
    <w:p w14:paraId="051D95CB" w14:textId="77777777" w:rsidR="001D6EC1" w:rsidRPr="001B71B3" w:rsidRDefault="001D6EC1" w:rsidP="001D6EC1">
      <w:pPr>
        <w:pStyle w:val="H1G"/>
        <w:keepNext w:val="0"/>
        <w:keepLines w:val="0"/>
        <w:rPr>
          <w:lang w:val="fr-FR"/>
        </w:rPr>
      </w:pPr>
      <w:r>
        <w:rPr>
          <w:lang w:val="fr-FR"/>
        </w:rPr>
        <w:tab/>
        <w:t>2.</w:t>
      </w:r>
      <w:r>
        <w:rPr>
          <w:lang w:val="fr-FR"/>
        </w:rPr>
        <w:tab/>
      </w:r>
      <w:r>
        <w:rPr>
          <w:bCs/>
          <w:lang w:val="fr-FR"/>
        </w:rPr>
        <w:t>Explosifs et questions connexes</w:t>
      </w:r>
    </w:p>
    <w:p w14:paraId="5B084431" w14:textId="77777777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</w:r>
      <w:r>
        <w:rPr>
          <w:bCs/>
          <w:lang w:val="fr-FR"/>
        </w:rPr>
        <w:t>Examen des épreuves de la série 6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1D6EC1" w:rsidRPr="0037516B" w14:paraId="594A9F75" w14:textId="77777777" w:rsidTr="00ED64AA">
        <w:tc>
          <w:tcPr>
            <w:tcW w:w="3119" w:type="dxa"/>
            <w:hideMark/>
          </w:tcPr>
          <w:p w14:paraId="672CF586" w14:textId="3FBD721E" w:rsidR="001D6EC1" w:rsidRPr="001D6EC1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 xml:space="preserve">ST/SG/AC.10/C.3/2021/14 </w:t>
            </w:r>
            <w:r w:rsidR="00ED64AA">
              <w:rPr>
                <w:lang w:val="en-US"/>
              </w:rPr>
              <w:br/>
            </w:r>
            <w:r w:rsidRPr="001B71B3">
              <w:rPr>
                <w:lang w:val="en-US"/>
              </w:rPr>
              <w:t>(SAAMI)</w:t>
            </w:r>
          </w:p>
        </w:tc>
        <w:tc>
          <w:tcPr>
            <w:tcW w:w="4253" w:type="dxa"/>
            <w:hideMark/>
          </w:tcPr>
          <w:p w14:paraId="42D3FAD5" w14:textId="670B963F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Rapport du groupe informel par correspondance chargé de l’examen de l’épreuve 6 d)</w:t>
            </w:r>
          </w:p>
        </w:tc>
      </w:tr>
      <w:tr w:rsidR="001D6EC1" w:rsidRPr="0037516B" w14:paraId="08B86600" w14:textId="77777777" w:rsidTr="00ED64AA">
        <w:tc>
          <w:tcPr>
            <w:tcW w:w="3119" w:type="dxa"/>
          </w:tcPr>
          <w:p w14:paraId="1ED442CB" w14:textId="5D6423CA" w:rsidR="001D6EC1" w:rsidRPr="001D6EC1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 xml:space="preserve">ST/SG/AC.10/C.3/2021/15 </w:t>
            </w:r>
            <w:r>
              <w:rPr>
                <w:lang w:val="en-US"/>
              </w:rPr>
              <w:br/>
            </w:r>
            <w:r w:rsidRPr="001B71B3">
              <w:rPr>
                <w:lang w:val="en-US"/>
              </w:rPr>
              <w:t>(IME, COSTHA, SAAMI)</w:t>
            </w:r>
          </w:p>
        </w:tc>
        <w:tc>
          <w:tcPr>
            <w:tcW w:w="4253" w:type="dxa"/>
          </w:tcPr>
          <w:p w14:paraId="50131FD1" w14:textId="77777777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Exclure de la classe 1 les objets contenant des matières énergétiques qui présentent un risque très faible</w:t>
            </w:r>
          </w:p>
        </w:tc>
      </w:tr>
      <w:tr w:rsidR="001D6EC1" w:rsidRPr="0037516B" w14:paraId="11FBDDB5" w14:textId="77777777" w:rsidTr="00ED64AA">
        <w:tc>
          <w:tcPr>
            <w:tcW w:w="3119" w:type="dxa"/>
          </w:tcPr>
          <w:p w14:paraId="252DD602" w14:textId="77777777" w:rsidR="001D6EC1" w:rsidRPr="001D6EC1" w:rsidRDefault="001D6EC1" w:rsidP="00F84384">
            <w:pPr>
              <w:pStyle w:val="SingleTxtG"/>
              <w:spacing w:before="40"/>
              <w:ind w:left="0" w:right="57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>ST/SG/AC.10/C.3/2021/19 (Chine)</w:t>
            </w:r>
          </w:p>
        </w:tc>
        <w:tc>
          <w:tcPr>
            <w:tcW w:w="4253" w:type="dxa"/>
          </w:tcPr>
          <w:p w14:paraId="6A77D38E" w14:textId="2522218F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Révision de la section 16.6.1.4.8 du Manuel d’épreuves et de critères</w:t>
            </w:r>
          </w:p>
        </w:tc>
      </w:tr>
    </w:tbl>
    <w:p w14:paraId="06752A8B" w14:textId="77777777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</w:r>
      <w:r>
        <w:rPr>
          <w:bCs/>
          <w:lang w:val="fr-FR"/>
        </w:rPr>
        <w:t>Amélioration des épreuves de la série 8</w:t>
      </w:r>
    </w:p>
    <w:p w14:paraId="57EDDC67" w14:textId="476400B5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5B2D4750" w14:textId="48AA6A53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</w:r>
      <w:r>
        <w:rPr>
          <w:bCs/>
          <w:lang w:val="fr-FR"/>
        </w:rPr>
        <w:t>Révision des épreuves des parties I, II et III du Manuel d’épreuves et de critères</w:t>
      </w:r>
    </w:p>
    <w:p w14:paraId="7315B77A" w14:textId="64D8F2EF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232CC759" w14:textId="77777777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</w:r>
      <w:r>
        <w:rPr>
          <w:bCs/>
          <w:lang w:val="fr-FR"/>
        </w:rPr>
        <w:t>Détonateurs normalisés « UN »</w:t>
      </w:r>
    </w:p>
    <w:p w14:paraId="07E856E9" w14:textId="79BC5BBA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775AD73F" w14:textId="1488E429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e)</w:t>
      </w:r>
      <w:r>
        <w:rPr>
          <w:lang w:val="fr-FR"/>
        </w:rPr>
        <w:tab/>
      </w:r>
      <w:r>
        <w:rPr>
          <w:bCs/>
          <w:lang w:val="fr-FR"/>
        </w:rPr>
        <w:t>Révision des instructions d’emballage relatives aux explosifs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1D6EC1" w:rsidRPr="0037516B" w14:paraId="321B42F9" w14:textId="77777777" w:rsidTr="00ED64AA">
        <w:tc>
          <w:tcPr>
            <w:tcW w:w="3119" w:type="dxa"/>
            <w:hideMark/>
          </w:tcPr>
          <w:p w14:paraId="73008B56" w14:textId="77777777" w:rsidR="001D6EC1" w:rsidRPr="001B71B3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ST/SG/AC.10/C.3/2021/13 (Royaume-Uni)</w:t>
            </w:r>
          </w:p>
        </w:tc>
        <w:tc>
          <w:tcPr>
            <w:tcW w:w="4253" w:type="dxa"/>
            <w:hideMark/>
          </w:tcPr>
          <w:p w14:paraId="76EE6164" w14:textId="10019E74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Modification de la disposition spéciale PP70 relative à l’instruction d’emballage P137</w:t>
            </w:r>
          </w:p>
        </w:tc>
      </w:tr>
    </w:tbl>
    <w:p w14:paraId="5AE517DB" w14:textId="77777777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lastRenderedPageBreak/>
        <w:tab/>
        <w:t>f)</w:t>
      </w:r>
      <w:r>
        <w:rPr>
          <w:lang w:val="fr-FR"/>
        </w:rPr>
        <w:tab/>
      </w:r>
      <w:r>
        <w:rPr>
          <w:bCs/>
          <w:lang w:val="fr-FR"/>
        </w:rPr>
        <w:t>Échantillons énergétiques</w:t>
      </w:r>
    </w:p>
    <w:p w14:paraId="21D11EC0" w14:textId="65FA3A33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6E957EB1" w14:textId="77777777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g)</w:t>
      </w:r>
      <w:r>
        <w:rPr>
          <w:lang w:val="fr-FR"/>
        </w:rPr>
        <w:tab/>
      </w:r>
      <w:r>
        <w:rPr>
          <w:bCs/>
          <w:lang w:val="fr-FR"/>
        </w:rPr>
        <w:t>Questions liées à la définition des explosifs</w:t>
      </w:r>
    </w:p>
    <w:p w14:paraId="782A4F6C" w14:textId="499056A7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0A35DDA5" w14:textId="1458A2DD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h)</w:t>
      </w:r>
      <w:r>
        <w:rPr>
          <w:lang w:val="fr-FR"/>
        </w:rPr>
        <w:tab/>
      </w:r>
      <w:r>
        <w:rPr>
          <w:bCs/>
          <w:lang w:val="fr-FR"/>
        </w:rPr>
        <w:t>Examen des prescriptions en matière d’emballage et de transport pour les ENA</w:t>
      </w:r>
    </w:p>
    <w:p w14:paraId="4F84BCB6" w14:textId="1F2913C2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32486DAE" w14:textId="77777777" w:rsidR="001D6EC1" w:rsidRDefault="001D6EC1" w:rsidP="001D6EC1">
      <w:pPr>
        <w:pStyle w:val="H23G"/>
        <w:keepNext w:val="0"/>
        <w:keepLines w:val="0"/>
        <w:numPr>
          <w:ilvl w:val="0"/>
          <w:numId w:val="17"/>
        </w:numPr>
        <w:tabs>
          <w:tab w:val="clear" w:pos="851"/>
          <w:tab w:val="right" w:pos="1134"/>
        </w:tabs>
        <w:ind w:left="1134" w:hanging="459"/>
        <w:outlineLvl w:val="9"/>
      </w:pPr>
      <w:r>
        <w:rPr>
          <w:bCs/>
          <w:lang w:val="fr-FR"/>
        </w:rPr>
        <w:t>Questions diverses</w:t>
      </w:r>
    </w:p>
    <w:p w14:paraId="1FA484B4" w14:textId="024C751B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0583B4BA" w14:textId="77777777" w:rsidR="001D6EC1" w:rsidRDefault="001D6EC1" w:rsidP="001D6EC1">
      <w:pPr>
        <w:pStyle w:val="H1G"/>
        <w:keepNext w:val="0"/>
        <w:keepLines w:val="0"/>
      </w:pPr>
      <w:r>
        <w:rPr>
          <w:lang w:val="fr-FR"/>
        </w:rPr>
        <w:tab/>
        <w:t>3.</w:t>
      </w:r>
      <w:r>
        <w:rPr>
          <w:lang w:val="fr-FR"/>
        </w:rPr>
        <w:tab/>
      </w:r>
      <w:r>
        <w:rPr>
          <w:bCs/>
          <w:lang w:val="fr-FR"/>
        </w:rPr>
        <w:t>Inscription, classement et emballage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1D6EC1" w:rsidRPr="0037516B" w14:paraId="3065D5AC" w14:textId="77777777" w:rsidTr="00ED64AA">
        <w:tc>
          <w:tcPr>
            <w:tcW w:w="3119" w:type="dxa"/>
            <w:hideMark/>
          </w:tcPr>
          <w:p w14:paraId="28B8F40D" w14:textId="520750F3" w:rsidR="001D6EC1" w:rsidRPr="001D6EC1" w:rsidRDefault="001D6EC1" w:rsidP="00F84384">
            <w:pPr>
              <w:pStyle w:val="SingleTxtG"/>
              <w:spacing w:before="40"/>
              <w:ind w:left="0" w:right="57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 xml:space="preserve">ST/SG/AC.10/C.3/2021/1 </w:t>
            </w:r>
            <w:r w:rsidR="00E13BFF">
              <w:rPr>
                <w:lang w:val="en-US"/>
              </w:rPr>
              <w:br/>
            </w:r>
            <w:r w:rsidRPr="001B71B3">
              <w:rPr>
                <w:lang w:val="en-US"/>
              </w:rPr>
              <w:t>(Canada)</w:t>
            </w:r>
          </w:p>
        </w:tc>
        <w:tc>
          <w:tcPr>
            <w:tcW w:w="4253" w:type="dxa"/>
            <w:hideMark/>
          </w:tcPr>
          <w:p w14:paraId="5A775E34" w14:textId="77777777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Correction et harmonisation des versions anglaise et française pour les 2.0.3.1, 2.6.2.2.4.1 et 2.8.2.4</w:t>
            </w:r>
          </w:p>
        </w:tc>
      </w:tr>
      <w:tr w:rsidR="001D6EC1" w:rsidRPr="0037516B" w14:paraId="0C3306DC" w14:textId="77777777" w:rsidTr="00ED64AA">
        <w:tc>
          <w:tcPr>
            <w:tcW w:w="3119" w:type="dxa"/>
          </w:tcPr>
          <w:p w14:paraId="4DC2E6B9" w14:textId="77777777" w:rsidR="001D6EC1" w:rsidRDefault="001D6EC1" w:rsidP="00F84384">
            <w:pPr>
              <w:pStyle w:val="SingleTxtG"/>
              <w:spacing w:before="40"/>
              <w:ind w:left="0" w:right="57"/>
              <w:jc w:val="left"/>
            </w:pPr>
            <w:r>
              <w:rPr>
                <w:lang w:val="fr-FR"/>
              </w:rPr>
              <w:t>ST/SG/AC.10/C.3/2021/3 (Allemagne)</w:t>
            </w:r>
          </w:p>
        </w:tc>
        <w:tc>
          <w:tcPr>
            <w:tcW w:w="4253" w:type="dxa"/>
          </w:tcPr>
          <w:p w14:paraId="491A2CBC" w14:textId="77777777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Nouvelles rubriques ONU pour les </w:t>
            </w:r>
            <w:proofErr w:type="spellStart"/>
            <w:r>
              <w:rPr>
                <w:lang w:val="fr-FR"/>
              </w:rPr>
              <w:t>chlorophénols</w:t>
            </w:r>
            <w:proofErr w:type="spellEnd"/>
          </w:p>
        </w:tc>
      </w:tr>
      <w:tr w:rsidR="001D6EC1" w:rsidRPr="0037516B" w14:paraId="23785B0F" w14:textId="77777777" w:rsidTr="00ED64AA">
        <w:tc>
          <w:tcPr>
            <w:tcW w:w="3119" w:type="dxa"/>
          </w:tcPr>
          <w:p w14:paraId="1C9AE23E" w14:textId="77777777" w:rsidR="001D6EC1" w:rsidRPr="001B71B3" w:rsidRDefault="001D6EC1" w:rsidP="00F84384">
            <w:pPr>
              <w:pStyle w:val="SingleTxtG"/>
              <w:spacing w:before="40"/>
              <w:ind w:left="0" w:right="57"/>
              <w:jc w:val="left"/>
              <w:rPr>
                <w:lang w:val="fr-FR"/>
              </w:rPr>
            </w:pPr>
            <w:r>
              <w:rPr>
                <w:lang w:val="fr-FR"/>
              </w:rPr>
              <w:t>ST/SG/AC.10/C.3/2021/12 (Royaume-Uni)</w:t>
            </w:r>
          </w:p>
        </w:tc>
        <w:tc>
          <w:tcPr>
            <w:tcW w:w="4253" w:type="dxa"/>
          </w:tcPr>
          <w:p w14:paraId="7CE62076" w14:textId="7A6E257B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Introduction d’une nouvelle disposition spéciale pour le No ONU 3538</w:t>
            </w:r>
          </w:p>
        </w:tc>
      </w:tr>
      <w:tr w:rsidR="001D6EC1" w:rsidRPr="0037516B" w14:paraId="071B614A" w14:textId="77777777" w:rsidTr="00ED64AA">
        <w:tc>
          <w:tcPr>
            <w:tcW w:w="3119" w:type="dxa"/>
          </w:tcPr>
          <w:p w14:paraId="5B4A2298" w14:textId="5101EDA9" w:rsidR="001D6EC1" w:rsidRPr="001D6EC1" w:rsidRDefault="001D6EC1" w:rsidP="00F84384">
            <w:pPr>
              <w:pStyle w:val="SingleTxtG"/>
              <w:spacing w:before="40"/>
              <w:ind w:left="0" w:right="57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 xml:space="preserve">ST/SG/AC.10/C.3/2021/16 </w:t>
            </w:r>
            <w:r w:rsidR="00E13BFF">
              <w:rPr>
                <w:lang w:val="en-US"/>
              </w:rPr>
              <w:br/>
            </w:r>
            <w:r w:rsidRPr="001B71B3">
              <w:rPr>
                <w:lang w:val="en-US"/>
              </w:rPr>
              <w:t>(Chine)</w:t>
            </w:r>
          </w:p>
        </w:tc>
        <w:tc>
          <w:tcPr>
            <w:tcW w:w="4253" w:type="dxa"/>
          </w:tcPr>
          <w:p w14:paraId="461DFA62" w14:textId="2F6D2A8B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Proposition visant à harmoniser les dispositions relatives au choix des espèces animales aux fins de l’épreuve d’évaluation de la toxicité cutanée aiguë dans le SGH et le Règlement type de l’ONU</w:t>
            </w:r>
          </w:p>
        </w:tc>
      </w:tr>
      <w:tr w:rsidR="001D6EC1" w:rsidRPr="0037516B" w14:paraId="0489BCA0" w14:textId="77777777" w:rsidTr="00ED64AA">
        <w:tc>
          <w:tcPr>
            <w:tcW w:w="3119" w:type="dxa"/>
          </w:tcPr>
          <w:p w14:paraId="407005A3" w14:textId="54836D38" w:rsidR="001D6EC1" w:rsidRPr="001D6EC1" w:rsidRDefault="001D6EC1" w:rsidP="00F84384">
            <w:pPr>
              <w:pStyle w:val="SingleTxtG"/>
              <w:spacing w:before="40"/>
              <w:ind w:left="0" w:right="57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 xml:space="preserve">ST/SG/AC.10/C.3/2021/17 </w:t>
            </w:r>
            <w:r w:rsidR="00E13BFF">
              <w:rPr>
                <w:lang w:val="en-US"/>
              </w:rPr>
              <w:br/>
            </w:r>
            <w:r w:rsidRPr="001B71B3">
              <w:rPr>
                <w:lang w:val="en-US"/>
              </w:rPr>
              <w:t>(Chine)</w:t>
            </w:r>
          </w:p>
        </w:tc>
        <w:tc>
          <w:tcPr>
            <w:tcW w:w="4253" w:type="dxa"/>
          </w:tcPr>
          <w:p w14:paraId="24950912" w14:textId="77777777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Proposition de modification de la DS 366 aux fins de son application au gallium contenu dans des objets manufacturés</w:t>
            </w:r>
          </w:p>
        </w:tc>
      </w:tr>
      <w:tr w:rsidR="001D6EC1" w:rsidRPr="0037516B" w14:paraId="25D25255" w14:textId="77777777" w:rsidTr="00ED64AA">
        <w:tc>
          <w:tcPr>
            <w:tcW w:w="3119" w:type="dxa"/>
          </w:tcPr>
          <w:p w14:paraId="33160BBC" w14:textId="04F8B6A4" w:rsidR="001D6EC1" w:rsidRPr="001D6EC1" w:rsidRDefault="001D6EC1" w:rsidP="00F84384">
            <w:pPr>
              <w:pStyle w:val="SingleTxtG"/>
              <w:spacing w:before="40"/>
              <w:ind w:left="0" w:right="57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 xml:space="preserve">ST/SG/AC.10/C.3/2021/18 </w:t>
            </w:r>
            <w:r w:rsidR="00E13BFF">
              <w:rPr>
                <w:lang w:val="en-US"/>
              </w:rPr>
              <w:br/>
            </w:r>
            <w:r w:rsidRPr="001B71B3">
              <w:rPr>
                <w:lang w:val="en-US"/>
              </w:rPr>
              <w:t>(Chine)</w:t>
            </w:r>
          </w:p>
        </w:tc>
        <w:tc>
          <w:tcPr>
            <w:tcW w:w="4253" w:type="dxa"/>
          </w:tcPr>
          <w:p w14:paraId="6FCCFB51" w14:textId="204C6BA4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Groupe d’emballage ONU des masses magnétisées</w:t>
            </w:r>
          </w:p>
        </w:tc>
      </w:tr>
      <w:tr w:rsidR="001D6EC1" w:rsidRPr="0037516B" w14:paraId="6B9EC9D2" w14:textId="77777777" w:rsidTr="00ED64AA">
        <w:tc>
          <w:tcPr>
            <w:tcW w:w="3119" w:type="dxa"/>
          </w:tcPr>
          <w:p w14:paraId="10AD3CC1" w14:textId="3E1C7DD9" w:rsidR="001D6EC1" w:rsidRPr="001B71B3" w:rsidRDefault="001D6EC1" w:rsidP="00F84384">
            <w:pPr>
              <w:pStyle w:val="SingleTxtG"/>
              <w:spacing w:before="40"/>
              <w:ind w:left="0" w:right="57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ST/SG/AC.10/C.3/2021/21 </w:t>
            </w:r>
            <w:r w:rsidR="002D7CA8">
              <w:rPr>
                <w:lang w:val="fr-FR"/>
              </w:rPr>
              <w:br/>
            </w:r>
            <w:r>
              <w:rPr>
                <w:lang w:val="fr-FR"/>
              </w:rPr>
              <w:t>(Espagne)</w:t>
            </w:r>
          </w:p>
        </w:tc>
        <w:tc>
          <w:tcPr>
            <w:tcW w:w="4253" w:type="dxa"/>
          </w:tcPr>
          <w:p w14:paraId="61008297" w14:textId="1F6FD2BD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 w:rsidRPr="002D7CA8">
              <w:rPr>
                <w:spacing w:val="-2"/>
                <w:lang w:val="fr-FR"/>
              </w:rPr>
              <w:t>Conditions de transport applicables au No ONU 2426</w:t>
            </w:r>
            <w:r>
              <w:rPr>
                <w:lang w:val="fr-FR"/>
              </w:rPr>
              <w:t xml:space="preserve"> (nitrate d’ammonium)</w:t>
            </w:r>
          </w:p>
        </w:tc>
      </w:tr>
      <w:tr w:rsidR="001D6EC1" w:rsidRPr="0037516B" w14:paraId="56382C41" w14:textId="77777777" w:rsidTr="00ED64AA">
        <w:tc>
          <w:tcPr>
            <w:tcW w:w="3119" w:type="dxa"/>
          </w:tcPr>
          <w:p w14:paraId="45B17DDE" w14:textId="215996BE" w:rsidR="001D6EC1" w:rsidRPr="001D6EC1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 xml:space="preserve">ST/SG/AC.10/C.3/2021/22 </w:t>
            </w:r>
            <w:r w:rsidR="00E13BFF">
              <w:rPr>
                <w:lang w:val="en-US"/>
              </w:rPr>
              <w:br/>
            </w:r>
            <w:r w:rsidRPr="001B71B3">
              <w:rPr>
                <w:lang w:val="en-US"/>
              </w:rPr>
              <w:t>(CEFIC)</w:t>
            </w:r>
          </w:p>
        </w:tc>
        <w:tc>
          <w:tcPr>
            <w:tcW w:w="4253" w:type="dxa"/>
          </w:tcPr>
          <w:p w14:paraId="45367BCC" w14:textId="5F29B22F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Classification du No ONU 1010</w:t>
            </w:r>
            <w:r w:rsidR="002D7CA8">
              <w:rPr>
                <w:lang w:val="fr-FR"/>
              </w:rPr>
              <w:t xml:space="preserve"> </w:t>
            </w:r>
            <w:r>
              <w:rPr>
                <w:lang w:val="fr-FR"/>
              </w:rPr>
              <w:t>− mélanges de butadiènes et d’hydrocarbures</w:t>
            </w:r>
          </w:p>
        </w:tc>
      </w:tr>
      <w:tr w:rsidR="001D6EC1" w:rsidRPr="0037516B" w14:paraId="6E78F92F" w14:textId="77777777" w:rsidTr="00ED64AA">
        <w:tc>
          <w:tcPr>
            <w:tcW w:w="3119" w:type="dxa"/>
          </w:tcPr>
          <w:p w14:paraId="4406B013" w14:textId="77777777" w:rsidR="001D6EC1" w:rsidRPr="001D6EC1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>ST/SG/AC.10/C.3/2021/27 (COSTHA)</w:t>
            </w:r>
          </w:p>
        </w:tc>
        <w:tc>
          <w:tcPr>
            <w:tcW w:w="4253" w:type="dxa"/>
          </w:tcPr>
          <w:p w14:paraId="4F9DA969" w14:textId="33684E89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Dispositifs d’extinction de feu contenant une matière pyrotechnique</w:t>
            </w:r>
          </w:p>
        </w:tc>
      </w:tr>
      <w:tr w:rsidR="001D6EC1" w:rsidRPr="0037516B" w14:paraId="61313D65" w14:textId="77777777" w:rsidTr="00ED64AA">
        <w:tc>
          <w:tcPr>
            <w:tcW w:w="3119" w:type="dxa"/>
          </w:tcPr>
          <w:p w14:paraId="31FC6A53" w14:textId="4BB8313F" w:rsidR="001D6EC1" w:rsidRPr="001D6EC1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 xml:space="preserve">ST/SG/AC.10/C.3/2021/31 </w:t>
            </w:r>
            <w:r w:rsidR="00ED64AA">
              <w:rPr>
                <w:lang w:val="en-US"/>
              </w:rPr>
              <w:br/>
            </w:r>
            <w:r w:rsidRPr="001B71B3">
              <w:rPr>
                <w:lang w:val="en-US"/>
              </w:rPr>
              <w:t>(CGA, EIGA)</w:t>
            </w:r>
          </w:p>
        </w:tc>
        <w:tc>
          <w:tcPr>
            <w:tcW w:w="4253" w:type="dxa"/>
          </w:tcPr>
          <w:p w14:paraId="3B87BB82" w14:textId="0D92E4CE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Proposition d’ajout de numéros ONU pour les gaz pyrophoriques et d’ajout de critères pour les gaz pyrophoriques dans la division 2.1</w:t>
            </w:r>
            <w:bookmarkStart w:id="0" w:name="_Hlk62717420"/>
            <w:bookmarkEnd w:id="0"/>
          </w:p>
        </w:tc>
      </w:tr>
    </w:tbl>
    <w:p w14:paraId="390D3D5C" w14:textId="28F6F497" w:rsidR="001D6EC1" w:rsidRPr="001B71B3" w:rsidRDefault="001D6EC1" w:rsidP="001D6EC1">
      <w:pPr>
        <w:pStyle w:val="H1G"/>
        <w:keepNext w:val="0"/>
        <w:keepLines w:val="0"/>
        <w:rPr>
          <w:lang w:val="fr-FR"/>
        </w:rPr>
      </w:pPr>
      <w:r>
        <w:rPr>
          <w:lang w:val="fr-FR"/>
        </w:rPr>
        <w:tab/>
        <w:t>4.</w:t>
      </w:r>
      <w:r>
        <w:rPr>
          <w:lang w:val="fr-FR"/>
        </w:rPr>
        <w:tab/>
      </w:r>
      <w:r>
        <w:rPr>
          <w:bCs/>
          <w:lang w:val="fr-FR"/>
        </w:rPr>
        <w:t>Systèmes de stockage de l’électricité</w:t>
      </w:r>
    </w:p>
    <w:p w14:paraId="4BF7BAF4" w14:textId="77777777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</w:r>
      <w:r>
        <w:rPr>
          <w:bCs/>
          <w:lang w:val="fr-FR"/>
        </w:rPr>
        <w:t>Épreuves pour batteries au lithium</w:t>
      </w:r>
    </w:p>
    <w:p w14:paraId="79CBF5E2" w14:textId="3847E42C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20A4D7BD" w14:textId="77777777" w:rsidR="001D6EC1" w:rsidRPr="001B71B3" w:rsidRDefault="001D6EC1" w:rsidP="002D7CA8">
      <w:pPr>
        <w:pStyle w:val="H23G"/>
        <w:keepLines w:val="0"/>
        <w:rPr>
          <w:lang w:val="fr-FR"/>
        </w:rPr>
      </w:pPr>
      <w:r>
        <w:rPr>
          <w:lang w:val="fr-FR"/>
        </w:rPr>
        <w:lastRenderedPageBreak/>
        <w:tab/>
        <w:t>b)</w:t>
      </w:r>
      <w:r>
        <w:rPr>
          <w:lang w:val="fr-FR"/>
        </w:rPr>
        <w:tab/>
      </w:r>
      <w:r>
        <w:rPr>
          <w:bCs/>
          <w:lang w:val="fr-FR"/>
        </w:rPr>
        <w:t>Système de classification des batteries au lithium en fonction du danger</w:t>
      </w:r>
    </w:p>
    <w:p w14:paraId="6EF53238" w14:textId="59771BB0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4F946FE6" w14:textId="77777777" w:rsidR="001D6EC1" w:rsidRDefault="001D6EC1" w:rsidP="001D6EC1">
      <w:pPr>
        <w:pStyle w:val="H23G"/>
        <w:keepNext w:val="0"/>
        <w:keepLines w:val="0"/>
      </w:pPr>
      <w:r>
        <w:rPr>
          <w:lang w:val="fr-FR"/>
        </w:rPr>
        <w:tab/>
        <w:t>c)</w:t>
      </w:r>
      <w:r>
        <w:rPr>
          <w:lang w:val="fr-FR"/>
        </w:rPr>
        <w:tab/>
      </w:r>
      <w:r>
        <w:rPr>
          <w:bCs/>
          <w:lang w:val="fr-FR"/>
        </w:rPr>
        <w:t>Dispositions relatives au transport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1D6EC1" w:rsidRPr="0037516B" w14:paraId="18761530" w14:textId="77777777" w:rsidTr="002D7CA8">
        <w:tc>
          <w:tcPr>
            <w:tcW w:w="3119" w:type="dxa"/>
          </w:tcPr>
          <w:p w14:paraId="0C95B794" w14:textId="77777777" w:rsidR="001D6EC1" w:rsidRDefault="001D6EC1" w:rsidP="00ED64A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ST/SG/AC.10/C.3/2021/7 (Allemagne)</w:t>
            </w:r>
          </w:p>
        </w:tc>
        <w:tc>
          <w:tcPr>
            <w:tcW w:w="4252" w:type="dxa"/>
          </w:tcPr>
          <w:p w14:paraId="66B06741" w14:textId="21195D83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L’Allemagne demande une interprétation du terme « engin de transport » dans le contexte du transport des BATTERIES AU LITHIUM INSTALLÉES DANS DES ENGINS DE TRANSPORT (No</w:t>
            </w:r>
            <w:r w:rsidR="00F84384">
              <w:rPr>
                <w:lang w:val="fr-FR"/>
              </w:rPr>
              <w:t> </w:t>
            </w:r>
            <w:r>
              <w:rPr>
                <w:lang w:val="fr-FR"/>
              </w:rPr>
              <w:t>ONU</w:t>
            </w:r>
            <w:r w:rsidR="00F84384">
              <w:rPr>
                <w:lang w:val="fr-FR"/>
              </w:rPr>
              <w:t> </w:t>
            </w:r>
            <w:r>
              <w:rPr>
                <w:lang w:val="fr-FR"/>
              </w:rPr>
              <w:t>3536)</w:t>
            </w:r>
          </w:p>
        </w:tc>
      </w:tr>
    </w:tbl>
    <w:p w14:paraId="05178D7C" w14:textId="77777777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</w:r>
      <w:r>
        <w:rPr>
          <w:bCs/>
          <w:lang w:val="fr-FR"/>
        </w:rPr>
        <w:t>Batteries au lithium endommagées ou défectueuses</w:t>
      </w:r>
    </w:p>
    <w:p w14:paraId="739B869D" w14:textId="4C0332D7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30883A8F" w14:textId="77777777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e)</w:t>
      </w:r>
      <w:r>
        <w:rPr>
          <w:lang w:val="fr-FR"/>
        </w:rPr>
        <w:tab/>
      </w:r>
      <w:r>
        <w:rPr>
          <w:bCs/>
          <w:lang w:val="fr-FR"/>
        </w:rPr>
        <w:t>Batteries au sodium ionique</w:t>
      </w:r>
    </w:p>
    <w:p w14:paraId="753B4DCC" w14:textId="2C07E57D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7F2480BE" w14:textId="77777777" w:rsidR="001D6EC1" w:rsidRDefault="001D6EC1" w:rsidP="001D6EC1">
      <w:pPr>
        <w:pStyle w:val="H23G"/>
        <w:keepNext w:val="0"/>
        <w:keepLines w:val="0"/>
      </w:pPr>
      <w:r>
        <w:rPr>
          <w:lang w:val="fr-FR"/>
        </w:rPr>
        <w:tab/>
        <w:t>f)</w:t>
      </w:r>
      <w:r>
        <w:rPr>
          <w:lang w:val="fr-FR"/>
        </w:rPr>
        <w:tab/>
      </w:r>
      <w:r>
        <w:rPr>
          <w:bCs/>
          <w:lang w:val="fr-FR"/>
        </w:rPr>
        <w:t>Questions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1D6EC1" w:rsidRPr="0037516B" w14:paraId="7D31FB39" w14:textId="77777777" w:rsidTr="00ED64AA">
        <w:tc>
          <w:tcPr>
            <w:tcW w:w="3119" w:type="dxa"/>
          </w:tcPr>
          <w:p w14:paraId="366C001F" w14:textId="74E57229" w:rsidR="001D6EC1" w:rsidRPr="001D6EC1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 xml:space="preserve">ST/SG/AC.10/C.3/2021/28 </w:t>
            </w:r>
            <w:r w:rsidR="00E13BFF">
              <w:rPr>
                <w:lang w:val="en-US"/>
              </w:rPr>
              <w:br/>
            </w:r>
            <w:r w:rsidRPr="001B71B3">
              <w:rPr>
                <w:lang w:val="en-US"/>
              </w:rPr>
              <w:t>(PRBA)</w:t>
            </w:r>
          </w:p>
        </w:tc>
        <w:tc>
          <w:tcPr>
            <w:tcW w:w="4253" w:type="dxa"/>
          </w:tcPr>
          <w:p w14:paraId="684D6BEB" w14:textId="37873C48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Proposition d’amendement à l’instruction d’emballage LP903</w:t>
            </w:r>
          </w:p>
        </w:tc>
      </w:tr>
    </w:tbl>
    <w:p w14:paraId="017FA648" w14:textId="77777777" w:rsidR="001D6EC1" w:rsidRPr="001B71B3" w:rsidRDefault="001D6EC1" w:rsidP="001D6EC1">
      <w:pPr>
        <w:pStyle w:val="H1G"/>
        <w:rPr>
          <w:lang w:val="fr-FR"/>
        </w:rPr>
      </w:pPr>
      <w:r>
        <w:rPr>
          <w:lang w:val="fr-FR"/>
        </w:rPr>
        <w:tab/>
        <w:t>5.</w:t>
      </w:r>
      <w:r>
        <w:rPr>
          <w:lang w:val="fr-FR"/>
        </w:rPr>
        <w:tab/>
      </w:r>
      <w:r>
        <w:rPr>
          <w:bCs/>
          <w:lang w:val="fr-FR"/>
        </w:rPr>
        <w:t>Transport de gaz</w:t>
      </w:r>
    </w:p>
    <w:p w14:paraId="191AD347" w14:textId="77777777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</w:r>
      <w:r>
        <w:rPr>
          <w:bCs/>
          <w:lang w:val="fr-FR"/>
        </w:rPr>
        <w:t>Reconnaissance universelle des récipients à pression ONU et non ONU</w:t>
      </w:r>
    </w:p>
    <w:p w14:paraId="35280A56" w14:textId="5A6F2E1B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5C21456B" w14:textId="77777777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</w:r>
      <w:r>
        <w:rPr>
          <w:bCs/>
          <w:lang w:val="fr-FR"/>
        </w:rPr>
        <w:t>Gaz de la division 2.2 transportés en quantités limitées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1D6EC1" w:rsidRPr="0037516B" w14:paraId="65D0C1A0" w14:textId="77777777" w:rsidTr="00ED64AA">
        <w:tc>
          <w:tcPr>
            <w:tcW w:w="3119" w:type="dxa"/>
            <w:hideMark/>
          </w:tcPr>
          <w:p w14:paraId="0370F699" w14:textId="77777777" w:rsidR="001D6EC1" w:rsidRPr="001D6EC1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>ST/SG/AC.10/C.3/2021/26 (COSTHA)</w:t>
            </w:r>
          </w:p>
        </w:tc>
        <w:tc>
          <w:tcPr>
            <w:tcW w:w="4253" w:type="dxa"/>
            <w:hideMark/>
          </w:tcPr>
          <w:p w14:paraId="1FB109C6" w14:textId="77777777" w:rsidR="001D6EC1" w:rsidRPr="00026C2C" w:rsidRDefault="001D6EC1" w:rsidP="001D6EC1">
            <w:pPr>
              <w:pStyle w:val="SingleTxtG"/>
              <w:spacing w:before="40"/>
              <w:ind w:left="0" w:right="0"/>
              <w:jc w:val="left"/>
            </w:pPr>
            <w:r w:rsidRPr="00026C2C">
              <w:t>Augmentation du volume des gaz comprimés de la division 2.2 transportés en quantités limitées</w:t>
            </w:r>
          </w:p>
        </w:tc>
      </w:tr>
    </w:tbl>
    <w:p w14:paraId="14A10905" w14:textId="77777777" w:rsidR="001D6EC1" w:rsidRDefault="001D6EC1" w:rsidP="001D6EC1">
      <w:pPr>
        <w:pStyle w:val="H23G"/>
        <w:keepNext w:val="0"/>
        <w:keepLines w:val="0"/>
      </w:pPr>
      <w:r>
        <w:rPr>
          <w:lang w:val="fr-FR"/>
        </w:rPr>
        <w:tab/>
        <w:t>c)</w:t>
      </w:r>
      <w:r>
        <w:rPr>
          <w:lang w:val="fr-FR"/>
        </w:rPr>
        <w:tab/>
      </w:r>
      <w:r>
        <w:rPr>
          <w:bCs/>
          <w:lang w:val="fr-FR"/>
        </w:rPr>
        <w:t>Questions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1D6EC1" w:rsidRPr="0037516B" w14:paraId="4BD87983" w14:textId="77777777" w:rsidTr="00ED64AA">
        <w:tc>
          <w:tcPr>
            <w:tcW w:w="3119" w:type="dxa"/>
            <w:hideMark/>
          </w:tcPr>
          <w:p w14:paraId="00E3BBE5" w14:textId="0DD19BAD" w:rsidR="001D6EC1" w:rsidRPr="001D6EC1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 xml:space="preserve">ST/SG/AC.10/C.3/2021/6 </w:t>
            </w:r>
            <w:r w:rsidR="00E13BFF">
              <w:rPr>
                <w:lang w:val="en-US"/>
              </w:rPr>
              <w:br/>
            </w:r>
            <w:r w:rsidRPr="001B71B3">
              <w:rPr>
                <w:lang w:val="en-US"/>
              </w:rPr>
              <w:t>(EIGA)</w:t>
            </w:r>
          </w:p>
        </w:tc>
        <w:tc>
          <w:tcPr>
            <w:tcW w:w="4253" w:type="dxa"/>
            <w:hideMark/>
          </w:tcPr>
          <w:p w14:paraId="3BABE0B6" w14:textId="5D01F835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Dispositions spéciales d’emballage pour les marchandises de la classe 2</w:t>
            </w:r>
            <w:r w:rsidR="00F84384">
              <w:rPr>
                <w:lang w:val="fr-FR"/>
              </w:rPr>
              <w:t xml:space="preserve"> </w:t>
            </w:r>
            <w:r>
              <w:rPr>
                <w:lang w:val="fr-FR"/>
              </w:rPr>
              <w:t>− Prescriptions relatives à la protection des robinets énoncées au 4.1.6.1.8</w:t>
            </w:r>
          </w:p>
        </w:tc>
      </w:tr>
      <w:tr w:rsidR="001D6EC1" w:rsidRPr="0037516B" w14:paraId="34C07B38" w14:textId="77777777" w:rsidTr="00ED64AA">
        <w:tc>
          <w:tcPr>
            <w:tcW w:w="3119" w:type="dxa"/>
          </w:tcPr>
          <w:p w14:paraId="4ABA8243" w14:textId="3D4E0368" w:rsidR="001D6EC1" w:rsidRPr="001D6EC1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 xml:space="preserve">ST/SG/AC.10/C.3/2021/10 </w:t>
            </w:r>
            <w:r w:rsidR="00E13BFF">
              <w:rPr>
                <w:lang w:val="en-US"/>
              </w:rPr>
              <w:br/>
            </w:r>
            <w:r w:rsidRPr="001B71B3">
              <w:rPr>
                <w:lang w:val="en-US"/>
              </w:rPr>
              <w:t>(ISO)</w:t>
            </w:r>
          </w:p>
        </w:tc>
        <w:tc>
          <w:tcPr>
            <w:tcW w:w="4253" w:type="dxa"/>
          </w:tcPr>
          <w:p w14:paraId="70241EDA" w14:textId="77777777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Normes ISO mises à jour dans la classe 2</w:t>
            </w:r>
          </w:p>
        </w:tc>
      </w:tr>
    </w:tbl>
    <w:p w14:paraId="5743EE15" w14:textId="71D2AEFD" w:rsidR="001D6EC1" w:rsidRPr="001B71B3" w:rsidRDefault="001D6EC1" w:rsidP="002D7CA8">
      <w:pPr>
        <w:pStyle w:val="H1G"/>
        <w:rPr>
          <w:lang w:val="fr-FR"/>
        </w:rPr>
      </w:pPr>
      <w:r>
        <w:rPr>
          <w:lang w:val="fr-FR"/>
        </w:rPr>
        <w:tab/>
        <w:t>6.</w:t>
      </w:r>
      <w:r>
        <w:rPr>
          <w:lang w:val="fr-FR"/>
        </w:rPr>
        <w:tab/>
        <w:t xml:space="preserve">Propositions diverses d’amendements au Règlement type </w:t>
      </w:r>
      <w:r w:rsidR="002D7CA8">
        <w:rPr>
          <w:lang w:val="fr-FR"/>
        </w:rPr>
        <w:br/>
      </w:r>
      <w:r>
        <w:rPr>
          <w:lang w:val="fr-FR"/>
        </w:rPr>
        <w:t xml:space="preserve">pour le transport des marchandises </w:t>
      </w:r>
      <w:r w:rsidRPr="002D7CA8">
        <w:t>dangereuses</w:t>
      </w:r>
    </w:p>
    <w:p w14:paraId="64117431" w14:textId="77777777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</w:r>
      <w:r>
        <w:rPr>
          <w:bCs/>
          <w:lang w:val="fr-FR"/>
        </w:rPr>
        <w:t>Marquage et étiquetage</w:t>
      </w:r>
    </w:p>
    <w:p w14:paraId="0CA37078" w14:textId="607A5990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751E57F3" w14:textId="0E6B384F" w:rsidR="001D6EC1" w:rsidRPr="001B71B3" w:rsidRDefault="001D6EC1" w:rsidP="00E13BFF">
      <w:pPr>
        <w:pStyle w:val="H23G"/>
        <w:keepLines w:val="0"/>
        <w:rPr>
          <w:lang w:val="fr-FR"/>
        </w:rPr>
      </w:pPr>
      <w:r>
        <w:rPr>
          <w:lang w:val="fr-FR"/>
        </w:rPr>
        <w:lastRenderedPageBreak/>
        <w:tab/>
        <w:t>b)</w:t>
      </w:r>
      <w:r>
        <w:rPr>
          <w:lang w:val="fr-FR"/>
        </w:rPr>
        <w:tab/>
      </w:r>
      <w:r>
        <w:rPr>
          <w:bCs/>
          <w:lang w:val="fr-FR"/>
        </w:rPr>
        <w:t>Emballages, y compris l’utilisation des matières plastiques recyclées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1D6EC1" w:rsidRPr="0037516B" w14:paraId="5492438F" w14:textId="77777777" w:rsidTr="00ED64AA">
        <w:tc>
          <w:tcPr>
            <w:tcW w:w="3119" w:type="dxa"/>
            <w:hideMark/>
          </w:tcPr>
          <w:p w14:paraId="2820F380" w14:textId="77777777" w:rsidR="001D6EC1" w:rsidRDefault="001D6EC1" w:rsidP="00ED64A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ST/SG/AC.10/C.3/2021/4 (Allemagne)</w:t>
            </w:r>
          </w:p>
        </w:tc>
        <w:tc>
          <w:tcPr>
            <w:tcW w:w="4253" w:type="dxa"/>
            <w:hideMark/>
          </w:tcPr>
          <w:p w14:paraId="132A3079" w14:textId="44F37874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Critères d’acceptation applicables pour l’épreuve de levage par le haut pour les grands emballages en bois et les grands emballages en carton</w:t>
            </w:r>
            <w:r w:rsidR="002D7CA8">
              <w:rPr>
                <w:lang w:val="fr-FR"/>
              </w:rPr>
              <w:t xml:space="preserve"> </w:t>
            </w:r>
            <w:r>
              <w:rPr>
                <w:lang w:val="fr-FR"/>
              </w:rPr>
              <w:t>− version révisée du document ST/SG/AC.10/C.3/2020/64</w:t>
            </w:r>
          </w:p>
        </w:tc>
      </w:tr>
      <w:tr w:rsidR="001D6EC1" w:rsidRPr="0037516B" w14:paraId="5F5079B3" w14:textId="77777777" w:rsidTr="00ED64AA">
        <w:tc>
          <w:tcPr>
            <w:tcW w:w="3119" w:type="dxa"/>
          </w:tcPr>
          <w:p w14:paraId="0A36A83C" w14:textId="4B60D64D" w:rsidR="001D6EC1" w:rsidRDefault="001D6EC1" w:rsidP="00ED64A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 xml:space="preserve">ST/SG/AC.10/C.3/2021/20 </w:t>
            </w:r>
            <w:r w:rsidR="002D7CA8">
              <w:rPr>
                <w:lang w:val="fr-FR"/>
              </w:rPr>
              <w:br/>
            </w:r>
            <w:r>
              <w:rPr>
                <w:lang w:val="fr-FR"/>
              </w:rPr>
              <w:t>(Belgique)</w:t>
            </w:r>
          </w:p>
        </w:tc>
        <w:tc>
          <w:tcPr>
            <w:tcW w:w="4253" w:type="dxa"/>
          </w:tcPr>
          <w:p w14:paraId="6DE0ACC2" w14:textId="77777777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Évaluation de la non-combustibilité des emballages de batteries au lithium</w:t>
            </w:r>
          </w:p>
        </w:tc>
      </w:tr>
    </w:tbl>
    <w:p w14:paraId="2D599F2C" w14:textId="77777777" w:rsidR="001D6EC1" w:rsidRDefault="001D6EC1" w:rsidP="001D6EC1">
      <w:pPr>
        <w:pStyle w:val="H23G"/>
        <w:keepNext w:val="0"/>
        <w:keepLines w:val="0"/>
      </w:pPr>
      <w:r>
        <w:rPr>
          <w:lang w:val="fr-FR"/>
        </w:rPr>
        <w:tab/>
        <w:t>c)</w:t>
      </w:r>
      <w:r>
        <w:rPr>
          <w:lang w:val="fr-FR"/>
        </w:rPr>
        <w:tab/>
      </w:r>
      <w:r>
        <w:rPr>
          <w:bCs/>
          <w:lang w:val="fr-FR"/>
        </w:rPr>
        <w:t>Citernes mobiles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1D6EC1" w:rsidRPr="0037516B" w14:paraId="1AA18DA4" w14:textId="77777777" w:rsidTr="00ED64AA">
        <w:tc>
          <w:tcPr>
            <w:tcW w:w="3119" w:type="dxa"/>
            <w:hideMark/>
          </w:tcPr>
          <w:p w14:paraId="623C17F9" w14:textId="74460CDC" w:rsidR="001D6EC1" w:rsidRDefault="001D6EC1" w:rsidP="00ED64A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 xml:space="preserve">ST/SG/AC.10/C.3/2021/5 </w:t>
            </w:r>
            <w:r w:rsidR="00ED64AA">
              <w:rPr>
                <w:lang w:val="fr-FR"/>
              </w:rPr>
              <w:br/>
            </w:r>
            <w:r>
              <w:rPr>
                <w:lang w:val="fr-FR"/>
              </w:rPr>
              <w:t>(Allemagne)</w:t>
            </w:r>
          </w:p>
        </w:tc>
        <w:tc>
          <w:tcPr>
            <w:tcW w:w="4253" w:type="dxa"/>
            <w:hideMark/>
          </w:tcPr>
          <w:p w14:paraId="3670A61E" w14:textId="1A06C40C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Proposition relative à l’interprétation des paragraphes 6.7.2.19.5 et 6.7.3.15.5 concernant l’omission de l’examen intérieur des citernes mobiles</w:t>
            </w:r>
          </w:p>
        </w:tc>
      </w:tr>
      <w:tr w:rsidR="001D6EC1" w:rsidRPr="0037516B" w14:paraId="1E83315E" w14:textId="77777777" w:rsidTr="00ED64AA">
        <w:tc>
          <w:tcPr>
            <w:tcW w:w="3119" w:type="dxa"/>
          </w:tcPr>
          <w:p w14:paraId="42C37DA8" w14:textId="4FA10F57" w:rsidR="001D6EC1" w:rsidRPr="001B71B3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ST/SG/AC.10/C.3/2021/8 </w:t>
            </w:r>
            <w:r w:rsidR="00ED64AA">
              <w:rPr>
                <w:lang w:val="fr-FR"/>
              </w:rPr>
              <w:br/>
            </w:r>
            <w:r>
              <w:rPr>
                <w:lang w:val="fr-FR"/>
              </w:rPr>
              <w:t>(Fédération de Russie)</w:t>
            </w:r>
          </w:p>
        </w:tc>
        <w:tc>
          <w:tcPr>
            <w:tcW w:w="4253" w:type="dxa"/>
          </w:tcPr>
          <w:p w14:paraId="60B86EE5" w14:textId="77777777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Ajout de la nouvelle section 6.9.3, intitulée « Prescriptions relatives à la conception, à la construction, aux contrôles et aux épreuves des soupapes, dispositifs de décompression et trappes de visite en matière plastique renforcée de fibre dans le cas des citernes mobiles »</w:t>
            </w:r>
          </w:p>
        </w:tc>
      </w:tr>
      <w:tr w:rsidR="001D6EC1" w:rsidRPr="0037516B" w14:paraId="491F6CF6" w14:textId="77777777" w:rsidTr="00ED64AA">
        <w:tc>
          <w:tcPr>
            <w:tcW w:w="3119" w:type="dxa"/>
          </w:tcPr>
          <w:p w14:paraId="2A09A563" w14:textId="659B31C7" w:rsidR="001D6EC1" w:rsidRPr="001D6EC1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 xml:space="preserve">ST/SG/AC.10/C.3/2021/9 </w:t>
            </w:r>
            <w:r w:rsidR="00E13BFF">
              <w:rPr>
                <w:lang w:val="en-US"/>
              </w:rPr>
              <w:br/>
            </w:r>
            <w:r w:rsidRPr="001B71B3">
              <w:rPr>
                <w:lang w:val="en-US"/>
              </w:rPr>
              <w:t>(IDGCA)</w:t>
            </w:r>
          </w:p>
        </w:tc>
        <w:tc>
          <w:tcPr>
            <w:tcW w:w="4253" w:type="dxa"/>
          </w:tcPr>
          <w:p w14:paraId="4F1A9052" w14:textId="44625B78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Propositions d’amendements au chapitre 6.7 du Règlement type</w:t>
            </w:r>
          </w:p>
        </w:tc>
      </w:tr>
      <w:tr w:rsidR="001D6EC1" w:rsidRPr="0037516B" w14:paraId="0A4B63B4" w14:textId="77777777" w:rsidTr="00ED64AA">
        <w:tc>
          <w:tcPr>
            <w:tcW w:w="3119" w:type="dxa"/>
          </w:tcPr>
          <w:p w14:paraId="55A3E4AB" w14:textId="77777777" w:rsidR="001D6EC1" w:rsidRPr="001B71B3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ST/SG/AC.10/C.3/2021/11 (Royaume-Uni)</w:t>
            </w:r>
          </w:p>
        </w:tc>
        <w:tc>
          <w:tcPr>
            <w:tcW w:w="4253" w:type="dxa"/>
          </w:tcPr>
          <w:p w14:paraId="0B886305" w14:textId="77777777" w:rsidR="001D6EC1" w:rsidRPr="005748AE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 w:rsidRPr="005748AE">
              <w:rPr>
                <w:lang w:val="fr-FR"/>
              </w:rPr>
              <w:t>Résilience des citernes mobiles en plastique renforcé de fibres (PRF)</w:t>
            </w:r>
          </w:p>
        </w:tc>
      </w:tr>
      <w:tr w:rsidR="001D6EC1" w:rsidRPr="0037516B" w14:paraId="72465538" w14:textId="77777777" w:rsidTr="00ED64AA">
        <w:tc>
          <w:tcPr>
            <w:tcW w:w="3119" w:type="dxa"/>
          </w:tcPr>
          <w:p w14:paraId="093C9C4D" w14:textId="2176CCCA" w:rsidR="001D6EC1" w:rsidRPr="001D6EC1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 xml:space="preserve">ST/SG/AC.10/C.3/2021/24 </w:t>
            </w:r>
            <w:r w:rsidR="00E13BFF">
              <w:rPr>
                <w:lang w:val="en-US"/>
              </w:rPr>
              <w:br/>
            </w:r>
            <w:r w:rsidRPr="001B71B3">
              <w:rPr>
                <w:lang w:val="en-US"/>
              </w:rPr>
              <w:t>(ITCO)</w:t>
            </w:r>
          </w:p>
        </w:tc>
        <w:tc>
          <w:tcPr>
            <w:tcW w:w="4253" w:type="dxa"/>
          </w:tcPr>
          <w:p w14:paraId="7544FA61" w14:textId="3C4EA862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Ajout d’une prescription tendant à prévoir, pour le réservoir des citernes mobiles en matière plastique renforcée de fibres (chap. 6.9), un degré de sécurité équivalent à celui exigé pour le réservoir des citernes mobiles métalliques (chap. 6.7)</w:t>
            </w:r>
          </w:p>
        </w:tc>
      </w:tr>
    </w:tbl>
    <w:p w14:paraId="0F403A76" w14:textId="77777777" w:rsidR="001D6EC1" w:rsidRDefault="001D6EC1" w:rsidP="001D6EC1">
      <w:pPr>
        <w:pStyle w:val="H23G"/>
      </w:pPr>
      <w:r>
        <w:rPr>
          <w:lang w:val="fr-FR"/>
        </w:rPr>
        <w:tab/>
        <w:t>d)</w:t>
      </w:r>
      <w:r>
        <w:rPr>
          <w:lang w:val="fr-FR"/>
        </w:rPr>
        <w:tab/>
      </w:r>
      <w:r>
        <w:rPr>
          <w:bCs/>
          <w:lang w:val="fr-FR"/>
        </w:rPr>
        <w:t>Autres propositions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1D6EC1" w:rsidRPr="0037516B" w14:paraId="41500337" w14:textId="77777777" w:rsidTr="00ED64AA">
        <w:tc>
          <w:tcPr>
            <w:tcW w:w="3119" w:type="dxa"/>
            <w:hideMark/>
          </w:tcPr>
          <w:p w14:paraId="2E0F70BF" w14:textId="2B4D67B4" w:rsidR="001D6EC1" w:rsidRPr="001B71B3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ST/SG/AC.10/C.3/2021/2 </w:t>
            </w:r>
            <w:r w:rsidR="00ED64AA">
              <w:rPr>
                <w:lang w:val="fr-FR"/>
              </w:rPr>
              <w:br/>
            </w:r>
            <w:r>
              <w:rPr>
                <w:lang w:val="fr-FR"/>
              </w:rPr>
              <w:t>(Royaume-Uni)</w:t>
            </w:r>
          </w:p>
        </w:tc>
        <w:tc>
          <w:tcPr>
            <w:tcW w:w="4253" w:type="dxa"/>
            <w:hideMark/>
          </w:tcPr>
          <w:p w14:paraId="21652BDA" w14:textId="50077929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Ajout d’une note au 1.1.1.7 visant à en assurer une interprétation cohérente</w:t>
            </w:r>
          </w:p>
        </w:tc>
      </w:tr>
      <w:tr w:rsidR="001D6EC1" w:rsidRPr="0037516B" w14:paraId="33BEBEF7" w14:textId="77777777" w:rsidTr="00ED64AA">
        <w:tc>
          <w:tcPr>
            <w:tcW w:w="3119" w:type="dxa"/>
          </w:tcPr>
          <w:p w14:paraId="35983796" w14:textId="71C158C1" w:rsidR="001D6EC1" w:rsidRPr="001D6EC1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 xml:space="preserve">ST/SG/AC.10/C.3/2021/23 </w:t>
            </w:r>
            <w:r w:rsidR="00E13BFF">
              <w:rPr>
                <w:lang w:val="en-US"/>
              </w:rPr>
              <w:br/>
            </w:r>
            <w:r w:rsidRPr="001B71B3">
              <w:rPr>
                <w:lang w:val="en-US"/>
              </w:rPr>
              <w:t>(IATA)</w:t>
            </w:r>
          </w:p>
        </w:tc>
        <w:tc>
          <w:tcPr>
            <w:tcW w:w="4253" w:type="dxa"/>
          </w:tcPr>
          <w:p w14:paraId="2B9950D5" w14:textId="6B271E8E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Amendement au 2.0.5.2</w:t>
            </w:r>
            <w:r w:rsidR="002D7CA8">
              <w:rPr>
                <w:lang w:val="fr-FR"/>
              </w:rPr>
              <w:t xml:space="preserve"> </w:t>
            </w:r>
            <w:r>
              <w:rPr>
                <w:lang w:val="fr-FR"/>
              </w:rPr>
              <w:t>− Classement des objets contenant des prototypes de batteries au lithium ou des batteries au lithium produites en petite série</w:t>
            </w:r>
          </w:p>
        </w:tc>
      </w:tr>
      <w:tr w:rsidR="001D6EC1" w:rsidRPr="0037516B" w14:paraId="791A1978" w14:textId="77777777" w:rsidTr="00ED64AA">
        <w:tc>
          <w:tcPr>
            <w:tcW w:w="3119" w:type="dxa"/>
          </w:tcPr>
          <w:p w14:paraId="37B0DD6D" w14:textId="77777777" w:rsidR="001D6EC1" w:rsidRPr="001D6EC1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>ST/SG/AC.10/C.3/2021/25 (COSTHA)</w:t>
            </w:r>
          </w:p>
        </w:tc>
        <w:tc>
          <w:tcPr>
            <w:tcW w:w="4253" w:type="dxa"/>
          </w:tcPr>
          <w:p w14:paraId="172B7452" w14:textId="564924BE" w:rsidR="001D6EC1" w:rsidRPr="001B71B3" w:rsidRDefault="001D6EC1" w:rsidP="001D6EC1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Problème d’interprétation du paragraphe 7.5.2.3 de l’ADR</w:t>
            </w:r>
          </w:p>
        </w:tc>
      </w:tr>
      <w:tr w:rsidR="001D6EC1" w14:paraId="61BE2CA8" w14:textId="77777777" w:rsidTr="00ED64AA">
        <w:tc>
          <w:tcPr>
            <w:tcW w:w="3119" w:type="dxa"/>
          </w:tcPr>
          <w:p w14:paraId="79500CD2" w14:textId="77777777" w:rsidR="001D6EC1" w:rsidRDefault="001D6EC1" w:rsidP="00ED64A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fr-FR"/>
              </w:rPr>
              <w:t>ST/SG/AC.10/C.3/2021/29 (Secrétariat)</w:t>
            </w:r>
          </w:p>
        </w:tc>
        <w:tc>
          <w:tcPr>
            <w:tcW w:w="4253" w:type="dxa"/>
          </w:tcPr>
          <w:p w14:paraId="0F08DACA" w14:textId="77777777" w:rsidR="001D6EC1" w:rsidRPr="002C53A8" w:rsidRDefault="001D6EC1" w:rsidP="001D6EC1">
            <w:pPr>
              <w:pStyle w:val="SingleTxtG"/>
              <w:spacing w:before="40"/>
              <w:ind w:left="0" w:right="0"/>
              <w:jc w:val="left"/>
              <w:rPr>
                <w:bCs/>
                <w:szCs w:val="28"/>
              </w:rPr>
            </w:pPr>
            <w:r>
              <w:rPr>
                <w:lang w:val="fr-FR"/>
              </w:rPr>
              <w:t>Modifications éditoriales</w:t>
            </w:r>
          </w:p>
        </w:tc>
      </w:tr>
      <w:tr w:rsidR="001D6EC1" w:rsidRPr="0037516B" w14:paraId="42DB76C3" w14:textId="77777777" w:rsidTr="00ED64AA">
        <w:tc>
          <w:tcPr>
            <w:tcW w:w="3119" w:type="dxa"/>
          </w:tcPr>
          <w:p w14:paraId="57C4087D" w14:textId="61436688" w:rsidR="001D6EC1" w:rsidRPr="001D6EC1" w:rsidRDefault="001D6EC1" w:rsidP="00ED64A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1B71B3">
              <w:rPr>
                <w:lang w:val="en-US"/>
              </w:rPr>
              <w:t xml:space="preserve">ST/SG/AC.10/C.3/2021/30 </w:t>
            </w:r>
            <w:r w:rsidR="00E13BFF">
              <w:rPr>
                <w:lang w:val="en-US"/>
              </w:rPr>
              <w:br/>
            </w:r>
            <w:r w:rsidRPr="001B71B3">
              <w:rPr>
                <w:lang w:val="en-US"/>
              </w:rPr>
              <w:t>(IDGCA)</w:t>
            </w:r>
          </w:p>
        </w:tc>
        <w:tc>
          <w:tcPr>
            <w:tcW w:w="4253" w:type="dxa"/>
          </w:tcPr>
          <w:p w14:paraId="16868CFD" w14:textId="36106173" w:rsidR="001D6EC1" w:rsidRPr="005748AE" w:rsidRDefault="001D6EC1" w:rsidP="001D6EC1">
            <w:pPr>
              <w:pStyle w:val="SingleTxtG"/>
              <w:spacing w:before="40"/>
              <w:ind w:left="0" w:right="0"/>
              <w:jc w:val="left"/>
              <w:rPr>
                <w:bCs/>
                <w:szCs w:val="28"/>
                <w:lang w:val="fr-FR"/>
              </w:rPr>
            </w:pPr>
            <w:r w:rsidRPr="005748AE">
              <w:rPr>
                <w:lang w:val="fr-FR"/>
              </w:rPr>
              <w:t>Proposition de création d</w:t>
            </w:r>
            <w:r>
              <w:rPr>
                <w:lang w:val="fr-FR"/>
              </w:rPr>
              <w:t>’</w:t>
            </w:r>
            <w:r w:rsidRPr="005748AE">
              <w:rPr>
                <w:lang w:val="fr-FR"/>
              </w:rPr>
              <w:t>un groupe de travail informel de la qualité</w:t>
            </w:r>
          </w:p>
        </w:tc>
      </w:tr>
    </w:tbl>
    <w:p w14:paraId="78680129" w14:textId="77777777" w:rsidR="001D6EC1" w:rsidRPr="001B71B3" w:rsidRDefault="001D6EC1" w:rsidP="001D6EC1">
      <w:pPr>
        <w:pStyle w:val="H1G"/>
        <w:keepNext w:val="0"/>
        <w:keepLines w:val="0"/>
        <w:rPr>
          <w:lang w:val="fr-FR"/>
        </w:rPr>
      </w:pPr>
      <w:r>
        <w:rPr>
          <w:lang w:val="fr-FR"/>
        </w:rPr>
        <w:tab/>
        <w:t>7.</w:t>
      </w:r>
      <w:r>
        <w:rPr>
          <w:lang w:val="fr-FR"/>
        </w:rPr>
        <w:tab/>
      </w:r>
      <w:r>
        <w:rPr>
          <w:bCs/>
          <w:lang w:val="fr-FR"/>
        </w:rPr>
        <w:t>Harmonisation générale des règlements de transport des marchandises dangereuses avec le Règlement type</w:t>
      </w:r>
    </w:p>
    <w:p w14:paraId="4901786E" w14:textId="36496D21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5875FB96" w14:textId="4DBB35C0" w:rsidR="001D6EC1" w:rsidRPr="001B71B3" w:rsidRDefault="001D6EC1" w:rsidP="001D6EC1">
      <w:pPr>
        <w:pStyle w:val="H1G"/>
        <w:keepNext w:val="0"/>
        <w:keepLines w:val="0"/>
        <w:rPr>
          <w:lang w:val="fr-FR"/>
        </w:rPr>
      </w:pPr>
      <w:r>
        <w:rPr>
          <w:lang w:val="fr-FR"/>
        </w:rPr>
        <w:lastRenderedPageBreak/>
        <w:tab/>
        <w:t>8.</w:t>
      </w:r>
      <w:r>
        <w:rPr>
          <w:lang w:val="fr-FR"/>
        </w:rPr>
        <w:tab/>
      </w:r>
      <w:r>
        <w:rPr>
          <w:bCs/>
          <w:lang w:val="fr-FR"/>
        </w:rPr>
        <w:t>Coopération avec l’Agence internationale de l’énergie atomique</w:t>
      </w:r>
    </w:p>
    <w:p w14:paraId="41418B59" w14:textId="33849362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0A8BB7B7" w14:textId="77777777" w:rsidR="001D6EC1" w:rsidRPr="001B71B3" w:rsidRDefault="001D6EC1" w:rsidP="001D6EC1">
      <w:pPr>
        <w:pStyle w:val="H1G"/>
        <w:keepNext w:val="0"/>
        <w:keepLines w:val="0"/>
        <w:rPr>
          <w:lang w:val="fr-FR"/>
        </w:rPr>
      </w:pPr>
      <w:r>
        <w:rPr>
          <w:lang w:val="fr-FR"/>
        </w:rPr>
        <w:tab/>
        <w:t>9.</w:t>
      </w:r>
      <w:r>
        <w:rPr>
          <w:lang w:val="fr-FR"/>
        </w:rPr>
        <w:tab/>
      </w:r>
      <w:r>
        <w:rPr>
          <w:bCs/>
          <w:lang w:val="fr-FR"/>
        </w:rPr>
        <w:t>Principes directeurs du Règlement type</w:t>
      </w:r>
    </w:p>
    <w:p w14:paraId="2D13ADEA" w14:textId="04809941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6703B9F4" w14:textId="4A233C0B" w:rsidR="001D6EC1" w:rsidRPr="001B71B3" w:rsidRDefault="001D6EC1" w:rsidP="001D6EC1">
      <w:pPr>
        <w:pStyle w:val="H1G"/>
        <w:keepNext w:val="0"/>
        <w:keepLines w:val="0"/>
        <w:rPr>
          <w:lang w:val="fr-FR"/>
        </w:rPr>
      </w:pPr>
      <w:r>
        <w:rPr>
          <w:lang w:val="fr-FR"/>
        </w:rPr>
        <w:tab/>
        <w:t>10.</w:t>
      </w:r>
      <w:r>
        <w:rPr>
          <w:lang w:val="fr-FR"/>
        </w:rPr>
        <w:tab/>
      </w:r>
      <w:r>
        <w:rPr>
          <w:bCs/>
          <w:lang w:val="fr-FR"/>
        </w:rPr>
        <w:t xml:space="preserve">Questions relatives au Système général harmonisé de classification </w:t>
      </w:r>
      <w:r w:rsidR="004261E1">
        <w:rPr>
          <w:bCs/>
          <w:lang w:val="fr-FR"/>
        </w:rPr>
        <w:br/>
      </w:r>
      <w:r>
        <w:rPr>
          <w:bCs/>
          <w:lang w:val="fr-FR"/>
        </w:rPr>
        <w:t>et d’étiquetage des produits chimiques (SGH)</w:t>
      </w:r>
    </w:p>
    <w:p w14:paraId="1501BE94" w14:textId="77777777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</w:r>
      <w:r>
        <w:rPr>
          <w:bCs/>
          <w:lang w:val="fr-FR"/>
        </w:rPr>
        <w:t>Épreuves relatives aux matières comburantes</w:t>
      </w:r>
    </w:p>
    <w:p w14:paraId="7EF8EDAF" w14:textId="33DDB947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2EC33C13" w14:textId="667D7B28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</w:r>
      <w:r>
        <w:rPr>
          <w:bCs/>
          <w:lang w:val="fr-FR"/>
        </w:rPr>
        <w:t xml:space="preserve">Classification simultanée des dangers physiques et ordre de prépondérance </w:t>
      </w:r>
      <w:r w:rsidR="004261E1">
        <w:rPr>
          <w:bCs/>
          <w:lang w:val="fr-FR"/>
        </w:rPr>
        <w:br/>
      </w:r>
      <w:r>
        <w:rPr>
          <w:bCs/>
          <w:lang w:val="fr-FR"/>
        </w:rPr>
        <w:t>des dangers</w:t>
      </w:r>
    </w:p>
    <w:p w14:paraId="12E47527" w14:textId="4F5B4E59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616F213F" w14:textId="77777777" w:rsidR="001D6EC1" w:rsidRPr="001B71B3" w:rsidRDefault="001D6EC1" w:rsidP="001D6EC1">
      <w:pPr>
        <w:pStyle w:val="H23G"/>
        <w:keepNext w:val="0"/>
        <w:keepLines w:val="0"/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</w:r>
      <w:r>
        <w:rPr>
          <w:bCs/>
          <w:lang w:val="fr-FR"/>
        </w:rPr>
        <w:t>Questions diverses</w:t>
      </w:r>
    </w:p>
    <w:p w14:paraId="7F5B640C" w14:textId="00FF3C1F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701A0B5B" w14:textId="77777777" w:rsidR="001D6EC1" w:rsidRPr="001B71B3" w:rsidRDefault="001D6EC1" w:rsidP="001D6EC1">
      <w:pPr>
        <w:pStyle w:val="H1G"/>
        <w:keepNext w:val="0"/>
        <w:keepLines w:val="0"/>
        <w:rPr>
          <w:lang w:val="fr-FR"/>
        </w:rPr>
      </w:pPr>
      <w:r>
        <w:rPr>
          <w:lang w:val="fr-FR"/>
        </w:rPr>
        <w:tab/>
        <w:t>11.</w:t>
      </w:r>
      <w:r>
        <w:rPr>
          <w:lang w:val="fr-FR"/>
        </w:rPr>
        <w:tab/>
      </w:r>
      <w:r>
        <w:rPr>
          <w:bCs/>
          <w:lang w:val="fr-FR"/>
        </w:rPr>
        <w:t>Uniformisation des interprétations du Règlement type</w:t>
      </w:r>
    </w:p>
    <w:p w14:paraId="32328A96" w14:textId="0EAA50E0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57FB5EF4" w14:textId="77777777" w:rsidR="001D6EC1" w:rsidRPr="001B71B3" w:rsidRDefault="001D6EC1" w:rsidP="001D6EC1">
      <w:pPr>
        <w:pStyle w:val="H1G"/>
        <w:keepNext w:val="0"/>
        <w:keepLines w:val="0"/>
        <w:rPr>
          <w:lang w:val="fr-FR"/>
        </w:rPr>
      </w:pPr>
      <w:r>
        <w:rPr>
          <w:lang w:val="fr-FR"/>
        </w:rPr>
        <w:tab/>
        <w:t>12.</w:t>
      </w:r>
      <w:r>
        <w:rPr>
          <w:lang w:val="fr-FR"/>
        </w:rPr>
        <w:tab/>
      </w:r>
      <w:r>
        <w:rPr>
          <w:bCs/>
          <w:lang w:val="fr-FR"/>
        </w:rPr>
        <w:t>Mise en œuvre du Règlement type</w:t>
      </w:r>
    </w:p>
    <w:p w14:paraId="617694E6" w14:textId="3742D3F8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1D3B28BA" w14:textId="77777777" w:rsidR="001D6EC1" w:rsidRPr="001B71B3" w:rsidRDefault="001D6EC1" w:rsidP="001D6EC1">
      <w:pPr>
        <w:pStyle w:val="H1G"/>
        <w:keepNext w:val="0"/>
        <w:keepLines w:val="0"/>
        <w:rPr>
          <w:lang w:val="fr-FR"/>
        </w:rPr>
      </w:pPr>
      <w:r>
        <w:rPr>
          <w:lang w:val="fr-FR"/>
        </w:rPr>
        <w:tab/>
        <w:t>13.</w:t>
      </w:r>
      <w:r>
        <w:rPr>
          <w:lang w:val="fr-FR"/>
        </w:rPr>
        <w:tab/>
      </w:r>
      <w:r w:rsidRPr="004261E1">
        <w:rPr>
          <w:bCs/>
          <w:spacing w:val="-2"/>
          <w:lang w:val="fr-FR"/>
        </w:rPr>
        <w:t>Formation à la sécurité et renforcement des capacités en ce qui concerne</w:t>
      </w:r>
      <w:r>
        <w:rPr>
          <w:bCs/>
          <w:lang w:val="fr-FR"/>
        </w:rPr>
        <w:t xml:space="preserve"> les marchandises dangereuses</w:t>
      </w:r>
    </w:p>
    <w:p w14:paraId="01963400" w14:textId="6018AC47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7A55A1F6" w14:textId="77777777" w:rsidR="001D6EC1" w:rsidRPr="001B71B3" w:rsidRDefault="001D6EC1" w:rsidP="001D6EC1">
      <w:pPr>
        <w:pStyle w:val="H1G"/>
        <w:rPr>
          <w:lang w:val="fr-FR"/>
        </w:rPr>
      </w:pPr>
      <w:r>
        <w:rPr>
          <w:lang w:val="fr-FR"/>
        </w:rPr>
        <w:tab/>
        <w:t>14.</w:t>
      </w:r>
      <w:r>
        <w:rPr>
          <w:lang w:val="fr-FR"/>
        </w:rPr>
        <w:tab/>
      </w:r>
      <w:r>
        <w:rPr>
          <w:bCs/>
          <w:lang w:val="fr-FR"/>
        </w:rPr>
        <w:t>Questions diverses</w:t>
      </w:r>
    </w:p>
    <w:p w14:paraId="423362E3" w14:textId="05965852" w:rsidR="001D6EC1" w:rsidRPr="001B71B3" w:rsidRDefault="001D6EC1" w:rsidP="001D6EC1">
      <w:pPr>
        <w:pStyle w:val="ListParagraph"/>
        <w:ind w:left="1134" w:right="1134"/>
        <w:jc w:val="both"/>
        <w:rPr>
          <w:lang w:val="fr-FR"/>
        </w:rPr>
      </w:pPr>
      <w:r>
        <w:rPr>
          <w:lang w:val="fr-FR"/>
        </w:rPr>
        <w:t>Aucun document n’avait été soumis au titre de ce point de l’ordre du jour au moment de la rédaction du présent document.</w:t>
      </w:r>
    </w:p>
    <w:p w14:paraId="486581E5" w14:textId="25677F84" w:rsidR="001D6EC1" w:rsidRPr="001B71B3" w:rsidRDefault="001D6EC1" w:rsidP="001D6EC1">
      <w:pPr>
        <w:pStyle w:val="H1G"/>
        <w:keepNext w:val="0"/>
        <w:keepLines w:val="0"/>
        <w:jc w:val="both"/>
        <w:rPr>
          <w:lang w:val="fr-FR"/>
        </w:rPr>
      </w:pPr>
      <w:r>
        <w:rPr>
          <w:lang w:val="fr-FR"/>
        </w:rPr>
        <w:tab/>
      </w:r>
      <w:bookmarkStart w:id="1" w:name="_Hlk72134658"/>
      <w:r>
        <w:rPr>
          <w:lang w:val="fr-FR"/>
        </w:rPr>
        <w:t>15.</w:t>
      </w:r>
      <w:r>
        <w:rPr>
          <w:lang w:val="fr-FR"/>
        </w:rPr>
        <w:tab/>
      </w:r>
      <w:r>
        <w:rPr>
          <w:bCs/>
          <w:lang w:val="fr-FR"/>
        </w:rPr>
        <w:t xml:space="preserve">Adoption </w:t>
      </w:r>
      <w:r w:rsidR="00026C2C">
        <w:rPr>
          <w:bCs/>
          <w:lang w:val="fr-FR"/>
        </w:rPr>
        <w:t>du rapport</w:t>
      </w:r>
    </w:p>
    <w:p w14:paraId="4278C920" w14:textId="3F6FDC06" w:rsidR="001D6EC1" w:rsidRDefault="001D6EC1" w:rsidP="001D6EC1">
      <w:pPr>
        <w:pStyle w:val="SingleTxtG"/>
        <w:rPr>
          <w:lang w:val="fr-FR"/>
        </w:rPr>
      </w:pPr>
      <w:r>
        <w:rPr>
          <w:lang w:val="fr-FR"/>
        </w:rPr>
        <w:t>Conformément à l’usage, le Sous-Comité pourrait adopter le rapport de sa cinquante</w:t>
      </w:r>
      <w:r w:rsidR="004261E1">
        <w:rPr>
          <w:lang w:val="fr-FR"/>
        </w:rPr>
        <w:noBreakHyphen/>
      </w:r>
      <w:r>
        <w:rPr>
          <w:lang w:val="fr-FR"/>
        </w:rPr>
        <w:t>huitième session et ses annexes sur la base d’un projet établi par le secrétariat.</w:t>
      </w:r>
    </w:p>
    <w:bookmarkEnd w:id="1"/>
    <w:p w14:paraId="5F88081B" w14:textId="00ABE45B" w:rsidR="001D6EC1" w:rsidRPr="001D6EC1" w:rsidRDefault="001D6EC1" w:rsidP="001D6EC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1D6EC1" w:rsidRPr="001D6EC1" w:rsidSect="001D6E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3E204" w14:textId="77777777" w:rsidR="00886086" w:rsidRDefault="00886086" w:rsidP="00F95C08">
      <w:pPr>
        <w:spacing w:line="240" w:lineRule="auto"/>
      </w:pPr>
    </w:p>
  </w:endnote>
  <w:endnote w:type="continuationSeparator" w:id="0">
    <w:p w14:paraId="7A7E151B" w14:textId="77777777" w:rsidR="00886086" w:rsidRPr="00AC3823" w:rsidRDefault="00886086" w:rsidP="00AC3823">
      <w:pPr>
        <w:pStyle w:val="Footer"/>
      </w:pPr>
    </w:p>
  </w:endnote>
  <w:endnote w:type="continuationNotice" w:id="1">
    <w:p w14:paraId="6535A175" w14:textId="77777777" w:rsidR="00886086" w:rsidRDefault="008860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4EE6" w14:textId="424B2208" w:rsidR="001D6EC1" w:rsidRPr="001D6EC1" w:rsidRDefault="001D6EC1" w:rsidP="001D6EC1">
    <w:pPr>
      <w:pStyle w:val="Footer"/>
      <w:tabs>
        <w:tab w:val="right" w:pos="9638"/>
      </w:tabs>
    </w:pPr>
    <w:r w:rsidRPr="001D6EC1">
      <w:rPr>
        <w:b/>
        <w:sz w:val="18"/>
      </w:rPr>
      <w:fldChar w:fldCharType="begin"/>
    </w:r>
    <w:r w:rsidRPr="001D6EC1">
      <w:rPr>
        <w:b/>
        <w:sz w:val="18"/>
      </w:rPr>
      <w:instrText xml:space="preserve"> PAGE  \* MERGEFORMAT </w:instrText>
    </w:r>
    <w:r w:rsidRPr="001D6EC1">
      <w:rPr>
        <w:b/>
        <w:sz w:val="18"/>
      </w:rPr>
      <w:fldChar w:fldCharType="separate"/>
    </w:r>
    <w:r w:rsidRPr="001D6EC1">
      <w:rPr>
        <w:b/>
        <w:noProof/>
        <w:sz w:val="18"/>
      </w:rPr>
      <w:t>2</w:t>
    </w:r>
    <w:r w:rsidRPr="001D6EC1">
      <w:rPr>
        <w:b/>
        <w:sz w:val="18"/>
      </w:rPr>
      <w:fldChar w:fldCharType="end"/>
    </w:r>
    <w:r>
      <w:rPr>
        <w:b/>
        <w:sz w:val="18"/>
      </w:rPr>
      <w:tab/>
    </w:r>
    <w:r>
      <w:t>GE.21-05367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9B671" w14:textId="2F270A22" w:rsidR="001D6EC1" w:rsidRPr="001D6EC1" w:rsidRDefault="001D6EC1" w:rsidP="001D6EC1">
    <w:pPr>
      <w:pStyle w:val="Footer"/>
      <w:tabs>
        <w:tab w:val="right" w:pos="9638"/>
      </w:tabs>
      <w:rPr>
        <w:b/>
        <w:sz w:val="18"/>
      </w:rPr>
    </w:pPr>
    <w:r>
      <w:t>GE.21-05367</w:t>
    </w:r>
    <w:r>
      <w:tab/>
    </w:r>
    <w:r w:rsidRPr="001D6EC1">
      <w:rPr>
        <w:b/>
        <w:sz w:val="18"/>
      </w:rPr>
      <w:fldChar w:fldCharType="begin"/>
    </w:r>
    <w:r w:rsidRPr="001D6EC1">
      <w:rPr>
        <w:b/>
        <w:sz w:val="18"/>
      </w:rPr>
      <w:instrText xml:space="preserve"> PAGE  \* MERGEFORMAT </w:instrText>
    </w:r>
    <w:r w:rsidRPr="001D6EC1">
      <w:rPr>
        <w:b/>
        <w:sz w:val="18"/>
      </w:rPr>
      <w:fldChar w:fldCharType="separate"/>
    </w:r>
    <w:r w:rsidRPr="001D6EC1">
      <w:rPr>
        <w:b/>
        <w:noProof/>
        <w:sz w:val="18"/>
      </w:rPr>
      <w:t>3</w:t>
    </w:r>
    <w:r w:rsidRPr="001D6E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98E0" w14:textId="30F0370C" w:rsidR="0068456F" w:rsidRPr="001D6EC1" w:rsidRDefault="001D6EC1" w:rsidP="001D6EC1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2C29C33" wp14:editId="7ED07E7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05367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9D7E14C" wp14:editId="4B6772F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140521    170521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C1205" w14:textId="77777777" w:rsidR="00886086" w:rsidRPr="00AC3823" w:rsidRDefault="0088608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3079A3" w14:textId="77777777" w:rsidR="00886086" w:rsidRPr="00AC3823" w:rsidRDefault="0088608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6D2A09" w14:textId="77777777" w:rsidR="00886086" w:rsidRPr="00AC3823" w:rsidRDefault="00886086">
      <w:pPr>
        <w:spacing w:line="240" w:lineRule="auto"/>
        <w:rPr>
          <w:sz w:val="2"/>
          <w:szCs w:val="2"/>
        </w:rPr>
      </w:pPr>
    </w:p>
  </w:footnote>
  <w:footnote w:id="2">
    <w:p w14:paraId="0C3ED635" w14:textId="193A5744" w:rsidR="00E5774D" w:rsidRPr="00E5774D" w:rsidRDefault="00E5774D">
      <w:pPr>
        <w:pStyle w:val="FootnoteText"/>
      </w:pPr>
      <w:r>
        <w:rPr>
          <w:rStyle w:val="FootnoteReference"/>
        </w:rPr>
        <w:tab/>
      </w:r>
      <w:r w:rsidRPr="00E5774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F2040" w14:textId="4D72282C" w:rsidR="001D6EC1" w:rsidRPr="001D6EC1" w:rsidRDefault="0007260F">
    <w:pPr>
      <w:pStyle w:val="Header"/>
    </w:pPr>
    <w:fldSimple w:instr=" TITLE  \* MERGEFORMAT ">
      <w:r w:rsidR="00172418">
        <w:t>ST/SG/AC.10/C.3/115/Add.1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416D" w14:textId="43231A34" w:rsidR="001D6EC1" w:rsidRPr="001D6EC1" w:rsidRDefault="0007260F" w:rsidP="001D6EC1">
    <w:pPr>
      <w:pStyle w:val="Header"/>
      <w:jc w:val="right"/>
    </w:pPr>
    <w:fldSimple w:instr=" TITLE  \* MERGEFORMAT ">
      <w:r w:rsidR="00172418">
        <w:t>ST/SG/AC.10/C.3/115/Add.1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62198"/>
    <w:multiLevelType w:val="hybridMultilevel"/>
    <w:tmpl w:val="187A7E40"/>
    <w:lvl w:ilvl="0" w:tplc="A9083502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  <w:lvlOverride w:ilvl="0">
      <w:lvl w:ilvl="0" w:tplc="A9083502">
        <w:start w:val="1"/>
        <w:numFmt w:val="lowerRoman"/>
        <w:lvlText w:val="%1)"/>
        <w:lvlJc w:val="left"/>
        <w:pPr>
          <w:ind w:left="1395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86"/>
    <w:rsid w:val="00017F94"/>
    <w:rsid w:val="00023842"/>
    <w:rsid w:val="00026C2C"/>
    <w:rsid w:val="000305D3"/>
    <w:rsid w:val="000334F9"/>
    <w:rsid w:val="0007260F"/>
    <w:rsid w:val="0007796D"/>
    <w:rsid w:val="000B7790"/>
    <w:rsid w:val="000C3205"/>
    <w:rsid w:val="00111F2F"/>
    <w:rsid w:val="00132EA9"/>
    <w:rsid w:val="0014365E"/>
    <w:rsid w:val="00172418"/>
    <w:rsid w:val="00172E49"/>
    <w:rsid w:val="00176178"/>
    <w:rsid w:val="001D6EC1"/>
    <w:rsid w:val="001F525A"/>
    <w:rsid w:val="00223272"/>
    <w:rsid w:val="0024779E"/>
    <w:rsid w:val="00283190"/>
    <w:rsid w:val="002832AC"/>
    <w:rsid w:val="002D7C93"/>
    <w:rsid w:val="002D7CA8"/>
    <w:rsid w:val="004261E1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7C492C"/>
    <w:rsid w:val="0080684C"/>
    <w:rsid w:val="008123E0"/>
    <w:rsid w:val="00871C75"/>
    <w:rsid w:val="008776DC"/>
    <w:rsid w:val="00886086"/>
    <w:rsid w:val="008A6158"/>
    <w:rsid w:val="008B40CD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13BFF"/>
    <w:rsid w:val="00E573DB"/>
    <w:rsid w:val="00E5774D"/>
    <w:rsid w:val="00ED64AA"/>
    <w:rsid w:val="00EF2E22"/>
    <w:rsid w:val="00F01738"/>
    <w:rsid w:val="00F660DF"/>
    <w:rsid w:val="00F730C8"/>
    <w:rsid w:val="00F8438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386FD4"/>
  <w15:docId w15:val="{41AB5EEC-4210-47C3-BFEF-77F4D2A8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1D6EC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1D6EC1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semiHidden/>
    <w:rsid w:val="001D6EC1"/>
    <w:pPr>
      <w:ind w:left="720"/>
      <w:contextualSpacing/>
    </w:pPr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CB03C-D8B0-41E2-B219-7C29320D952B}"/>
</file>

<file path=customXml/itemProps2.xml><?xml version="1.0" encoding="utf-8"?>
<ds:datastoreItem xmlns:ds="http://schemas.openxmlformats.org/officeDocument/2006/customXml" ds:itemID="{57349D66-4A34-4B01-889B-75FA01D588B7}"/>
</file>

<file path=customXml/itemProps3.xml><?xml version="1.0" encoding="utf-8"?>
<ds:datastoreItem xmlns:ds="http://schemas.openxmlformats.org/officeDocument/2006/customXml" ds:itemID="{551EB88F-F124-411C-BB76-EFB6F12D73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19" baseType="lpstr">
      <vt:lpstr>ST/SG/AC.10/C.3/115/Add.1</vt:lpstr>
      <vt:lpstr>    Ordre du jour provisoire de la cinquante-huitième session*</vt:lpstr>
      <vt:lpstr>        Liste des documents</vt:lpstr>
      <vt:lpstr>        1.	Adoption de l’ordre du jour</vt:lpstr>
      <vt:lpstr>        Documents de référence</vt:lpstr>
      <vt:lpstr>        2.	Explosifs et questions connexes</vt:lpstr>
      <vt:lpstr>        3.	Inscription, classement et emballage</vt:lpstr>
      <vt:lpstr>        4.	Systèmes de stockage de l’électricité</vt:lpstr>
      <vt:lpstr>        5.	Transport de gaz</vt:lpstr>
      <vt:lpstr>        6.	Propositions diverses d’amendements au Règlement type  pour le transport des</vt:lpstr>
      <vt:lpstr>        7.	Harmonisation générale des règlements de transport des marchandises dangereu</vt:lpstr>
      <vt:lpstr>        8.	Coopération avec l’Agence internationale de l’énergie atomique</vt:lpstr>
      <vt:lpstr>        9.	Principes directeurs du Règlement type</vt:lpstr>
      <vt:lpstr>        10.	Questions relatives au Système général harmonisé de classification et d’éti</vt:lpstr>
      <vt:lpstr>        11.	Uniformisation des interprétations du Règlement type</vt:lpstr>
      <vt:lpstr>        12.	Mise en œuvre du Règlement type</vt:lpstr>
      <vt:lpstr>        13.	Formation à la sécurité et renforcement des capacités en ce qui concerne le</vt:lpstr>
      <vt:lpstr>        14.	Questions diverses</vt:lpstr>
      <vt:lpstr>        15.	Adoption de l’ordre du jour</vt:lpstr>
    </vt:vector>
  </TitlesOfParts>
  <Company>DCM</Company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ST/SG/AC.10/C.3/115/Add.1</dc:title>
  <dc:subject/>
  <dc:creator>Corinne ROBERT</dc:creator>
  <cp:keywords/>
  <cp:lastModifiedBy>Laurence Berthet</cp:lastModifiedBy>
  <cp:revision>3</cp:revision>
  <cp:lastPrinted>2021-05-17T09:03:00Z</cp:lastPrinted>
  <dcterms:created xsi:type="dcterms:W3CDTF">2021-05-17T09:03:00Z</dcterms:created>
  <dcterms:modified xsi:type="dcterms:W3CDTF">2021-05-17T09:04:00Z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