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51B46" w14:paraId="42ADEDC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EE292E" w14:textId="77777777" w:rsidR="002D5AAC" w:rsidRPr="008C1A9B" w:rsidRDefault="002D5AAC" w:rsidP="007D7B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6AEB11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6CD727C" w14:textId="347EB587" w:rsidR="002D5AAC" w:rsidRPr="007D7B5E" w:rsidRDefault="002D5AAC" w:rsidP="007D7B5E">
            <w:pPr>
              <w:jc w:val="right"/>
              <w:rPr>
                <w:lang w:val="en-US"/>
              </w:rPr>
            </w:pPr>
          </w:p>
        </w:tc>
      </w:tr>
      <w:tr w:rsidR="002D5AAC" w:rsidRPr="009D084C" w14:paraId="18490D7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5884A35" w14:textId="77777777" w:rsidR="002D5AAC" w:rsidRPr="007D7B5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8939556" w14:textId="77777777" w:rsidR="002D5AAC" w:rsidRPr="007D7B5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1EE809F" w14:textId="6E8FAF4E" w:rsidR="007D7B5E" w:rsidRPr="00883D97" w:rsidRDefault="007D7B5E" w:rsidP="007D7B5E">
            <w:pPr>
              <w:spacing w:before="240" w:after="120" w:line="240" w:lineRule="exact"/>
              <w:jc w:val="right"/>
              <w:rPr>
                <w:bCs/>
                <w:lang w:val="en-US"/>
              </w:rPr>
            </w:pPr>
            <w:r w:rsidRPr="00883D97">
              <w:rPr>
                <w:bCs/>
                <w:lang w:val="en-US"/>
              </w:rPr>
              <w:t>Corrigendum</w:t>
            </w:r>
            <w:r w:rsidRPr="00883D97">
              <w:rPr>
                <w:bCs/>
                <w:lang w:val="en-US"/>
              </w:rPr>
              <w:br/>
              <w:t xml:space="preserve">Ref. Sales No.: </w:t>
            </w:r>
            <w:r w:rsidR="00424014" w:rsidRPr="00883D97">
              <w:rPr>
                <w:bCs/>
                <w:lang w:val="en-US"/>
              </w:rPr>
              <w:t>R</w:t>
            </w:r>
            <w:r w:rsidRPr="00883D97">
              <w:rPr>
                <w:bCs/>
                <w:lang w:val="en-US"/>
              </w:rPr>
              <w:t>.19.II.E.21</w:t>
            </w:r>
            <w:r w:rsidRPr="00883D97">
              <w:rPr>
                <w:bCs/>
                <w:lang w:val="en-US"/>
              </w:rPr>
              <w:br/>
              <w:t>(ST/SG/AC.10/30/Rev.8)</w:t>
            </w:r>
          </w:p>
          <w:p w14:paraId="35C916C0" w14:textId="77777777" w:rsidR="007D7B5E" w:rsidRPr="00883D97" w:rsidRDefault="007D7B5E" w:rsidP="007D7B5E">
            <w:pPr>
              <w:spacing w:line="240" w:lineRule="exact"/>
              <w:jc w:val="right"/>
              <w:rPr>
                <w:bCs/>
              </w:rPr>
            </w:pPr>
            <w:r w:rsidRPr="00883D97">
              <w:rPr>
                <w:bCs/>
              </w:rPr>
              <w:t>April 2021</w:t>
            </w:r>
            <w:r w:rsidRPr="00883D97">
              <w:rPr>
                <w:bCs/>
              </w:rPr>
              <w:br/>
              <w:t>New York and Geneva</w:t>
            </w:r>
          </w:p>
          <w:p w14:paraId="50D50C63" w14:textId="449ACE70" w:rsidR="007D7B5E" w:rsidRPr="009D084C" w:rsidRDefault="007D7B5E" w:rsidP="007D7B5E">
            <w:pPr>
              <w:rPr>
                <w:szCs w:val="20"/>
                <w:lang w:val="en-US"/>
              </w:rPr>
            </w:pPr>
          </w:p>
        </w:tc>
      </w:tr>
    </w:tbl>
    <w:p w14:paraId="7E46592A" w14:textId="0E881620" w:rsidR="007D7B5E" w:rsidRPr="007D0406" w:rsidRDefault="007D7B5E" w:rsidP="007D7B5E">
      <w:pPr>
        <w:pStyle w:val="H1G"/>
        <w:tabs>
          <w:tab w:val="clear" w:pos="851"/>
        </w:tabs>
        <w:spacing w:before="200" w:line="240" w:lineRule="auto"/>
        <w:ind w:left="0" w:firstLine="0"/>
      </w:pPr>
      <w:r>
        <w:rPr>
          <w:bCs/>
        </w:rPr>
        <w:t xml:space="preserve">Согласованная на глобальном уровне система </w:t>
      </w:r>
      <w:r w:rsidR="00424014">
        <w:rPr>
          <w:bCs/>
        </w:rPr>
        <w:br/>
      </w:r>
      <w:r>
        <w:rPr>
          <w:bCs/>
        </w:rPr>
        <w:t>классификации опасности и</w:t>
      </w:r>
      <w:r w:rsidR="00424014">
        <w:rPr>
          <w:bCs/>
          <w:lang w:val="en-US"/>
        </w:rPr>
        <w:t> </w:t>
      </w:r>
      <w:r>
        <w:rPr>
          <w:bCs/>
        </w:rPr>
        <w:t xml:space="preserve">маркировки </w:t>
      </w:r>
      <w:r w:rsidR="00424014">
        <w:rPr>
          <w:bCs/>
        </w:rPr>
        <w:br/>
      </w:r>
      <w:r>
        <w:rPr>
          <w:bCs/>
        </w:rPr>
        <w:t>химической продукции (СГС)</w:t>
      </w:r>
    </w:p>
    <w:p w14:paraId="6BD79F8F" w14:textId="77777777" w:rsidR="007D7B5E" w:rsidRPr="00F90701" w:rsidRDefault="007D7B5E" w:rsidP="007D7B5E">
      <w:pPr>
        <w:pStyle w:val="H23G"/>
      </w:pPr>
      <w:r>
        <w:tab/>
      </w:r>
      <w:r>
        <w:tab/>
      </w:r>
      <w:r>
        <w:rPr>
          <w:bCs/>
        </w:rPr>
        <w:t>Исправление</w:t>
      </w:r>
    </w:p>
    <w:tbl>
      <w:tblPr>
        <w:tblW w:w="7653" w:type="dxa"/>
        <w:jc w:val="center"/>
        <w:tblBorders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3"/>
      </w:tblGrid>
      <w:tr w:rsidR="007D7B5E" w:rsidRPr="007D0406" w14:paraId="0E5890C9" w14:textId="77777777" w:rsidTr="00555832">
        <w:trPr>
          <w:trHeight w:val="1084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</w:tcPr>
          <w:p w14:paraId="4A11222A" w14:textId="04C711FC" w:rsidR="007D7B5E" w:rsidRPr="007A76DC" w:rsidRDefault="007D7B5E" w:rsidP="00555832">
            <w:pPr>
              <w:jc w:val="both"/>
            </w:pPr>
            <w:r>
              <w:rPr>
                <w:b/>
                <w:bCs/>
              </w:rPr>
              <w:t>ПРИМЕЧАНИЕ:</w:t>
            </w:r>
            <w:r>
              <w:t xml:space="preserve"> С исправлениями к восьмому</w:t>
            </w:r>
            <w:r w:rsidRPr="00452BA7">
              <w:t xml:space="preserve"> </w:t>
            </w:r>
            <w:r>
              <w:t xml:space="preserve">пересмотренному изданию Согласованной на глобальном уровне системы классификации опасности и маркировки химической продукции можно также ознакомиться в Интернете на </w:t>
            </w:r>
            <w:r w:rsidR="007A76DC">
              <w:br/>
            </w:r>
            <w:r>
              <w:t>веб-сайте Европейской экономической комиссии Организации Объединенных Наций по следующему адресу:</w:t>
            </w:r>
            <w:r w:rsidRPr="00133CF5">
              <w:rPr>
                <w:color w:val="000000" w:themeColor="text1"/>
              </w:rPr>
              <w:t xml:space="preserve"> </w:t>
            </w:r>
            <w:hyperlink r:id="rId7" w:history="1">
              <w:r w:rsidR="007A76DC" w:rsidRPr="00133CF5">
                <w:rPr>
                  <w:rStyle w:val="Hyperlink"/>
                  <w:color w:val="000000" w:themeColor="text1"/>
                </w:rPr>
                <w:t>https://unece.org/transport/dangerous-goods</w:t>
              </w:r>
            </w:hyperlink>
            <w:r w:rsidR="007A76DC" w:rsidRPr="007A76DC">
              <w:t xml:space="preserve">. </w:t>
            </w:r>
          </w:p>
        </w:tc>
      </w:tr>
      <w:tr w:rsidR="007D7B5E" w:rsidRPr="007D0406" w14:paraId="68B66AB2" w14:textId="77777777" w:rsidTr="00555832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53B" w14:textId="77777777" w:rsidR="007D7B5E" w:rsidRPr="007D0406" w:rsidRDefault="007D7B5E" w:rsidP="00555832"/>
        </w:tc>
      </w:tr>
    </w:tbl>
    <w:p w14:paraId="39282F04" w14:textId="726360F9" w:rsidR="007D7B5E" w:rsidRPr="007D0406" w:rsidRDefault="007A76DC" w:rsidP="0062640B">
      <w:pPr>
        <w:pStyle w:val="H23G"/>
      </w:pPr>
      <w:r>
        <w:tab/>
      </w:r>
      <w:r w:rsidRPr="007A76DC">
        <w:t>1.</w:t>
      </w:r>
      <w:r>
        <w:tab/>
      </w:r>
      <w:r w:rsidR="007D7B5E">
        <w:t>Глава 1.4, подпункты 1.4.10.5.3.3 a), b) и c), краткие характеристики опасности H410, H411 и H412</w:t>
      </w:r>
    </w:p>
    <w:p w14:paraId="55A08C10" w14:textId="77777777" w:rsidR="007D7B5E" w:rsidRPr="007D0406" w:rsidRDefault="007D7B5E" w:rsidP="007D7B5E">
      <w:pPr>
        <w:spacing w:after="240"/>
      </w:pPr>
      <w:r>
        <w:tab/>
      </w:r>
      <w:r>
        <w:tab/>
        <w:t>Данное исправление не касается текста на русском языке.</w:t>
      </w:r>
    </w:p>
    <w:p w14:paraId="0B2A12F7" w14:textId="6A2EC7FF" w:rsidR="007D7B5E" w:rsidRDefault="007A76DC" w:rsidP="0062640B">
      <w:pPr>
        <w:pStyle w:val="H23G"/>
      </w:pPr>
      <w:r>
        <w:tab/>
      </w:r>
      <w:r w:rsidRPr="00851B46">
        <w:t>2.</w:t>
      </w:r>
      <w:r w:rsidRPr="00851B46">
        <w:tab/>
      </w:r>
      <w:r w:rsidR="007D7B5E">
        <w:t>Глава 2.2, схема принятия решения 2.2</w:t>
      </w:r>
    </w:p>
    <w:p w14:paraId="68263657" w14:textId="77777777" w:rsidR="007D7B5E" w:rsidRPr="007D0406" w:rsidRDefault="007D7B5E" w:rsidP="007D7B5E">
      <w:pPr>
        <w:spacing w:after="240"/>
      </w:pPr>
      <w:r>
        <w:tab/>
      </w:r>
      <w:r>
        <w:tab/>
        <w:t>Данное исправление не касается текста на русском языке.</w:t>
      </w:r>
    </w:p>
    <w:p w14:paraId="1CFF92AE" w14:textId="147B9174" w:rsidR="007D7B5E" w:rsidRPr="000F5D5D" w:rsidRDefault="007A76DC" w:rsidP="0062640B">
      <w:pPr>
        <w:pStyle w:val="H23G"/>
      </w:pPr>
      <w:r>
        <w:tab/>
      </w:r>
      <w:r w:rsidRPr="00851B46">
        <w:t>3.</w:t>
      </w:r>
      <w:r w:rsidRPr="00851B46">
        <w:tab/>
      </w:r>
      <w:r w:rsidR="007D7B5E">
        <w:t>Глава 2.3, схема принятия решения 2.3.2</w:t>
      </w:r>
    </w:p>
    <w:p w14:paraId="13AAE658" w14:textId="77777777" w:rsidR="007D7B5E" w:rsidRPr="007D0406" w:rsidRDefault="007D7B5E" w:rsidP="007D7B5E">
      <w:pPr>
        <w:pStyle w:val="SingleTxtG"/>
      </w:pPr>
      <w:r>
        <w:t>Данные исправления не касаются текста на русском языке.</w:t>
      </w:r>
    </w:p>
    <w:p w14:paraId="1E537C3D" w14:textId="491D65C3" w:rsidR="007D7B5E" w:rsidRPr="000F5D5D" w:rsidRDefault="007A76DC" w:rsidP="0062640B">
      <w:pPr>
        <w:pStyle w:val="H23G"/>
      </w:pPr>
      <w:r>
        <w:tab/>
      </w:r>
      <w:r w:rsidRPr="00851B46">
        <w:t>4.</w:t>
      </w:r>
      <w:r w:rsidRPr="00851B46">
        <w:tab/>
      </w:r>
      <w:r w:rsidR="007D7B5E">
        <w:t>Глава 2.7, пункты 2.7.2.1, 2.7.2.4 и 2.7.4</w:t>
      </w:r>
    </w:p>
    <w:p w14:paraId="03D1E178" w14:textId="3897EFFF" w:rsidR="007D7B5E" w:rsidRPr="00F90701" w:rsidRDefault="007D7B5E" w:rsidP="007D7B5E">
      <w:pPr>
        <w:pStyle w:val="SingleTxtG"/>
      </w:pPr>
      <w:r>
        <w:rPr>
          <w:i/>
          <w:iCs/>
        </w:rPr>
        <w:t>Вместо</w:t>
      </w:r>
      <w:r>
        <w:t xml:space="preserve"> </w:t>
      </w:r>
      <w:r w:rsidR="007A76DC">
        <w:t>«</w:t>
      </w:r>
      <w:r>
        <w:t>33.2.1</w:t>
      </w:r>
      <w:r w:rsidR="007A76DC">
        <w:t>»</w:t>
      </w:r>
      <w:r>
        <w:t xml:space="preserve"> </w:t>
      </w:r>
      <w:r>
        <w:rPr>
          <w:i/>
          <w:iCs/>
        </w:rPr>
        <w:t>читать</w:t>
      </w:r>
      <w:r>
        <w:t xml:space="preserve"> </w:t>
      </w:r>
      <w:r w:rsidR="007A76DC">
        <w:t>«</w:t>
      </w:r>
      <w:r>
        <w:t>33.2</w:t>
      </w:r>
      <w:r w:rsidR="007A76DC">
        <w:t>»</w:t>
      </w:r>
      <w:r>
        <w:t>.</w:t>
      </w:r>
    </w:p>
    <w:p w14:paraId="25C359A4" w14:textId="529E75B3" w:rsidR="007D7B5E" w:rsidRPr="00AC1BEA" w:rsidRDefault="007A76DC" w:rsidP="0062640B">
      <w:pPr>
        <w:pStyle w:val="H23G"/>
      </w:pPr>
      <w:r>
        <w:tab/>
        <w:t>5.</w:t>
      </w:r>
      <w:r>
        <w:tab/>
      </w:r>
      <w:r w:rsidR="007D7B5E">
        <w:t>Глава 2.9, пункты 2.9.2 и 2.9.4.1</w:t>
      </w:r>
    </w:p>
    <w:p w14:paraId="5252A006" w14:textId="17B0C44A" w:rsidR="007D7B5E" w:rsidRPr="00F90701" w:rsidRDefault="007D7B5E" w:rsidP="007D7B5E">
      <w:pPr>
        <w:pStyle w:val="SingleTxtG"/>
      </w:pPr>
      <w:r>
        <w:rPr>
          <w:i/>
          <w:iCs/>
        </w:rPr>
        <w:t>Вместо</w:t>
      </w:r>
      <w:r>
        <w:t xml:space="preserve"> </w:t>
      </w:r>
      <w:r w:rsidR="007A76DC">
        <w:t>«</w:t>
      </w:r>
      <w:r>
        <w:t>33.3.1.5</w:t>
      </w:r>
      <w:r w:rsidR="007A76DC">
        <w:t>»</w:t>
      </w:r>
      <w:r>
        <w:t xml:space="preserve"> </w:t>
      </w:r>
      <w:r>
        <w:rPr>
          <w:i/>
          <w:iCs/>
        </w:rPr>
        <w:t>читать</w:t>
      </w:r>
      <w:r>
        <w:t xml:space="preserve"> </w:t>
      </w:r>
      <w:r w:rsidR="007A76DC">
        <w:t>«</w:t>
      </w:r>
      <w:r>
        <w:t>33.4.5</w:t>
      </w:r>
      <w:r w:rsidR="007A76DC">
        <w:t>»</w:t>
      </w:r>
      <w:r>
        <w:t>.</w:t>
      </w:r>
    </w:p>
    <w:p w14:paraId="46D1EFE7" w14:textId="44E9C6C0" w:rsidR="007D7B5E" w:rsidRPr="005B13BD" w:rsidRDefault="007A76DC" w:rsidP="0062640B">
      <w:pPr>
        <w:pStyle w:val="H23G"/>
      </w:pPr>
      <w:r>
        <w:tab/>
        <w:t>6.</w:t>
      </w:r>
      <w:r>
        <w:tab/>
      </w:r>
      <w:r w:rsidR="007D7B5E">
        <w:t>Глава 2.10, пункты 2.10.2 и 2.10.4.1</w:t>
      </w:r>
    </w:p>
    <w:p w14:paraId="7EED5611" w14:textId="052FD18F" w:rsidR="007D7B5E" w:rsidRPr="00F90701" w:rsidRDefault="007D7B5E" w:rsidP="007D7B5E">
      <w:pPr>
        <w:pStyle w:val="SingleTxtG"/>
      </w:pPr>
      <w:r>
        <w:rPr>
          <w:i/>
          <w:iCs/>
        </w:rPr>
        <w:t>Вместо</w:t>
      </w:r>
      <w:r>
        <w:t xml:space="preserve"> </w:t>
      </w:r>
      <w:r w:rsidR="007A76DC">
        <w:t>«</w:t>
      </w:r>
      <w:r>
        <w:t>33.3.1.4</w:t>
      </w:r>
      <w:r w:rsidR="007A76DC">
        <w:t>»</w:t>
      </w:r>
      <w:r>
        <w:t xml:space="preserve"> </w:t>
      </w:r>
      <w:r>
        <w:rPr>
          <w:i/>
          <w:iCs/>
        </w:rPr>
        <w:t>читать</w:t>
      </w:r>
      <w:r>
        <w:t xml:space="preserve"> </w:t>
      </w:r>
      <w:r w:rsidR="007A76DC">
        <w:t>«</w:t>
      </w:r>
      <w:r>
        <w:t>33.4.4</w:t>
      </w:r>
      <w:r w:rsidR="007A76DC">
        <w:t>»</w:t>
      </w:r>
      <w:r>
        <w:t>.</w:t>
      </w:r>
    </w:p>
    <w:p w14:paraId="720BD29E" w14:textId="2649FD37" w:rsidR="007D7B5E" w:rsidRPr="00951338" w:rsidRDefault="007A76DC" w:rsidP="00A5655E">
      <w:pPr>
        <w:pStyle w:val="H23G"/>
        <w:keepNext w:val="0"/>
        <w:keepLines w:val="0"/>
      </w:pPr>
      <w:r>
        <w:tab/>
        <w:t>7.</w:t>
      </w:r>
      <w:r>
        <w:tab/>
      </w:r>
      <w:r w:rsidR="007D7B5E">
        <w:t>Глава 2.11, пункты 2.11.2.1, 2.11.2.2 и 2.11.4.1</w:t>
      </w:r>
    </w:p>
    <w:p w14:paraId="6A6009FF" w14:textId="38B6F622" w:rsidR="00A5655E" w:rsidRPr="00A5655E" w:rsidRDefault="007D7B5E" w:rsidP="00A5655E">
      <w:pPr>
        <w:pStyle w:val="SingleTxtG"/>
      </w:pPr>
      <w:r>
        <w:rPr>
          <w:i/>
          <w:iCs/>
        </w:rPr>
        <w:t>Вместо</w:t>
      </w:r>
      <w:r>
        <w:t xml:space="preserve"> </w:t>
      </w:r>
      <w:r w:rsidR="007A76DC">
        <w:t>«</w:t>
      </w:r>
      <w:r>
        <w:t>33.3.1.6</w:t>
      </w:r>
      <w:r w:rsidR="007A76DC">
        <w:t>»</w:t>
      </w:r>
      <w:r>
        <w:t xml:space="preserve"> </w:t>
      </w:r>
      <w:r>
        <w:rPr>
          <w:i/>
          <w:iCs/>
        </w:rPr>
        <w:t>читать</w:t>
      </w:r>
      <w:r>
        <w:t xml:space="preserve"> </w:t>
      </w:r>
      <w:r w:rsidR="007A76DC">
        <w:t>«</w:t>
      </w:r>
      <w:r>
        <w:t>33.4.6</w:t>
      </w:r>
      <w:r w:rsidR="007A76DC">
        <w:t>»</w:t>
      </w:r>
      <w:r>
        <w:t>.</w:t>
      </w:r>
    </w:p>
    <w:p w14:paraId="5B236FF4" w14:textId="5D7F59FE" w:rsidR="007D7B5E" w:rsidRPr="005A1E8F" w:rsidRDefault="007A76DC" w:rsidP="00A5655E">
      <w:pPr>
        <w:pStyle w:val="H23G"/>
        <w:keepLines w:val="0"/>
      </w:pPr>
      <w:r>
        <w:lastRenderedPageBreak/>
        <w:tab/>
        <w:t>8.</w:t>
      </w:r>
      <w:r>
        <w:tab/>
      </w:r>
      <w:r w:rsidR="007D7B5E">
        <w:t>Глава 2.12, пункты 2.12.2 и 2.12.4.1</w:t>
      </w:r>
    </w:p>
    <w:p w14:paraId="798AB78F" w14:textId="36904F9A" w:rsidR="007D7B5E" w:rsidRPr="00F90701" w:rsidRDefault="007D7B5E" w:rsidP="00A5655E">
      <w:pPr>
        <w:pStyle w:val="SingleTxtG"/>
      </w:pPr>
      <w:r>
        <w:rPr>
          <w:i/>
          <w:iCs/>
        </w:rPr>
        <w:t>Вместо</w:t>
      </w:r>
      <w:r>
        <w:t xml:space="preserve"> </w:t>
      </w:r>
      <w:r w:rsidR="007A76DC">
        <w:t>«</w:t>
      </w:r>
      <w:r>
        <w:t>33.4.1.4</w:t>
      </w:r>
      <w:r w:rsidR="007A76DC">
        <w:t>»</w:t>
      </w:r>
      <w:r>
        <w:rPr>
          <w:i/>
          <w:iCs/>
        </w:rPr>
        <w:t xml:space="preserve"> читать </w:t>
      </w:r>
      <w:r w:rsidR="007A76DC">
        <w:t>«</w:t>
      </w:r>
      <w:r>
        <w:t>33.5.4</w:t>
      </w:r>
      <w:r w:rsidR="007A76DC">
        <w:t>»</w:t>
      </w:r>
      <w:r>
        <w:t>.</w:t>
      </w:r>
    </w:p>
    <w:p w14:paraId="59B0D392" w14:textId="11541130" w:rsidR="007D7B5E" w:rsidRPr="007D0406" w:rsidRDefault="007A76DC" w:rsidP="0062640B">
      <w:pPr>
        <w:pStyle w:val="H23G"/>
      </w:pPr>
      <w:r>
        <w:tab/>
        <w:t>9.</w:t>
      </w:r>
      <w:r>
        <w:tab/>
      </w:r>
      <w:r w:rsidR="007D7B5E">
        <w:t xml:space="preserve">Глава 2.14, таблица 2.14.1, под заголовком </w:t>
      </w:r>
      <w:r>
        <w:t>«</w:t>
      </w:r>
      <w:r w:rsidR="007D7B5E">
        <w:t>Критерии для испытания О.3</w:t>
      </w:r>
      <w:r>
        <w:t>»</w:t>
      </w:r>
      <w:r w:rsidR="007D7B5E">
        <w:t>, класс опасности 1</w:t>
      </w:r>
    </w:p>
    <w:p w14:paraId="6FB17428" w14:textId="77777777" w:rsidR="007D7B5E" w:rsidRPr="007D0406" w:rsidRDefault="007D7B5E" w:rsidP="007D7B5E">
      <w:pPr>
        <w:pStyle w:val="SingleTxtG"/>
      </w:pPr>
      <w:r>
        <w:t>Данное исправление не касается текста на русском языке.</w:t>
      </w:r>
    </w:p>
    <w:p w14:paraId="05C226DC" w14:textId="16C4016E" w:rsidR="007D7B5E" w:rsidRPr="007D0406" w:rsidRDefault="007A76DC" w:rsidP="0062640B">
      <w:pPr>
        <w:pStyle w:val="H23G"/>
      </w:pPr>
      <w:r>
        <w:tab/>
        <w:t>10.</w:t>
      </w:r>
      <w:r>
        <w:tab/>
      </w:r>
      <w:r w:rsidR="007D7B5E">
        <w:t>Глава 3.2, пункт 3.2.5.3.5.2.3, первое предложение, ссылки на</w:t>
      </w:r>
      <w:r>
        <w:t> </w:t>
      </w:r>
      <w:r w:rsidR="007D7B5E">
        <w:t>Руководящие принципы проведения испытаний ОЭСР</w:t>
      </w:r>
    </w:p>
    <w:p w14:paraId="04597102" w14:textId="2D771C6E" w:rsidR="007D7B5E" w:rsidRPr="00F90701" w:rsidRDefault="007D7B5E" w:rsidP="007D7B5E">
      <w:r>
        <w:tab/>
      </w:r>
      <w:r>
        <w:tab/>
      </w:r>
      <w:r>
        <w:rPr>
          <w:i/>
          <w:iCs/>
        </w:rPr>
        <w:t>Вместо</w:t>
      </w:r>
      <w:r>
        <w:t xml:space="preserve"> </w:t>
      </w:r>
      <w:r w:rsidR="007A76DC">
        <w:t>«</w:t>
      </w:r>
      <w:r>
        <w:t>412</w:t>
      </w:r>
      <w:r w:rsidR="007A76DC">
        <w:t>»</w:t>
      </w:r>
      <w:r>
        <w:t xml:space="preserve"> </w:t>
      </w:r>
      <w:r>
        <w:rPr>
          <w:i/>
          <w:iCs/>
        </w:rPr>
        <w:t>читать</w:t>
      </w:r>
      <w:r>
        <w:t xml:space="preserve"> </w:t>
      </w:r>
      <w:r w:rsidR="007A76DC">
        <w:t>«</w:t>
      </w:r>
      <w:r>
        <w:t>411</w:t>
      </w:r>
      <w:r w:rsidR="007A76DC">
        <w:t>»</w:t>
      </w:r>
      <w:r>
        <w:t>.</w:t>
      </w:r>
    </w:p>
    <w:p w14:paraId="76511E35" w14:textId="6AAB42F1" w:rsidR="007D7B5E" w:rsidRDefault="007A76DC" w:rsidP="0062640B">
      <w:pPr>
        <w:pStyle w:val="H23G"/>
      </w:pPr>
      <w:r>
        <w:tab/>
        <w:t>11.</w:t>
      </w:r>
      <w:r>
        <w:tab/>
      </w:r>
      <w:r w:rsidR="007D7B5E">
        <w:t>Глава 3.2, схема принятия решения 3.2.1</w:t>
      </w:r>
    </w:p>
    <w:p w14:paraId="2100D835" w14:textId="77777777" w:rsidR="007D7B5E" w:rsidRPr="000D6132" w:rsidRDefault="007D7B5E" w:rsidP="007D7B5E">
      <w:r>
        <w:tab/>
      </w:r>
      <w:r>
        <w:tab/>
        <w:t>Данное исправление не касается текста на русском языке.</w:t>
      </w:r>
    </w:p>
    <w:p w14:paraId="387333F5" w14:textId="4FCF667A" w:rsidR="007D7B5E" w:rsidRPr="007D0406" w:rsidRDefault="007A76DC" w:rsidP="0062640B">
      <w:pPr>
        <w:pStyle w:val="H23G"/>
      </w:pPr>
      <w:r>
        <w:tab/>
        <w:t>12.</w:t>
      </w:r>
      <w:r>
        <w:tab/>
      </w:r>
      <w:r w:rsidR="007D7B5E">
        <w:t>Глава 4.1, таблица 4.1.6, краткие характеристики опасности для классов опасности 1, 2 и 3 при долгосрочном воздействии (хроническая токсичность)</w:t>
      </w:r>
    </w:p>
    <w:p w14:paraId="369D1B84" w14:textId="77777777" w:rsidR="007D7B5E" w:rsidRPr="007D0406" w:rsidRDefault="007D7B5E" w:rsidP="007D7B5E">
      <w:r>
        <w:tab/>
      </w:r>
      <w:r>
        <w:tab/>
        <w:t>Данное исправление не касается текста на русском языке.</w:t>
      </w:r>
    </w:p>
    <w:p w14:paraId="443564CE" w14:textId="06E01083" w:rsidR="007D7B5E" w:rsidRPr="007D0406" w:rsidRDefault="007A76DC" w:rsidP="0062640B">
      <w:pPr>
        <w:pStyle w:val="H23G"/>
      </w:pPr>
      <w:r>
        <w:tab/>
        <w:t>13.</w:t>
      </w:r>
      <w:r>
        <w:tab/>
      </w:r>
      <w:r w:rsidR="007D7B5E">
        <w:t>Приложение 1, таблица A1.29 b), краткие характеристики опасности H410, H411 и H412</w:t>
      </w:r>
    </w:p>
    <w:p w14:paraId="4F69021C" w14:textId="77777777" w:rsidR="007D7B5E" w:rsidRPr="007D0406" w:rsidRDefault="007D7B5E" w:rsidP="007D7B5E">
      <w:pPr>
        <w:spacing w:after="240"/>
      </w:pPr>
      <w:r>
        <w:tab/>
      </w:r>
      <w:r>
        <w:tab/>
        <w:t>Данное исправление не касается текста на русском языке.</w:t>
      </w:r>
    </w:p>
    <w:p w14:paraId="0A82CCC2" w14:textId="5ECBC04B" w:rsidR="007D7B5E" w:rsidRPr="007D0406" w:rsidRDefault="007A76DC" w:rsidP="0062640B">
      <w:pPr>
        <w:pStyle w:val="H23G"/>
      </w:pPr>
      <w:r>
        <w:tab/>
        <w:t>14.</w:t>
      </w:r>
      <w:r>
        <w:tab/>
      </w:r>
      <w:r w:rsidR="007D7B5E">
        <w:t>Приложени</w:t>
      </w:r>
      <w:r w:rsidR="00A5655E">
        <w:t>е</w:t>
      </w:r>
      <w:r w:rsidR="007D7B5E">
        <w:t xml:space="preserve"> 3, раздел 1, таблица A3.1.3, колонка 2, краткие характеристики опасности H410, H411 и H412</w:t>
      </w:r>
    </w:p>
    <w:p w14:paraId="56F5E71F" w14:textId="77777777" w:rsidR="007D7B5E" w:rsidRPr="007D0406" w:rsidRDefault="007D7B5E" w:rsidP="007D7B5E">
      <w:pPr>
        <w:spacing w:after="240"/>
      </w:pPr>
      <w:r>
        <w:tab/>
      </w:r>
      <w:r>
        <w:tab/>
        <w:t>Данные исправления не касаются текста на русском языке.</w:t>
      </w:r>
    </w:p>
    <w:p w14:paraId="32B07664" w14:textId="06C9CA05" w:rsidR="007D7B5E" w:rsidRPr="007D0406" w:rsidRDefault="007A76DC" w:rsidP="0062640B">
      <w:pPr>
        <w:pStyle w:val="H23G"/>
      </w:pPr>
      <w:r>
        <w:tab/>
        <w:t>15.</w:t>
      </w:r>
      <w:r>
        <w:tab/>
      </w:r>
      <w:r w:rsidR="007D7B5E">
        <w:t>Приложение 3, раздел 2, таблица A.3.2.3, P302+P352, острая токсичность (дермальная), колонка 4</w:t>
      </w:r>
    </w:p>
    <w:p w14:paraId="36BAA3E9" w14:textId="0368C570" w:rsidR="007D7B5E" w:rsidRPr="00F90701" w:rsidRDefault="007D7B5E" w:rsidP="007D7B5E">
      <w:pPr>
        <w:spacing w:after="240"/>
      </w:pPr>
      <w:r>
        <w:tab/>
      </w:r>
      <w:r>
        <w:tab/>
      </w:r>
      <w:r>
        <w:rPr>
          <w:i/>
          <w:iCs/>
        </w:rPr>
        <w:t>Исключить</w:t>
      </w:r>
      <w:r>
        <w:t xml:space="preserve"> </w:t>
      </w:r>
      <w:r w:rsidR="007A76DC">
        <w:t>«</w:t>
      </w:r>
      <w:r>
        <w:t>, 5</w:t>
      </w:r>
      <w:r w:rsidR="007A76DC">
        <w:t>»</w:t>
      </w:r>
      <w:r>
        <w:t>.</w:t>
      </w:r>
    </w:p>
    <w:p w14:paraId="312EE35C" w14:textId="53D8A5F9" w:rsidR="007D7B5E" w:rsidRPr="007D0406" w:rsidRDefault="007A76DC" w:rsidP="0062640B">
      <w:pPr>
        <w:pStyle w:val="H23G"/>
      </w:pPr>
      <w:r>
        <w:tab/>
        <w:t>16.</w:t>
      </w:r>
      <w:r>
        <w:tab/>
      </w:r>
      <w:r w:rsidR="007D7B5E">
        <w:t>Приложение 3, раздел 2, таблица А.3.2.3, после позиции для P301+P317</w:t>
      </w:r>
    </w:p>
    <w:p w14:paraId="7C555C70" w14:textId="39642629" w:rsidR="007D7B5E" w:rsidRPr="009041E0" w:rsidRDefault="007D7B5E" w:rsidP="007A76DC">
      <w:pPr>
        <w:keepNext/>
        <w:keepLines/>
        <w:spacing w:after="120"/>
        <w:rPr>
          <w:i/>
          <w:iCs/>
        </w:rPr>
      </w:pPr>
      <w:r>
        <w:tab/>
      </w:r>
      <w:r>
        <w:tab/>
      </w:r>
      <w:r>
        <w:rPr>
          <w:i/>
          <w:iCs/>
        </w:rPr>
        <w:t>Включить</w:t>
      </w:r>
    </w:p>
    <w:tbl>
      <w:tblPr>
        <w:tblW w:w="850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8"/>
        <w:gridCol w:w="2811"/>
        <w:gridCol w:w="2268"/>
        <w:gridCol w:w="1417"/>
        <w:gridCol w:w="1191"/>
      </w:tblGrid>
      <w:tr w:rsidR="007D7B5E" w:rsidRPr="00F90701" w14:paraId="5733E0B4" w14:textId="77777777" w:rsidTr="00555832">
        <w:trPr>
          <w:cantSplit/>
          <w:trHeight w:val="20"/>
          <w:jc w:val="right"/>
        </w:trPr>
        <w:tc>
          <w:tcPr>
            <w:tcW w:w="818" w:type="dxa"/>
          </w:tcPr>
          <w:p w14:paraId="71C823CE" w14:textId="77777777" w:rsidR="007D7B5E" w:rsidRDefault="007D7B5E" w:rsidP="00555832">
            <w:pPr>
              <w:keepLines/>
              <w:spacing w:before="20" w:after="20"/>
              <w:jc w:val="center"/>
            </w:pPr>
            <w:r>
              <w:t>P302</w:t>
            </w:r>
          </w:p>
          <w:p w14:paraId="26127E10" w14:textId="77777777" w:rsidR="007D7B5E" w:rsidRDefault="007D7B5E" w:rsidP="00555832">
            <w:pPr>
              <w:keepLines/>
              <w:spacing w:before="20" w:after="20"/>
              <w:jc w:val="center"/>
            </w:pPr>
            <w:r>
              <w:t>+</w:t>
            </w:r>
          </w:p>
          <w:p w14:paraId="2E7AF8C4" w14:textId="77777777" w:rsidR="007D7B5E" w:rsidRPr="009041E0" w:rsidRDefault="007D7B5E" w:rsidP="00555832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t>P317</w:t>
            </w:r>
          </w:p>
        </w:tc>
        <w:tc>
          <w:tcPr>
            <w:tcW w:w="2811" w:type="dxa"/>
          </w:tcPr>
          <w:p w14:paraId="3EA63F96" w14:textId="77777777" w:rsidR="007D7B5E" w:rsidRPr="007D0406" w:rsidRDefault="007D7B5E" w:rsidP="00555832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>
              <w:rPr>
                <w:b/>
                <w:bCs/>
              </w:rPr>
              <w:t>ПРИ ПОПАДАНИИ НА КОЖУ: Обратиться за медицинской помощью.</w:t>
            </w:r>
          </w:p>
        </w:tc>
        <w:tc>
          <w:tcPr>
            <w:tcW w:w="2268" w:type="dxa"/>
          </w:tcPr>
          <w:p w14:paraId="0AE222CE" w14:textId="77777777" w:rsidR="007D7B5E" w:rsidRPr="009041E0" w:rsidRDefault="007D7B5E" w:rsidP="00555832">
            <w:pPr>
              <w:keepLines/>
              <w:spacing w:before="20" w:after="20"/>
              <w:rPr>
                <w:rStyle w:val="StyleBold"/>
              </w:rPr>
            </w:pPr>
            <w:r>
              <w:t xml:space="preserve">Острая токсичность − дермальная (глава 3.1) </w:t>
            </w:r>
          </w:p>
        </w:tc>
        <w:tc>
          <w:tcPr>
            <w:tcW w:w="1417" w:type="dxa"/>
          </w:tcPr>
          <w:p w14:paraId="205DECFD" w14:textId="77777777" w:rsidR="007D7B5E" w:rsidRPr="00F90701" w:rsidRDefault="007D7B5E" w:rsidP="00555832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t>5</w:t>
            </w:r>
          </w:p>
        </w:tc>
        <w:tc>
          <w:tcPr>
            <w:tcW w:w="1191" w:type="dxa"/>
          </w:tcPr>
          <w:p w14:paraId="4E596992" w14:textId="77777777" w:rsidR="007D7B5E" w:rsidRPr="00F90701" w:rsidRDefault="007D7B5E" w:rsidP="00555832">
            <w:pPr>
              <w:pStyle w:val="BalloonText"/>
              <w:spacing w:before="30" w:after="3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14:paraId="7C402AFC" w14:textId="647A0F97" w:rsidR="007D7B5E" w:rsidRPr="007D0406" w:rsidRDefault="005C3994" w:rsidP="0062640B">
      <w:pPr>
        <w:pStyle w:val="H23G"/>
      </w:pPr>
      <w:r>
        <w:tab/>
        <w:t>17.</w:t>
      </w:r>
      <w:r>
        <w:tab/>
      </w:r>
      <w:r w:rsidR="007D7B5E">
        <w:t>Приложение 3, раздел 2, таблица А.3.2.3, после позиции для P302+P335+P334</w:t>
      </w:r>
    </w:p>
    <w:p w14:paraId="44BDFE55" w14:textId="77777777" w:rsidR="007D7B5E" w:rsidRPr="00F90701" w:rsidRDefault="007D7B5E" w:rsidP="005C3994">
      <w:pPr>
        <w:spacing w:after="120"/>
        <w:rPr>
          <w:i/>
          <w:iCs/>
        </w:rPr>
      </w:pPr>
      <w:r>
        <w:tab/>
      </w:r>
      <w:r>
        <w:tab/>
      </w:r>
      <w:r>
        <w:rPr>
          <w:i/>
          <w:iCs/>
        </w:rPr>
        <w:t>Включить</w:t>
      </w:r>
    </w:p>
    <w:tbl>
      <w:tblPr>
        <w:tblW w:w="850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8"/>
        <w:gridCol w:w="2811"/>
        <w:gridCol w:w="2268"/>
        <w:gridCol w:w="1417"/>
        <w:gridCol w:w="1191"/>
      </w:tblGrid>
      <w:tr w:rsidR="007D7B5E" w:rsidRPr="00F90701" w14:paraId="6A423B21" w14:textId="77777777" w:rsidTr="00555832">
        <w:trPr>
          <w:cantSplit/>
          <w:trHeight w:val="20"/>
          <w:jc w:val="right"/>
        </w:trPr>
        <w:tc>
          <w:tcPr>
            <w:tcW w:w="818" w:type="dxa"/>
          </w:tcPr>
          <w:p w14:paraId="47D2D53A" w14:textId="77777777" w:rsidR="007D7B5E" w:rsidRDefault="007D7B5E" w:rsidP="00555832">
            <w:pPr>
              <w:keepLines/>
              <w:spacing w:before="20" w:after="20"/>
              <w:jc w:val="center"/>
            </w:pPr>
            <w:r>
              <w:t>P302</w:t>
            </w:r>
          </w:p>
          <w:p w14:paraId="7E4ADD72" w14:textId="77777777" w:rsidR="007D7B5E" w:rsidRDefault="007D7B5E" w:rsidP="00555832">
            <w:pPr>
              <w:keepLines/>
              <w:spacing w:before="20" w:after="20"/>
              <w:jc w:val="center"/>
            </w:pPr>
            <w:r>
              <w:t>+</w:t>
            </w:r>
          </w:p>
          <w:p w14:paraId="191E5447" w14:textId="77777777" w:rsidR="007D7B5E" w:rsidRDefault="007D7B5E" w:rsidP="00555832">
            <w:pPr>
              <w:keepLines/>
              <w:spacing w:before="20" w:after="20"/>
              <w:jc w:val="center"/>
            </w:pPr>
            <w:r>
              <w:t>P361</w:t>
            </w:r>
          </w:p>
          <w:p w14:paraId="3B93F6FE" w14:textId="77777777" w:rsidR="007D7B5E" w:rsidRDefault="007D7B5E" w:rsidP="00555832">
            <w:pPr>
              <w:keepLines/>
              <w:spacing w:before="20" w:after="20"/>
              <w:jc w:val="center"/>
            </w:pPr>
            <w:r>
              <w:t>+</w:t>
            </w:r>
          </w:p>
          <w:p w14:paraId="367747E3" w14:textId="77777777" w:rsidR="007D7B5E" w:rsidRPr="007A3DB4" w:rsidRDefault="007D7B5E" w:rsidP="00555832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t>P354</w:t>
            </w:r>
          </w:p>
        </w:tc>
        <w:tc>
          <w:tcPr>
            <w:tcW w:w="2811" w:type="dxa"/>
          </w:tcPr>
          <w:p w14:paraId="190DB299" w14:textId="77777777" w:rsidR="007D7B5E" w:rsidRPr="007A3DB4" w:rsidRDefault="007D7B5E" w:rsidP="00555832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>
              <w:rPr>
                <w:b/>
                <w:bCs/>
              </w:rPr>
              <w:t>ПРИ ПОПАДАНИИ НА КОЖУ: Немедленно снять всю загрязненную одежду.</w:t>
            </w:r>
            <w:r>
              <w:t xml:space="preserve"> </w:t>
            </w:r>
            <w:r>
              <w:rPr>
                <w:b/>
                <w:bCs/>
              </w:rPr>
              <w:t>Немедленно промыть водой в течение нескольких минут.</w:t>
            </w:r>
          </w:p>
        </w:tc>
        <w:tc>
          <w:tcPr>
            <w:tcW w:w="2268" w:type="dxa"/>
          </w:tcPr>
          <w:p w14:paraId="3D8956F9" w14:textId="44677347" w:rsidR="007D7B5E" w:rsidRPr="007A3DB4" w:rsidRDefault="007D7B5E" w:rsidP="00555832">
            <w:pPr>
              <w:keepLines/>
              <w:spacing w:before="20" w:after="20"/>
              <w:rPr>
                <w:rStyle w:val="StyleBold"/>
              </w:rPr>
            </w:pPr>
            <w:r>
              <w:t xml:space="preserve">Разъедание кожи </w:t>
            </w:r>
            <w:r w:rsidR="005C3994">
              <w:br/>
            </w:r>
            <w:r>
              <w:t>(глава 3.2)</w:t>
            </w:r>
          </w:p>
        </w:tc>
        <w:tc>
          <w:tcPr>
            <w:tcW w:w="1417" w:type="dxa"/>
          </w:tcPr>
          <w:p w14:paraId="58DA5B8F" w14:textId="77777777" w:rsidR="007D7B5E" w:rsidRPr="00F90701" w:rsidRDefault="007D7B5E" w:rsidP="00555832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t>1, 1A, 1B, 1C</w:t>
            </w:r>
          </w:p>
        </w:tc>
        <w:tc>
          <w:tcPr>
            <w:tcW w:w="1191" w:type="dxa"/>
          </w:tcPr>
          <w:p w14:paraId="4BF75344" w14:textId="77777777" w:rsidR="007D7B5E" w:rsidRPr="00F90701" w:rsidRDefault="007D7B5E" w:rsidP="00555832">
            <w:pPr>
              <w:pStyle w:val="BalloonText"/>
              <w:spacing w:before="30" w:after="3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14:paraId="09E3629E" w14:textId="7EE43B0B" w:rsidR="007D7B5E" w:rsidRPr="007D0406" w:rsidRDefault="005C3994" w:rsidP="00875938">
      <w:pPr>
        <w:pStyle w:val="H23G"/>
      </w:pPr>
      <w:r>
        <w:lastRenderedPageBreak/>
        <w:tab/>
        <w:t>18.</w:t>
      </w:r>
      <w:r>
        <w:tab/>
      </w:r>
      <w:r w:rsidR="007D7B5E">
        <w:t xml:space="preserve">Приложение 3, раздел 3, таблицы мер предосторожности для пирофорных жидкостей (глава 2.9) и пирофорных твердых веществ (глава 2.10), колонка </w:t>
      </w:r>
      <w:r>
        <w:t>«</w:t>
      </w:r>
      <w:r w:rsidR="007D7B5E">
        <w:t>Предотвращение</w:t>
      </w:r>
      <w:r>
        <w:t>»</w:t>
      </w:r>
    </w:p>
    <w:p w14:paraId="734B0403" w14:textId="77777777" w:rsidR="007D7B5E" w:rsidRPr="0078671A" w:rsidRDefault="007D7B5E" w:rsidP="00875938">
      <w:pPr>
        <w:pStyle w:val="H23G"/>
        <w:rPr>
          <w:b w:val="0"/>
          <w:bCs/>
        </w:rPr>
      </w:pPr>
      <w:r>
        <w:tab/>
      </w:r>
      <w:r>
        <w:tab/>
      </w:r>
      <w:r w:rsidRPr="0078671A">
        <w:rPr>
          <w:b w:val="0"/>
          <w:bCs/>
          <w:i/>
          <w:iCs/>
        </w:rPr>
        <w:t>Включить</w:t>
      </w:r>
    </w:p>
    <w:p w14:paraId="1FE5E545" w14:textId="6C21EBA2" w:rsidR="007D7B5E" w:rsidRDefault="005C3994" w:rsidP="00875938">
      <w:pPr>
        <w:pStyle w:val="SingleTxtG"/>
        <w:keepNext/>
        <w:keepLines/>
        <w:ind w:left="1701"/>
      </w:pPr>
      <w:r>
        <w:t>«</w:t>
      </w:r>
      <w:r w:rsidR="007D7B5E">
        <w:t>P231</w:t>
      </w:r>
    </w:p>
    <w:p w14:paraId="51995D69" w14:textId="77777777" w:rsidR="007D7B5E" w:rsidRPr="007D0406" w:rsidRDefault="007D7B5E" w:rsidP="00875938">
      <w:pPr>
        <w:pStyle w:val="SingleTxtG"/>
        <w:keepNext/>
        <w:keepLines/>
        <w:ind w:left="1701"/>
        <w:rPr>
          <w:b/>
          <w:bCs/>
        </w:rPr>
      </w:pPr>
      <w:r>
        <w:rPr>
          <w:b/>
          <w:bCs/>
        </w:rPr>
        <w:t>Обращаться с содержимым и хранить его в атмосфере инертного газа/...</w:t>
      </w:r>
    </w:p>
    <w:p w14:paraId="03A15AB7" w14:textId="303F2A84" w:rsidR="007D7B5E" w:rsidRPr="0078671A" w:rsidRDefault="007D7B5E" w:rsidP="00875938">
      <w:pPr>
        <w:pStyle w:val="SingleTxtG"/>
        <w:keepNext/>
        <w:keepLines/>
        <w:ind w:left="1701"/>
      </w:pPr>
      <w:r>
        <w:t>...Изготовителю/поставщику или компетентному органу надлежит определить соответствующую жидкость или газ, если “инертный газ” не подходит</w:t>
      </w:r>
      <w:r w:rsidR="005C3994">
        <w:t>».</w:t>
      </w:r>
    </w:p>
    <w:p w14:paraId="6021E297" w14:textId="7452ABA8" w:rsidR="007D7B5E" w:rsidRPr="007D0406" w:rsidRDefault="005C3994" w:rsidP="0062640B">
      <w:pPr>
        <w:pStyle w:val="H23G"/>
      </w:pPr>
      <w:r>
        <w:tab/>
        <w:t>19.</w:t>
      </w:r>
      <w:r>
        <w:tab/>
      </w:r>
      <w:r w:rsidR="007D7B5E">
        <w:t xml:space="preserve">Приложение 3, раздел 3, таблицы мер предосторожности </w:t>
      </w:r>
      <w:r>
        <w:t>—</w:t>
      </w:r>
      <w:r w:rsidR="007D7B5E">
        <w:t xml:space="preserve"> разъедание/раздражение кожи (глава 3.2), класс опасности 2, колонка </w:t>
      </w:r>
      <w:r>
        <w:t>«</w:t>
      </w:r>
      <w:r w:rsidR="007D7B5E">
        <w:t>Реагирование</w:t>
      </w:r>
      <w:r>
        <w:t>»</w:t>
      </w:r>
      <w:r w:rsidR="007D7B5E">
        <w:t>, P302+P352</w:t>
      </w:r>
    </w:p>
    <w:p w14:paraId="0EFE98F8" w14:textId="77777777" w:rsidR="007D7B5E" w:rsidRPr="007D0406" w:rsidRDefault="007D7B5E" w:rsidP="007D7B5E">
      <w:r>
        <w:tab/>
      </w:r>
      <w:r>
        <w:tab/>
        <w:t>Данное исправление не касается текста на русском языке.</w:t>
      </w:r>
    </w:p>
    <w:p w14:paraId="583F1AF7" w14:textId="6040AAF9" w:rsidR="007D7B5E" w:rsidRPr="007D0406" w:rsidRDefault="005C3994" w:rsidP="0062640B">
      <w:pPr>
        <w:pStyle w:val="H23G"/>
      </w:pPr>
      <w:r>
        <w:tab/>
        <w:t>20.</w:t>
      </w:r>
      <w:r>
        <w:tab/>
      </w:r>
      <w:r w:rsidR="007D7B5E">
        <w:t xml:space="preserve">Приложение 3, раздел 3, таблицы мер предосторожности </w:t>
      </w:r>
      <w:r>
        <w:t>—</w:t>
      </w:r>
      <w:r w:rsidR="007D7B5E">
        <w:t xml:space="preserve"> повреждение/раздражение глаз (глава 3.3), классы опасности 1, 2/2A, 2B</w:t>
      </w:r>
    </w:p>
    <w:p w14:paraId="07FA4A67" w14:textId="65C34DA9" w:rsidR="007D7B5E" w:rsidRPr="007D0406" w:rsidRDefault="007D7B5E" w:rsidP="007D7B5E">
      <w:pPr>
        <w:pStyle w:val="SingleTxtG"/>
      </w:pPr>
      <w:r>
        <w:t xml:space="preserve">В заголовках таблиц </w:t>
      </w:r>
      <w:r>
        <w:rPr>
          <w:i/>
          <w:iCs/>
        </w:rPr>
        <w:t>вместо</w:t>
      </w:r>
      <w:r>
        <w:t xml:space="preserve"> </w:t>
      </w:r>
      <w:r w:rsidR="005C3994">
        <w:t>«</w:t>
      </w:r>
      <w:r>
        <w:t>ПОВРЕЖДЕНИЕ/РАЗДРАЖЕНИЕ ГЛАЗ</w:t>
      </w:r>
      <w:r w:rsidR="005C3994">
        <w:t>»</w:t>
      </w:r>
      <w:r>
        <w:t xml:space="preserve"> </w:t>
      </w:r>
      <w:r>
        <w:rPr>
          <w:i/>
          <w:iCs/>
        </w:rPr>
        <w:t>читать</w:t>
      </w:r>
      <w:r>
        <w:t xml:space="preserve"> </w:t>
      </w:r>
      <w:r w:rsidR="005C3994">
        <w:t>«</w:t>
      </w:r>
      <w:r>
        <w:t>СЕРЬЕЗНОЕ ПОВРЕЖДЕНИЕ/РАЗДРАЖЕНИЕ ГЛАЗ (ГЛАВА 3.3)</w:t>
      </w:r>
      <w:r w:rsidR="005C3994">
        <w:t>»</w:t>
      </w:r>
      <w:r>
        <w:t>.</w:t>
      </w:r>
    </w:p>
    <w:p w14:paraId="28050EA3" w14:textId="2CA62625" w:rsidR="007D7B5E" w:rsidRPr="007D0406" w:rsidRDefault="005C3994" w:rsidP="0062640B">
      <w:pPr>
        <w:pStyle w:val="H23G"/>
      </w:pPr>
      <w:r>
        <w:tab/>
        <w:t>21.</w:t>
      </w:r>
      <w:r>
        <w:tab/>
      </w:r>
      <w:r w:rsidR="007D7B5E">
        <w:t xml:space="preserve">Приложение 3, раздел 3, таблицы мер предосторожности </w:t>
      </w:r>
      <w:r>
        <w:t>—</w:t>
      </w:r>
      <w:r w:rsidR="007D7B5E">
        <w:t xml:space="preserve"> опасность для водной среды (долгосрочная токсичность), классы опасности 1, 2 и 3, краткие характеристики опасности H410, H411 и H412</w:t>
      </w:r>
    </w:p>
    <w:p w14:paraId="650F460D" w14:textId="77777777" w:rsidR="007D7B5E" w:rsidRPr="007D0406" w:rsidRDefault="007D7B5E" w:rsidP="007D7B5E">
      <w:pPr>
        <w:spacing w:after="240"/>
      </w:pPr>
      <w:r>
        <w:tab/>
      </w:r>
      <w:r>
        <w:tab/>
        <w:t>Данные исправления не касаются текста на русском языке.</w:t>
      </w:r>
    </w:p>
    <w:p w14:paraId="15FF3B77" w14:textId="7E9FEBB1" w:rsidR="007D7B5E" w:rsidRPr="00F90701" w:rsidRDefault="005C3994" w:rsidP="0062640B">
      <w:pPr>
        <w:pStyle w:val="H23G"/>
      </w:pPr>
      <w:r>
        <w:tab/>
        <w:t>22.</w:t>
      </w:r>
      <w:r>
        <w:tab/>
      </w:r>
      <w:r w:rsidR="007D7B5E">
        <w:t>Приложение 7, пример 10, сценарий В</w:t>
      </w:r>
    </w:p>
    <w:p w14:paraId="7B98F66E" w14:textId="6385F278" w:rsidR="007D7B5E" w:rsidRPr="00FA294A" w:rsidRDefault="007D7B5E" w:rsidP="005C3994">
      <w:pPr>
        <w:pStyle w:val="SingleTxtG"/>
      </w:pPr>
      <w:r>
        <w:t>Исправление, касающееся рисунка с примером маркировки внутреннего сосуда для образца 1,</w:t>
      </w:r>
      <w:r w:rsidRPr="00A03DA5">
        <w:t xml:space="preserve"> </w:t>
      </w:r>
      <w:r>
        <w:t>не относится к тексту на русском языке.</w:t>
      </w:r>
    </w:p>
    <w:p w14:paraId="3632CEA0" w14:textId="1311943E" w:rsidR="007D7B5E" w:rsidRPr="007D0406" w:rsidRDefault="007D7B5E" w:rsidP="007D7B5E">
      <w:pPr>
        <w:pStyle w:val="SingleTxtG"/>
      </w:pPr>
      <w:r>
        <w:t xml:space="preserve">Исправление, касающееся кратких характеристик опасности, приведенных в таблице в разделе </w:t>
      </w:r>
      <w:r w:rsidR="005C3994">
        <w:t>«</w:t>
      </w:r>
      <w:r>
        <w:t>Информация, включаемая в полную маркировку</w:t>
      </w:r>
      <w:r w:rsidR="005C3994">
        <w:t>»</w:t>
      </w:r>
      <w:r>
        <w:t>, не относится к тексту на русском языке.</w:t>
      </w:r>
    </w:p>
    <w:p w14:paraId="562DA2EB" w14:textId="00C6B5F2" w:rsidR="007D7B5E" w:rsidRPr="00F90701" w:rsidRDefault="005C3994" w:rsidP="0062640B">
      <w:pPr>
        <w:pStyle w:val="H23G"/>
      </w:pPr>
      <w:r>
        <w:tab/>
        <w:t>23.</w:t>
      </w:r>
      <w:r>
        <w:tab/>
      </w:r>
      <w:r w:rsidR="007D7B5E">
        <w:t>Приложение 9, A9.5.2.3.5</w:t>
      </w:r>
    </w:p>
    <w:p w14:paraId="4595ECAA" w14:textId="36321309" w:rsidR="007D7B5E" w:rsidRDefault="007D7B5E" w:rsidP="005C3994">
      <w:pPr>
        <w:pStyle w:val="SingleTxtG"/>
      </w:pPr>
      <w:r>
        <w:rPr>
          <w:i/>
          <w:iCs/>
        </w:rPr>
        <w:t>Вместо</w:t>
      </w:r>
      <w:r>
        <w:t xml:space="preserve"> </w:t>
      </w:r>
      <w:r w:rsidR="005C3994">
        <w:t>«</w:t>
      </w:r>
      <w:r>
        <w:t>OECD 306, 1996</w:t>
      </w:r>
      <w:r w:rsidR="005C3994">
        <w:t>»</w:t>
      </w:r>
      <w:r>
        <w:t xml:space="preserve"> </w:t>
      </w:r>
      <w:r>
        <w:rPr>
          <w:i/>
          <w:iCs/>
        </w:rPr>
        <w:t>читать</w:t>
      </w:r>
      <w:r>
        <w:t xml:space="preserve"> </w:t>
      </w:r>
      <w:r w:rsidR="005C3994">
        <w:t>«</w:t>
      </w:r>
      <w:r>
        <w:t>OECD 306, 1992</w:t>
      </w:r>
      <w:r w:rsidR="005C3994">
        <w:t>»</w:t>
      </w:r>
      <w:r>
        <w:t>.</w:t>
      </w:r>
    </w:p>
    <w:p w14:paraId="72D21D3B" w14:textId="416C7524" w:rsidR="00381C24" w:rsidRPr="00BC18B2" w:rsidRDefault="00ED0998" w:rsidP="00ED0998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7D7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12C3" w14:textId="77777777" w:rsidR="00191704" w:rsidRPr="00A312BC" w:rsidRDefault="00191704" w:rsidP="00A312BC"/>
  </w:endnote>
  <w:endnote w:type="continuationSeparator" w:id="0">
    <w:p w14:paraId="7A8AC087" w14:textId="77777777" w:rsidR="00191704" w:rsidRPr="00A312BC" w:rsidRDefault="001917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5F64" w14:textId="408D3AF0" w:rsidR="007D7B5E" w:rsidRPr="007D7B5E" w:rsidRDefault="007D7B5E">
    <w:pPr>
      <w:pStyle w:val="Footer"/>
    </w:pPr>
    <w:r w:rsidRPr="007D7B5E">
      <w:rPr>
        <w:b/>
        <w:sz w:val="18"/>
      </w:rPr>
      <w:fldChar w:fldCharType="begin"/>
    </w:r>
    <w:r w:rsidRPr="007D7B5E">
      <w:rPr>
        <w:b/>
        <w:sz w:val="18"/>
      </w:rPr>
      <w:instrText xml:space="preserve"> PAGE  \* MERGEFORMAT </w:instrText>
    </w:r>
    <w:r w:rsidRPr="007D7B5E">
      <w:rPr>
        <w:b/>
        <w:sz w:val="18"/>
      </w:rPr>
      <w:fldChar w:fldCharType="separate"/>
    </w:r>
    <w:r w:rsidRPr="007D7B5E">
      <w:rPr>
        <w:b/>
        <w:noProof/>
        <w:sz w:val="18"/>
      </w:rPr>
      <w:t>2</w:t>
    </w:r>
    <w:r w:rsidRPr="007D7B5E">
      <w:rPr>
        <w:b/>
        <w:sz w:val="18"/>
      </w:rPr>
      <w:fldChar w:fldCharType="end"/>
    </w:r>
    <w:r>
      <w:rPr>
        <w:b/>
        <w:sz w:val="18"/>
      </w:rPr>
      <w:tab/>
    </w:r>
    <w:r>
      <w:t>GE.21-05422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475B" w14:textId="4E106266" w:rsidR="007D7B5E" w:rsidRPr="007D7B5E" w:rsidRDefault="007D7B5E" w:rsidP="007D7B5E">
    <w:pPr>
      <w:pStyle w:val="Footer"/>
      <w:tabs>
        <w:tab w:val="clear" w:pos="9639"/>
        <w:tab w:val="right" w:pos="9638"/>
      </w:tabs>
      <w:rPr>
        <w:b/>
        <w:sz w:val="18"/>
      </w:rPr>
    </w:pPr>
    <w:r>
      <w:t>GE.21-05422</w:t>
    </w:r>
    <w:r>
      <w:tab/>
    </w:r>
    <w:r w:rsidRPr="007D7B5E">
      <w:rPr>
        <w:b/>
        <w:sz w:val="18"/>
      </w:rPr>
      <w:fldChar w:fldCharType="begin"/>
    </w:r>
    <w:r w:rsidRPr="007D7B5E">
      <w:rPr>
        <w:b/>
        <w:sz w:val="18"/>
      </w:rPr>
      <w:instrText xml:space="preserve"> PAGE  \* MERGEFORMAT </w:instrText>
    </w:r>
    <w:r w:rsidRPr="007D7B5E">
      <w:rPr>
        <w:b/>
        <w:sz w:val="18"/>
      </w:rPr>
      <w:fldChar w:fldCharType="separate"/>
    </w:r>
    <w:r w:rsidRPr="007D7B5E">
      <w:rPr>
        <w:b/>
        <w:noProof/>
        <w:sz w:val="18"/>
      </w:rPr>
      <w:t>3</w:t>
    </w:r>
    <w:r w:rsidRPr="007D7B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D7BE" w14:textId="136D6537" w:rsidR="00851B46" w:rsidRDefault="00A5655E" w:rsidP="00851B46">
    <w:pPr>
      <w:pStyle w:val="Footer"/>
      <w:pBdr>
        <w:top w:val="single" w:sz="12" w:space="1" w:color="auto"/>
      </w:pBdr>
      <w:spacing w:before="120"/>
      <w:jc w:val="right"/>
      <w:rPr>
        <w:bCs/>
        <w:sz w:val="20"/>
        <w:lang w:val="en-US"/>
      </w:rPr>
    </w:pPr>
    <w:r>
      <w:rPr>
        <w:bCs/>
        <w:sz w:val="20"/>
        <w:lang w:val="en-US"/>
      </w:rPr>
      <w:br/>
    </w:r>
    <w:r w:rsidR="00851B46" w:rsidRPr="00851B46">
      <w:rPr>
        <w:bCs/>
        <w:sz w:val="20"/>
        <w:lang w:val="en-US"/>
      </w:rPr>
      <w:t>ST/SG/AC.10/30/Rev.8/Corr.1</w:t>
    </w:r>
  </w:p>
  <w:p w14:paraId="5A680D0F" w14:textId="77777777" w:rsidR="00851B46" w:rsidRPr="00C05157" w:rsidRDefault="00851B46" w:rsidP="00851B46">
    <w:pPr>
      <w:pStyle w:val="Footer"/>
      <w:pBdr>
        <w:top w:val="single" w:sz="12" w:space="1" w:color="auto"/>
      </w:pBdr>
      <w:jc w:val="right"/>
      <w:rPr>
        <w:bCs/>
        <w:sz w:val="20"/>
        <w:lang w:val="en-US"/>
      </w:rPr>
    </w:pPr>
    <w:r>
      <w:rPr>
        <w:bCs/>
        <w:sz w:val="20"/>
        <w:lang w:val="en-US"/>
      </w:rPr>
      <w:t>Russian</w:t>
    </w:r>
  </w:p>
  <w:p w14:paraId="64C9D715" w14:textId="4471DE46" w:rsidR="00851B46" w:rsidRPr="00BC596A" w:rsidRDefault="00851B46" w:rsidP="0062640B">
    <w:pPr>
      <w:pStyle w:val="Footer"/>
      <w:tabs>
        <w:tab w:val="center" w:pos="4153"/>
        <w:tab w:val="right" w:pos="8306"/>
      </w:tabs>
      <w:spacing w:after="1000"/>
      <w:jc w:val="right"/>
      <w:rPr>
        <w:bCs/>
        <w:sz w:val="20"/>
        <w:lang w:val="en-US"/>
      </w:rPr>
    </w:pPr>
    <w:r w:rsidRPr="00BC596A">
      <w:rPr>
        <w:bCs/>
        <w:sz w:val="20"/>
        <w:lang w:val="en-US"/>
      </w:rPr>
      <w:t xml:space="preserve">Original: </w:t>
    </w:r>
    <w:r>
      <w:rPr>
        <w:bCs/>
        <w:sz w:val="20"/>
        <w:lang w:val="en-US"/>
      </w:rPr>
      <w:t>English and French</w:t>
    </w:r>
  </w:p>
  <w:p w14:paraId="4B875277" w14:textId="75DAF1D3" w:rsidR="00042B72" w:rsidRPr="007D7B5E" w:rsidRDefault="007D7B5E" w:rsidP="007D7B5E">
    <w:pPr>
      <w:spacing w:before="120" w:line="240" w:lineRule="auto"/>
      <w:rPr>
        <w:lang w:val="en-US"/>
      </w:rPr>
    </w:pPr>
    <w:r w:rsidRPr="007D7B5E">
      <w:rPr>
        <w:lang w:val="en-US"/>
      </w:rP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B9E28D" wp14:editId="0726C4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1" name="Рисунок 31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B5E">
      <w:rPr>
        <w:lang w:val="en-US"/>
      </w:rPr>
      <w:t>21-05422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9D996C" wp14:editId="332E46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260421  260421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0136" w14:textId="77777777" w:rsidR="00191704" w:rsidRPr="001075E9" w:rsidRDefault="001917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4955FF" w14:textId="77777777" w:rsidR="00191704" w:rsidRDefault="001917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4B29" w14:textId="64FDCA45" w:rsidR="007D7B5E" w:rsidRPr="007D7B5E" w:rsidRDefault="00D7290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ST/SG/AC.10/30/Rev.8/Corr.1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B63E" w14:textId="46C7D5EC" w:rsidR="007D7B5E" w:rsidRPr="007D7B5E" w:rsidRDefault="00D72902" w:rsidP="007D7B5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ST/SG/AC.10/30/Rev.8/Corr.1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D6B4" w14:textId="77777777" w:rsidR="007D7B5E" w:rsidRDefault="007D7B5E" w:rsidP="007D7B5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C1736"/>
    <w:multiLevelType w:val="hybridMultilevel"/>
    <w:tmpl w:val="5B1E218A"/>
    <w:lvl w:ilvl="0" w:tplc="0809000F">
      <w:start w:val="1"/>
      <w:numFmt w:val="decimal"/>
      <w:lvlText w:val="%1."/>
      <w:lvlJc w:val="left"/>
      <w:pPr>
        <w:ind w:left="1423" w:hanging="360"/>
      </w:pPr>
    </w:lvl>
    <w:lvl w:ilvl="1" w:tplc="08090019" w:tentative="1">
      <w:start w:val="1"/>
      <w:numFmt w:val="lowerLetter"/>
      <w:lvlText w:val="%2."/>
      <w:lvlJc w:val="left"/>
      <w:pPr>
        <w:ind w:left="2143" w:hanging="360"/>
      </w:pPr>
    </w:lvl>
    <w:lvl w:ilvl="2" w:tplc="0809001B" w:tentative="1">
      <w:start w:val="1"/>
      <w:numFmt w:val="lowerRoman"/>
      <w:lvlText w:val="%3."/>
      <w:lvlJc w:val="right"/>
      <w:pPr>
        <w:ind w:left="2863" w:hanging="180"/>
      </w:pPr>
    </w:lvl>
    <w:lvl w:ilvl="3" w:tplc="0809000F" w:tentative="1">
      <w:start w:val="1"/>
      <w:numFmt w:val="decimal"/>
      <w:lvlText w:val="%4."/>
      <w:lvlJc w:val="left"/>
      <w:pPr>
        <w:ind w:left="3583" w:hanging="360"/>
      </w:pPr>
    </w:lvl>
    <w:lvl w:ilvl="4" w:tplc="08090019" w:tentative="1">
      <w:start w:val="1"/>
      <w:numFmt w:val="lowerLetter"/>
      <w:lvlText w:val="%5."/>
      <w:lvlJc w:val="left"/>
      <w:pPr>
        <w:ind w:left="4303" w:hanging="360"/>
      </w:pPr>
    </w:lvl>
    <w:lvl w:ilvl="5" w:tplc="0809001B" w:tentative="1">
      <w:start w:val="1"/>
      <w:numFmt w:val="lowerRoman"/>
      <w:lvlText w:val="%6."/>
      <w:lvlJc w:val="right"/>
      <w:pPr>
        <w:ind w:left="5023" w:hanging="180"/>
      </w:pPr>
    </w:lvl>
    <w:lvl w:ilvl="6" w:tplc="0809000F" w:tentative="1">
      <w:start w:val="1"/>
      <w:numFmt w:val="decimal"/>
      <w:lvlText w:val="%7."/>
      <w:lvlJc w:val="left"/>
      <w:pPr>
        <w:ind w:left="5743" w:hanging="360"/>
      </w:pPr>
    </w:lvl>
    <w:lvl w:ilvl="7" w:tplc="08090019" w:tentative="1">
      <w:start w:val="1"/>
      <w:numFmt w:val="lowerLetter"/>
      <w:lvlText w:val="%8."/>
      <w:lvlJc w:val="left"/>
      <w:pPr>
        <w:ind w:left="6463" w:hanging="360"/>
      </w:pPr>
    </w:lvl>
    <w:lvl w:ilvl="8" w:tplc="08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17"/>
  </w:num>
  <w:num w:numId="20">
    <w:abstractNumId w:val="15"/>
  </w:num>
  <w:num w:numId="21">
    <w:abstractNumId w:val="16"/>
  </w:num>
  <w:num w:numId="22">
    <w:abstractNumId w:val="14"/>
    <w:lvlOverride w:ilvl="0">
      <w:lvl w:ilvl="0" w:tplc="0809000F">
        <w:start w:val="1"/>
        <w:numFmt w:val="decimal"/>
        <w:lvlText w:val="%1."/>
        <w:lvlJc w:val="left"/>
        <w:pPr>
          <w:ind w:left="1423" w:hanging="36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0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33CF5"/>
    <w:rsid w:val="00180183"/>
    <w:rsid w:val="0018024D"/>
    <w:rsid w:val="00185A90"/>
    <w:rsid w:val="0018649F"/>
    <w:rsid w:val="00191704"/>
    <w:rsid w:val="00196389"/>
    <w:rsid w:val="001B3EF6"/>
    <w:rsid w:val="001C7A89"/>
    <w:rsid w:val="001F49C9"/>
    <w:rsid w:val="0020092A"/>
    <w:rsid w:val="00205D9D"/>
    <w:rsid w:val="00235265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014"/>
    <w:rsid w:val="00424203"/>
    <w:rsid w:val="00440779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C3994"/>
    <w:rsid w:val="005D7914"/>
    <w:rsid w:val="005E2B41"/>
    <w:rsid w:val="005F0B42"/>
    <w:rsid w:val="0062640B"/>
    <w:rsid w:val="00672BF8"/>
    <w:rsid w:val="00681A10"/>
    <w:rsid w:val="006A1ED8"/>
    <w:rsid w:val="006C2031"/>
    <w:rsid w:val="006D461A"/>
    <w:rsid w:val="006E5645"/>
    <w:rsid w:val="006F35EE"/>
    <w:rsid w:val="007021FF"/>
    <w:rsid w:val="00712895"/>
    <w:rsid w:val="007156C7"/>
    <w:rsid w:val="00757357"/>
    <w:rsid w:val="007A76DC"/>
    <w:rsid w:val="007B4383"/>
    <w:rsid w:val="007D7B5E"/>
    <w:rsid w:val="00825F8D"/>
    <w:rsid w:val="00834B71"/>
    <w:rsid w:val="00851B46"/>
    <w:rsid w:val="0086445C"/>
    <w:rsid w:val="00870BDA"/>
    <w:rsid w:val="00875938"/>
    <w:rsid w:val="00883D97"/>
    <w:rsid w:val="00894693"/>
    <w:rsid w:val="008A08D7"/>
    <w:rsid w:val="008A697B"/>
    <w:rsid w:val="008B6909"/>
    <w:rsid w:val="008C1A9B"/>
    <w:rsid w:val="008D4C0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5655E"/>
    <w:rsid w:val="00A84021"/>
    <w:rsid w:val="00A84D35"/>
    <w:rsid w:val="00A917B3"/>
    <w:rsid w:val="00AA27FC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72902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998"/>
    <w:rsid w:val="00ED0BDA"/>
    <w:rsid w:val="00EF1360"/>
    <w:rsid w:val="00EF3220"/>
    <w:rsid w:val="00F02FF5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47801C"/>
  <w15:docId w15:val="{68D84983-E0C4-40FC-B27B-4350109E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7D7B5E"/>
    <w:rPr>
      <w:lang w:val="ru-RU" w:eastAsia="en-US"/>
    </w:rPr>
  </w:style>
  <w:style w:type="character" w:customStyle="1" w:styleId="H1GChar">
    <w:name w:val="_ H_1_G Char"/>
    <w:link w:val="H1G"/>
    <w:rsid w:val="007D7B5E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7D7B5E"/>
    <w:rPr>
      <w:b/>
      <w:lang w:val="ru-RU" w:eastAsia="ru-RU"/>
    </w:rPr>
  </w:style>
  <w:style w:type="character" w:customStyle="1" w:styleId="StyleBold">
    <w:name w:val="Style Bold"/>
    <w:rsid w:val="007D7B5E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nece.org/transport/dangerous-good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54130-27F8-4C7D-980B-702AB006AEC2}"/>
</file>

<file path=customXml/itemProps2.xml><?xml version="1.0" encoding="utf-8"?>
<ds:datastoreItem xmlns:ds="http://schemas.openxmlformats.org/officeDocument/2006/customXml" ds:itemID="{A17AE956-8982-496A-845F-5CD7CC325536}"/>
</file>

<file path=customXml/itemProps3.xml><?xml version="1.0" encoding="utf-8"?>
<ds:datastoreItem xmlns:ds="http://schemas.openxmlformats.org/officeDocument/2006/customXml" ds:itemID="{8D67D427-4390-4721-9BAE-E9E8A91C1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ST/SG/AC.10/30/Rev.8/Corr.1</vt:lpstr>
      <vt:lpstr>A/</vt:lpstr>
      <vt:lpstr>A/</vt:lpstr>
    </vt:vector>
  </TitlesOfParts>
  <Company>DCM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ST/SG/AC.10/30/Rev.8/Corr.1</dc:title>
  <dc:subject/>
  <dc:creator>Olga OVTCHINNIKOVA</dc:creator>
  <cp:keywords/>
  <cp:lastModifiedBy>Laurence Berthet</cp:lastModifiedBy>
  <cp:revision>3</cp:revision>
  <cp:lastPrinted>2021-05-18T09:59:00Z</cp:lastPrinted>
  <dcterms:created xsi:type="dcterms:W3CDTF">2021-05-18T09:59:00Z</dcterms:created>
  <dcterms:modified xsi:type="dcterms:W3CDTF">2021-05-18T09:59:00Z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