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A38872E" w14:textId="77777777" w:rsidTr="00F01738">
        <w:trPr>
          <w:trHeight w:hRule="exact" w:val="851"/>
        </w:trPr>
        <w:tc>
          <w:tcPr>
            <w:tcW w:w="1276" w:type="dxa"/>
            <w:tcBorders>
              <w:bottom w:val="single" w:sz="4" w:space="0" w:color="auto"/>
            </w:tcBorders>
          </w:tcPr>
          <w:p w14:paraId="16ACA67C" w14:textId="77777777" w:rsidR="00132EA9" w:rsidRPr="00DB58B5" w:rsidRDefault="00132EA9" w:rsidP="00F01738"/>
        </w:tc>
        <w:tc>
          <w:tcPr>
            <w:tcW w:w="2268" w:type="dxa"/>
            <w:tcBorders>
              <w:bottom w:val="single" w:sz="4" w:space="0" w:color="auto"/>
            </w:tcBorders>
            <w:vAlign w:val="bottom"/>
          </w:tcPr>
          <w:p w14:paraId="787B95C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2DA5A5" w14:textId="77777777" w:rsidR="00132EA9" w:rsidRPr="00DB58B5" w:rsidRDefault="00AE3E90" w:rsidP="00AE3E90">
            <w:pPr>
              <w:jc w:val="right"/>
            </w:pPr>
            <w:r w:rsidRPr="00AE3E90">
              <w:rPr>
                <w:sz w:val="40"/>
              </w:rPr>
              <w:t>ST</w:t>
            </w:r>
            <w:r>
              <w:t>/SG/AC.10/C.3/2021/29</w:t>
            </w:r>
          </w:p>
        </w:tc>
      </w:tr>
      <w:tr w:rsidR="00132EA9" w:rsidRPr="00DB58B5" w14:paraId="36233EB9" w14:textId="77777777" w:rsidTr="00F01738">
        <w:trPr>
          <w:trHeight w:hRule="exact" w:val="2835"/>
        </w:trPr>
        <w:tc>
          <w:tcPr>
            <w:tcW w:w="1276" w:type="dxa"/>
            <w:tcBorders>
              <w:top w:val="single" w:sz="4" w:space="0" w:color="auto"/>
              <w:bottom w:val="single" w:sz="12" w:space="0" w:color="auto"/>
            </w:tcBorders>
          </w:tcPr>
          <w:p w14:paraId="75A6BA30" w14:textId="77777777" w:rsidR="00132EA9" w:rsidRPr="00DB58B5" w:rsidRDefault="00132EA9" w:rsidP="00F01738">
            <w:pPr>
              <w:spacing w:before="120"/>
              <w:jc w:val="center"/>
            </w:pPr>
            <w:r>
              <w:rPr>
                <w:noProof/>
                <w:lang w:eastAsia="fr-CH"/>
              </w:rPr>
              <w:drawing>
                <wp:inline distT="0" distB="0" distL="0" distR="0" wp14:anchorId="43B439B3" wp14:editId="741665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41B26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B661A12" w14:textId="199DC2FC" w:rsidR="00132EA9" w:rsidRDefault="00AE3E90" w:rsidP="00AE3E90">
            <w:pPr>
              <w:spacing w:before="240" w:line="240" w:lineRule="exact"/>
            </w:pPr>
            <w:r>
              <w:t xml:space="preserve">Distr. </w:t>
            </w:r>
            <w:r w:rsidR="00F14334">
              <w:t>générale</w:t>
            </w:r>
          </w:p>
          <w:p w14:paraId="0702F9A9" w14:textId="19912A8A" w:rsidR="00AE3E90" w:rsidRDefault="00AE3E90" w:rsidP="00AE3E90">
            <w:pPr>
              <w:spacing w:line="240" w:lineRule="exact"/>
            </w:pPr>
            <w:r>
              <w:t>1</w:t>
            </w:r>
            <w:r w:rsidR="00F12333">
              <w:t>8</w:t>
            </w:r>
            <w:r>
              <w:t xml:space="preserve"> mai 2021</w:t>
            </w:r>
          </w:p>
          <w:p w14:paraId="1830890F" w14:textId="5D4459BD" w:rsidR="00AE3E90" w:rsidRDefault="00AE3E90" w:rsidP="00AE3E90">
            <w:pPr>
              <w:spacing w:line="240" w:lineRule="exact"/>
            </w:pPr>
            <w:r>
              <w:t>Français</w:t>
            </w:r>
          </w:p>
          <w:p w14:paraId="1906D4ED" w14:textId="38FA5366" w:rsidR="00AE3E90" w:rsidRPr="00DB58B5" w:rsidRDefault="00AE3E90" w:rsidP="00AE3E90">
            <w:pPr>
              <w:spacing w:line="240" w:lineRule="exact"/>
            </w:pPr>
            <w:r>
              <w:t>Original : français et anglais</w:t>
            </w:r>
          </w:p>
        </w:tc>
      </w:tr>
    </w:tbl>
    <w:p w14:paraId="751716AA" w14:textId="77777777" w:rsidR="00896B98" w:rsidRPr="00CA0680" w:rsidRDefault="00896B98" w:rsidP="009744DF">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1CD6814" w14:textId="77777777" w:rsidR="00896B98" w:rsidRPr="00CA0680" w:rsidRDefault="00896B98" w:rsidP="009744DF">
      <w:pPr>
        <w:spacing w:before="120"/>
        <w:rPr>
          <w:b/>
        </w:rPr>
      </w:pPr>
      <w:r w:rsidRPr="00CA0680">
        <w:rPr>
          <w:b/>
        </w:rPr>
        <w:t>Sous</w:t>
      </w:r>
      <w:r>
        <w:rPr>
          <w:b/>
        </w:rPr>
        <w:t>-</w:t>
      </w:r>
      <w:r w:rsidRPr="00CA0680">
        <w:rPr>
          <w:b/>
        </w:rPr>
        <w:t>Comité d’experts du transport des marchandises dangereuses</w:t>
      </w:r>
    </w:p>
    <w:p w14:paraId="24F4CE5A" w14:textId="77777777" w:rsidR="00BE2858" w:rsidRPr="00BE2858" w:rsidRDefault="00BE2858" w:rsidP="00BE2858">
      <w:pPr>
        <w:spacing w:before="120"/>
        <w:rPr>
          <w:rFonts w:eastAsiaTheme="minorHAnsi"/>
          <w:b/>
          <w:lang w:val="fr-FR" w:eastAsia="en-US"/>
        </w:rPr>
      </w:pPr>
      <w:r w:rsidRPr="00BE2858">
        <w:rPr>
          <w:rFonts w:eastAsiaTheme="minorHAnsi"/>
          <w:b/>
          <w:bCs/>
          <w:lang w:val="fr-FR" w:eastAsia="en-US"/>
        </w:rPr>
        <w:t>Cinquante-huitième session</w:t>
      </w:r>
    </w:p>
    <w:p w14:paraId="3CE3939E" w14:textId="77777777" w:rsidR="009F6652" w:rsidRPr="009F6652" w:rsidRDefault="009F6652" w:rsidP="009F6652">
      <w:pPr>
        <w:rPr>
          <w:rFonts w:eastAsiaTheme="minorHAnsi"/>
          <w:lang w:val="fr-FR" w:eastAsia="en-US"/>
        </w:rPr>
      </w:pPr>
      <w:r w:rsidRPr="009F6652">
        <w:rPr>
          <w:rFonts w:eastAsiaTheme="minorHAnsi"/>
          <w:lang w:val="fr-FR" w:eastAsia="en-US"/>
        </w:rPr>
        <w:t>Genève, 28 juin-2 juillet 2021</w:t>
      </w:r>
    </w:p>
    <w:p w14:paraId="4FBEC24F" w14:textId="66808B2E" w:rsidR="00896B98" w:rsidRDefault="00896B98" w:rsidP="009744DF">
      <w:r>
        <w:t xml:space="preserve">Point </w:t>
      </w:r>
      <w:r w:rsidR="00885385">
        <w:t>6</w:t>
      </w:r>
      <w:r>
        <w:t xml:space="preserve"> </w:t>
      </w:r>
      <w:r w:rsidR="008450DA">
        <w:t>d)</w:t>
      </w:r>
      <w:r>
        <w:t xml:space="preserve"> de l’ordre du jour provisoire</w:t>
      </w:r>
    </w:p>
    <w:p w14:paraId="012A02A6" w14:textId="3EE43539" w:rsidR="008D1004" w:rsidRPr="00ED2730" w:rsidRDefault="00ED2730" w:rsidP="00AC3823">
      <w:pPr>
        <w:rPr>
          <w:b/>
          <w:bCs/>
          <w:lang w:val="fr-FR"/>
        </w:rPr>
      </w:pPr>
      <w:r w:rsidRPr="000D2D9C">
        <w:rPr>
          <w:b/>
          <w:bCs/>
          <w:lang w:val="fr-FR"/>
        </w:rPr>
        <w:t>Propositions diverses d</w:t>
      </w:r>
      <w:r>
        <w:rPr>
          <w:b/>
          <w:bCs/>
          <w:lang w:val="fr-FR"/>
        </w:rPr>
        <w:t>’</w:t>
      </w:r>
      <w:r w:rsidRPr="000D2D9C">
        <w:rPr>
          <w:b/>
          <w:bCs/>
          <w:lang w:val="fr-FR"/>
        </w:rPr>
        <w:t xml:space="preserve">amendements au Règlement type </w:t>
      </w:r>
      <w:r>
        <w:rPr>
          <w:b/>
          <w:bCs/>
          <w:lang w:val="fr-FR"/>
        </w:rPr>
        <w:br/>
      </w:r>
      <w:r w:rsidRPr="000D2D9C">
        <w:rPr>
          <w:b/>
          <w:bCs/>
          <w:lang w:val="fr-FR"/>
        </w:rPr>
        <w:t>pour le transport des marchandises dangereuses</w:t>
      </w:r>
      <w:r>
        <w:rPr>
          <w:b/>
          <w:bCs/>
          <w:lang w:val="fr-FR"/>
        </w:rPr>
        <w:t> </w:t>
      </w:r>
      <w:r w:rsidRPr="000D2D9C">
        <w:rPr>
          <w:b/>
          <w:bCs/>
          <w:lang w:val="fr-FR"/>
        </w:rPr>
        <w:t xml:space="preserve">: autres </w:t>
      </w:r>
      <w:r>
        <w:rPr>
          <w:b/>
          <w:bCs/>
          <w:lang w:val="fr-FR"/>
        </w:rPr>
        <w:br/>
      </w:r>
      <w:r w:rsidRPr="000D2D9C">
        <w:rPr>
          <w:b/>
          <w:bCs/>
          <w:lang w:val="fr-FR"/>
        </w:rPr>
        <w:t>propositions diverses</w:t>
      </w:r>
    </w:p>
    <w:p w14:paraId="340535F8" w14:textId="53D6F769" w:rsidR="00F97B63" w:rsidRDefault="00AC2C8D" w:rsidP="00252C7B">
      <w:pPr>
        <w:pStyle w:val="HChG"/>
      </w:pPr>
      <w:r>
        <w:tab/>
      </w:r>
      <w:r>
        <w:tab/>
        <w:t>Amendements éditoriaux</w:t>
      </w:r>
    </w:p>
    <w:p w14:paraId="2832BAF4" w14:textId="14905AE0" w:rsidR="000D30EF" w:rsidRPr="00885385" w:rsidRDefault="000D30EF" w:rsidP="00FA31A8">
      <w:pPr>
        <w:pStyle w:val="H1G"/>
        <w:rPr>
          <w:rStyle w:val="FootnoteReference"/>
          <w:b w:val="0"/>
          <w:bCs/>
          <w:sz w:val="20"/>
          <w:vertAlign w:val="baseline"/>
        </w:rPr>
      </w:pPr>
      <w:r w:rsidRPr="00EA22D8">
        <w:rPr>
          <w:lang w:val="fr-FR"/>
        </w:rPr>
        <w:tab/>
      </w:r>
      <w:r w:rsidRPr="00EA22D8">
        <w:rPr>
          <w:lang w:val="fr-FR"/>
        </w:rPr>
        <w:tab/>
      </w:r>
      <w:r>
        <w:rPr>
          <w:lang w:val="fr-FR"/>
        </w:rPr>
        <w:t xml:space="preserve">Note du </w:t>
      </w:r>
      <w:r w:rsidR="004A442C">
        <w:rPr>
          <w:lang w:val="fr-FR"/>
        </w:rPr>
        <w:t>secrétariat</w:t>
      </w:r>
      <w:r w:rsidRPr="00303BA7">
        <w:rPr>
          <w:rStyle w:val="FootnoteReference"/>
          <w:b w:val="0"/>
          <w:bCs/>
          <w:sz w:val="20"/>
          <w:vertAlign w:val="baseline"/>
        </w:rPr>
        <w:footnoteReference w:customMarkFollows="1" w:id="2"/>
        <w:t>*</w:t>
      </w:r>
    </w:p>
    <w:p w14:paraId="69A9E2B6" w14:textId="77777777" w:rsidR="00793B13" w:rsidRDefault="00793B13" w:rsidP="00FA31A8">
      <w:pPr>
        <w:pStyle w:val="HChG"/>
      </w:pPr>
      <w:r>
        <w:tab/>
        <w:t>I.</w:t>
      </w:r>
      <w:r>
        <w:tab/>
        <w:t>Introduction</w:t>
      </w:r>
    </w:p>
    <w:p w14:paraId="11E2EC8F" w14:textId="6ED4FF3F" w:rsidR="004A442C" w:rsidRDefault="004A442C" w:rsidP="004A442C">
      <w:pPr>
        <w:pStyle w:val="SingleTxtG"/>
      </w:pPr>
      <w:r>
        <w:t>1.</w:t>
      </w:r>
      <w:r>
        <w:tab/>
        <w:t>Le Groupe de travail spécial de l’harmonisation des Règlements RID/ADR/ADN avec les Recommandations de l’ONU relatives au transport des marchandises dangereuses s'est réuni virtuellement du 21 au 23 avril 2021. Au cours de ses discussions, quelques possibles modifications du Règlement type ont été identifiées. Celles-ci sont rassemblées ci-dessous dans les propositions 1 (amendements) et 2 (corrections).</w:t>
      </w:r>
    </w:p>
    <w:p w14:paraId="4999D422" w14:textId="7C50F750" w:rsidR="004A442C" w:rsidRDefault="004A442C" w:rsidP="004A442C">
      <w:pPr>
        <w:pStyle w:val="SingleTxtG"/>
      </w:pPr>
      <w:r>
        <w:t xml:space="preserve">2. </w:t>
      </w:r>
      <w:r>
        <w:tab/>
        <w:t>En outre, le secrétariat a identifié ou a été informé d’autres questions qui sont rassemblées dans la proposition 3 ci-dessous.</w:t>
      </w:r>
    </w:p>
    <w:p w14:paraId="36EE1A18" w14:textId="492CB9C3" w:rsidR="004A442C" w:rsidRPr="004A442C" w:rsidRDefault="004A442C" w:rsidP="004A442C">
      <w:pPr>
        <w:pStyle w:val="SingleTxtG"/>
      </w:pPr>
      <w:r>
        <w:t xml:space="preserve">3. </w:t>
      </w:r>
      <w:r>
        <w:tab/>
        <w:t>Le Sous-Comité souhaitera peut-être examiner les propositions suivantes pour adoption.</w:t>
      </w:r>
    </w:p>
    <w:p w14:paraId="1B45423C" w14:textId="6816C74C" w:rsidR="00E243FA" w:rsidRDefault="00E243FA" w:rsidP="00FA31A8">
      <w:pPr>
        <w:pStyle w:val="HChG"/>
      </w:pPr>
      <w:r>
        <w:tab/>
        <w:t>II.</w:t>
      </w:r>
      <w:r w:rsidR="00BF3B58">
        <w:tab/>
      </w:r>
      <w:r>
        <w:t>Proposition 1 (</w:t>
      </w:r>
      <w:r w:rsidR="00173FE8">
        <w:t>amendements</w:t>
      </w:r>
      <w:r w:rsidR="00497DE7">
        <w:t xml:space="preserve"> du Groupe de travail spécial de l’harmonisation</w:t>
      </w:r>
      <w:r>
        <w:t>)</w:t>
      </w:r>
    </w:p>
    <w:p w14:paraId="080BF8AC" w14:textId="2EE6D7C5" w:rsidR="00D07E52" w:rsidRDefault="00D07E52" w:rsidP="00FE1701">
      <w:pPr>
        <w:pStyle w:val="SingleTxtG"/>
        <w:ind w:left="2268" w:hanging="1134"/>
      </w:pPr>
      <w:r>
        <w:t>1.2.1</w:t>
      </w:r>
      <w:r>
        <w:tab/>
      </w:r>
      <w:r w:rsidRPr="002277CD">
        <w:rPr>
          <w:i/>
          <w:iCs/>
        </w:rPr>
        <w:tab/>
      </w:r>
      <w:r w:rsidR="00FE1701" w:rsidRPr="002277CD">
        <w:rPr>
          <w:b/>
          <w:bCs/>
          <w:i/>
          <w:iCs/>
        </w:rPr>
        <w:t>Not</w:t>
      </w:r>
      <w:r w:rsidR="00EF448E">
        <w:rPr>
          <w:b/>
          <w:bCs/>
          <w:i/>
          <w:iCs/>
        </w:rPr>
        <w:t>e</w:t>
      </w:r>
      <w:r w:rsidR="00FE1701" w:rsidRPr="002277CD">
        <w:rPr>
          <w:b/>
          <w:bCs/>
          <w:i/>
          <w:iCs/>
        </w:rPr>
        <w:t xml:space="preserve"> du secrétariat :</w:t>
      </w:r>
      <w:r w:rsidR="00FE1701" w:rsidRPr="002277CD">
        <w:rPr>
          <w:i/>
          <w:iCs/>
        </w:rPr>
        <w:t xml:space="preserve"> </w:t>
      </w:r>
      <w:r w:rsidRPr="002277CD">
        <w:rPr>
          <w:i/>
          <w:iCs/>
        </w:rPr>
        <w:t xml:space="preserve">Dans la </w:t>
      </w:r>
      <w:r w:rsidR="00FE1701" w:rsidRPr="002277CD">
        <w:rPr>
          <w:i/>
          <w:iCs/>
        </w:rPr>
        <w:t>définition</w:t>
      </w:r>
      <w:r w:rsidRPr="002277CD">
        <w:rPr>
          <w:i/>
          <w:iCs/>
        </w:rPr>
        <w:t xml:space="preserve"> de « </w:t>
      </w:r>
      <w:r w:rsidR="00FE1701" w:rsidRPr="002277CD">
        <w:rPr>
          <w:i/>
          <w:iCs/>
        </w:rPr>
        <w:t xml:space="preserve">Pression de service », alinéa b), il </w:t>
      </w:r>
      <w:r w:rsidR="006E592F">
        <w:rPr>
          <w:i/>
          <w:iCs/>
        </w:rPr>
        <w:t>conviendrait</w:t>
      </w:r>
      <w:r w:rsidR="00FE1701" w:rsidRPr="002277CD">
        <w:rPr>
          <w:i/>
          <w:iCs/>
        </w:rPr>
        <w:t xml:space="preserve"> utiliser le même mot pour </w:t>
      </w:r>
      <w:r w:rsidR="002277CD" w:rsidRPr="002277CD">
        <w:rPr>
          <w:i/>
          <w:iCs/>
        </w:rPr>
        <w:t>« volume » et « quantité » (« content » dans la version anglaise).</w:t>
      </w:r>
    </w:p>
    <w:p w14:paraId="2031CFAB" w14:textId="77777777" w:rsidR="0054706F" w:rsidRPr="00D07E52" w:rsidRDefault="0054706F" w:rsidP="0054706F">
      <w:pPr>
        <w:pStyle w:val="SingleTxtG"/>
        <w:ind w:left="2268" w:hanging="1134"/>
      </w:pPr>
      <w:r>
        <w:t>2.4.2.3.2.3</w:t>
      </w:r>
      <w:r>
        <w:tab/>
        <w:t>Remplacer « </w:t>
      </w:r>
      <w:r w:rsidRPr="00CA7BCC">
        <w:t>Les préparations non énumérées dans la présente disposition</w:t>
      </w:r>
      <w:r>
        <w:t> » par « </w:t>
      </w:r>
      <w:r w:rsidRPr="00CA7BCC">
        <w:t>Les préparations non énumérées dans l</w:t>
      </w:r>
      <w:r>
        <w:t>a</w:t>
      </w:r>
      <w:r w:rsidRPr="00CA7BCC">
        <w:t xml:space="preserve"> présente </w:t>
      </w:r>
      <w:r>
        <w:t>sous-section ».</w:t>
      </w:r>
    </w:p>
    <w:p w14:paraId="31F893EF" w14:textId="78692248" w:rsidR="0054706F" w:rsidRDefault="005A2BE7" w:rsidP="0054706F">
      <w:pPr>
        <w:pStyle w:val="SingleTxtG"/>
        <w:ind w:left="2268" w:hanging="1134"/>
      </w:pPr>
      <w:r>
        <w:t>2.5.3.2.4</w:t>
      </w:r>
      <w:r w:rsidR="0054706F">
        <w:tab/>
        <w:t>Remplacer « </w:t>
      </w:r>
      <w:r w:rsidR="0054706F" w:rsidRPr="00CA7BCC">
        <w:t>Les préparations non énumérées dans la présente disposition</w:t>
      </w:r>
      <w:r w:rsidR="0054706F">
        <w:t> » par « </w:t>
      </w:r>
      <w:r w:rsidR="0054706F" w:rsidRPr="00CA7BCC">
        <w:t>Les préparations non énumérées dans l</w:t>
      </w:r>
      <w:r w:rsidR="0054706F">
        <w:t>a</w:t>
      </w:r>
      <w:r w:rsidR="0054706F" w:rsidRPr="00CA7BCC">
        <w:t xml:space="preserve"> présente </w:t>
      </w:r>
      <w:r w:rsidR="0054706F">
        <w:t>sous-section ».</w:t>
      </w:r>
    </w:p>
    <w:p w14:paraId="110DAAE1" w14:textId="77777777" w:rsidR="00F243B9" w:rsidRPr="00D07E52" w:rsidRDefault="00F243B9" w:rsidP="00F243B9">
      <w:pPr>
        <w:pStyle w:val="SingleTxtG"/>
        <w:ind w:left="2268" w:hanging="1134"/>
      </w:pPr>
      <w:r w:rsidRPr="00F97B0C">
        <w:t xml:space="preserve">3.3, </w:t>
      </w:r>
      <w:r>
        <w:t>DS</w:t>
      </w:r>
      <w:r w:rsidRPr="00F97B0C">
        <w:t xml:space="preserve"> 396 f)</w:t>
      </w:r>
      <w:r>
        <w:tab/>
        <w:t>Sans objet en français.</w:t>
      </w:r>
    </w:p>
    <w:p w14:paraId="2F38A6D8" w14:textId="11E94972" w:rsidR="00F243B9" w:rsidRDefault="00F243B9" w:rsidP="00F243B9">
      <w:pPr>
        <w:pStyle w:val="SingleTxtG"/>
        <w:ind w:left="2268" w:hanging="1134"/>
      </w:pPr>
      <w:r>
        <w:lastRenderedPageBreak/>
        <w:t>4.1.3.3</w:t>
      </w:r>
      <w:r>
        <w:tab/>
        <w:t>Sans objet en français.</w:t>
      </w:r>
    </w:p>
    <w:p w14:paraId="75EB2921" w14:textId="4161088D" w:rsidR="00A50591" w:rsidRDefault="00F246F1" w:rsidP="00F243B9">
      <w:pPr>
        <w:pStyle w:val="SingleTxtG"/>
        <w:ind w:left="2268" w:hanging="1134"/>
      </w:pPr>
      <w:r>
        <w:rPr>
          <w:lang w:val="en-US"/>
        </w:rPr>
        <w:t>4.1.4.1, P200 5)</w:t>
      </w:r>
      <w:r w:rsidR="00A50591">
        <w:tab/>
      </w:r>
      <w:r w:rsidR="00A50591" w:rsidRPr="002277CD">
        <w:rPr>
          <w:b/>
          <w:bCs/>
          <w:i/>
          <w:iCs/>
        </w:rPr>
        <w:t>Not</w:t>
      </w:r>
      <w:r w:rsidR="00637B33">
        <w:rPr>
          <w:b/>
          <w:bCs/>
          <w:i/>
          <w:iCs/>
        </w:rPr>
        <w:t>e</w:t>
      </w:r>
      <w:r w:rsidR="00A50591" w:rsidRPr="002277CD">
        <w:rPr>
          <w:b/>
          <w:bCs/>
          <w:i/>
          <w:iCs/>
        </w:rPr>
        <w:t xml:space="preserve"> du secrétariat :</w:t>
      </w:r>
      <w:r w:rsidR="00A50591">
        <w:rPr>
          <w:i/>
          <w:iCs/>
        </w:rPr>
        <w:t xml:space="preserve"> Le Sous-Comité</w:t>
      </w:r>
      <w:r w:rsidR="00C5734C">
        <w:rPr>
          <w:i/>
          <w:iCs/>
        </w:rPr>
        <w:t xml:space="preserve"> peut considérer si l’utilisation du terme « bars absolus » est adéquate.</w:t>
      </w:r>
    </w:p>
    <w:p w14:paraId="3857743A" w14:textId="792A85C8" w:rsidR="00B35422" w:rsidRDefault="00B35422" w:rsidP="00B35422">
      <w:pPr>
        <w:pStyle w:val="SingleTxtG"/>
        <w:ind w:left="2268" w:hanging="1134"/>
      </w:pPr>
      <w:r>
        <w:t>4.1.4.2, IBC520</w:t>
      </w:r>
      <w:r>
        <w:tab/>
        <w:t>Sans objet en français.</w:t>
      </w:r>
    </w:p>
    <w:p w14:paraId="7CF4A086" w14:textId="197E4D81" w:rsidR="00C5734C" w:rsidRDefault="00B35422" w:rsidP="00B35422">
      <w:pPr>
        <w:pStyle w:val="SingleTxtG"/>
        <w:ind w:left="2268" w:hanging="1134"/>
      </w:pPr>
      <w:r>
        <w:t>4.2.5.2.6, T23</w:t>
      </w:r>
      <w:r>
        <w:tab/>
      </w:r>
      <w:r>
        <w:tab/>
      </w:r>
      <w:r>
        <w:tab/>
        <w:t>Sans objet en français.</w:t>
      </w:r>
    </w:p>
    <w:p w14:paraId="5A531FAF" w14:textId="58C06C47" w:rsidR="00D210DA" w:rsidRDefault="00D210DA" w:rsidP="00B35422">
      <w:pPr>
        <w:pStyle w:val="SingleTxtG"/>
        <w:ind w:left="2268" w:hanging="1134"/>
      </w:pPr>
      <w:r>
        <w:t>6.2.1.5.2</w:t>
      </w:r>
      <w:r>
        <w:tab/>
        <w:t>Après p)</w:t>
      </w:r>
      <w:r w:rsidR="00BF1205">
        <w:t>, remplacer « </w:t>
      </w:r>
      <w:r w:rsidR="00BF1205" w:rsidRPr="00BF1205">
        <w:t>les récipients à pression cryogéniques fermés</w:t>
      </w:r>
      <w:r w:rsidR="00BF1205">
        <w:t> » par « </w:t>
      </w:r>
      <w:r w:rsidR="00BF1205" w:rsidRPr="00BF1205">
        <w:t>les récipients cryogéniques fermés</w:t>
      </w:r>
      <w:r w:rsidR="00BF1205">
        <w:t> ».</w:t>
      </w:r>
    </w:p>
    <w:p w14:paraId="6AC4F846" w14:textId="1C288A6C" w:rsidR="009364FD" w:rsidRDefault="009364FD" w:rsidP="00B35422">
      <w:pPr>
        <w:pStyle w:val="SingleTxtG"/>
        <w:ind w:left="2268" w:hanging="1134"/>
      </w:pPr>
      <w:r>
        <w:t>6.2.1.5.4</w:t>
      </w:r>
      <w:r>
        <w:tab/>
        <w:t>Sans objet en français.</w:t>
      </w:r>
    </w:p>
    <w:p w14:paraId="4F4B90CE" w14:textId="2C309F3B" w:rsidR="00FF658B" w:rsidRDefault="002F742A" w:rsidP="00B35422">
      <w:pPr>
        <w:pStyle w:val="SingleTxtG"/>
        <w:ind w:left="2268" w:hanging="1134"/>
      </w:pPr>
      <w:r w:rsidRPr="002F742A">
        <w:t>6.2.2.7.3 (l) (ii)</w:t>
      </w:r>
      <w:r>
        <w:tab/>
        <w:t>Apr</w:t>
      </w:r>
      <w:r w:rsidR="004A7CCA">
        <w:t>è</w:t>
      </w:r>
      <w:r>
        <w:t xml:space="preserve">s « employée » </w:t>
      </w:r>
      <w:r w:rsidR="0021070F">
        <w:t>insérer</w:t>
      </w:r>
      <w:r>
        <w:t xml:space="preserve"> « </w:t>
      </w:r>
      <w:r w:rsidR="0021070F" w:rsidRPr="0021070F">
        <w:t>(par exemple, le nom ou la marque)</w:t>
      </w:r>
      <w:r w:rsidR="0021070F">
        <w:t> ».</w:t>
      </w:r>
    </w:p>
    <w:p w14:paraId="6AD3F7CC" w14:textId="51878374" w:rsidR="00634E8B" w:rsidRPr="00C5734C" w:rsidRDefault="00634E8B" w:rsidP="00B35422">
      <w:pPr>
        <w:pStyle w:val="SingleTxtG"/>
        <w:ind w:left="2268" w:hanging="1134"/>
      </w:pPr>
      <w:r w:rsidRPr="00634E8B">
        <w:t>6.9.2.2.3.14.1</w:t>
      </w:r>
      <w:r>
        <w:tab/>
      </w:r>
      <w:r>
        <w:tab/>
      </w:r>
      <w:r>
        <w:tab/>
      </w:r>
      <w:r w:rsidR="00DB75FA">
        <w:t>Supprimer « de la classe 3 ».</w:t>
      </w:r>
    </w:p>
    <w:p w14:paraId="639E1882" w14:textId="2C71E816" w:rsidR="00E243FA" w:rsidRPr="00BF3B58" w:rsidRDefault="00E243FA" w:rsidP="00FA31A8">
      <w:pPr>
        <w:pStyle w:val="HChG"/>
      </w:pPr>
      <w:r>
        <w:tab/>
      </w:r>
      <w:r w:rsidRPr="00BF3B58">
        <w:t>III.</w:t>
      </w:r>
      <w:r w:rsidR="00BF3B58">
        <w:tab/>
      </w:r>
      <w:r w:rsidRPr="00BF3B58">
        <w:t>Proposition 2 (</w:t>
      </w:r>
      <w:r w:rsidR="00497DE7">
        <w:t>corrections du Groupe de travail spécial de l’harmonisation</w:t>
      </w:r>
      <w:r w:rsidRPr="00BF3B58">
        <w:t>)</w:t>
      </w:r>
    </w:p>
    <w:p w14:paraId="00A029EE" w14:textId="501C71EF" w:rsidR="0019109C" w:rsidRPr="0019109C" w:rsidRDefault="0019109C" w:rsidP="0019109C">
      <w:pPr>
        <w:pStyle w:val="SingleTxtG"/>
        <w:keepNext/>
        <w:rPr>
          <w:b/>
          <w:bCs/>
          <w:lang w:val="fr-FR"/>
        </w:rPr>
      </w:pPr>
      <w:r w:rsidRPr="00422FCB">
        <w:rPr>
          <w:b/>
          <w:bCs/>
          <w:lang w:val="fr-FR"/>
        </w:rPr>
        <w:t xml:space="preserve">Chapitre </w:t>
      </w:r>
      <w:r w:rsidRPr="0019109C">
        <w:rPr>
          <w:b/>
          <w:bCs/>
          <w:lang w:val="fr-FR"/>
        </w:rPr>
        <w:t>6.5, 6.5.6.3.2</w:t>
      </w:r>
    </w:p>
    <w:p w14:paraId="1B75403E" w14:textId="498DA6FB" w:rsidR="0019109C" w:rsidRPr="0019109C" w:rsidRDefault="0019109C" w:rsidP="0019109C">
      <w:pPr>
        <w:pStyle w:val="SingleTxtG"/>
        <w:rPr>
          <w:lang w:val="fr-FR"/>
        </w:rPr>
      </w:pPr>
      <w:r>
        <w:rPr>
          <w:i/>
          <w:iCs/>
          <w:lang w:val="fr-FR"/>
        </w:rPr>
        <w:t>Au lieu de</w:t>
      </w:r>
      <w:r w:rsidRPr="0019109C">
        <w:rPr>
          <w:lang w:val="fr-FR"/>
        </w:rPr>
        <w:t xml:space="preserve"> 6.5.5.4.9 </w:t>
      </w:r>
      <w:r>
        <w:rPr>
          <w:i/>
          <w:iCs/>
          <w:lang w:val="fr-FR"/>
        </w:rPr>
        <w:t>lire</w:t>
      </w:r>
      <w:r w:rsidRPr="00422FCB">
        <w:rPr>
          <w:lang w:val="fr-FR"/>
        </w:rPr>
        <w:t xml:space="preserve"> </w:t>
      </w:r>
      <w:r w:rsidRPr="0019109C">
        <w:rPr>
          <w:lang w:val="fr-FR"/>
        </w:rPr>
        <w:t>6.5.5.4.8</w:t>
      </w:r>
    </w:p>
    <w:p w14:paraId="7C2E4783" w14:textId="0F3F0E7C" w:rsidR="0019109C" w:rsidRPr="0019109C" w:rsidRDefault="0019109C" w:rsidP="0019109C">
      <w:pPr>
        <w:pStyle w:val="SingleTxtG"/>
        <w:keepNext/>
        <w:rPr>
          <w:b/>
          <w:bCs/>
          <w:lang w:val="fr-FR"/>
        </w:rPr>
      </w:pPr>
      <w:r w:rsidRPr="00422FCB">
        <w:rPr>
          <w:b/>
          <w:bCs/>
          <w:lang w:val="fr-FR"/>
        </w:rPr>
        <w:t xml:space="preserve">Chapitre </w:t>
      </w:r>
      <w:r w:rsidRPr="0019109C">
        <w:rPr>
          <w:b/>
          <w:bCs/>
          <w:lang w:val="fr-FR"/>
        </w:rPr>
        <w:t xml:space="preserve">6.9, 6.9.2.3.4, </w:t>
      </w:r>
      <w:r w:rsidR="00BB6E1A">
        <w:rPr>
          <w:b/>
          <w:bCs/>
          <w:lang w:val="fr-FR"/>
        </w:rPr>
        <w:t>alinéa</w:t>
      </w:r>
      <w:r w:rsidRPr="0019109C">
        <w:rPr>
          <w:b/>
          <w:bCs/>
          <w:lang w:val="fr-FR"/>
        </w:rPr>
        <w:t xml:space="preserve"> K₄, s</w:t>
      </w:r>
      <w:r w:rsidR="00BB6E1A">
        <w:rPr>
          <w:b/>
          <w:bCs/>
          <w:lang w:val="fr-FR"/>
        </w:rPr>
        <w:t>ous</w:t>
      </w:r>
      <w:r w:rsidRPr="0019109C">
        <w:rPr>
          <w:b/>
          <w:bCs/>
          <w:lang w:val="fr-FR"/>
        </w:rPr>
        <w:t>-</w:t>
      </w:r>
      <w:r w:rsidR="00BB6E1A">
        <w:rPr>
          <w:b/>
          <w:bCs/>
          <w:lang w:val="fr-FR"/>
        </w:rPr>
        <w:t>alinéa</w:t>
      </w:r>
      <w:r w:rsidRPr="0019109C">
        <w:rPr>
          <w:b/>
          <w:bCs/>
          <w:lang w:val="fr-FR"/>
        </w:rPr>
        <w:t xml:space="preserve"> 1.0</w:t>
      </w:r>
    </w:p>
    <w:p w14:paraId="167A72C0" w14:textId="2A92892B" w:rsidR="0019109C" w:rsidRPr="0019109C" w:rsidRDefault="0019109C" w:rsidP="0019109C">
      <w:pPr>
        <w:pStyle w:val="SingleTxtG"/>
        <w:rPr>
          <w:lang w:val="fr-FR"/>
        </w:rPr>
      </w:pPr>
      <w:r>
        <w:rPr>
          <w:i/>
          <w:iCs/>
          <w:lang w:val="fr-FR"/>
        </w:rPr>
        <w:t>Au lieu de</w:t>
      </w:r>
      <w:r w:rsidRPr="0019109C">
        <w:rPr>
          <w:lang w:val="fr-FR"/>
        </w:rPr>
        <w:t xml:space="preserve"> 6.9.2.7.1.2 (i) </w:t>
      </w:r>
      <w:r>
        <w:rPr>
          <w:i/>
          <w:iCs/>
          <w:lang w:val="fr-FR"/>
        </w:rPr>
        <w:t>lire</w:t>
      </w:r>
      <w:r w:rsidRPr="00422FCB">
        <w:rPr>
          <w:lang w:val="fr-FR"/>
        </w:rPr>
        <w:t xml:space="preserve"> </w:t>
      </w:r>
      <w:r w:rsidRPr="0019109C">
        <w:rPr>
          <w:lang w:val="fr-FR"/>
        </w:rPr>
        <w:t>6.9.2.7.1.2 (h)</w:t>
      </w:r>
    </w:p>
    <w:p w14:paraId="7290FF3F" w14:textId="602B8BAB" w:rsidR="0019109C" w:rsidRPr="0019109C" w:rsidRDefault="0019109C" w:rsidP="0019109C">
      <w:pPr>
        <w:pStyle w:val="SingleTxtG"/>
        <w:keepNext/>
        <w:rPr>
          <w:b/>
          <w:bCs/>
          <w:lang w:val="fr-FR"/>
        </w:rPr>
      </w:pPr>
      <w:r w:rsidRPr="00422FCB">
        <w:rPr>
          <w:b/>
          <w:bCs/>
          <w:lang w:val="fr-FR"/>
        </w:rPr>
        <w:t xml:space="preserve">Chapitre </w:t>
      </w:r>
      <w:r w:rsidRPr="0019109C">
        <w:rPr>
          <w:b/>
          <w:bCs/>
          <w:lang w:val="fr-FR"/>
        </w:rPr>
        <w:t>6.9, 6.9.2.7.1.2 (e)</w:t>
      </w:r>
    </w:p>
    <w:p w14:paraId="3F9D0960" w14:textId="1F8F8666" w:rsidR="0019109C" w:rsidRPr="0019109C" w:rsidRDefault="0019109C" w:rsidP="0019109C">
      <w:pPr>
        <w:pStyle w:val="SingleTxtG"/>
        <w:rPr>
          <w:lang w:val="fr-FR"/>
        </w:rPr>
      </w:pPr>
      <w:r>
        <w:rPr>
          <w:i/>
          <w:iCs/>
          <w:lang w:val="fr-FR"/>
        </w:rPr>
        <w:t>Au lieu de</w:t>
      </w:r>
      <w:r w:rsidRPr="0019109C">
        <w:rPr>
          <w:lang w:val="fr-FR"/>
        </w:rPr>
        <w:t xml:space="preserve"> 6.9.2.2.4 </w:t>
      </w:r>
      <w:r>
        <w:rPr>
          <w:i/>
          <w:iCs/>
          <w:lang w:val="fr-FR"/>
        </w:rPr>
        <w:t>lire</w:t>
      </w:r>
      <w:r w:rsidRPr="00422FCB">
        <w:rPr>
          <w:lang w:val="fr-FR"/>
        </w:rPr>
        <w:t xml:space="preserve"> </w:t>
      </w:r>
      <w:r w:rsidRPr="0019109C">
        <w:rPr>
          <w:lang w:val="fr-FR"/>
        </w:rPr>
        <w:t>6.9.2.2.3.2</w:t>
      </w:r>
    </w:p>
    <w:p w14:paraId="067D7A86" w14:textId="282CA862" w:rsidR="0019109C" w:rsidRPr="0019109C" w:rsidRDefault="0019109C" w:rsidP="0019109C">
      <w:pPr>
        <w:pStyle w:val="SingleTxtG"/>
        <w:keepNext/>
        <w:rPr>
          <w:b/>
          <w:bCs/>
          <w:lang w:val="fr-FR"/>
        </w:rPr>
      </w:pPr>
      <w:r w:rsidRPr="00422FCB">
        <w:rPr>
          <w:b/>
          <w:bCs/>
          <w:lang w:val="fr-FR"/>
        </w:rPr>
        <w:t xml:space="preserve">Chapitre </w:t>
      </w:r>
      <w:r w:rsidRPr="0019109C">
        <w:rPr>
          <w:b/>
          <w:bCs/>
          <w:lang w:val="fr-FR"/>
        </w:rPr>
        <w:t>6.9, 6.9.2.7.1.2 (f)</w:t>
      </w:r>
    </w:p>
    <w:p w14:paraId="16D22792" w14:textId="5423CBA3" w:rsidR="0019109C" w:rsidRPr="0019109C" w:rsidRDefault="0019109C" w:rsidP="0019109C">
      <w:pPr>
        <w:pStyle w:val="SingleTxtG"/>
        <w:rPr>
          <w:lang w:val="fr-FR"/>
        </w:rPr>
      </w:pPr>
      <w:r>
        <w:rPr>
          <w:i/>
          <w:iCs/>
          <w:lang w:val="fr-FR"/>
        </w:rPr>
        <w:t>Au lieu de</w:t>
      </w:r>
      <w:r w:rsidRPr="0019109C">
        <w:rPr>
          <w:lang w:val="fr-FR"/>
        </w:rPr>
        <w:t xml:space="preserve"> 6.9.2.2.4 </w:t>
      </w:r>
      <w:r>
        <w:rPr>
          <w:i/>
          <w:iCs/>
          <w:lang w:val="fr-FR"/>
        </w:rPr>
        <w:t>lire</w:t>
      </w:r>
      <w:r w:rsidRPr="00422FCB">
        <w:rPr>
          <w:lang w:val="fr-FR"/>
        </w:rPr>
        <w:t xml:space="preserve"> </w:t>
      </w:r>
      <w:r w:rsidRPr="0019109C">
        <w:rPr>
          <w:lang w:val="fr-FR"/>
        </w:rPr>
        <w:t>6.9.2.2.3.2</w:t>
      </w:r>
    </w:p>
    <w:p w14:paraId="76C1A830" w14:textId="04347F8D" w:rsidR="00E243FA" w:rsidRPr="00BF3B58" w:rsidRDefault="00E243FA" w:rsidP="00FA31A8">
      <w:pPr>
        <w:pStyle w:val="HChG"/>
      </w:pPr>
      <w:r w:rsidRPr="00BF3B58">
        <w:tab/>
        <w:t>IV.</w:t>
      </w:r>
      <w:r w:rsidR="00BF3B58">
        <w:tab/>
      </w:r>
      <w:r w:rsidRPr="00BF3B58">
        <w:t>Proposition 3 (</w:t>
      </w:r>
      <w:r w:rsidR="00497DE7">
        <w:t>autres corrections</w:t>
      </w:r>
      <w:r w:rsidRPr="00BF3B58">
        <w:t>)</w:t>
      </w:r>
    </w:p>
    <w:p w14:paraId="259B0C2F" w14:textId="7FDBC90F" w:rsidR="00B16F7C" w:rsidRPr="00422FCB" w:rsidRDefault="006D6F76" w:rsidP="00B16F7C">
      <w:pPr>
        <w:pStyle w:val="SingleTxtG"/>
        <w:rPr>
          <w:b/>
          <w:bCs/>
          <w:lang w:val="fr-FR"/>
        </w:rPr>
      </w:pPr>
      <w:r w:rsidRPr="00422FCB">
        <w:rPr>
          <w:b/>
          <w:bCs/>
          <w:lang w:val="fr-FR"/>
        </w:rPr>
        <w:t>Chapitre</w:t>
      </w:r>
      <w:r w:rsidR="006F2F86" w:rsidRPr="00422FCB">
        <w:rPr>
          <w:b/>
          <w:bCs/>
          <w:lang w:val="fr-FR"/>
        </w:rPr>
        <w:t xml:space="preserve"> 1.5, 1.5.2.5, première phrase</w:t>
      </w:r>
    </w:p>
    <w:p w14:paraId="1F79B493" w14:textId="77777777" w:rsidR="00560489" w:rsidRPr="00422FCB" w:rsidRDefault="00560489" w:rsidP="00560489">
      <w:pPr>
        <w:pStyle w:val="SingleTxtG"/>
        <w:rPr>
          <w:lang w:val="fr-FR"/>
        </w:rPr>
      </w:pPr>
      <w:r w:rsidRPr="00422FCB">
        <w:rPr>
          <w:lang w:val="fr-FR"/>
        </w:rPr>
        <w:t>Sans objet en français.</w:t>
      </w:r>
    </w:p>
    <w:p w14:paraId="47B79759" w14:textId="6F5A6BF0" w:rsidR="00427193" w:rsidRPr="00422FCB" w:rsidRDefault="00427193" w:rsidP="00427193">
      <w:pPr>
        <w:pStyle w:val="SingleTxtG"/>
        <w:jc w:val="left"/>
        <w:rPr>
          <w:b/>
          <w:bCs/>
          <w:lang w:val="fr-FR"/>
        </w:rPr>
      </w:pPr>
      <w:r w:rsidRPr="00422FCB">
        <w:rPr>
          <w:lang w:val="fr-FR"/>
        </w:rPr>
        <w:tab/>
      </w:r>
      <w:r w:rsidRPr="00422FCB">
        <w:rPr>
          <w:b/>
          <w:bCs/>
          <w:lang w:val="fr-FR"/>
        </w:rPr>
        <w:t xml:space="preserve">Chapitre 2.5, 2.5.3.2.4, </w:t>
      </w:r>
      <w:r w:rsidR="00422FCB" w:rsidRPr="00422FCB">
        <w:rPr>
          <w:b/>
          <w:bCs/>
          <w:lang w:val="fr-FR"/>
        </w:rPr>
        <w:t>rubrique pou</w:t>
      </w:r>
      <w:r w:rsidRPr="00422FCB">
        <w:rPr>
          <w:b/>
          <w:bCs/>
          <w:lang w:val="fr-FR"/>
        </w:rPr>
        <w:t>r</w:t>
      </w:r>
      <w:r w:rsidR="00422FCB">
        <w:rPr>
          <w:b/>
          <w:bCs/>
          <w:lang w:val="fr-FR"/>
        </w:rPr>
        <w:t xml:space="preserve"> « </w:t>
      </w:r>
      <w:r w:rsidR="00422FCB" w:rsidRPr="00422FCB">
        <w:rPr>
          <w:b/>
          <w:bCs/>
          <w:lang w:val="fr-FR"/>
        </w:rPr>
        <w:t>PEROXYDICARBONATE D'ISOPROPYLE ET DE sec-BUTYLE+PEROXYDICARBONATE DE BIS (sec-BUTYLE)+ PEROXYDICARBONATE DE DIISOPROPYLE</w:t>
      </w:r>
      <w:r w:rsidR="003867FE">
        <w:rPr>
          <w:b/>
          <w:bCs/>
          <w:lang w:val="fr-FR"/>
        </w:rPr>
        <w:t> »</w:t>
      </w:r>
      <w:r w:rsidRPr="00422FCB">
        <w:rPr>
          <w:b/>
          <w:bCs/>
          <w:lang w:val="fr-FR"/>
        </w:rPr>
        <w:t>, col</w:t>
      </w:r>
      <w:r w:rsidR="003867FE">
        <w:rPr>
          <w:b/>
          <w:bCs/>
          <w:lang w:val="fr-FR"/>
        </w:rPr>
        <w:t>onne</w:t>
      </w:r>
      <w:r w:rsidRPr="00422FCB">
        <w:rPr>
          <w:b/>
          <w:bCs/>
          <w:lang w:val="fr-FR"/>
        </w:rPr>
        <w:t xml:space="preserve"> </w:t>
      </w:r>
      <w:r w:rsidR="003867FE">
        <w:rPr>
          <w:b/>
          <w:bCs/>
          <w:lang w:val="fr-FR"/>
        </w:rPr>
        <w:t>« </w:t>
      </w:r>
      <w:r w:rsidRPr="00422FCB">
        <w:rPr>
          <w:b/>
          <w:bCs/>
          <w:lang w:val="fr-FR"/>
        </w:rPr>
        <w:t>Concentration</w:t>
      </w:r>
      <w:r w:rsidR="003867FE">
        <w:rPr>
          <w:b/>
          <w:bCs/>
          <w:lang w:val="fr-FR"/>
        </w:rPr>
        <w:t> »</w:t>
      </w:r>
    </w:p>
    <w:p w14:paraId="69361150" w14:textId="4DEDDF52" w:rsidR="00427193" w:rsidRPr="00422FCB" w:rsidRDefault="009478FD" w:rsidP="00427193">
      <w:pPr>
        <w:pStyle w:val="SingleTxtG"/>
        <w:rPr>
          <w:lang w:val="fr-FR"/>
        </w:rPr>
      </w:pPr>
      <w:r>
        <w:rPr>
          <w:i/>
          <w:iCs/>
          <w:lang w:val="fr-FR"/>
        </w:rPr>
        <w:t>Au lieu de</w:t>
      </w:r>
      <w:r w:rsidR="00427193" w:rsidRPr="00422FCB">
        <w:rPr>
          <w:lang w:val="fr-FR"/>
        </w:rPr>
        <w:t xml:space="preserve"> ≤ 32 + ≤ 15 – 18 ≤ 12 -15 </w:t>
      </w:r>
      <w:r w:rsidR="003867FE">
        <w:rPr>
          <w:i/>
          <w:iCs/>
          <w:lang w:val="fr-FR"/>
        </w:rPr>
        <w:t>lire</w:t>
      </w:r>
      <w:r w:rsidR="00427193" w:rsidRPr="00422FCB">
        <w:rPr>
          <w:lang w:val="fr-FR"/>
        </w:rPr>
        <w:t xml:space="preserve"> ≤ 32 + ≤ 15 – 18 + ≤ 12 -15</w:t>
      </w:r>
    </w:p>
    <w:p w14:paraId="5A431E0D" w14:textId="187A16ED" w:rsidR="00427193" w:rsidRPr="00422FCB" w:rsidRDefault="00427193" w:rsidP="00427193">
      <w:pPr>
        <w:pStyle w:val="SingleTxtG"/>
        <w:rPr>
          <w:b/>
          <w:bCs/>
          <w:lang w:val="fr-FR"/>
        </w:rPr>
      </w:pPr>
      <w:r w:rsidRPr="00422FCB">
        <w:rPr>
          <w:b/>
          <w:bCs/>
          <w:lang w:val="fr-FR"/>
        </w:rPr>
        <w:t>Chapitre 6.2, 6.2.1.6.1 (d), nota 3</w:t>
      </w:r>
    </w:p>
    <w:p w14:paraId="243699BC" w14:textId="77777777" w:rsidR="008A6C65" w:rsidRPr="00A63498" w:rsidRDefault="008A6C65" w:rsidP="008A6C65">
      <w:pPr>
        <w:pStyle w:val="SingleTxtG"/>
        <w:rPr>
          <w:lang w:val="fr-FR"/>
        </w:rPr>
      </w:pPr>
      <w:r w:rsidRPr="00A63498">
        <w:rPr>
          <w:i/>
          <w:iCs/>
          <w:lang w:val="fr-FR"/>
        </w:rPr>
        <w:t xml:space="preserve">Substituer </w:t>
      </w:r>
      <w:r w:rsidRPr="00A63498">
        <w:rPr>
          <w:lang w:val="fr-FR"/>
        </w:rPr>
        <w:t>au texte existant :</w:t>
      </w:r>
    </w:p>
    <w:p w14:paraId="168D59B8" w14:textId="7D01563E" w:rsidR="00427193" w:rsidRDefault="0044350D" w:rsidP="00560489">
      <w:pPr>
        <w:pStyle w:val="SingleTxtG"/>
        <w:rPr>
          <w:lang w:val="fr-FR"/>
        </w:rPr>
      </w:pPr>
      <w:r w:rsidRPr="0044350D">
        <w:rPr>
          <w:lang w:val="fr-FR"/>
        </w:rPr>
        <w:t>3</w:t>
      </w:r>
      <w:r>
        <w:rPr>
          <w:lang w:val="fr-FR"/>
        </w:rPr>
        <w:t> :</w:t>
      </w:r>
      <w:r>
        <w:rPr>
          <w:lang w:val="fr-FR"/>
        </w:rPr>
        <w:tab/>
      </w:r>
      <w:r w:rsidRPr="0044350D">
        <w:rPr>
          <w:lang w:val="fr-FR"/>
        </w:rPr>
        <w:t>Le contrôle de l’état intérieur du 6.2.1.6.1 b) et l’épreuve de pression hydraulique du 6.2.1.6.1 d) peuvent être remplacés par un contrôle par ultrasons, effectué conformément à la norme ISO 18119:2018 pour les enveloppes de bouteilles sans soudure en acier et en alliages d’aluminium. Pendant une période transitoire allant jusqu’au 31 décembre 2024, la norme ISO 10461:2005 + A1:2006 peut être utilisée pour les enveloppes de bouteilles en alliage d’aluminium sans soudure et la norme ISO 6406:2005 peut être utilisée pour les enveloppes de bouteilles en acier sans soudure, à cette même fin.</w:t>
      </w:r>
    </w:p>
    <w:p w14:paraId="0848DC1E" w14:textId="431350E9" w:rsidR="00560489" w:rsidRPr="001362B0" w:rsidRDefault="001362B0" w:rsidP="001362B0">
      <w:pPr>
        <w:spacing w:before="240"/>
        <w:jc w:val="center"/>
        <w:rPr>
          <w:u w:val="single"/>
          <w:lang w:val="fr-FR"/>
        </w:rPr>
      </w:pPr>
      <w:r>
        <w:rPr>
          <w:u w:val="single"/>
          <w:lang w:val="fr-FR"/>
        </w:rPr>
        <w:tab/>
      </w:r>
      <w:r>
        <w:rPr>
          <w:u w:val="single"/>
          <w:lang w:val="fr-FR"/>
        </w:rPr>
        <w:tab/>
      </w:r>
      <w:r>
        <w:rPr>
          <w:u w:val="single"/>
          <w:lang w:val="fr-FR"/>
        </w:rPr>
        <w:tab/>
      </w:r>
    </w:p>
    <w:p w14:paraId="524CFD6A" w14:textId="77777777" w:rsidR="006F2F86" w:rsidRPr="00B16F7C" w:rsidRDefault="006F2F86" w:rsidP="00B16F7C">
      <w:pPr>
        <w:pStyle w:val="SingleTxtG"/>
      </w:pPr>
    </w:p>
    <w:p w14:paraId="0A86CEE0" w14:textId="77777777" w:rsidR="00252C7B" w:rsidRPr="00252C7B" w:rsidRDefault="00252C7B" w:rsidP="00252C7B"/>
    <w:sectPr w:rsidR="00252C7B" w:rsidRPr="00252C7B" w:rsidSect="00AE3E9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9F239" w14:textId="77777777" w:rsidR="00DB32C0" w:rsidRDefault="00DB32C0" w:rsidP="00F95C08">
      <w:pPr>
        <w:spacing w:line="240" w:lineRule="auto"/>
      </w:pPr>
    </w:p>
  </w:endnote>
  <w:endnote w:type="continuationSeparator" w:id="0">
    <w:p w14:paraId="6BD09CC8" w14:textId="77777777" w:rsidR="00DB32C0" w:rsidRPr="00AC3823" w:rsidRDefault="00DB32C0" w:rsidP="00AC3823">
      <w:pPr>
        <w:pStyle w:val="Footer"/>
      </w:pPr>
    </w:p>
  </w:endnote>
  <w:endnote w:type="continuationNotice" w:id="1">
    <w:p w14:paraId="67628B52" w14:textId="77777777" w:rsidR="00DB32C0" w:rsidRDefault="00DB32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FE49" w14:textId="77777777" w:rsidR="00AE3E90" w:rsidRPr="00AE3E90" w:rsidRDefault="00AE3E90" w:rsidP="00AE3E90">
    <w:pPr>
      <w:pStyle w:val="Footer"/>
      <w:tabs>
        <w:tab w:val="right" w:pos="9638"/>
      </w:tabs>
      <w:rPr>
        <w:sz w:val="18"/>
      </w:rPr>
    </w:pPr>
    <w:r w:rsidRPr="00AE3E90">
      <w:rPr>
        <w:b/>
        <w:sz w:val="18"/>
      </w:rPr>
      <w:fldChar w:fldCharType="begin"/>
    </w:r>
    <w:r w:rsidRPr="00AE3E90">
      <w:rPr>
        <w:b/>
        <w:sz w:val="18"/>
      </w:rPr>
      <w:instrText xml:space="preserve"> PAGE  \* MERGEFORMAT </w:instrText>
    </w:r>
    <w:r w:rsidRPr="00AE3E90">
      <w:rPr>
        <w:b/>
        <w:sz w:val="18"/>
      </w:rPr>
      <w:fldChar w:fldCharType="separate"/>
    </w:r>
    <w:r w:rsidRPr="00AE3E90">
      <w:rPr>
        <w:b/>
        <w:noProof/>
        <w:sz w:val="18"/>
      </w:rPr>
      <w:t>2</w:t>
    </w:r>
    <w:r w:rsidRPr="00AE3E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2AB9" w14:textId="77777777" w:rsidR="00AE3E90" w:rsidRPr="00AE3E90" w:rsidRDefault="00AE3E90" w:rsidP="00AE3E90">
    <w:pPr>
      <w:pStyle w:val="Footer"/>
      <w:tabs>
        <w:tab w:val="right" w:pos="9638"/>
      </w:tabs>
      <w:rPr>
        <w:b/>
        <w:sz w:val="18"/>
      </w:rPr>
    </w:pPr>
    <w:r>
      <w:tab/>
    </w:r>
    <w:r w:rsidRPr="00AE3E90">
      <w:rPr>
        <w:b/>
        <w:sz w:val="18"/>
      </w:rPr>
      <w:fldChar w:fldCharType="begin"/>
    </w:r>
    <w:r w:rsidRPr="00AE3E90">
      <w:rPr>
        <w:b/>
        <w:sz w:val="18"/>
      </w:rPr>
      <w:instrText xml:space="preserve"> PAGE  \* MERGEFORMAT </w:instrText>
    </w:r>
    <w:r w:rsidRPr="00AE3E90">
      <w:rPr>
        <w:b/>
        <w:sz w:val="18"/>
      </w:rPr>
      <w:fldChar w:fldCharType="separate"/>
    </w:r>
    <w:r w:rsidRPr="00AE3E90">
      <w:rPr>
        <w:b/>
        <w:noProof/>
        <w:sz w:val="18"/>
      </w:rPr>
      <w:t>3</w:t>
    </w:r>
    <w:r w:rsidRPr="00AE3E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49A3" w14:textId="77777777" w:rsidR="0068456F" w:rsidRPr="00AE3E90" w:rsidRDefault="0068456F">
    <w:pPr>
      <w:pStyle w:val="Footer"/>
      <w:rPr>
        <w:sz w:val="20"/>
      </w:rPr>
    </w:pPr>
    <w:r>
      <w:rPr>
        <w:noProof/>
        <w:lang w:eastAsia="fr-CH"/>
      </w:rPr>
      <w:drawing>
        <wp:anchor distT="0" distB="0" distL="114300" distR="114300" simplePos="0" relativeHeight="251658240" behindDoc="0" locked="0" layoutInCell="1" allowOverlap="0" wp14:anchorId="638D5332" wp14:editId="3FBD84B3">
          <wp:simplePos x="0" y="0"/>
          <wp:positionH relativeFrom="margin">
            <wp:posOffset>5003800</wp:posOffset>
          </wp:positionH>
          <wp:positionV relativeFrom="margin">
            <wp:posOffset>9323705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44E8" w14:textId="77777777" w:rsidR="00DB32C0" w:rsidRPr="00AC3823" w:rsidRDefault="00DB32C0" w:rsidP="00AC3823">
      <w:pPr>
        <w:pStyle w:val="Footer"/>
        <w:tabs>
          <w:tab w:val="right" w:pos="2155"/>
        </w:tabs>
        <w:spacing w:after="80" w:line="240" w:lineRule="atLeast"/>
        <w:ind w:left="680"/>
        <w:rPr>
          <w:u w:val="single"/>
        </w:rPr>
      </w:pPr>
      <w:r>
        <w:rPr>
          <w:u w:val="single"/>
        </w:rPr>
        <w:tab/>
      </w:r>
    </w:p>
  </w:footnote>
  <w:footnote w:type="continuationSeparator" w:id="0">
    <w:p w14:paraId="46EA94CB" w14:textId="77777777" w:rsidR="00DB32C0" w:rsidRPr="00AC3823" w:rsidRDefault="00DB32C0" w:rsidP="00AC3823">
      <w:pPr>
        <w:pStyle w:val="Footer"/>
        <w:tabs>
          <w:tab w:val="right" w:pos="2155"/>
        </w:tabs>
        <w:spacing w:after="80" w:line="240" w:lineRule="atLeast"/>
        <w:ind w:left="680"/>
        <w:rPr>
          <w:u w:val="single"/>
        </w:rPr>
      </w:pPr>
      <w:r>
        <w:rPr>
          <w:u w:val="single"/>
        </w:rPr>
        <w:tab/>
      </w:r>
    </w:p>
  </w:footnote>
  <w:footnote w:type="continuationNotice" w:id="1">
    <w:p w14:paraId="2FEA6CE6" w14:textId="77777777" w:rsidR="00DB32C0" w:rsidRPr="00AC3823" w:rsidRDefault="00DB32C0">
      <w:pPr>
        <w:spacing w:line="240" w:lineRule="auto"/>
        <w:rPr>
          <w:sz w:val="2"/>
          <w:szCs w:val="2"/>
        </w:rPr>
      </w:pPr>
    </w:p>
  </w:footnote>
  <w:footnote w:id="2">
    <w:p w14:paraId="3D3AF19E" w14:textId="77777777" w:rsidR="000D30EF" w:rsidRPr="00303BA7" w:rsidRDefault="000D30EF" w:rsidP="000D30EF">
      <w:pPr>
        <w:pStyle w:val="FootnoteText"/>
      </w:pPr>
      <w:r>
        <w:rPr>
          <w:rStyle w:val="FootnoteReference"/>
        </w:rPr>
        <w:tab/>
      </w:r>
      <w:r w:rsidRPr="00303BA7">
        <w:rPr>
          <w:rStyle w:val="FootnoteReference"/>
          <w:sz w:val="20"/>
          <w:vertAlign w:val="baseline"/>
        </w:rPr>
        <w:t>*</w:t>
      </w:r>
      <w:r>
        <w:rPr>
          <w:rStyle w:val="FootnoteReference"/>
          <w:sz w:val="20"/>
          <w:vertAlign w:val="baseline"/>
        </w:rPr>
        <w:tab/>
      </w:r>
      <w:r>
        <w:rPr>
          <w:lang w:val="fr-FR"/>
        </w:rPr>
        <w:t>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0711" w14:textId="0EBCC0B7" w:rsidR="00AE3E90" w:rsidRPr="00AE3E90" w:rsidRDefault="00B4788E">
    <w:pPr>
      <w:pStyle w:val="Header"/>
    </w:pPr>
    <w:r>
      <w:fldChar w:fldCharType="begin"/>
    </w:r>
    <w:r>
      <w:instrText xml:space="preserve"> TITLE  \* MERGEFORMAT </w:instrText>
    </w:r>
    <w:r>
      <w:fldChar w:fldCharType="separate"/>
    </w:r>
    <w:r w:rsidR="00D13A6F">
      <w:t>ST/SG/AC.10/C.3/2021/29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2DFB" w14:textId="1B3FF56F" w:rsidR="00AE3E90" w:rsidRPr="00AE3E90" w:rsidRDefault="00B4788E" w:rsidP="00AE3E90">
    <w:pPr>
      <w:pStyle w:val="Header"/>
      <w:jc w:val="right"/>
    </w:pPr>
    <w:r>
      <w:fldChar w:fldCharType="begin"/>
    </w:r>
    <w:r>
      <w:instrText xml:space="preserve"> TITLE  \* MERGEFORMAT </w:instrText>
    </w:r>
    <w:r>
      <w:fldChar w:fldCharType="separate"/>
    </w:r>
    <w:r w:rsidR="00D13A6F">
      <w:t>ST/SG/AC.10/C.3/2021/29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0"/>
    <w:rsid w:val="00017F94"/>
    <w:rsid w:val="00023842"/>
    <w:rsid w:val="000305D3"/>
    <w:rsid w:val="000334F9"/>
    <w:rsid w:val="0007796D"/>
    <w:rsid w:val="000B7790"/>
    <w:rsid w:val="000D30EF"/>
    <w:rsid w:val="00111F2F"/>
    <w:rsid w:val="00132EA9"/>
    <w:rsid w:val="001362B0"/>
    <w:rsid w:val="0014365E"/>
    <w:rsid w:val="00167865"/>
    <w:rsid w:val="00173FE8"/>
    <w:rsid w:val="00176178"/>
    <w:rsid w:val="0019109C"/>
    <w:rsid w:val="001963C3"/>
    <w:rsid w:val="001F525A"/>
    <w:rsid w:val="0021070F"/>
    <w:rsid w:val="00223272"/>
    <w:rsid w:val="002265E3"/>
    <w:rsid w:val="002277CD"/>
    <w:rsid w:val="0024779E"/>
    <w:rsid w:val="00252C7B"/>
    <w:rsid w:val="00283190"/>
    <w:rsid w:val="002832AC"/>
    <w:rsid w:val="002A3013"/>
    <w:rsid w:val="002D7C93"/>
    <w:rsid w:val="002F742A"/>
    <w:rsid w:val="00347168"/>
    <w:rsid w:val="003867FE"/>
    <w:rsid w:val="003B107D"/>
    <w:rsid w:val="004049E1"/>
    <w:rsid w:val="00422FCB"/>
    <w:rsid w:val="00427193"/>
    <w:rsid w:val="00441C3B"/>
    <w:rsid w:val="0044350D"/>
    <w:rsid w:val="00446FE5"/>
    <w:rsid w:val="00452396"/>
    <w:rsid w:val="00497DE7"/>
    <w:rsid w:val="004A442C"/>
    <w:rsid w:val="004A7CCA"/>
    <w:rsid w:val="004E468C"/>
    <w:rsid w:val="00503921"/>
    <w:rsid w:val="00534DEA"/>
    <w:rsid w:val="0054706F"/>
    <w:rsid w:val="005505B7"/>
    <w:rsid w:val="00557A2A"/>
    <w:rsid w:val="00560489"/>
    <w:rsid w:val="00573BE5"/>
    <w:rsid w:val="00584DC4"/>
    <w:rsid w:val="00586ED3"/>
    <w:rsid w:val="00596AA9"/>
    <w:rsid w:val="005A2BE7"/>
    <w:rsid w:val="005F0D3C"/>
    <w:rsid w:val="00634E8B"/>
    <w:rsid w:val="00637B33"/>
    <w:rsid w:val="0068456F"/>
    <w:rsid w:val="006D6F76"/>
    <w:rsid w:val="006E592F"/>
    <w:rsid w:val="006F2F86"/>
    <w:rsid w:val="00705AAD"/>
    <w:rsid w:val="0071601D"/>
    <w:rsid w:val="0074430C"/>
    <w:rsid w:val="00746C90"/>
    <w:rsid w:val="007513FE"/>
    <w:rsid w:val="00755D57"/>
    <w:rsid w:val="00782600"/>
    <w:rsid w:val="00787442"/>
    <w:rsid w:val="00793B13"/>
    <w:rsid w:val="007A62E6"/>
    <w:rsid w:val="007C1706"/>
    <w:rsid w:val="007E6814"/>
    <w:rsid w:val="0080684C"/>
    <w:rsid w:val="008450DA"/>
    <w:rsid w:val="00871C75"/>
    <w:rsid w:val="008776DC"/>
    <w:rsid w:val="008822B2"/>
    <w:rsid w:val="00885385"/>
    <w:rsid w:val="00896B98"/>
    <w:rsid w:val="008A6C65"/>
    <w:rsid w:val="008B40CD"/>
    <w:rsid w:val="008D1004"/>
    <w:rsid w:val="008E5D65"/>
    <w:rsid w:val="00922E6C"/>
    <w:rsid w:val="009364FD"/>
    <w:rsid w:val="009478FD"/>
    <w:rsid w:val="009705C8"/>
    <w:rsid w:val="009744DF"/>
    <w:rsid w:val="009C1CF4"/>
    <w:rsid w:val="009D6427"/>
    <w:rsid w:val="009F6652"/>
    <w:rsid w:val="00A30353"/>
    <w:rsid w:val="00A46B56"/>
    <w:rsid w:val="00A50591"/>
    <w:rsid w:val="00A637EC"/>
    <w:rsid w:val="00A718DF"/>
    <w:rsid w:val="00AC2C8D"/>
    <w:rsid w:val="00AC3823"/>
    <w:rsid w:val="00AE323C"/>
    <w:rsid w:val="00AE3E90"/>
    <w:rsid w:val="00B00181"/>
    <w:rsid w:val="00B00B0D"/>
    <w:rsid w:val="00B16F7C"/>
    <w:rsid w:val="00B35422"/>
    <w:rsid w:val="00B4788E"/>
    <w:rsid w:val="00B765F7"/>
    <w:rsid w:val="00BA0CA9"/>
    <w:rsid w:val="00BB1F42"/>
    <w:rsid w:val="00BB6E1A"/>
    <w:rsid w:val="00BE2858"/>
    <w:rsid w:val="00BF1205"/>
    <w:rsid w:val="00BF3B58"/>
    <w:rsid w:val="00C02897"/>
    <w:rsid w:val="00C5734C"/>
    <w:rsid w:val="00C96CEE"/>
    <w:rsid w:val="00D07E52"/>
    <w:rsid w:val="00D13A6F"/>
    <w:rsid w:val="00D210DA"/>
    <w:rsid w:val="00D3439C"/>
    <w:rsid w:val="00D3734A"/>
    <w:rsid w:val="00D457FC"/>
    <w:rsid w:val="00D5228C"/>
    <w:rsid w:val="00D6758E"/>
    <w:rsid w:val="00DB1831"/>
    <w:rsid w:val="00DB32C0"/>
    <w:rsid w:val="00DB75FA"/>
    <w:rsid w:val="00DD3BFD"/>
    <w:rsid w:val="00DF6678"/>
    <w:rsid w:val="00E243FA"/>
    <w:rsid w:val="00E303C8"/>
    <w:rsid w:val="00ED2730"/>
    <w:rsid w:val="00ED29D3"/>
    <w:rsid w:val="00EF2E22"/>
    <w:rsid w:val="00EF448E"/>
    <w:rsid w:val="00F01417"/>
    <w:rsid w:val="00F01738"/>
    <w:rsid w:val="00F06698"/>
    <w:rsid w:val="00F12333"/>
    <w:rsid w:val="00F14334"/>
    <w:rsid w:val="00F14B1C"/>
    <w:rsid w:val="00F243B9"/>
    <w:rsid w:val="00F246F1"/>
    <w:rsid w:val="00F64F71"/>
    <w:rsid w:val="00F660DF"/>
    <w:rsid w:val="00F730C8"/>
    <w:rsid w:val="00F73666"/>
    <w:rsid w:val="00F9440D"/>
    <w:rsid w:val="00F95C08"/>
    <w:rsid w:val="00F97B0C"/>
    <w:rsid w:val="00F97B63"/>
    <w:rsid w:val="00FA31A8"/>
    <w:rsid w:val="00FC0878"/>
    <w:rsid w:val="00FE1701"/>
    <w:rsid w:val="00FF65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89134"/>
  <w15:docId w15:val="{41310CC5-A277-453F-A2AF-4597ADE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customStyle="1" w:styleId="Default">
    <w:name w:val="Default"/>
    <w:rsid w:val="0074430C"/>
    <w:pPr>
      <w:autoSpaceDE w:val="0"/>
      <w:autoSpaceDN w:val="0"/>
      <w:adjustRightInd w:val="0"/>
      <w:spacing w:after="0" w:line="240" w:lineRule="auto"/>
    </w:pPr>
    <w:rPr>
      <w:color w:val="000000"/>
      <w:sz w:val="24"/>
      <w:szCs w:val="24"/>
      <w:lang w:val="en-GB"/>
    </w:rPr>
  </w:style>
  <w:style w:type="character" w:customStyle="1" w:styleId="SingleTxtGChar">
    <w:name w:val="_ Single Txt_G Char"/>
    <w:link w:val="SingleTxtG"/>
    <w:qFormat/>
    <w:rsid w:val="0074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2.xml><?xml version="1.0" encoding="utf-8"?>
<ds:datastoreItem xmlns:ds="http://schemas.openxmlformats.org/officeDocument/2006/customXml" ds:itemID="{D53609B0-DA3B-417B-BECB-2DFA0226CBB6}">
  <ds:schemaRefs>
    <ds:schemaRef ds:uri="http://schemas.microsoft.com/office/2006/documentManagement/types"/>
    <ds:schemaRef ds:uri="http://purl.org/dc/dcmitype/"/>
    <ds:schemaRef ds:uri="4b4a1c0d-4a69-4996-a84a-fc699b9f49d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cccb6d4-dbe5-46d2-b4d3-5733603d8cc6"/>
    <ds:schemaRef ds:uri="http://www.w3.org/XML/1998/namespace"/>
  </ds:schemaRefs>
</ds:datastoreItem>
</file>

<file path=customXml/itemProps3.xml><?xml version="1.0" encoding="utf-8"?>
<ds:datastoreItem xmlns:ds="http://schemas.openxmlformats.org/officeDocument/2006/customXml" ds:itemID="{5E02E2A6-DCC3-408E-8379-028D98CD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9FC9B-BBA5-4317-87E9-886EA18D8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SGAC10_F.dotm</Template>
  <TotalTime>14</TotalTime>
  <Pages>2</Pages>
  <Words>577</Words>
  <Characters>3232</Characters>
  <Application>Microsoft Office Word</Application>
  <DocSecurity>0</DocSecurity>
  <Lines>79</Lines>
  <Paragraphs>49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ST/SG/AC.10/C.3/2021/29</dc:title>
  <dc:subject/>
  <dc:creator>Editorial</dc:creator>
  <cp:keywords/>
  <cp:lastModifiedBy>Laurence Berthet</cp:lastModifiedBy>
  <cp:revision>29</cp:revision>
  <cp:lastPrinted>2021-05-18T08:09:00Z</cp:lastPrinted>
  <dcterms:created xsi:type="dcterms:W3CDTF">2021-05-17T12:58:00Z</dcterms:created>
  <dcterms:modified xsi:type="dcterms:W3CDTF">2021-05-18T08:20:00Z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