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DB58B5" w14:paraId="2DCA21D9" w14:textId="77777777" w:rsidTr="00F01738">
        <w:trPr>
          <w:trHeight w:hRule="exact" w:val="851"/>
        </w:trPr>
        <w:tc>
          <w:tcPr>
            <w:tcW w:w="1276" w:type="dxa"/>
            <w:tcBorders>
              <w:bottom w:val="single" w:sz="4" w:space="0" w:color="auto"/>
            </w:tcBorders>
          </w:tcPr>
          <w:p w14:paraId="400FD4A7" w14:textId="77777777" w:rsidR="00132EA9" w:rsidRPr="00DB58B5" w:rsidRDefault="00132EA9" w:rsidP="00E15ACF"/>
        </w:tc>
        <w:tc>
          <w:tcPr>
            <w:tcW w:w="2268" w:type="dxa"/>
            <w:tcBorders>
              <w:bottom w:val="single" w:sz="4" w:space="0" w:color="auto"/>
            </w:tcBorders>
            <w:vAlign w:val="bottom"/>
          </w:tcPr>
          <w:p w14:paraId="3A5DDBAB" w14:textId="77777777" w:rsidR="00132EA9" w:rsidRPr="00DB58B5" w:rsidRDefault="00132EA9" w:rsidP="00F017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3DC0F029" w14:textId="1121CCB9" w:rsidR="00132EA9" w:rsidRPr="00DB58B5" w:rsidRDefault="00E15ACF" w:rsidP="00E15ACF">
            <w:pPr>
              <w:jc w:val="right"/>
            </w:pPr>
            <w:r w:rsidRPr="00E15ACF">
              <w:rPr>
                <w:sz w:val="40"/>
              </w:rPr>
              <w:t>ST</w:t>
            </w:r>
            <w:r>
              <w:t>/SG/AC.10/C.3/2021/24</w:t>
            </w:r>
          </w:p>
        </w:tc>
      </w:tr>
      <w:tr w:rsidR="00132EA9" w:rsidRPr="00DB58B5" w14:paraId="3CA166B7" w14:textId="77777777" w:rsidTr="00F01738">
        <w:trPr>
          <w:trHeight w:hRule="exact" w:val="2835"/>
        </w:trPr>
        <w:tc>
          <w:tcPr>
            <w:tcW w:w="1276" w:type="dxa"/>
            <w:tcBorders>
              <w:top w:val="single" w:sz="4" w:space="0" w:color="auto"/>
              <w:bottom w:val="single" w:sz="12" w:space="0" w:color="auto"/>
            </w:tcBorders>
          </w:tcPr>
          <w:p w14:paraId="3E814A37" w14:textId="77777777" w:rsidR="00132EA9" w:rsidRPr="00DB58B5" w:rsidRDefault="00132EA9" w:rsidP="00F01738">
            <w:pPr>
              <w:spacing w:before="120"/>
              <w:jc w:val="center"/>
            </w:pPr>
            <w:r>
              <w:rPr>
                <w:noProof/>
                <w:lang w:eastAsia="fr-CH"/>
              </w:rPr>
              <w:drawing>
                <wp:inline distT="0" distB="0" distL="0" distR="0" wp14:anchorId="51FD0A40" wp14:editId="737F2153">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108E54B" w14:textId="77777777" w:rsidR="00132EA9" w:rsidRPr="00740562" w:rsidRDefault="00132EA9" w:rsidP="00F01738">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14:paraId="5941E725" w14:textId="77777777" w:rsidR="00132EA9" w:rsidRDefault="00E15ACF" w:rsidP="00F01738">
            <w:pPr>
              <w:spacing w:before="240"/>
            </w:pPr>
            <w:r>
              <w:t xml:space="preserve">Distr. </w:t>
            </w:r>
            <w:proofErr w:type="gramStart"/>
            <w:r>
              <w:t>générale</w:t>
            </w:r>
            <w:proofErr w:type="gramEnd"/>
          </w:p>
          <w:p w14:paraId="225DE3B8" w14:textId="79580543" w:rsidR="00E15ACF" w:rsidRDefault="00E15ACF" w:rsidP="00E15ACF">
            <w:pPr>
              <w:spacing w:line="240" w:lineRule="exact"/>
            </w:pPr>
            <w:r>
              <w:t>19 avril 2021</w:t>
            </w:r>
          </w:p>
          <w:p w14:paraId="7DD506B2" w14:textId="77777777" w:rsidR="00E15ACF" w:rsidRDefault="00E15ACF" w:rsidP="00E15ACF">
            <w:pPr>
              <w:spacing w:line="240" w:lineRule="exact"/>
            </w:pPr>
            <w:r>
              <w:t>Français</w:t>
            </w:r>
          </w:p>
          <w:p w14:paraId="4D512265" w14:textId="574E1D55" w:rsidR="00E15ACF" w:rsidRPr="00DB58B5" w:rsidRDefault="00E15ACF" w:rsidP="00E15ACF">
            <w:pPr>
              <w:spacing w:line="240" w:lineRule="exact"/>
            </w:pPr>
            <w:r>
              <w:t>Original : anglais</w:t>
            </w:r>
          </w:p>
        </w:tc>
      </w:tr>
    </w:tbl>
    <w:p w14:paraId="277C01E4" w14:textId="573FD537" w:rsidR="00E15ACF" w:rsidRPr="00CA0680" w:rsidRDefault="00E15ACF" w:rsidP="000305D3">
      <w:pPr>
        <w:spacing w:before="120"/>
        <w:rPr>
          <w:b/>
          <w:sz w:val="24"/>
          <w:szCs w:val="24"/>
        </w:rPr>
      </w:pPr>
      <w:r w:rsidRPr="00CA0680">
        <w:rPr>
          <w:b/>
          <w:sz w:val="24"/>
          <w:szCs w:val="24"/>
        </w:rPr>
        <w:t>Comité d’experts du transport</w:t>
      </w:r>
      <w:r>
        <w:rPr>
          <w:b/>
          <w:sz w:val="24"/>
          <w:szCs w:val="24"/>
        </w:rPr>
        <w:t xml:space="preserve"> </w:t>
      </w:r>
      <w:r w:rsidRPr="00CA0680">
        <w:rPr>
          <w:b/>
          <w:sz w:val="24"/>
          <w:szCs w:val="24"/>
        </w:rPr>
        <w:t>des marchandises dangereuses</w:t>
      </w:r>
      <w:r>
        <w:rPr>
          <w:b/>
          <w:sz w:val="24"/>
          <w:szCs w:val="24"/>
        </w:rPr>
        <w:t xml:space="preserve"> </w:t>
      </w:r>
      <w:r>
        <w:rPr>
          <w:b/>
          <w:sz w:val="24"/>
          <w:szCs w:val="24"/>
        </w:rPr>
        <w:br/>
      </w:r>
      <w:r w:rsidRPr="00CA0680">
        <w:rPr>
          <w:b/>
          <w:sz w:val="24"/>
          <w:szCs w:val="24"/>
        </w:rPr>
        <w:t>et</w:t>
      </w:r>
      <w:r>
        <w:rPr>
          <w:b/>
          <w:sz w:val="24"/>
          <w:szCs w:val="24"/>
        </w:rPr>
        <w:t xml:space="preserve"> </w:t>
      </w:r>
      <w:r w:rsidRPr="00CA0680">
        <w:rPr>
          <w:b/>
          <w:sz w:val="24"/>
          <w:szCs w:val="24"/>
        </w:rPr>
        <w:t xml:space="preserve">du </w:t>
      </w:r>
      <w:r>
        <w:rPr>
          <w:b/>
          <w:sz w:val="24"/>
          <w:szCs w:val="24"/>
        </w:rPr>
        <w:t>S</w:t>
      </w:r>
      <w:r w:rsidRPr="00CA0680">
        <w:rPr>
          <w:b/>
          <w:sz w:val="24"/>
          <w:szCs w:val="24"/>
        </w:rPr>
        <w:t>ystème général harmonisé</w:t>
      </w:r>
      <w:r>
        <w:rPr>
          <w:b/>
          <w:sz w:val="24"/>
          <w:szCs w:val="24"/>
        </w:rPr>
        <w:t xml:space="preserve"> </w:t>
      </w:r>
      <w:r w:rsidRPr="00CA0680">
        <w:rPr>
          <w:b/>
          <w:sz w:val="24"/>
          <w:szCs w:val="24"/>
        </w:rPr>
        <w:t>de classification</w:t>
      </w:r>
      <w:r>
        <w:rPr>
          <w:b/>
          <w:sz w:val="24"/>
          <w:szCs w:val="24"/>
        </w:rPr>
        <w:t xml:space="preserve"> </w:t>
      </w:r>
      <w:r>
        <w:rPr>
          <w:b/>
          <w:sz w:val="24"/>
          <w:szCs w:val="24"/>
        </w:rPr>
        <w:br/>
      </w:r>
      <w:proofErr w:type="gramStart"/>
      <w:r w:rsidRPr="00CA0680">
        <w:rPr>
          <w:b/>
          <w:sz w:val="24"/>
          <w:szCs w:val="24"/>
        </w:rPr>
        <w:t>et</w:t>
      </w:r>
      <w:proofErr w:type="gramEnd"/>
      <w:r w:rsidRPr="00CA0680">
        <w:rPr>
          <w:b/>
          <w:sz w:val="24"/>
          <w:szCs w:val="24"/>
        </w:rPr>
        <w:t xml:space="preserve"> d’étiquetage</w:t>
      </w:r>
      <w:r>
        <w:rPr>
          <w:b/>
          <w:sz w:val="24"/>
          <w:szCs w:val="24"/>
        </w:rPr>
        <w:t xml:space="preserve"> </w:t>
      </w:r>
      <w:r w:rsidRPr="00CA0680">
        <w:rPr>
          <w:b/>
          <w:sz w:val="24"/>
          <w:szCs w:val="24"/>
        </w:rPr>
        <w:t>des produits chimiques</w:t>
      </w:r>
    </w:p>
    <w:p w14:paraId="5B61481E" w14:textId="77777777" w:rsidR="00E15ACF" w:rsidRPr="00CA0680" w:rsidRDefault="00E15ACF" w:rsidP="000305D3">
      <w:pPr>
        <w:spacing w:before="120"/>
        <w:rPr>
          <w:b/>
        </w:rPr>
      </w:pPr>
      <w:r w:rsidRPr="00CA0680">
        <w:rPr>
          <w:b/>
        </w:rPr>
        <w:t>Sous</w:t>
      </w:r>
      <w:r>
        <w:rPr>
          <w:b/>
        </w:rPr>
        <w:t>-</w:t>
      </w:r>
      <w:r w:rsidRPr="00CA0680">
        <w:rPr>
          <w:b/>
        </w:rPr>
        <w:t>Comité d’experts du transport des marchandises dangereuses</w:t>
      </w:r>
    </w:p>
    <w:p w14:paraId="3E187AE5" w14:textId="65CC5A6C" w:rsidR="00E15ACF" w:rsidRDefault="00E15ACF" w:rsidP="000305D3">
      <w:pPr>
        <w:spacing w:before="120"/>
        <w:rPr>
          <w:b/>
        </w:rPr>
      </w:pPr>
      <w:r>
        <w:rPr>
          <w:b/>
        </w:rPr>
        <w:t xml:space="preserve">Cinquante-huitième </w:t>
      </w:r>
      <w:r w:rsidRPr="00CA0680">
        <w:rPr>
          <w:b/>
        </w:rPr>
        <w:t>session</w:t>
      </w:r>
    </w:p>
    <w:p w14:paraId="4C2F6E6B" w14:textId="40FF1D4C" w:rsidR="00E15ACF" w:rsidRDefault="00E15ACF" w:rsidP="000305D3">
      <w:r>
        <w:t>Genève, 28 juin-2 juillet 2021</w:t>
      </w:r>
    </w:p>
    <w:p w14:paraId="108C58D9" w14:textId="77777777" w:rsidR="00E15ACF" w:rsidRDefault="00E15ACF" w:rsidP="00E15ACF">
      <w:r>
        <w:t>Point 6 c) de l’ordre du jour provisoire</w:t>
      </w:r>
    </w:p>
    <w:p w14:paraId="37CD10E4" w14:textId="5D516A79" w:rsidR="00E15ACF" w:rsidRPr="00E15ACF" w:rsidRDefault="00E15ACF" w:rsidP="00E15ACF">
      <w:pPr>
        <w:rPr>
          <w:b/>
          <w:bCs/>
        </w:rPr>
      </w:pPr>
      <w:r w:rsidRPr="00E15ACF">
        <w:rPr>
          <w:b/>
          <w:bCs/>
          <w:lang w:val="fr-FR"/>
        </w:rPr>
        <w:t>Propositions diverses d’amendements au Règlement type pour</w:t>
      </w:r>
      <w:r>
        <w:rPr>
          <w:b/>
          <w:bCs/>
          <w:lang w:val="fr-FR"/>
        </w:rPr>
        <w:t xml:space="preserve"> </w:t>
      </w:r>
      <w:r w:rsidRPr="00E15ACF">
        <w:rPr>
          <w:b/>
          <w:bCs/>
          <w:lang w:val="fr-FR"/>
        </w:rPr>
        <w:t xml:space="preserve">le transport </w:t>
      </w:r>
      <w:r>
        <w:rPr>
          <w:b/>
          <w:bCs/>
          <w:lang w:val="fr-FR"/>
        </w:rPr>
        <w:br/>
      </w:r>
      <w:r w:rsidRPr="00E15ACF">
        <w:rPr>
          <w:b/>
          <w:bCs/>
          <w:lang w:val="fr-FR"/>
        </w:rPr>
        <w:t>des marchandises dangereuses : citernes mobiles</w:t>
      </w:r>
    </w:p>
    <w:p w14:paraId="510DBF16" w14:textId="0F060777" w:rsidR="00E15ACF" w:rsidRPr="00A37925" w:rsidRDefault="00E15ACF" w:rsidP="00E15ACF">
      <w:pPr>
        <w:pStyle w:val="HChG"/>
        <w:rPr>
          <w:lang w:val="fr-FR"/>
        </w:rPr>
      </w:pPr>
      <w:r>
        <w:rPr>
          <w:lang w:val="fr-FR"/>
        </w:rPr>
        <w:tab/>
      </w:r>
      <w:r>
        <w:rPr>
          <w:lang w:val="fr-FR"/>
        </w:rPr>
        <w:tab/>
        <w:t>Ajout</w:t>
      </w:r>
      <w:r w:rsidRPr="00055FAA">
        <w:rPr>
          <w:lang w:val="fr-FR"/>
        </w:rPr>
        <w:t xml:space="preserve"> d</w:t>
      </w:r>
      <w:r>
        <w:rPr>
          <w:lang w:val="fr-FR"/>
        </w:rPr>
        <w:t>’</w:t>
      </w:r>
      <w:r w:rsidRPr="00055FAA">
        <w:rPr>
          <w:lang w:val="fr-FR"/>
        </w:rPr>
        <w:t xml:space="preserve">une prescription tendant à prévoir, pour le réservoir des citernes mobiles en matière plastique renforcée de fibres </w:t>
      </w:r>
      <w:r w:rsidRPr="00E15ACF">
        <w:rPr>
          <w:spacing w:val="-1"/>
          <w:lang w:val="fr-FR"/>
        </w:rPr>
        <w:t>(chap. 6.9), un degré de sécurité équivalent à celui exigé pour</w:t>
      </w:r>
      <w:r w:rsidRPr="00055FAA">
        <w:rPr>
          <w:lang w:val="fr-FR"/>
        </w:rPr>
        <w:t xml:space="preserve"> le réservoir des citernes mobiles métalliques (chap</w:t>
      </w:r>
      <w:r>
        <w:rPr>
          <w:lang w:val="fr-FR"/>
        </w:rPr>
        <w:t>. </w:t>
      </w:r>
      <w:r w:rsidRPr="00055FAA">
        <w:rPr>
          <w:lang w:val="fr-FR"/>
        </w:rPr>
        <w:t>6.7)</w:t>
      </w:r>
    </w:p>
    <w:p w14:paraId="17689B0B" w14:textId="2103941A" w:rsidR="00E15ACF" w:rsidRPr="00A37925" w:rsidRDefault="00E15ACF" w:rsidP="00E15ACF">
      <w:pPr>
        <w:pStyle w:val="H1G"/>
        <w:rPr>
          <w:lang w:val="fr-FR"/>
        </w:rPr>
      </w:pPr>
      <w:r w:rsidRPr="00FF1B9B">
        <w:rPr>
          <w:spacing w:val="-2"/>
          <w:lang w:val="fr-FR"/>
        </w:rPr>
        <w:tab/>
      </w:r>
      <w:r w:rsidRPr="00FF1B9B">
        <w:rPr>
          <w:spacing w:val="-2"/>
          <w:lang w:val="fr-FR"/>
        </w:rPr>
        <w:tab/>
        <w:t>Communication de l’Organisation internationale des conteneurs</w:t>
      </w:r>
      <w:r w:rsidRPr="00FF1B9B">
        <w:rPr>
          <w:spacing w:val="-2"/>
          <w:lang w:val="fr-FR"/>
        </w:rPr>
        <w:noBreakHyphen/>
        <w:t>citernes</w:t>
      </w:r>
      <w:r>
        <w:rPr>
          <w:lang w:val="fr-FR"/>
        </w:rPr>
        <w:t xml:space="preserve"> (ITCO)</w:t>
      </w:r>
      <w:r w:rsidRPr="00E15ACF">
        <w:rPr>
          <w:rStyle w:val="FootnoteReference"/>
          <w:b w:val="0"/>
          <w:bCs/>
        </w:rPr>
        <w:footnoteReference w:id="2"/>
      </w:r>
    </w:p>
    <w:p w14:paraId="2310A5A0" w14:textId="77777777" w:rsidR="00E15ACF" w:rsidRDefault="00E15ACF" w:rsidP="00E15ACF">
      <w:pPr>
        <w:pStyle w:val="HChG"/>
      </w:pPr>
      <w:r>
        <w:rPr>
          <w:lang w:val="fr-FR"/>
        </w:rPr>
        <w:tab/>
      </w:r>
      <w:r>
        <w:rPr>
          <w:lang w:val="fr-FR"/>
        </w:rPr>
        <w:tab/>
        <w:t>Introduction</w:t>
      </w:r>
    </w:p>
    <w:p w14:paraId="50AEC08B" w14:textId="5484D27B" w:rsidR="00E15ACF" w:rsidRPr="00A37925" w:rsidRDefault="00E15ACF" w:rsidP="00E15ACF">
      <w:pPr>
        <w:pStyle w:val="SingleTxtG"/>
        <w:rPr>
          <w:lang w:val="fr-FR"/>
        </w:rPr>
      </w:pPr>
      <w:r>
        <w:rPr>
          <w:lang w:val="fr-FR"/>
        </w:rPr>
        <w:t>1.</w:t>
      </w:r>
      <w:r>
        <w:rPr>
          <w:lang w:val="fr-FR"/>
        </w:rPr>
        <w:tab/>
        <w:t>Il est expliqué dans le présent document que le chapitre 6.9 sur les citernes mobiles dont les réservoirs sont en matière plastique renforcée de fibres (PRF) ne contient aucune prescription obligeant le fabricant à démontrer que le matériau dans lequel est construit le réservoir offre un degré de sécurité équivalent à celui exigé pour les réservoirs des citernes mobiles métalliques (chap. 6.7), c’est-à-dire une résilience équivalente. Deux types de méthodes d’essai sont présentés, l’un fondé sur des calculs et l’autre sur des essais en laboratoire, l’objectif étant d’approfondir les débats sur la façon la plus simple de parvenir à cette équivalence. Il est de ce fait proposé de modifier le chapitre 6.9 de telle façon que les instructions de transport en citerne mobile soient d’un degré d’exigence d’équivalent en ce qui concerne la résilience spécifique du matériau utilisé. Il s’agit d’imposer, pour les citernes mobiles en PRF, un degré de sécurité équivalent à celui que doivent déjà offrir les citernes mobiles métalliques en application du chapitre 6.7 (pour une même instruction de transport en citerne mobile).</w:t>
      </w:r>
    </w:p>
    <w:p w14:paraId="5B1D7108" w14:textId="3698EDB2" w:rsidR="00E15ACF" w:rsidRPr="00A37925" w:rsidRDefault="00E15ACF" w:rsidP="00E15ACF">
      <w:pPr>
        <w:pStyle w:val="SingleTxtG"/>
        <w:rPr>
          <w:lang w:val="fr-FR"/>
        </w:rPr>
      </w:pPr>
      <w:r>
        <w:rPr>
          <w:lang w:val="fr-FR"/>
        </w:rPr>
        <w:t>2.</w:t>
      </w:r>
      <w:r>
        <w:rPr>
          <w:lang w:val="fr-FR"/>
        </w:rPr>
        <w:tab/>
        <w:t>Conformément aux dispositions du paragraphe 6.7.2.4 (« Épaisseur minimale du réservoir »), qui s’appliquent aux réservoirs des citernes mobiles métalliques destinées au transport des marchandises dangereuses, le fabricant doit calculer l’épaisseur minimale du réservoir sur la base des trois critères ci-après, qui concernent notamment les propriétés du matériau de construction utilisé :</w:t>
      </w:r>
    </w:p>
    <w:p w14:paraId="13862643" w14:textId="232A3EE8" w:rsidR="00E15ACF" w:rsidRPr="00A37925" w:rsidRDefault="00E15ACF" w:rsidP="00E15ACF">
      <w:pPr>
        <w:pStyle w:val="SingleTxtG"/>
        <w:ind w:firstLine="567"/>
        <w:rPr>
          <w:lang w:val="fr-FR"/>
        </w:rPr>
      </w:pPr>
      <w:r>
        <w:rPr>
          <w:lang w:val="fr-FR"/>
        </w:rPr>
        <w:t>a)</w:t>
      </w:r>
      <w:r>
        <w:rPr>
          <w:lang w:val="fr-FR"/>
        </w:rPr>
        <w:tab/>
        <w:t>La « Pression d’utilisation, y compris pression dynamique » résultant des mouvements en cours de transport ;</w:t>
      </w:r>
    </w:p>
    <w:p w14:paraId="1C769077" w14:textId="77777777" w:rsidR="00E15ACF" w:rsidRPr="00A37925" w:rsidRDefault="00E15ACF" w:rsidP="00E15ACF">
      <w:pPr>
        <w:pStyle w:val="SingleTxtG"/>
        <w:ind w:firstLine="567"/>
        <w:rPr>
          <w:lang w:val="fr-FR"/>
        </w:rPr>
      </w:pPr>
      <w:r>
        <w:rPr>
          <w:lang w:val="fr-FR"/>
        </w:rPr>
        <w:lastRenderedPageBreak/>
        <w:t>b)</w:t>
      </w:r>
      <w:r>
        <w:rPr>
          <w:lang w:val="fr-FR"/>
        </w:rPr>
        <w:tab/>
        <w:t>La « Pression d’épreuve » ;</w:t>
      </w:r>
    </w:p>
    <w:p w14:paraId="0B90DA95" w14:textId="77777777" w:rsidR="00E15ACF" w:rsidRPr="00A37925" w:rsidRDefault="00E15ACF" w:rsidP="00E15ACF">
      <w:pPr>
        <w:pStyle w:val="SingleTxtG"/>
        <w:ind w:firstLine="567"/>
        <w:rPr>
          <w:lang w:val="fr-FR"/>
        </w:rPr>
      </w:pPr>
      <w:r>
        <w:rPr>
          <w:lang w:val="fr-FR"/>
        </w:rPr>
        <w:t>c)</w:t>
      </w:r>
      <w:r>
        <w:rPr>
          <w:lang w:val="fr-FR"/>
        </w:rPr>
        <w:tab/>
        <w:t>L</w:t>
      </w:r>
      <w:proofErr w:type="gramStart"/>
      <w:r>
        <w:rPr>
          <w:lang w:val="fr-FR"/>
        </w:rPr>
        <w:t>’«</w:t>
      </w:r>
      <w:proofErr w:type="gramEnd"/>
      <w:r>
        <w:rPr>
          <w:lang w:val="fr-FR"/>
        </w:rPr>
        <w:t> Épaisseur minimale équivalente » du matériau de construction par rapport à l’épaisseur de l’acier de référence, qui a une résistance maximale à la traction de 370 N/mm</w:t>
      </w:r>
      <w:r>
        <w:rPr>
          <w:vertAlign w:val="superscript"/>
          <w:lang w:val="fr-FR"/>
        </w:rPr>
        <w:t>2</w:t>
      </w:r>
      <w:r>
        <w:rPr>
          <w:lang w:val="fr-FR"/>
        </w:rPr>
        <w:t xml:space="preserve"> et un allongement à la rupture de 27 %.</w:t>
      </w:r>
    </w:p>
    <w:p w14:paraId="4F1E4631" w14:textId="22E004C3" w:rsidR="00E15ACF" w:rsidRPr="00A37925" w:rsidRDefault="00E15ACF" w:rsidP="00E15ACF">
      <w:pPr>
        <w:pStyle w:val="SingleTxtG"/>
        <w:rPr>
          <w:lang w:val="fr-FR"/>
        </w:rPr>
      </w:pPr>
      <w:r>
        <w:rPr>
          <w:lang w:val="fr-FR"/>
        </w:rPr>
        <w:t>3.</w:t>
      </w:r>
      <w:r>
        <w:rPr>
          <w:lang w:val="fr-FR"/>
        </w:rPr>
        <w:tab/>
        <w:t>Le chapitre 6.9 sur les citernes mobiles en PRF prévoit des prescriptions pour les deux premiers critères, c’est-à-dire les critères a) et b), mais il n’y est pas question du troisième.</w:t>
      </w:r>
    </w:p>
    <w:p w14:paraId="5777AB41" w14:textId="22986302" w:rsidR="00E15ACF" w:rsidRPr="00A37925" w:rsidRDefault="00E15ACF" w:rsidP="00E15ACF">
      <w:pPr>
        <w:pStyle w:val="SingleTxtG"/>
        <w:rPr>
          <w:lang w:val="fr-FR"/>
        </w:rPr>
      </w:pPr>
      <w:r>
        <w:rPr>
          <w:lang w:val="fr-FR"/>
        </w:rPr>
        <w:t>4.</w:t>
      </w:r>
      <w:r>
        <w:rPr>
          <w:lang w:val="fr-FR"/>
        </w:rPr>
        <w:tab/>
        <w:t>Le troisième critère, le critère</w:t>
      </w:r>
      <w:r w:rsidR="00FF1B9B">
        <w:rPr>
          <w:lang w:val="fr-FR"/>
        </w:rPr>
        <w:t> </w:t>
      </w:r>
      <w:r>
        <w:rPr>
          <w:lang w:val="fr-FR"/>
        </w:rPr>
        <w:t>c), est décrit aux paragraphes 6.7.2.4.2 à 6.7.2.4.10 et dans les colonnes (10) et (11) du Tableau A du chapitre 3.2. Il s’agit d’un critère fondamental de résilience spécifique, qui vise à assurer un degré de sécurité équivalent entre différents matériaux utilisés dans la construction de citernes en garantissant que, jusqu’à un certain seuil d’énergie, les marchandises dangereuses que contient la citerne ne seront pas déversées en cas d’accident.</w:t>
      </w:r>
    </w:p>
    <w:p w14:paraId="24F1B435" w14:textId="77777777" w:rsidR="00E15ACF" w:rsidRPr="00A37925" w:rsidRDefault="00E15ACF" w:rsidP="00E15ACF">
      <w:pPr>
        <w:pStyle w:val="HChG"/>
        <w:rPr>
          <w:lang w:val="fr-FR"/>
        </w:rPr>
      </w:pPr>
      <w:r w:rsidRPr="00E15ACF">
        <w:rPr>
          <w:spacing w:val="-2"/>
          <w:lang w:val="fr-FR"/>
        </w:rPr>
        <w:tab/>
      </w:r>
      <w:r w:rsidRPr="00E15ACF">
        <w:rPr>
          <w:spacing w:val="-2"/>
          <w:lang w:val="fr-FR"/>
        </w:rPr>
        <w:tab/>
        <w:t>Exigence d’un degré de sécurité équivalent pour les réservoirs</w:t>
      </w:r>
      <w:r>
        <w:rPr>
          <w:lang w:val="fr-FR"/>
        </w:rPr>
        <w:t xml:space="preserve"> en matière plastique renforcée de fibres : méthode de calcul</w:t>
      </w:r>
    </w:p>
    <w:p w14:paraId="679B15B1" w14:textId="77777777" w:rsidR="00E15ACF" w:rsidRPr="00A37925" w:rsidRDefault="00E15ACF" w:rsidP="00E15ACF">
      <w:pPr>
        <w:pStyle w:val="SingleTxtG"/>
        <w:rPr>
          <w:lang w:val="fr-FR"/>
        </w:rPr>
      </w:pPr>
      <w:r>
        <w:rPr>
          <w:lang w:val="fr-FR"/>
        </w:rPr>
        <w:t>5.</w:t>
      </w:r>
      <w:r>
        <w:rPr>
          <w:lang w:val="fr-FR"/>
        </w:rPr>
        <w:tab/>
        <w:t>Dans un document de recherche intitulé « Forschungsbericht 203 », qu’il a publié en 1994, l’Office fédéral allemand de recherche et de contrôle des matériaux (BAM) a indiqué que la quantité d’énergie spécifique absorbée (travail de déformation) en cas de pénétration du réservoir d’une citerne était proportionnelle à l’épaisseur du réservoir multipliée par la résistance maximale du matériau à la traction et par l’allongement de ce matériau à la rupture :</w:t>
      </w:r>
    </w:p>
    <w:p w14:paraId="439C093B" w14:textId="77777777" w:rsidR="00E15ACF" w:rsidRDefault="00E15ACF" w:rsidP="00E15ACF">
      <w:pPr>
        <w:pStyle w:val="SingleTxtG"/>
      </w:pPr>
      <m:oMathPara>
        <m:oMath>
          <m:r>
            <w:rPr>
              <w:rFonts w:ascii="Cambria Math" w:eastAsia="Calibri" w:hAnsi="Cambria Math" w:cs="Calibri"/>
            </w:rPr>
            <m:t>W∝e ×</m:t>
          </m:r>
          <m:sSub>
            <m:sSubPr>
              <m:ctrlPr>
                <w:rPr>
                  <w:rFonts w:ascii="Cambria Math" w:eastAsia="Calibri" w:hAnsi="Cambria Math" w:cs="Calibri"/>
                  <w:i/>
                </w:rPr>
              </m:ctrlPr>
            </m:sSubPr>
            <m:e>
              <m:r>
                <w:rPr>
                  <w:rFonts w:ascii="Cambria Math" w:eastAsia="Calibri" w:hAnsi="Cambria Math" w:cs="Calibri"/>
                </w:rPr>
                <m:t>R</m:t>
              </m:r>
            </m:e>
            <m:sub>
              <m:r>
                <w:rPr>
                  <w:rFonts w:ascii="Cambria Math" w:eastAsia="Calibri" w:hAnsi="Cambria Math" w:cs="Calibri"/>
                </w:rPr>
                <m:t>e</m:t>
              </m:r>
            </m:sub>
          </m:sSub>
          <m:r>
            <w:rPr>
              <w:rFonts w:ascii="Cambria Math" w:eastAsia="Calibri" w:hAnsi="Cambria Math" w:cs="Calibri"/>
            </w:rPr>
            <m:t xml:space="preserve"> ×A</m:t>
          </m:r>
        </m:oMath>
      </m:oMathPara>
    </w:p>
    <w:p w14:paraId="541B05C8" w14:textId="77777777" w:rsidR="00E15ACF" w:rsidRPr="00A37925" w:rsidRDefault="00E15ACF" w:rsidP="00E15ACF">
      <w:pPr>
        <w:pStyle w:val="SingleTxtG"/>
        <w:ind w:firstLine="567"/>
        <w:rPr>
          <w:lang w:val="fr-FR"/>
        </w:rPr>
      </w:pPr>
      <w:r>
        <w:rPr>
          <w:lang w:val="fr-FR"/>
        </w:rPr>
        <w:t>Où :</w:t>
      </w:r>
    </w:p>
    <w:p w14:paraId="2BB9B255" w14:textId="4365417B" w:rsidR="00E15ACF" w:rsidRPr="00A37925" w:rsidRDefault="00E15ACF" w:rsidP="00E15ACF">
      <w:pPr>
        <w:pStyle w:val="SingleTxtG"/>
        <w:ind w:firstLine="567"/>
        <w:rPr>
          <w:lang w:val="fr-FR"/>
        </w:rPr>
      </w:pPr>
      <w:r>
        <w:rPr>
          <w:lang w:val="fr-FR"/>
        </w:rPr>
        <w:t>W = travail de déformation en cas de pénétration du réservoir</w:t>
      </w:r>
      <w:r w:rsidR="00636364">
        <w:rPr>
          <w:lang w:val="fr-FR"/>
        </w:rPr>
        <w:t> ;</w:t>
      </w:r>
    </w:p>
    <w:p w14:paraId="0DFB3735" w14:textId="0C30D3CB" w:rsidR="00E15ACF" w:rsidRPr="00A37925" w:rsidRDefault="00E15ACF" w:rsidP="00E15ACF">
      <w:pPr>
        <w:pStyle w:val="SingleTxtG"/>
        <w:ind w:firstLine="567"/>
        <w:rPr>
          <w:lang w:val="fr-FR"/>
        </w:rPr>
      </w:pPr>
      <w:proofErr w:type="gramStart"/>
      <w:r>
        <w:rPr>
          <w:lang w:val="fr-FR"/>
        </w:rPr>
        <w:t>e</w:t>
      </w:r>
      <w:proofErr w:type="gramEnd"/>
      <w:r>
        <w:rPr>
          <w:lang w:val="fr-FR"/>
        </w:rPr>
        <w:t xml:space="preserve"> = épaisseur de la paroi métallique</w:t>
      </w:r>
      <w:r w:rsidR="00636364">
        <w:rPr>
          <w:lang w:val="fr-FR"/>
        </w:rPr>
        <w:t> ;</w:t>
      </w:r>
    </w:p>
    <w:p w14:paraId="798194F0" w14:textId="0C343CB5" w:rsidR="00E15ACF" w:rsidRPr="00A37925" w:rsidRDefault="00E15ACF" w:rsidP="00E15ACF">
      <w:pPr>
        <w:pStyle w:val="SingleTxtG"/>
        <w:ind w:firstLine="567"/>
        <w:rPr>
          <w:lang w:val="fr-FR"/>
        </w:rPr>
      </w:pPr>
      <w:r>
        <w:rPr>
          <w:lang w:val="fr-FR"/>
        </w:rPr>
        <w:t>R</w:t>
      </w:r>
      <w:r>
        <w:rPr>
          <w:vertAlign w:val="subscript"/>
          <w:lang w:val="fr-FR"/>
        </w:rPr>
        <w:t>e</w:t>
      </w:r>
      <w:r>
        <w:rPr>
          <w:lang w:val="fr-FR"/>
        </w:rPr>
        <w:t xml:space="preserve"> = résistance maximale du métal à la traction</w:t>
      </w:r>
      <w:r w:rsidR="00636364">
        <w:rPr>
          <w:lang w:val="fr-FR"/>
        </w:rPr>
        <w:t> ;</w:t>
      </w:r>
    </w:p>
    <w:p w14:paraId="7B3BAD3A" w14:textId="4B09B509" w:rsidR="00E15ACF" w:rsidRPr="00A37925" w:rsidRDefault="00E15ACF" w:rsidP="00E15ACF">
      <w:pPr>
        <w:pStyle w:val="SingleTxtG"/>
        <w:spacing w:after="240"/>
        <w:ind w:firstLine="567"/>
        <w:rPr>
          <w:lang w:val="fr-FR"/>
        </w:rPr>
      </w:pPr>
      <w:bookmarkStart w:id="0" w:name="_Hlk63692856"/>
      <w:r>
        <w:rPr>
          <w:lang w:val="fr-FR"/>
        </w:rPr>
        <w:t>A = allongement à la rupture</w:t>
      </w:r>
      <w:r w:rsidR="00636364">
        <w:rPr>
          <w:lang w:val="fr-FR"/>
        </w:rPr>
        <w:t>.</w:t>
      </w:r>
    </w:p>
    <w:bookmarkEnd w:id="0"/>
    <w:p w14:paraId="3B717598" w14:textId="73BF546F" w:rsidR="00E15ACF" w:rsidRPr="00A37925" w:rsidRDefault="00E15ACF" w:rsidP="00E15ACF">
      <w:pPr>
        <w:pStyle w:val="SingleTxtG"/>
        <w:spacing w:before="120" w:after="240"/>
        <w:rPr>
          <w:lang w:val="fr-FR"/>
        </w:rPr>
      </w:pPr>
      <w:r>
        <w:rPr>
          <w:lang w:val="fr-FR"/>
        </w:rPr>
        <w:t>6.</w:t>
      </w:r>
      <w:r>
        <w:rPr>
          <w:lang w:val="fr-FR"/>
        </w:rPr>
        <w:tab/>
        <w:t>Le 16 février 2001, le Gouvernement allemand a actualisé cette analyse en publiant le document TRANS/WP.15/AC.1/2001/3, intitulé « Formule d’épaisseur minimale équivalente adéquate des parois des conteneurs-citernes ». Dans ce document est présentée une équation fondamentale et désormais bien connue, qui met les propriétés de l’acier de référence en lien avec celles du matériau proposé, comme suit :</w:t>
      </w:r>
    </w:p>
    <w:p w14:paraId="0AB914E0" w14:textId="77777777" w:rsidR="00E15ACF" w:rsidRDefault="000A4FDB" w:rsidP="00E15ACF">
      <w:pPr>
        <w:pStyle w:val="SingleTxtG"/>
        <w:rPr>
          <w:rFonts w:ascii="Calibri" w:hAnsi="Calibri" w:cs="Calibri"/>
        </w:rPr>
      </w:pPr>
      <m:oMathPara>
        <m:oMathParaPr>
          <m:jc m:val="center"/>
        </m:oMathParaPr>
        <m:oMath>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e</m:t>
                  </m:r>
                </m:e>
                <m:sub>
                  <m:r>
                    <w:rPr>
                      <w:rFonts w:ascii="Cambria Math" w:hAnsi="Cambria Math" w:cs="Calibri"/>
                    </w:rPr>
                    <m:t>1</m:t>
                  </m:r>
                </m:sub>
              </m:sSub>
            </m:num>
            <m:den>
              <m:sSub>
                <m:sSubPr>
                  <m:ctrlPr>
                    <w:rPr>
                      <w:rFonts w:ascii="Cambria Math" w:hAnsi="Cambria Math" w:cs="Calibri"/>
                      <w:i/>
                    </w:rPr>
                  </m:ctrlPr>
                </m:sSubPr>
                <m:e>
                  <m:r>
                    <w:rPr>
                      <w:rFonts w:ascii="Cambria Math" w:hAnsi="Cambria Math" w:cs="Calibri"/>
                    </w:rPr>
                    <m:t>e</m:t>
                  </m:r>
                </m:e>
                <m:sub>
                  <m:r>
                    <w:rPr>
                      <w:rFonts w:ascii="Cambria Math" w:hAnsi="Cambria Math" w:cs="Calibri"/>
                    </w:rPr>
                    <m:t>0</m:t>
                  </m:r>
                </m:sub>
              </m:sSub>
            </m:den>
          </m:f>
          <m:r>
            <w:rPr>
              <w:rFonts w:ascii="Cambria Math" w:hAnsi="Cambria Math" w:cs="Calibri"/>
            </w:rPr>
            <m:t xml:space="preserve">= </m:t>
          </m:r>
          <m:f>
            <m:fPr>
              <m:ctrlPr>
                <w:rPr>
                  <w:rFonts w:ascii="Cambria Math" w:hAnsi="Cambria Math" w:cs="Calibri"/>
                  <w:i/>
                </w:rPr>
              </m:ctrlPr>
            </m:fPr>
            <m:num>
              <m:rad>
                <m:radPr>
                  <m:ctrlPr>
                    <w:rPr>
                      <w:rFonts w:ascii="Cambria Math" w:hAnsi="Cambria Math" w:cs="Calibri"/>
                      <w:i/>
                    </w:rPr>
                  </m:ctrlPr>
                </m:radPr>
                <m:deg>
                  <m:r>
                    <w:rPr>
                      <w:rFonts w:ascii="Cambria Math" w:eastAsia="Calibri" w:hAnsi="Cambria Math" w:cs="Calibri"/>
                    </w:rPr>
                    <m:t>3</m:t>
                  </m:r>
                </m:deg>
                <m:e>
                  <m:sSup>
                    <m:sSupPr>
                      <m:ctrlPr>
                        <w:rPr>
                          <w:rFonts w:ascii="Cambria Math" w:hAnsi="Cambria Math" w:cs="Calibri"/>
                          <w:i/>
                        </w:rPr>
                      </m:ctrlPr>
                    </m:sSupPr>
                    <m:e>
                      <m:r>
                        <w:rPr>
                          <w:rFonts w:ascii="Cambria Math" w:hAnsi="Cambria Math" w:cs="Calibri"/>
                        </w:rPr>
                        <m:t>(</m:t>
                      </m:r>
                      <m:sSub>
                        <m:sSubPr>
                          <m:ctrlPr>
                            <w:rPr>
                              <w:rFonts w:ascii="Cambria Math" w:hAnsi="Cambria Math" w:cs="Calibri"/>
                              <w:i/>
                            </w:rPr>
                          </m:ctrlPr>
                        </m:sSubPr>
                        <m:e>
                          <m:r>
                            <w:rPr>
                              <w:rFonts w:ascii="Cambria Math" w:hAnsi="Cambria Math" w:cs="Calibri"/>
                            </w:rPr>
                            <m:t>R</m:t>
                          </m:r>
                        </m:e>
                        <m:sub>
                          <m:r>
                            <w:rPr>
                              <w:rFonts w:ascii="Cambria Math" w:hAnsi="Cambria Math" w:cs="Calibri"/>
                            </w:rPr>
                            <m:t>m0</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A</m:t>
                          </m:r>
                        </m:e>
                        <m:sub>
                          <m:r>
                            <w:rPr>
                              <w:rFonts w:ascii="Cambria Math" w:hAnsi="Cambria Math" w:cs="Calibri"/>
                            </w:rPr>
                            <m:t>0</m:t>
                          </m:r>
                        </m:sub>
                      </m:sSub>
                      <m:r>
                        <w:rPr>
                          <w:rFonts w:ascii="Cambria Math" w:hAnsi="Cambria Math" w:cs="Calibri"/>
                        </w:rPr>
                        <m:t>)</m:t>
                      </m:r>
                    </m:e>
                    <m:sup>
                      <m:r>
                        <w:rPr>
                          <w:rFonts w:ascii="Cambria Math" w:hAnsi="Cambria Math" w:cs="Calibri"/>
                        </w:rPr>
                        <m:t>2</m:t>
                      </m:r>
                    </m:sup>
                  </m:sSup>
                </m:e>
              </m:rad>
            </m:num>
            <m:den>
              <m:rad>
                <m:radPr>
                  <m:ctrlPr>
                    <w:rPr>
                      <w:rFonts w:ascii="Cambria Math" w:hAnsi="Cambria Math" w:cs="Calibri"/>
                      <w:i/>
                    </w:rPr>
                  </m:ctrlPr>
                </m:radPr>
                <m:deg>
                  <m:r>
                    <w:rPr>
                      <w:rFonts w:ascii="Cambria Math" w:eastAsia="Calibri" w:hAnsi="Cambria Math" w:cs="Calibri"/>
                    </w:rPr>
                    <m:t>3</m:t>
                  </m:r>
                </m:deg>
                <m:e>
                  <m:sSup>
                    <m:sSupPr>
                      <m:ctrlPr>
                        <w:rPr>
                          <w:rFonts w:ascii="Cambria Math" w:hAnsi="Cambria Math" w:cs="Calibri"/>
                          <w:i/>
                        </w:rPr>
                      </m:ctrlPr>
                    </m:sSupPr>
                    <m:e>
                      <m:r>
                        <w:rPr>
                          <w:rFonts w:ascii="Cambria Math" w:hAnsi="Cambria Math" w:cs="Calibri"/>
                        </w:rPr>
                        <m:t>(</m:t>
                      </m:r>
                      <m:sSub>
                        <m:sSubPr>
                          <m:ctrlPr>
                            <w:rPr>
                              <w:rFonts w:ascii="Cambria Math" w:hAnsi="Cambria Math" w:cs="Calibri"/>
                              <w:i/>
                            </w:rPr>
                          </m:ctrlPr>
                        </m:sSubPr>
                        <m:e>
                          <m:r>
                            <w:rPr>
                              <w:rFonts w:ascii="Cambria Math" w:hAnsi="Cambria Math" w:cs="Calibri"/>
                            </w:rPr>
                            <m:t>R</m:t>
                          </m:r>
                        </m:e>
                        <m:sub>
                          <m:r>
                            <w:rPr>
                              <w:rFonts w:ascii="Cambria Math" w:hAnsi="Cambria Math" w:cs="Calibri"/>
                            </w:rPr>
                            <m:t>m1</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A</m:t>
                          </m:r>
                        </m:e>
                        <m:sub>
                          <m:r>
                            <w:rPr>
                              <w:rFonts w:ascii="Cambria Math" w:hAnsi="Cambria Math" w:cs="Calibri"/>
                            </w:rPr>
                            <m:t>1</m:t>
                          </m:r>
                        </m:sub>
                      </m:sSub>
                      <m:r>
                        <w:rPr>
                          <w:rFonts w:ascii="Cambria Math" w:hAnsi="Cambria Math" w:cs="Calibri"/>
                        </w:rPr>
                        <m:t>)</m:t>
                      </m:r>
                    </m:e>
                    <m:sup>
                      <m:r>
                        <w:rPr>
                          <w:rFonts w:ascii="Cambria Math" w:hAnsi="Cambria Math" w:cs="Calibri"/>
                        </w:rPr>
                        <m:t>2</m:t>
                      </m:r>
                    </m:sup>
                  </m:sSup>
                </m:e>
              </m:rad>
            </m:den>
          </m:f>
        </m:oMath>
      </m:oMathPara>
    </w:p>
    <w:p w14:paraId="796281E1" w14:textId="5408C588" w:rsidR="00E15ACF" w:rsidRPr="00A37925" w:rsidRDefault="00E15ACF" w:rsidP="00E15ACF">
      <w:pPr>
        <w:pStyle w:val="SingleTxtG"/>
        <w:ind w:firstLine="567"/>
        <w:rPr>
          <w:lang w:val="fr-FR"/>
        </w:rPr>
      </w:pPr>
      <w:bookmarkStart w:id="1" w:name="_Hlk68686319"/>
      <w:r>
        <w:rPr>
          <w:lang w:val="fr-FR"/>
        </w:rPr>
        <w:t>Où :</w:t>
      </w:r>
    </w:p>
    <w:p w14:paraId="531D90E5" w14:textId="6F8DE7C5" w:rsidR="00E15ACF" w:rsidRPr="00A37925" w:rsidRDefault="00E15ACF" w:rsidP="00E15ACF">
      <w:pPr>
        <w:pStyle w:val="SingleTxtG"/>
        <w:ind w:firstLine="567"/>
        <w:rPr>
          <w:lang w:val="fr-FR"/>
        </w:rPr>
      </w:pPr>
      <w:proofErr w:type="gramStart"/>
      <w:r>
        <w:rPr>
          <w:lang w:val="fr-FR"/>
        </w:rPr>
        <w:t>e</w:t>
      </w:r>
      <w:proofErr w:type="gramEnd"/>
      <w:r>
        <w:rPr>
          <w:vertAlign w:val="subscript"/>
          <w:lang w:val="fr-FR"/>
        </w:rPr>
        <w:t>0</w:t>
      </w:r>
      <w:r>
        <w:rPr>
          <w:lang w:val="fr-FR"/>
        </w:rPr>
        <w:t xml:space="preserve"> = épaisseur minimale de la paroi (acier de référence)</w:t>
      </w:r>
      <w:r w:rsidR="002357F4">
        <w:rPr>
          <w:lang w:val="fr-FR"/>
        </w:rPr>
        <w:t> ;</w:t>
      </w:r>
    </w:p>
    <w:p w14:paraId="304C7A48" w14:textId="7014CAF4" w:rsidR="00E15ACF" w:rsidRPr="00A37925" w:rsidRDefault="00E15ACF" w:rsidP="00E15ACF">
      <w:pPr>
        <w:pStyle w:val="SingleTxtG"/>
        <w:ind w:firstLine="567"/>
        <w:rPr>
          <w:lang w:val="fr-FR"/>
        </w:rPr>
      </w:pPr>
      <w:proofErr w:type="gramStart"/>
      <w:r>
        <w:rPr>
          <w:lang w:val="fr-FR"/>
        </w:rPr>
        <w:t>e</w:t>
      </w:r>
      <w:proofErr w:type="gramEnd"/>
      <w:r>
        <w:rPr>
          <w:vertAlign w:val="subscript"/>
          <w:lang w:val="fr-FR"/>
        </w:rPr>
        <w:t>1</w:t>
      </w:r>
      <w:r>
        <w:rPr>
          <w:lang w:val="fr-FR"/>
        </w:rPr>
        <w:t xml:space="preserve"> = épaisseur de la paroi (acier proposé)</w:t>
      </w:r>
      <w:r w:rsidR="002357F4">
        <w:rPr>
          <w:lang w:val="fr-FR"/>
        </w:rPr>
        <w:t> ;</w:t>
      </w:r>
    </w:p>
    <w:p w14:paraId="00FBF4E0" w14:textId="755D849F" w:rsidR="00E15ACF" w:rsidRPr="00A37925" w:rsidRDefault="00E15ACF" w:rsidP="00E15ACF">
      <w:pPr>
        <w:pStyle w:val="SingleTxtG"/>
        <w:ind w:firstLine="567"/>
        <w:rPr>
          <w:lang w:val="fr-FR"/>
        </w:rPr>
      </w:pPr>
      <w:r>
        <w:rPr>
          <w:lang w:val="fr-FR"/>
        </w:rPr>
        <w:t>R</w:t>
      </w:r>
      <w:r>
        <w:rPr>
          <w:vertAlign w:val="subscript"/>
          <w:lang w:val="fr-FR"/>
        </w:rPr>
        <w:t>mo</w:t>
      </w:r>
      <w:r>
        <w:rPr>
          <w:lang w:val="fr-FR"/>
        </w:rPr>
        <w:t xml:space="preserve"> = résistance maximale de l’acier de référence à la traction</w:t>
      </w:r>
      <w:bookmarkStart w:id="2" w:name="_Hlk63692783"/>
      <w:bookmarkEnd w:id="2"/>
      <w:r w:rsidR="002357F4">
        <w:rPr>
          <w:lang w:val="fr-FR"/>
        </w:rPr>
        <w:t> ;</w:t>
      </w:r>
    </w:p>
    <w:p w14:paraId="5CEDEB3F" w14:textId="29BE2C23" w:rsidR="00E15ACF" w:rsidRPr="00A37925" w:rsidRDefault="00E15ACF" w:rsidP="00E15ACF">
      <w:pPr>
        <w:pStyle w:val="SingleTxtG"/>
        <w:ind w:firstLine="567"/>
        <w:rPr>
          <w:lang w:val="fr-FR"/>
        </w:rPr>
      </w:pPr>
      <w:r>
        <w:rPr>
          <w:lang w:val="fr-FR"/>
        </w:rPr>
        <w:t>R</w:t>
      </w:r>
      <w:r>
        <w:rPr>
          <w:vertAlign w:val="subscript"/>
          <w:lang w:val="fr-FR"/>
        </w:rPr>
        <w:t>m1</w:t>
      </w:r>
      <w:r>
        <w:rPr>
          <w:lang w:val="fr-FR"/>
        </w:rPr>
        <w:t xml:space="preserve"> = résistance maximale de l’acier proposé à la traction</w:t>
      </w:r>
      <w:r w:rsidR="002357F4">
        <w:rPr>
          <w:lang w:val="fr-FR"/>
        </w:rPr>
        <w:t> ;</w:t>
      </w:r>
    </w:p>
    <w:p w14:paraId="2E66C0BB" w14:textId="66312173" w:rsidR="00E15ACF" w:rsidRPr="00A37925" w:rsidRDefault="00E15ACF" w:rsidP="00E15ACF">
      <w:pPr>
        <w:pStyle w:val="SingleTxtG"/>
        <w:ind w:firstLine="567"/>
        <w:rPr>
          <w:lang w:val="fr-FR"/>
        </w:rPr>
      </w:pPr>
      <w:r>
        <w:rPr>
          <w:lang w:val="fr-FR"/>
        </w:rPr>
        <w:t>A</w:t>
      </w:r>
      <w:r>
        <w:rPr>
          <w:vertAlign w:val="subscript"/>
          <w:lang w:val="fr-FR"/>
        </w:rPr>
        <w:t xml:space="preserve">o </w:t>
      </w:r>
      <w:r>
        <w:rPr>
          <w:lang w:val="fr-FR"/>
        </w:rPr>
        <w:t>= allongement de l’acier de référence à la rupture</w:t>
      </w:r>
      <w:r w:rsidR="002357F4">
        <w:rPr>
          <w:lang w:val="fr-FR"/>
        </w:rPr>
        <w:t> ;</w:t>
      </w:r>
    </w:p>
    <w:p w14:paraId="36FC9A01" w14:textId="05DD23DB" w:rsidR="00E15ACF" w:rsidRPr="00A37925" w:rsidRDefault="00E15ACF" w:rsidP="00E15ACF">
      <w:pPr>
        <w:pStyle w:val="SingleTxtG"/>
        <w:ind w:firstLine="567"/>
        <w:rPr>
          <w:lang w:val="fr-FR"/>
        </w:rPr>
      </w:pPr>
      <w:r>
        <w:rPr>
          <w:lang w:val="fr-FR"/>
        </w:rPr>
        <w:t>A</w:t>
      </w:r>
      <w:r>
        <w:rPr>
          <w:vertAlign w:val="subscript"/>
          <w:lang w:val="fr-FR"/>
        </w:rPr>
        <w:t>1</w:t>
      </w:r>
      <w:r>
        <w:rPr>
          <w:lang w:val="fr-FR"/>
        </w:rPr>
        <w:t xml:space="preserve"> = allongement de l’acier proposé à la rupture</w:t>
      </w:r>
      <w:bookmarkEnd w:id="1"/>
      <w:r w:rsidR="002357F4">
        <w:rPr>
          <w:lang w:val="fr-FR"/>
        </w:rPr>
        <w:t>.</w:t>
      </w:r>
    </w:p>
    <w:p w14:paraId="13ACEA90" w14:textId="50C0310A" w:rsidR="00E15ACF" w:rsidRDefault="00E15ACF" w:rsidP="00E15ACF">
      <w:pPr>
        <w:pStyle w:val="SingleTxtG"/>
        <w:rPr>
          <w:lang w:val="fr-FR"/>
        </w:rPr>
      </w:pPr>
      <w:r>
        <w:rPr>
          <w:lang w:val="fr-FR"/>
        </w:rPr>
        <w:t>7.</w:t>
      </w:r>
      <w:r>
        <w:rPr>
          <w:lang w:val="fr-FR"/>
        </w:rPr>
        <w:tab/>
        <w:t>Il est expliqué dans le document que la quantité d’énergie absorbée par les matériaux métalliques est presque toujours comprise entre 89 % et 91 % de celle qu’absorberait un métal aux caractéristiques élastiques-plastiques idéales, et que cette quantité d’énergie correspond à l’aire sous la courbe dans la figure ci-dessous.</w:t>
      </w:r>
    </w:p>
    <w:p w14:paraId="782637ED" w14:textId="44A96702" w:rsidR="00FB5020" w:rsidRDefault="00B75B52" w:rsidP="00E15ACF">
      <w:pPr>
        <w:pStyle w:val="SingleTxtG"/>
        <w:rPr>
          <w:noProof/>
        </w:rPr>
      </w:pPr>
      <w:r>
        <w:rPr>
          <w:noProof/>
        </w:rPr>
        <w:lastRenderedPageBreak/>
        <w:drawing>
          <wp:inline distT="0" distB="0" distL="0" distR="0" wp14:anchorId="31E18F2B" wp14:editId="636304DF">
            <wp:extent cx="4320000" cy="3132747"/>
            <wp:effectExtent l="0" t="0" r="444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0000" cy="3132747"/>
                    </a:xfrm>
                    <a:prstGeom prst="rect">
                      <a:avLst/>
                    </a:prstGeom>
                  </pic:spPr>
                </pic:pic>
              </a:graphicData>
            </a:graphic>
          </wp:inline>
        </w:drawing>
      </w:r>
    </w:p>
    <w:p w14:paraId="402CEADB" w14:textId="77777777" w:rsidR="00E15ACF" w:rsidRPr="00A37925" w:rsidRDefault="00E15ACF" w:rsidP="00E15ACF">
      <w:pPr>
        <w:pStyle w:val="SingleTxtG"/>
        <w:rPr>
          <w:lang w:val="fr-FR"/>
        </w:rPr>
      </w:pPr>
      <w:r>
        <w:rPr>
          <w:lang w:val="fr-FR"/>
        </w:rPr>
        <w:t>8.</w:t>
      </w:r>
      <w:r>
        <w:rPr>
          <w:lang w:val="fr-FR"/>
        </w:rPr>
        <w:tab/>
        <w:t>Les résultats pratiques de ces travaux, lorsqu’ils sont appliqués aux obligations réglementaires dans le monde entier, sont que les matériaux sélectionnés absorbent une grande quantité d’énergie. Ainsi, il n’est pas rare que le déversement de marchandises dangereuses puisse être évité en cas d’accident (voir les exemples présentés à l’appendice II).</w:t>
      </w:r>
    </w:p>
    <w:p w14:paraId="163AA203" w14:textId="4C32B2B2" w:rsidR="00E15ACF" w:rsidRPr="00A37925" w:rsidRDefault="00E15ACF" w:rsidP="00E15ACF">
      <w:pPr>
        <w:pStyle w:val="SingleTxtG"/>
        <w:rPr>
          <w:rFonts w:eastAsia="Calibri"/>
          <w:lang w:val="fr-FR"/>
        </w:rPr>
      </w:pPr>
      <w:r>
        <w:rPr>
          <w:lang w:val="fr-FR"/>
        </w:rPr>
        <w:t>9.</w:t>
      </w:r>
      <w:r>
        <w:rPr>
          <w:lang w:val="fr-FR"/>
        </w:rPr>
        <w:tab/>
        <w:t xml:space="preserve">Au chapitre 6.9 du Règlement type, le paragraphe 6.9.2.4.2 dispose que l’épaisseur minimale des couches structurales des réservoirs en PRF doit être calculée selon le </w:t>
      </w:r>
      <w:r w:rsidRPr="00FB2734">
        <w:rPr>
          <w:lang w:val="fr-FR"/>
        </w:rPr>
        <w:t>paragraphe 6.9.2.3.4 (sans</w:t>
      </w:r>
      <w:r>
        <w:rPr>
          <w:lang w:val="fr-FR"/>
        </w:rPr>
        <w:t xml:space="preserve"> faire référence à la formule d’épaisseur équivalente pour les citernes mobiles, qui est fondée sur une épaisseur de 6 mm d’acier de référence), mais doit être dans tous les cas de 3 mm au minimum.</w:t>
      </w:r>
    </w:p>
    <w:p w14:paraId="62660762" w14:textId="77777777" w:rsidR="00E15ACF" w:rsidRPr="00A37925" w:rsidRDefault="00E15ACF" w:rsidP="00E15ACF">
      <w:pPr>
        <w:pStyle w:val="SingleTxtG"/>
        <w:rPr>
          <w:lang w:val="fr-FR"/>
        </w:rPr>
      </w:pPr>
      <w:r>
        <w:rPr>
          <w:lang w:val="fr-FR"/>
        </w:rPr>
        <w:t>10.</w:t>
      </w:r>
      <w:r>
        <w:rPr>
          <w:lang w:val="fr-FR"/>
        </w:rPr>
        <w:tab/>
        <w:t xml:space="preserve">Pour le calcul de cette épaisseur minimale, le paragraphe 6.9.2.7.1 (« Essais des matériaux ») prévoit des prescriptions quant à la détermination de l’allongement à la rupture de la résine et de sa température de distorsion thermique, </w:t>
      </w:r>
      <w:r w:rsidRPr="00FB2734">
        <w:rPr>
          <w:b/>
          <w:bCs/>
          <w:lang w:val="fr-FR"/>
        </w:rPr>
        <w:t>de l’épaisseur des laminés de la virole, de la résistance à la traction, de l’allongement à la rupture et du module d’élasticité pour les orientations longitudinale et circonférentielle du réservoir</w:t>
      </w:r>
      <w:r w:rsidRPr="00FB2734">
        <w:rPr>
          <w:lang w:val="fr-FR"/>
        </w:rPr>
        <w:t>.</w:t>
      </w:r>
      <w:r>
        <w:rPr>
          <w:lang w:val="fr-FR"/>
        </w:rPr>
        <w:t xml:space="preserve"> Toutes ces caractéristiques doivent être calculées selon les normes ISO mentionnées.</w:t>
      </w:r>
    </w:p>
    <w:p w14:paraId="7F362093" w14:textId="77777777" w:rsidR="00E15ACF" w:rsidRPr="00D3438F" w:rsidRDefault="00E15ACF" w:rsidP="00E15ACF">
      <w:pPr>
        <w:pStyle w:val="SingleTxtG"/>
        <w:rPr>
          <w:spacing w:val="-2"/>
          <w:lang w:val="fr-FR"/>
        </w:rPr>
      </w:pPr>
      <w:r w:rsidRPr="00D3438F">
        <w:rPr>
          <w:spacing w:val="-2"/>
          <w:lang w:val="fr-FR"/>
        </w:rPr>
        <w:t>11.</w:t>
      </w:r>
      <w:r w:rsidRPr="00D3438F">
        <w:rPr>
          <w:spacing w:val="-2"/>
          <w:lang w:val="fr-FR"/>
        </w:rPr>
        <w:tab/>
        <w:t>Ces règles relatives aux propriétés de performance permettent de calculer l’absorption d’énergie par déformation jusqu’au point de rupture, et donc de démontrer que l’épaisseur proposée garantit un degré de sécurité équivalent à celui qu’offre l’acier de référence. Il est à noter que l’écart par rapport au comportement élastique-plastique idéal pour un PRF donné doit être calculé pour vérifier que l’équation d’épaisseur équivalente proposée offre une marge de prudence suffisante, mais ce calcul ne devrait pas représenter une charge de travail excessive.</w:t>
      </w:r>
    </w:p>
    <w:p w14:paraId="5A8CAFC5" w14:textId="2B2A44D1" w:rsidR="00E15ACF" w:rsidRPr="00A37925" w:rsidRDefault="00E15ACF" w:rsidP="00527D10">
      <w:pPr>
        <w:pStyle w:val="HChG"/>
        <w:rPr>
          <w:lang w:val="fr-FR"/>
        </w:rPr>
      </w:pPr>
      <w:r w:rsidRPr="00527D10">
        <w:rPr>
          <w:spacing w:val="-1"/>
          <w:lang w:val="fr-FR"/>
        </w:rPr>
        <w:tab/>
      </w:r>
      <w:r w:rsidRPr="00527D10">
        <w:rPr>
          <w:spacing w:val="-1"/>
          <w:lang w:val="fr-FR"/>
        </w:rPr>
        <w:tab/>
        <w:t xml:space="preserve">Exigence d’un degré de sécurité équivalent pour les réservoirs </w:t>
      </w:r>
      <w:r>
        <w:rPr>
          <w:lang w:val="fr-FR"/>
        </w:rPr>
        <w:t>en matière plastique renforcée de fibres</w:t>
      </w:r>
      <w:r w:rsidR="00527D10">
        <w:t> </w:t>
      </w:r>
      <w:r>
        <w:rPr>
          <w:lang w:val="fr-FR"/>
        </w:rPr>
        <w:t>: méthode de mesure</w:t>
      </w:r>
    </w:p>
    <w:p w14:paraId="624008E2" w14:textId="77777777" w:rsidR="00E15ACF" w:rsidRPr="00A37925" w:rsidRDefault="00E15ACF" w:rsidP="00E15ACF">
      <w:pPr>
        <w:pStyle w:val="SingleTxtG"/>
        <w:rPr>
          <w:lang w:val="fr-FR"/>
        </w:rPr>
      </w:pPr>
      <w:r>
        <w:rPr>
          <w:lang w:val="fr-FR"/>
        </w:rPr>
        <w:t>12.</w:t>
      </w:r>
      <w:r>
        <w:rPr>
          <w:lang w:val="fr-FR"/>
        </w:rPr>
        <w:tab/>
        <w:t>Au lieu de calculer le degré de résilience d’un réservoir au moyen de formules mathématiques, il est possible d’opter pour des méthodes d’essai en laboratoire, que prévoient notamment le Règlement concernant le transport international ferroviaire des marchandises dangereuses (RID) et l’Accord relatif au transport international des marchandises dangereuses par route (ADR).</w:t>
      </w:r>
    </w:p>
    <w:p w14:paraId="4DA1AAA8" w14:textId="558A6BA7" w:rsidR="00E15ACF" w:rsidRPr="00A96FFC" w:rsidRDefault="00E15ACF" w:rsidP="00E15ACF">
      <w:pPr>
        <w:pStyle w:val="SingleTxtG"/>
        <w:rPr>
          <w:lang w:val="fr-FR"/>
        </w:rPr>
      </w:pPr>
      <w:r>
        <w:rPr>
          <w:lang w:val="fr-FR"/>
        </w:rPr>
        <w:t>13.</w:t>
      </w:r>
      <w:r>
        <w:rPr>
          <w:lang w:val="fr-FR"/>
        </w:rPr>
        <w:tab/>
        <w:t>Le Sous-Comité souhaitera peut-être examiner les méthodes d’essai en laboratoire que le BAM avait initialement présentées en 1994 dans son document de recherche intitulé « Forschungsbericht 203 ». Un extrait de ce document est reproduit à l’appendice</w:t>
      </w:r>
      <w:r w:rsidR="00C9395A">
        <w:rPr>
          <w:lang w:val="fr-FR"/>
        </w:rPr>
        <w:t> </w:t>
      </w:r>
      <w:r>
        <w:rPr>
          <w:lang w:val="fr-FR"/>
        </w:rPr>
        <w:t>I du présent document. On trouvera dans le RID 2021 une méthode d’essai équivalente et actualisée pour les PRF.</w:t>
      </w:r>
      <w:bookmarkStart w:id="3" w:name="_Hlk68692977"/>
      <w:bookmarkEnd w:id="3"/>
    </w:p>
    <w:p w14:paraId="4E1CBFBA" w14:textId="55550788" w:rsidR="00E15ACF" w:rsidRPr="00A96FFC" w:rsidRDefault="00E15ACF" w:rsidP="00E15ACF">
      <w:pPr>
        <w:pStyle w:val="SingleTxtG"/>
        <w:rPr>
          <w:lang w:val="fr-FR"/>
        </w:rPr>
      </w:pPr>
      <w:r>
        <w:rPr>
          <w:lang w:val="fr-FR"/>
        </w:rPr>
        <w:lastRenderedPageBreak/>
        <w:t>14.</w:t>
      </w:r>
      <w:r>
        <w:rPr>
          <w:lang w:val="fr-FR"/>
        </w:rPr>
        <w:tab/>
        <w:t>L’alinéa</w:t>
      </w:r>
      <w:r w:rsidR="00527D10">
        <w:rPr>
          <w:lang w:val="fr-FR"/>
        </w:rPr>
        <w:t> </w:t>
      </w:r>
      <w:r>
        <w:rPr>
          <w:lang w:val="fr-FR"/>
        </w:rPr>
        <w:t>c) du paragraphe</w:t>
      </w:r>
      <w:r w:rsidR="00527D10">
        <w:rPr>
          <w:lang w:val="fr-FR"/>
        </w:rPr>
        <w:t> </w:t>
      </w:r>
      <w:r>
        <w:rPr>
          <w:lang w:val="fr-FR"/>
        </w:rPr>
        <w:t>TE</w:t>
      </w:r>
      <w:r w:rsidR="00C9395A">
        <w:rPr>
          <w:lang w:val="fr-FR"/>
        </w:rPr>
        <w:t> </w:t>
      </w:r>
      <w:r>
        <w:rPr>
          <w:lang w:val="fr-FR"/>
        </w:rPr>
        <w:t>25 de la section 6.8.4 (« Dispositions spéciales ») du</w:t>
      </w:r>
      <w:r w:rsidR="00527D10">
        <w:rPr>
          <w:lang w:val="fr-FR"/>
        </w:rPr>
        <w:t> </w:t>
      </w:r>
      <w:r>
        <w:rPr>
          <w:lang w:val="fr-FR"/>
        </w:rPr>
        <w:t>RID 2021 se lit comme suit</w:t>
      </w:r>
      <w:r w:rsidR="00527D10">
        <w:rPr>
          <w:lang w:val="fr-FR"/>
        </w:rPr>
        <w:t> </w:t>
      </w:r>
      <w:r>
        <w:rPr>
          <w:lang w:val="fr-FR"/>
        </w:rPr>
        <w:t>:</w:t>
      </w:r>
    </w:p>
    <w:p w14:paraId="3FF43476" w14:textId="67A0E4F9" w:rsidR="00E15ACF" w:rsidRPr="00A96FFC" w:rsidRDefault="00E15ACF" w:rsidP="00527D10">
      <w:pPr>
        <w:pStyle w:val="SingleTxtG"/>
        <w:ind w:left="1701" w:hanging="567"/>
        <w:rPr>
          <w:lang w:val="fr-FR"/>
        </w:rPr>
      </w:pPr>
      <w:r>
        <w:rPr>
          <w:lang w:val="fr-FR"/>
        </w:rPr>
        <w:t>« </w:t>
      </w:r>
      <w:proofErr w:type="gramStart"/>
      <w:r>
        <w:rPr>
          <w:lang w:val="fr-FR"/>
        </w:rPr>
        <w:t>c</w:t>
      </w:r>
      <w:proofErr w:type="gramEnd"/>
      <w:r>
        <w:rPr>
          <w:lang w:val="fr-FR"/>
        </w:rPr>
        <w:t>)</w:t>
      </w:r>
      <w:r>
        <w:rPr>
          <w:lang w:val="fr-FR"/>
        </w:rPr>
        <w:tab/>
        <w:t>Lorsque la protection est constituée par une construction d’isolation (couverture sandwich), celle-ci doit couvrir la zone totale des fonds de citerne et présenter une résilience spécifique d’au moins 22</w:t>
      </w:r>
      <w:r w:rsidR="00527D10">
        <w:rPr>
          <w:lang w:val="fr-FR"/>
        </w:rPr>
        <w:t> </w:t>
      </w:r>
      <w:r>
        <w:rPr>
          <w:lang w:val="fr-FR"/>
        </w:rPr>
        <w:t>kJ (correspondant à 6</w:t>
      </w:r>
      <w:r w:rsidR="00527D10">
        <w:rPr>
          <w:lang w:val="fr-FR"/>
        </w:rPr>
        <w:t> </w:t>
      </w:r>
      <w:r>
        <w:rPr>
          <w:lang w:val="fr-FR"/>
        </w:rPr>
        <w:t>mm d’épaisseur de paroi) mesurée selon la méthode décrite à l’annexe</w:t>
      </w:r>
      <w:r w:rsidR="00527D10">
        <w:rPr>
          <w:lang w:val="fr-FR"/>
        </w:rPr>
        <w:t> </w:t>
      </w:r>
      <w:r>
        <w:rPr>
          <w:lang w:val="fr-FR"/>
        </w:rPr>
        <w:t>B de la norme EN</w:t>
      </w:r>
      <w:r w:rsidR="00C9395A">
        <w:rPr>
          <w:lang w:val="fr-FR"/>
        </w:rPr>
        <w:t> </w:t>
      </w:r>
      <w:r>
        <w:rPr>
          <w:lang w:val="fr-FR"/>
        </w:rPr>
        <w:t xml:space="preserve">13094 “Citernes destinées au transport de matières dangereuses </w:t>
      </w:r>
      <w:r w:rsidR="00527D10">
        <w:rPr>
          <w:lang w:val="fr-FR"/>
        </w:rPr>
        <w:t>− </w:t>
      </w:r>
      <w:r>
        <w:rPr>
          <w:lang w:val="fr-FR"/>
        </w:rPr>
        <w:t>Citernes métalliques ayant une pression de service inférieure ou égale à 0,5</w:t>
      </w:r>
      <w:r w:rsidR="00527D10">
        <w:rPr>
          <w:lang w:val="fr-FR"/>
        </w:rPr>
        <w:t> </w:t>
      </w:r>
      <w:r>
        <w:rPr>
          <w:lang w:val="fr-FR"/>
        </w:rPr>
        <w:t>bar</w:t>
      </w:r>
      <w:r w:rsidR="00527D10">
        <w:rPr>
          <w:lang w:val="fr-FR"/>
        </w:rPr>
        <w:t xml:space="preserve"> − </w:t>
      </w:r>
      <w:r>
        <w:rPr>
          <w:lang w:val="fr-FR"/>
        </w:rPr>
        <w:t>Conception et fabrication”. »</w:t>
      </w:r>
      <w:r w:rsidR="00527D10">
        <w:rPr>
          <w:lang w:val="fr-FR"/>
        </w:rPr>
        <w:t>.</w:t>
      </w:r>
    </w:p>
    <w:p w14:paraId="168D704E" w14:textId="732C7F1C" w:rsidR="00E15ACF" w:rsidRPr="00A96FFC" w:rsidRDefault="00E15ACF" w:rsidP="00E15ACF">
      <w:pPr>
        <w:pStyle w:val="SingleTxtG"/>
        <w:rPr>
          <w:lang w:val="fr-FR"/>
        </w:rPr>
      </w:pPr>
      <w:r>
        <w:rPr>
          <w:lang w:val="fr-FR"/>
        </w:rPr>
        <w:t>15.</w:t>
      </w:r>
      <w:r>
        <w:rPr>
          <w:lang w:val="fr-FR"/>
        </w:rPr>
        <w:tab/>
        <w:t>Il est fait référence à la norme EN</w:t>
      </w:r>
      <w:r w:rsidR="00527D10">
        <w:rPr>
          <w:lang w:val="fr-FR"/>
        </w:rPr>
        <w:t> </w:t>
      </w:r>
      <w:proofErr w:type="gramStart"/>
      <w:r>
        <w:rPr>
          <w:lang w:val="fr-FR"/>
        </w:rPr>
        <w:t>13094:</w:t>
      </w:r>
      <w:proofErr w:type="gramEnd"/>
      <w:r>
        <w:rPr>
          <w:lang w:val="fr-FR"/>
        </w:rPr>
        <w:t>2015 au paragraphe 6.8.2.6 de l’ADR, et son annexe</w:t>
      </w:r>
      <w:r w:rsidR="00527D10">
        <w:rPr>
          <w:lang w:val="fr-FR"/>
        </w:rPr>
        <w:t> </w:t>
      </w:r>
      <w:r>
        <w:rPr>
          <w:lang w:val="fr-FR"/>
        </w:rPr>
        <w:t>B est intitulée « Méthode de mesurage de la résilience spécifique ». Cette annexe décrit une méthode d’essai en laboratoire, qui consiste à pénétrer un disque fait du matériau à l’essai avec une force appliquée de manière quasi statique, comme l’illustre le schéma ci</w:t>
      </w:r>
      <w:r w:rsidR="00527D10">
        <w:rPr>
          <w:lang w:val="fr-FR"/>
        </w:rPr>
        <w:noBreakHyphen/>
      </w:r>
      <w:r>
        <w:rPr>
          <w:lang w:val="fr-FR"/>
        </w:rPr>
        <w:t>dessous.</w:t>
      </w:r>
    </w:p>
    <w:p w14:paraId="4B1A2738" w14:textId="44B54C53" w:rsidR="00E15ACF" w:rsidRDefault="00527D10" w:rsidP="00E15ACF">
      <w:pPr>
        <w:pStyle w:val="SingleTxtG"/>
        <w:rPr>
          <w:sz w:val="22"/>
          <w:szCs w:val="22"/>
          <w:lang w:val="fr-FR"/>
        </w:rPr>
      </w:pPr>
      <w:r>
        <w:rPr>
          <w:noProof/>
        </w:rPr>
        <w:drawing>
          <wp:inline distT="0" distB="0" distL="0" distR="0" wp14:anchorId="5AF0A048" wp14:editId="10CAA50E">
            <wp:extent cx="3312000" cy="2531615"/>
            <wp:effectExtent l="0" t="0" r="0" b="2540"/>
            <wp:docPr id="21" name="Graphiqu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96DAC541-7B7A-43D3-8B79-37D633B846F1}">
                          <asvg:svgBlip xmlns:asvg="http://schemas.microsoft.com/office/drawing/2016/SVG/main" r:embed="rId10"/>
                        </a:ext>
                      </a:extLst>
                    </a:blip>
                    <a:srcRect l="14788" t="2089" r="-3271" b="32984"/>
                    <a:stretch/>
                  </pic:blipFill>
                  <pic:spPr bwMode="auto">
                    <a:xfrm>
                      <a:off x="0" y="0"/>
                      <a:ext cx="3312000" cy="2531615"/>
                    </a:xfrm>
                    <a:prstGeom prst="rect">
                      <a:avLst/>
                    </a:prstGeom>
                    <a:ln>
                      <a:noFill/>
                    </a:ln>
                    <a:extLst>
                      <a:ext uri="{53640926-AAD7-44D8-BBD7-CCE9431645EC}">
                        <a14:shadowObscured xmlns:a14="http://schemas.microsoft.com/office/drawing/2010/main"/>
                      </a:ext>
                    </a:extLst>
                  </pic:spPr>
                </pic:pic>
              </a:graphicData>
            </a:graphic>
          </wp:inline>
        </w:drawing>
      </w:r>
    </w:p>
    <w:p w14:paraId="7A3DD43B" w14:textId="203B7067" w:rsidR="00527D10" w:rsidRPr="00527D10" w:rsidRDefault="00527D10" w:rsidP="00103ECF">
      <w:pPr>
        <w:pStyle w:val="SingleTxtG"/>
        <w:ind w:firstLine="170"/>
        <w:rPr>
          <w:sz w:val="18"/>
          <w:szCs w:val="18"/>
          <w:lang w:val="fr-FR"/>
        </w:rPr>
      </w:pPr>
      <w:r w:rsidRPr="00527D10">
        <w:rPr>
          <w:sz w:val="18"/>
          <w:szCs w:val="18"/>
          <w:lang w:val="fr-FR"/>
        </w:rPr>
        <w:t>Légende :</w:t>
      </w:r>
    </w:p>
    <w:p w14:paraId="1C7BB3A0" w14:textId="157A56D5" w:rsidR="00527D10" w:rsidRPr="00527D10" w:rsidRDefault="00527D10" w:rsidP="00527D10">
      <w:pPr>
        <w:pStyle w:val="SingleTxtG"/>
        <w:spacing w:after="0"/>
        <w:ind w:firstLine="170"/>
        <w:rPr>
          <w:sz w:val="18"/>
          <w:szCs w:val="18"/>
          <w:lang w:val="fr-FR"/>
        </w:rPr>
      </w:pPr>
      <w:proofErr w:type="gramStart"/>
      <w:r w:rsidRPr="00C9395A">
        <w:rPr>
          <w:sz w:val="18"/>
          <w:szCs w:val="18"/>
          <w:lang w:val="fr-FR"/>
        </w:rPr>
        <w:t>1</w:t>
      </w:r>
      <w:r w:rsidRPr="00527D10">
        <w:rPr>
          <w:sz w:val="18"/>
          <w:szCs w:val="18"/>
          <w:lang w:val="fr-FR"/>
        </w:rPr>
        <w:t xml:space="preserve">  Pour</w:t>
      </w:r>
      <w:proofErr w:type="gramEnd"/>
      <w:r w:rsidRPr="00527D10">
        <w:rPr>
          <w:sz w:val="18"/>
          <w:szCs w:val="18"/>
          <w:lang w:val="fr-FR"/>
        </w:rPr>
        <w:t xml:space="preserve"> les plaques d’essai non métalliques seulement </w:t>
      </w:r>
      <w:r>
        <w:rPr>
          <w:sz w:val="18"/>
          <w:szCs w:val="18"/>
          <w:lang w:val="fr-FR"/>
        </w:rPr>
        <w:t>−</w:t>
      </w:r>
      <w:r w:rsidRPr="00527D10">
        <w:rPr>
          <w:sz w:val="18"/>
          <w:szCs w:val="18"/>
          <w:lang w:val="fr-FR"/>
        </w:rPr>
        <w:t xml:space="preserve"> utiliser le manchon du boulon de blocage</w:t>
      </w:r>
      <w:r>
        <w:rPr>
          <w:sz w:val="18"/>
          <w:szCs w:val="18"/>
          <w:lang w:val="fr-FR"/>
        </w:rPr>
        <w:t>.</w:t>
      </w:r>
    </w:p>
    <w:p w14:paraId="50A6CBAE" w14:textId="1161E181" w:rsidR="00527D10" w:rsidRPr="00527D10" w:rsidRDefault="00527D10" w:rsidP="00527D10">
      <w:pPr>
        <w:pStyle w:val="SingleTxtG"/>
        <w:spacing w:after="0"/>
        <w:ind w:firstLine="170"/>
        <w:rPr>
          <w:sz w:val="18"/>
          <w:szCs w:val="18"/>
          <w:lang w:val="fr-FR"/>
        </w:rPr>
      </w:pPr>
      <w:proofErr w:type="gramStart"/>
      <w:r w:rsidRPr="00C9395A">
        <w:rPr>
          <w:sz w:val="18"/>
          <w:szCs w:val="18"/>
          <w:lang w:val="fr-FR"/>
        </w:rPr>
        <w:t>2</w:t>
      </w:r>
      <w:r w:rsidRPr="00527D10">
        <w:rPr>
          <w:sz w:val="18"/>
          <w:szCs w:val="18"/>
          <w:lang w:val="fr-FR"/>
        </w:rPr>
        <w:t xml:space="preserve">  Force</w:t>
      </w:r>
      <w:proofErr w:type="gramEnd"/>
      <w:r w:rsidRPr="00527D10">
        <w:rPr>
          <w:sz w:val="18"/>
          <w:szCs w:val="18"/>
          <w:lang w:val="fr-FR"/>
        </w:rPr>
        <w:t xml:space="preserve"> d’essai F</w:t>
      </w:r>
      <w:r>
        <w:rPr>
          <w:sz w:val="18"/>
          <w:szCs w:val="18"/>
          <w:lang w:val="fr-FR"/>
        </w:rPr>
        <w:t>.</w:t>
      </w:r>
    </w:p>
    <w:p w14:paraId="29E0A1C9" w14:textId="7314C736" w:rsidR="00527D10" w:rsidRPr="00527D10" w:rsidRDefault="00527D10" w:rsidP="00527D10">
      <w:pPr>
        <w:pStyle w:val="SingleTxtG"/>
        <w:spacing w:after="0"/>
        <w:ind w:firstLine="170"/>
        <w:rPr>
          <w:sz w:val="18"/>
          <w:szCs w:val="18"/>
          <w:lang w:val="fr-FR"/>
        </w:rPr>
      </w:pPr>
      <w:proofErr w:type="gramStart"/>
      <w:r w:rsidRPr="00C9395A">
        <w:rPr>
          <w:sz w:val="18"/>
          <w:szCs w:val="18"/>
          <w:lang w:val="fr-FR"/>
        </w:rPr>
        <w:t>3</w:t>
      </w:r>
      <w:r w:rsidRPr="00527D10">
        <w:rPr>
          <w:sz w:val="18"/>
          <w:szCs w:val="18"/>
          <w:lang w:val="fr-FR"/>
        </w:rPr>
        <w:t xml:space="preserve">  Barreau</w:t>
      </w:r>
      <w:proofErr w:type="gramEnd"/>
      <w:r w:rsidRPr="00527D10">
        <w:rPr>
          <w:sz w:val="18"/>
          <w:szCs w:val="18"/>
          <w:lang w:val="fr-FR"/>
        </w:rPr>
        <w:t xml:space="preserve"> d’essai</w:t>
      </w:r>
      <w:r>
        <w:rPr>
          <w:sz w:val="18"/>
          <w:szCs w:val="18"/>
          <w:lang w:val="fr-FR"/>
        </w:rPr>
        <w:t>.</w:t>
      </w:r>
    </w:p>
    <w:p w14:paraId="29AB721D" w14:textId="7F2B490A" w:rsidR="00527D10" w:rsidRPr="00527D10" w:rsidRDefault="00527D10" w:rsidP="00527D10">
      <w:pPr>
        <w:pStyle w:val="SingleTxtG"/>
        <w:spacing w:after="0"/>
        <w:ind w:firstLine="170"/>
        <w:rPr>
          <w:sz w:val="18"/>
          <w:szCs w:val="18"/>
          <w:lang w:val="fr-FR"/>
        </w:rPr>
      </w:pPr>
      <w:proofErr w:type="gramStart"/>
      <w:r w:rsidRPr="00C9395A">
        <w:rPr>
          <w:sz w:val="18"/>
          <w:szCs w:val="18"/>
          <w:lang w:val="fr-FR"/>
        </w:rPr>
        <w:t>4</w:t>
      </w:r>
      <w:r w:rsidRPr="00527D10">
        <w:rPr>
          <w:sz w:val="18"/>
          <w:szCs w:val="18"/>
          <w:lang w:val="fr-FR"/>
        </w:rPr>
        <w:t xml:space="preserve">  Bague</w:t>
      </w:r>
      <w:proofErr w:type="gramEnd"/>
      <w:r w:rsidRPr="00527D10">
        <w:rPr>
          <w:sz w:val="18"/>
          <w:szCs w:val="18"/>
          <w:lang w:val="fr-FR"/>
        </w:rPr>
        <w:t xml:space="preserve"> de serrage</w:t>
      </w:r>
      <w:r>
        <w:rPr>
          <w:sz w:val="18"/>
          <w:szCs w:val="18"/>
          <w:lang w:val="fr-FR"/>
        </w:rPr>
        <w:t>.</w:t>
      </w:r>
    </w:p>
    <w:p w14:paraId="31459110" w14:textId="71215AFA" w:rsidR="00527D10" w:rsidRPr="00527D10" w:rsidRDefault="00527D10" w:rsidP="00527D10">
      <w:pPr>
        <w:pStyle w:val="SingleTxtG"/>
        <w:spacing w:after="0"/>
        <w:ind w:firstLine="170"/>
        <w:rPr>
          <w:sz w:val="18"/>
          <w:szCs w:val="18"/>
          <w:lang w:val="fr-FR"/>
        </w:rPr>
      </w:pPr>
      <w:proofErr w:type="gramStart"/>
      <w:r w:rsidRPr="00C9395A">
        <w:rPr>
          <w:sz w:val="18"/>
          <w:szCs w:val="18"/>
          <w:lang w:val="fr-FR"/>
        </w:rPr>
        <w:t>5</w:t>
      </w:r>
      <w:r w:rsidRPr="00527D10">
        <w:rPr>
          <w:sz w:val="18"/>
          <w:szCs w:val="18"/>
          <w:lang w:val="fr-FR"/>
        </w:rPr>
        <w:t xml:space="preserve">  </w:t>
      </w:r>
      <w:r w:rsidR="00A03DF8">
        <w:rPr>
          <w:sz w:val="18"/>
          <w:szCs w:val="18"/>
          <w:lang w:val="fr-FR"/>
        </w:rPr>
        <w:t>Vingt</w:t>
      </w:r>
      <w:proofErr w:type="gramEnd"/>
      <w:r w:rsidRPr="00527D10">
        <w:rPr>
          <w:sz w:val="18"/>
          <w:szCs w:val="18"/>
          <w:lang w:val="fr-FR"/>
        </w:rPr>
        <w:t xml:space="preserve"> boulons et écrous M12 x 1.75 (grade 8.8)</w:t>
      </w:r>
      <w:r>
        <w:rPr>
          <w:sz w:val="18"/>
          <w:szCs w:val="18"/>
          <w:lang w:val="fr-FR"/>
        </w:rPr>
        <w:t>.</w:t>
      </w:r>
    </w:p>
    <w:p w14:paraId="54DAD413" w14:textId="5CECC350" w:rsidR="00527D10" w:rsidRPr="00527D10" w:rsidRDefault="00527D10" w:rsidP="00527D10">
      <w:pPr>
        <w:pStyle w:val="SingleTxtG"/>
        <w:spacing w:after="0"/>
        <w:ind w:firstLine="170"/>
        <w:rPr>
          <w:sz w:val="18"/>
          <w:szCs w:val="18"/>
        </w:rPr>
      </w:pPr>
      <w:proofErr w:type="gramStart"/>
      <w:r w:rsidRPr="00C9395A">
        <w:rPr>
          <w:sz w:val="18"/>
          <w:szCs w:val="18"/>
          <w:lang w:val="fr-FR"/>
        </w:rPr>
        <w:t>6</w:t>
      </w:r>
      <w:r w:rsidRPr="00527D10">
        <w:rPr>
          <w:sz w:val="18"/>
          <w:szCs w:val="18"/>
          <w:lang w:val="fr-FR"/>
        </w:rPr>
        <w:t xml:space="preserve">  Plaque</w:t>
      </w:r>
      <w:proofErr w:type="gramEnd"/>
      <w:r w:rsidRPr="00527D10">
        <w:rPr>
          <w:sz w:val="18"/>
          <w:szCs w:val="18"/>
          <w:lang w:val="fr-FR"/>
        </w:rPr>
        <w:t xml:space="preserve"> d’essai</w:t>
      </w:r>
      <w:r>
        <w:rPr>
          <w:sz w:val="18"/>
          <w:szCs w:val="18"/>
          <w:lang w:val="fr-FR"/>
        </w:rPr>
        <w:t>.</w:t>
      </w:r>
    </w:p>
    <w:p w14:paraId="2353DD29" w14:textId="020DBDB7" w:rsidR="00527D10" w:rsidRPr="00527D10" w:rsidRDefault="00527D10" w:rsidP="00103ECF">
      <w:pPr>
        <w:pStyle w:val="SingleTxtG"/>
        <w:spacing w:after="240"/>
        <w:ind w:firstLine="170"/>
        <w:rPr>
          <w:sz w:val="18"/>
          <w:szCs w:val="18"/>
          <w:lang w:val="fr-FR"/>
        </w:rPr>
      </w:pPr>
      <w:proofErr w:type="gramStart"/>
      <w:r w:rsidRPr="00C9395A">
        <w:rPr>
          <w:sz w:val="18"/>
          <w:szCs w:val="18"/>
          <w:lang w:val="fr-FR"/>
        </w:rPr>
        <w:t>7</w:t>
      </w:r>
      <w:r w:rsidRPr="00527D10">
        <w:rPr>
          <w:sz w:val="18"/>
          <w:szCs w:val="18"/>
          <w:lang w:val="fr-FR"/>
        </w:rPr>
        <w:t xml:space="preserve">  Base</w:t>
      </w:r>
      <w:proofErr w:type="gramEnd"/>
      <w:r>
        <w:rPr>
          <w:sz w:val="18"/>
          <w:szCs w:val="18"/>
          <w:lang w:val="fr-FR"/>
        </w:rPr>
        <w:t>.</w:t>
      </w:r>
    </w:p>
    <w:p w14:paraId="775BCCDD" w14:textId="12ADBE97" w:rsidR="00E15ACF" w:rsidRPr="00A96FFC" w:rsidRDefault="00E15ACF" w:rsidP="00E15ACF">
      <w:pPr>
        <w:pStyle w:val="SingleTxtG"/>
        <w:rPr>
          <w:lang w:val="fr-FR"/>
        </w:rPr>
      </w:pPr>
      <w:r>
        <w:rPr>
          <w:lang w:val="fr-FR"/>
        </w:rPr>
        <w:t>16.</w:t>
      </w:r>
      <w:r>
        <w:rPr>
          <w:lang w:val="fr-FR"/>
        </w:rPr>
        <w:tab/>
        <w:t>C’est en utilisant des équipements de ce type que le BAM a établi le tableau ci-après, qui montre la capacité d’absorption d’énergie de différents métaux en mégajoules (MJ). Ce</w:t>
      </w:r>
      <w:r w:rsidR="00103ECF">
        <w:rPr>
          <w:lang w:val="fr-FR"/>
        </w:rPr>
        <w:t> </w:t>
      </w:r>
      <w:r>
        <w:rPr>
          <w:lang w:val="fr-FR"/>
        </w:rPr>
        <w:t>tableau tel qu’il figure dans le document de recherche du BAM est reproduit à l’annexe</w:t>
      </w:r>
      <w:r w:rsidR="00103ECF">
        <w:rPr>
          <w:lang w:val="fr-FR"/>
        </w:rPr>
        <w:t> </w:t>
      </w:r>
      <w:r>
        <w:rPr>
          <w:lang w:val="fr-FR"/>
        </w:rPr>
        <w:t>I du présent document.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5"/>
        <w:gridCol w:w="1548"/>
        <w:gridCol w:w="1553"/>
        <w:gridCol w:w="2714"/>
      </w:tblGrid>
      <w:tr w:rsidR="00057DE6" w:rsidRPr="00103ECF" w14:paraId="6B53A346" w14:textId="77777777" w:rsidTr="00057DE6">
        <w:trPr>
          <w:tblHeader/>
        </w:trPr>
        <w:tc>
          <w:tcPr>
            <w:tcW w:w="1555" w:type="dxa"/>
            <w:shd w:val="clear" w:color="auto" w:fill="auto"/>
            <w:vAlign w:val="center"/>
            <w:hideMark/>
          </w:tcPr>
          <w:p w14:paraId="17CF432F" w14:textId="77777777" w:rsidR="00E15ACF" w:rsidRPr="00103ECF" w:rsidRDefault="00E15ACF" w:rsidP="00103ECF">
            <w:pPr>
              <w:suppressAutoHyphens w:val="0"/>
              <w:spacing w:before="40" w:after="40" w:line="220" w:lineRule="exact"/>
              <w:ind w:left="170" w:right="170"/>
              <w:jc w:val="center"/>
              <w:rPr>
                <w:rFonts w:eastAsia="Calibri"/>
                <w:i/>
                <w:sz w:val="16"/>
              </w:rPr>
            </w:pPr>
            <w:r w:rsidRPr="00103ECF">
              <w:rPr>
                <w:sz w:val="18"/>
                <w:lang w:val="fr-FR"/>
              </w:rPr>
              <w:t>Métal</w:t>
            </w:r>
          </w:p>
        </w:tc>
        <w:tc>
          <w:tcPr>
            <w:tcW w:w="1548" w:type="dxa"/>
            <w:shd w:val="clear" w:color="auto" w:fill="auto"/>
            <w:vAlign w:val="center"/>
            <w:hideMark/>
          </w:tcPr>
          <w:p w14:paraId="05511029" w14:textId="77777777" w:rsidR="00E15ACF" w:rsidRPr="00103ECF" w:rsidRDefault="00E15ACF" w:rsidP="00103ECF">
            <w:pPr>
              <w:suppressAutoHyphens w:val="0"/>
              <w:spacing w:before="40" w:after="40" w:line="220" w:lineRule="exact"/>
              <w:ind w:left="170" w:right="170"/>
              <w:jc w:val="center"/>
              <w:rPr>
                <w:sz w:val="18"/>
                <w:lang w:val="fr-FR"/>
              </w:rPr>
            </w:pPr>
            <w:proofErr w:type="gramStart"/>
            <w:r w:rsidRPr="00103ECF">
              <w:rPr>
                <w:sz w:val="18"/>
                <w:lang w:val="fr-FR"/>
              </w:rPr>
              <w:t>e</w:t>
            </w:r>
            <w:proofErr w:type="gramEnd"/>
            <w:r w:rsidRPr="00103ECF">
              <w:rPr>
                <w:sz w:val="18"/>
                <w:lang w:val="fr-FR"/>
              </w:rPr>
              <w:t xml:space="preserve"> [mm]</w:t>
            </w:r>
          </w:p>
        </w:tc>
        <w:tc>
          <w:tcPr>
            <w:tcW w:w="1553" w:type="dxa"/>
            <w:shd w:val="clear" w:color="auto" w:fill="auto"/>
            <w:vAlign w:val="center"/>
            <w:hideMark/>
          </w:tcPr>
          <w:p w14:paraId="11E59D36" w14:textId="77777777"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W [MJ]</w:t>
            </w:r>
          </w:p>
        </w:tc>
        <w:tc>
          <w:tcPr>
            <w:tcW w:w="2714" w:type="dxa"/>
            <w:shd w:val="clear" w:color="auto" w:fill="auto"/>
            <w:vAlign w:val="center"/>
            <w:hideMark/>
          </w:tcPr>
          <w:p w14:paraId="6A160F3E" w14:textId="25020760"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N.f.St.</w:t>
            </w:r>
            <w:r w:rsidR="00057DE6">
              <w:rPr>
                <w:sz w:val="18"/>
                <w:lang w:val="fr-FR"/>
              </w:rPr>
              <w:t xml:space="preserve"> </w:t>
            </w:r>
            <w:r w:rsidR="00057DE6">
              <w:rPr>
                <w:sz w:val="18"/>
                <w:lang w:val="fr-FR"/>
              </w:rPr>
              <w:br/>
            </w:r>
            <w:r w:rsidRPr="00103ECF">
              <w:rPr>
                <w:sz w:val="18"/>
                <w:lang w:val="fr-FR"/>
              </w:rPr>
              <w:t>Résilience spécifique normalisée sur la</w:t>
            </w:r>
            <w:r w:rsidR="00103ECF" w:rsidRPr="00103ECF">
              <w:rPr>
                <w:sz w:val="18"/>
                <w:lang w:val="fr-FR"/>
              </w:rPr>
              <w:t xml:space="preserve"> </w:t>
            </w:r>
            <w:r w:rsidRPr="00103ECF">
              <w:rPr>
                <w:sz w:val="18"/>
                <w:lang w:val="fr-FR"/>
              </w:rPr>
              <w:t>base</w:t>
            </w:r>
            <w:r w:rsidR="00103ECF">
              <w:rPr>
                <w:sz w:val="18"/>
                <w:lang w:val="fr-FR"/>
              </w:rPr>
              <w:t xml:space="preserve"> </w:t>
            </w:r>
            <w:r w:rsidRPr="00103ECF">
              <w:rPr>
                <w:sz w:val="18"/>
                <w:lang w:val="fr-FR"/>
              </w:rPr>
              <w:t>suivante</w:t>
            </w:r>
            <w:r w:rsidR="00103ECF" w:rsidRPr="00103ECF">
              <w:rPr>
                <w:sz w:val="18"/>
                <w:lang w:val="fr-FR"/>
              </w:rPr>
              <w:t> </w:t>
            </w:r>
            <w:r w:rsidRPr="00103ECF">
              <w:rPr>
                <w:sz w:val="18"/>
                <w:lang w:val="fr-FR"/>
              </w:rPr>
              <w:t>:</w:t>
            </w:r>
            <w:r w:rsidR="00103ECF" w:rsidRPr="00103ECF">
              <w:rPr>
                <w:sz w:val="18"/>
                <w:lang w:val="fr-FR"/>
              </w:rPr>
              <w:t xml:space="preserve"> </w:t>
            </w:r>
            <w:r w:rsidR="00103ECF" w:rsidRPr="00103ECF">
              <w:rPr>
                <w:sz w:val="18"/>
                <w:lang w:val="fr-FR"/>
              </w:rPr>
              <w:br/>
            </w:r>
            <w:r w:rsidRPr="00103ECF">
              <w:rPr>
                <w:sz w:val="18"/>
                <w:lang w:val="fr-FR"/>
              </w:rPr>
              <w:t>6</w:t>
            </w:r>
            <w:r w:rsidR="00103ECF" w:rsidRPr="00103ECF">
              <w:rPr>
                <w:sz w:val="18"/>
                <w:lang w:val="fr-FR"/>
              </w:rPr>
              <w:t> </w:t>
            </w:r>
            <w:r w:rsidRPr="00103ECF">
              <w:rPr>
                <w:sz w:val="18"/>
                <w:lang w:val="fr-FR"/>
              </w:rPr>
              <w:t>mm d’acier doux = 1</w:t>
            </w:r>
          </w:p>
        </w:tc>
      </w:tr>
      <w:tr w:rsidR="00057DE6" w:rsidRPr="00103ECF" w14:paraId="195FB8BB" w14:textId="77777777" w:rsidTr="00057DE6">
        <w:tc>
          <w:tcPr>
            <w:tcW w:w="1555" w:type="dxa"/>
            <w:vMerge w:val="restart"/>
            <w:shd w:val="clear" w:color="auto" w:fill="auto"/>
            <w:hideMark/>
          </w:tcPr>
          <w:p w14:paraId="02ABA7E6" w14:textId="77777777" w:rsidR="00E15ACF" w:rsidRPr="00103ECF" w:rsidRDefault="00E15ACF" w:rsidP="00103ECF">
            <w:pPr>
              <w:suppressAutoHyphens w:val="0"/>
              <w:spacing w:before="40" w:after="40" w:line="220" w:lineRule="exact"/>
              <w:ind w:left="170" w:right="170"/>
              <w:jc w:val="center"/>
              <w:rPr>
                <w:rFonts w:eastAsia="Calibri"/>
                <w:sz w:val="18"/>
              </w:rPr>
            </w:pPr>
            <w:r w:rsidRPr="00103ECF">
              <w:rPr>
                <w:sz w:val="18"/>
                <w:lang w:val="fr-FR"/>
              </w:rPr>
              <w:t>Al Mg 4,5 Mn</w:t>
            </w:r>
          </w:p>
        </w:tc>
        <w:tc>
          <w:tcPr>
            <w:tcW w:w="1548" w:type="dxa"/>
            <w:shd w:val="clear" w:color="auto" w:fill="auto"/>
            <w:vAlign w:val="bottom"/>
            <w:hideMark/>
          </w:tcPr>
          <w:p w14:paraId="0E54D296" w14:textId="77777777"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4,0</w:t>
            </w:r>
          </w:p>
        </w:tc>
        <w:tc>
          <w:tcPr>
            <w:tcW w:w="1553" w:type="dxa"/>
            <w:shd w:val="clear" w:color="auto" w:fill="auto"/>
            <w:vAlign w:val="bottom"/>
            <w:hideMark/>
          </w:tcPr>
          <w:p w14:paraId="671F8887" w14:textId="77777777"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4</w:t>
            </w:r>
          </w:p>
        </w:tc>
        <w:tc>
          <w:tcPr>
            <w:tcW w:w="2714" w:type="dxa"/>
            <w:shd w:val="clear" w:color="auto" w:fill="auto"/>
            <w:vAlign w:val="bottom"/>
            <w:hideMark/>
          </w:tcPr>
          <w:p w14:paraId="3FC59130" w14:textId="77777777"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0,18</w:t>
            </w:r>
          </w:p>
        </w:tc>
      </w:tr>
      <w:tr w:rsidR="00057DE6" w:rsidRPr="00103ECF" w14:paraId="1FF5442D" w14:textId="77777777" w:rsidTr="00057DE6">
        <w:tc>
          <w:tcPr>
            <w:tcW w:w="1555" w:type="dxa"/>
            <w:vMerge/>
            <w:shd w:val="clear" w:color="auto" w:fill="auto"/>
            <w:hideMark/>
          </w:tcPr>
          <w:p w14:paraId="083E8CB1" w14:textId="77777777" w:rsidR="00E15ACF" w:rsidRPr="00103ECF" w:rsidRDefault="00E15ACF" w:rsidP="00103ECF">
            <w:pPr>
              <w:suppressAutoHyphens w:val="0"/>
              <w:spacing w:before="40" w:after="40" w:line="220" w:lineRule="exact"/>
              <w:ind w:left="170" w:right="170"/>
              <w:jc w:val="center"/>
              <w:rPr>
                <w:rFonts w:eastAsia="Calibri"/>
                <w:sz w:val="18"/>
              </w:rPr>
            </w:pPr>
          </w:p>
        </w:tc>
        <w:tc>
          <w:tcPr>
            <w:tcW w:w="1548" w:type="dxa"/>
            <w:shd w:val="clear" w:color="auto" w:fill="auto"/>
            <w:vAlign w:val="bottom"/>
            <w:hideMark/>
          </w:tcPr>
          <w:p w14:paraId="62A822F6" w14:textId="77777777"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5,2</w:t>
            </w:r>
          </w:p>
        </w:tc>
        <w:tc>
          <w:tcPr>
            <w:tcW w:w="1553" w:type="dxa"/>
            <w:shd w:val="clear" w:color="auto" w:fill="auto"/>
            <w:vAlign w:val="bottom"/>
            <w:hideMark/>
          </w:tcPr>
          <w:p w14:paraId="67522E34" w14:textId="77777777"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7</w:t>
            </w:r>
          </w:p>
        </w:tc>
        <w:tc>
          <w:tcPr>
            <w:tcW w:w="2714" w:type="dxa"/>
            <w:shd w:val="clear" w:color="auto" w:fill="auto"/>
            <w:vAlign w:val="bottom"/>
            <w:hideMark/>
          </w:tcPr>
          <w:p w14:paraId="56C35DE0" w14:textId="77777777"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0,32</w:t>
            </w:r>
          </w:p>
        </w:tc>
      </w:tr>
      <w:tr w:rsidR="00057DE6" w:rsidRPr="00103ECF" w14:paraId="372D5AFF" w14:textId="77777777" w:rsidTr="00057DE6">
        <w:tc>
          <w:tcPr>
            <w:tcW w:w="1555" w:type="dxa"/>
            <w:vMerge/>
            <w:shd w:val="clear" w:color="auto" w:fill="auto"/>
            <w:hideMark/>
          </w:tcPr>
          <w:p w14:paraId="1F45381C" w14:textId="77777777" w:rsidR="00E15ACF" w:rsidRPr="00103ECF" w:rsidRDefault="00E15ACF" w:rsidP="00103ECF">
            <w:pPr>
              <w:suppressAutoHyphens w:val="0"/>
              <w:spacing w:before="40" w:after="40" w:line="220" w:lineRule="exact"/>
              <w:ind w:left="170" w:right="170"/>
              <w:jc w:val="center"/>
              <w:rPr>
                <w:rFonts w:eastAsia="Calibri"/>
                <w:sz w:val="18"/>
              </w:rPr>
            </w:pPr>
          </w:p>
        </w:tc>
        <w:tc>
          <w:tcPr>
            <w:tcW w:w="1548" w:type="dxa"/>
            <w:shd w:val="clear" w:color="auto" w:fill="auto"/>
            <w:vAlign w:val="bottom"/>
            <w:hideMark/>
          </w:tcPr>
          <w:p w14:paraId="3D8641C5" w14:textId="77777777"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7,8</w:t>
            </w:r>
          </w:p>
        </w:tc>
        <w:tc>
          <w:tcPr>
            <w:tcW w:w="1553" w:type="dxa"/>
            <w:shd w:val="clear" w:color="auto" w:fill="auto"/>
            <w:vAlign w:val="bottom"/>
            <w:hideMark/>
          </w:tcPr>
          <w:p w14:paraId="6295F3DD" w14:textId="77777777"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12</w:t>
            </w:r>
          </w:p>
        </w:tc>
        <w:tc>
          <w:tcPr>
            <w:tcW w:w="2714" w:type="dxa"/>
            <w:shd w:val="clear" w:color="auto" w:fill="auto"/>
            <w:vAlign w:val="bottom"/>
            <w:hideMark/>
          </w:tcPr>
          <w:p w14:paraId="2DB94233" w14:textId="77777777"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0,55</w:t>
            </w:r>
          </w:p>
        </w:tc>
      </w:tr>
      <w:tr w:rsidR="00057DE6" w:rsidRPr="00103ECF" w14:paraId="28270FB4" w14:textId="77777777" w:rsidTr="00057DE6">
        <w:tc>
          <w:tcPr>
            <w:tcW w:w="1555" w:type="dxa"/>
            <w:vMerge w:val="restart"/>
            <w:shd w:val="clear" w:color="auto" w:fill="auto"/>
            <w:hideMark/>
          </w:tcPr>
          <w:p w14:paraId="6208B284" w14:textId="77777777" w:rsidR="00E15ACF" w:rsidRPr="00103ECF" w:rsidRDefault="00E15ACF" w:rsidP="00103ECF">
            <w:pPr>
              <w:suppressAutoHyphens w:val="0"/>
              <w:spacing w:before="40" w:after="40" w:line="220" w:lineRule="exact"/>
              <w:ind w:left="170" w:right="170"/>
              <w:jc w:val="center"/>
              <w:rPr>
                <w:rFonts w:eastAsia="Calibri"/>
                <w:sz w:val="18"/>
              </w:rPr>
            </w:pPr>
            <w:r w:rsidRPr="00103ECF">
              <w:rPr>
                <w:sz w:val="18"/>
                <w:lang w:val="fr-FR"/>
              </w:rPr>
              <w:t>Acier doux</w:t>
            </w:r>
          </w:p>
        </w:tc>
        <w:tc>
          <w:tcPr>
            <w:tcW w:w="1548" w:type="dxa"/>
            <w:shd w:val="clear" w:color="auto" w:fill="auto"/>
            <w:vAlign w:val="bottom"/>
            <w:hideMark/>
          </w:tcPr>
          <w:p w14:paraId="02B54F8B" w14:textId="77777777"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3,0</w:t>
            </w:r>
          </w:p>
        </w:tc>
        <w:tc>
          <w:tcPr>
            <w:tcW w:w="1553" w:type="dxa"/>
            <w:shd w:val="clear" w:color="auto" w:fill="auto"/>
            <w:vAlign w:val="bottom"/>
            <w:hideMark/>
          </w:tcPr>
          <w:p w14:paraId="00B935F5" w14:textId="77777777"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10</w:t>
            </w:r>
          </w:p>
        </w:tc>
        <w:tc>
          <w:tcPr>
            <w:tcW w:w="2714" w:type="dxa"/>
            <w:shd w:val="clear" w:color="auto" w:fill="auto"/>
            <w:vAlign w:val="bottom"/>
            <w:hideMark/>
          </w:tcPr>
          <w:p w14:paraId="5C579CCB" w14:textId="77777777"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0,45</w:t>
            </w:r>
          </w:p>
        </w:tc>
      </w:tr>
      <w:tr w:rsidR="00057DE6" w:rsidRPr="00103ECF" w14:paraId="417A7130" w14:textId="77777777" w:rsidTr="00057DE6">
        <w:tc>
          <w:tcPr>
            <w:tcW w:w="1555" w:type="dxa"/>
            <w:vMerge/>
            <w:shd w:val="clear" w:color="auto" w:fill="auto"/>
            <w:hideMark/>
          </w:tcPr>
          <w:p w14:paraId="7D922BB4" w14:textId="77777777" w:rsidR="00E15ACF" w:rsidRPr="00103ECF" w:rsidRDefault="00E15ACF" w:rsidP="00103ECF">
            <w:pPr>
              <w:suppressAutoHyphens w:val="0"/>
              <w:spacing w:before="40" w:after="40" w:line="220" w:lineRule="exact"/>
              <w:ind w:left="170" w:right="170"/>
              <w:jc w:val="center"/>
              <w:rPr>
                <w:rFonts w:eastAsia="Calibri"/>
                <w:sz w:val="18"/>
              </w:rPr>
            </w:pPr>
          </w:p>
        </w:tc>
        <w:tc>
          <w:tcPr>
            <w:tcW w:w="1548" w:type="dxa"/>
            <w:shd w:val="clear" w:color="auto" w:fill="auto"/>
            <w:vAlign w:val="bottom"/>
            <w:hideMark/>
          </w:tcPr>
          <w:p w14:paraId="6BA384E2" w14:textId="77777777"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5,0</w:t>
            </w:r>
          </w:p>
        </w:tc>
        <w:tc>
          <w:tcPr>
            <w:tcW w:w="1553" w:type="dxa"/>
            <w:shd w:val="clear" w:color="auto" w:fill="auto"/>
            <w:vAlign w:val="bottom"/>
            <w:hideMark/>
          </w:tcPr>
          <w:p w14:paraId="7B2DD2E6" w14:textId="77777777"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17</w:t>
            </w:r>
          </w:p>
        </w:tc>
        <w:tc>
          <w:tcPr>
            <w:tcW w:w="2714" w:type="dxa"/>
            <w:shd w:val="clear" w:color="auto" w:fill="auto"/>
            <w:vAlign w:val="bottom"/>
            <w:hideMark/>
          </w:tcPr>
          <w:p w14:paraId="2800CB0D" w14:textId="77777777"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0,77</w:t>
            </w:r>
          </w:p>
        </w:tc>
      </w:tr>
      <w:tr w:rsidR="00057DE6" w:rsidRPr="00103ECF" w14:paraId="5990EA40" w14:textId="77777777" w:rsidTr="00057DE6">
        <w:tc>
          <w:tcPr>
            <w:tcW w:w="1555" w:type="dxa"/>
            <w:vMerge/>
            <w:shd w:val="clear" w:color="auto" w:fill="auto"/>
            <w:hideMark/>
          </w:tcPr>
          <w:p w14:paraId="11551283" w14:textId="77777777" w:rsidR="00E15ACF" w:rsidRPr="00103ECF" w:rsidRDefault="00E15ACF" w:rsidP="00103ECF">
            <w:pPr>
              <w:suppressAutoHyphens w:val="0"/>
              <w:spacing w:before="40" w:after="40" w:line="220" w:lineRule="exact"/>
              <w:ind w:left="170" w:right="170"/>
              <w:jc w:val="center"/>
              <w:rPr>
                <w:rFonts w:eastAsia="Calibri"/>
                <w:sz w:val="18"/>
              </w:rPr>
            </w:pPr>
          </w:p>
        </w:tc>
        <w:tc>
          <w:tcPr>
            <w:tcW w:w="1548" w:type="dxa"/>
            <w:shd w:val="clear" w:color="auto" w:fill="auto"/>
            <w:vAlign w:val="bottom"/>
            <w:hideMark/>
          </w:tcPr>
          <w:p w14:paraId="07B3D76D" w14:textId="77777777"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6,0</w:t>
            </w:r>
          </w:p>
        </w:tc>
        <w:tc>
          <w:tcPr>
            <w:tcW w:w="1553" w:type="dxa"/>
            <w:shd w:val="clear" w:color="auto" w:fill="auto"/>
            <w:vAlign w:val="bottom"/>
            <w:hideMark/>
          </w:tcPr>
          <w:p w14:paraId="195C2E0B" w14:textId="77777777"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22</w:t>
            </w:r>
          </w:p>
        </w:tc>
        <w:tc>
          <w:tcPr>
            <w:tcW w:w="2714" w:type="dxa"/>
            <w:shd w:val="clear" w:color="auto" w:fill="auto"/>
            <w:vAlign w:val="bottom"/>
            <w:hideMark/>
          </w:tcPr>
          <w:p w14:paraId="005F0D61" w14:textId="77777777"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1,00</w:t>
            </w:r>
          </w:p>
        </w:tc>
      </w:tr>
      <w:tr w:rsidR="00057DE6" w:rsidRPr="00103ECF" w14:paraId="6A81FDD1" w14:textId="77777777" w:rsidTr="00057DE6">
        <w:tc>
          <w:tcPr>
            <w:tcW w:w="1555" w:type="dxa"/>
            <w:vMerge w:val="restart"/>
            <w:shd w:val="clear" w:color="auto" w:fill="auto"/>
            <w:hideMark/>
          </w:tcPr>
          <w:p w14:paraId="277772F1" w14:textId="77777777" w:rsidR="00E15ACF" w:rsidRPr="00103ECF" w:rsidRDefault="00E15ACF" w:rsidP="00057DE6">
            <w:pPr>
              <w:keepNext/>
              <w:keepLines/>
              <w:suppressAutoHyphens w:val="0"/>
              <w:spacing w:before="40" w:after="40" w:line="220" w:lineRule="exact"/>
              <w:ind w:left="170" w:right="170"/>
              <w:jc w:val="center"/>
              <w:rPr>
                <w:rFonts w:eastAsia="Calibri"/>
                <w:sz w:val="18"/>
              </w:rPr>
            </w:pPr>
            <w:r w:rsidRPr="00103ECF">
              <w:rPr>
                <w:sz w:val="18"/>
                <w:lang w:val="fr-FR"/>
              </w:rPr>
              <w:lastRenderedPageBreak/>
              <w:t>Acier austénitique</w:t>
            </w:r>
          </w:p>
        </w:tc>
        <w:tc>
          <w:tcPr>
            <w:tcW w:w="1548" w:type="dxa"/>
            <w:shd w:val="clear" w:color="auto" w:fill="auto"/>
            <w:vAlign w:val="bottom"/>
            <w:hideMark/>
          </w:tcPr>
          <w:p w14:paraId="2C8159AC" w14:textId="77777777" w:rsidR="00E15ACF" w:rsidRPr="00103ECF" w:rsidRDefault="00E15ACF" w:rsidP="00057DE6">
            <w:pPr>
              <w:keepNext/>
              <w:keepLines/>
              <w:suppressAutoHyphens w:val="0"/>
              <w:spacing w:before="40" w:after="40" w:line="220" w:lineRule="exact"/>
              <w:ind w:left="170" w:right="170"/>
              <w:jc w:val="center"/>
              <w:rPr>
                <w:sz w:val="18"/>
                <w:lang w:val="fr-FR"/>
              </w:rPr>
            </w:pPr>
            <w:r w:rsidRPr="00103ECF">
              <w:rPr>
                <w:sz w:val="18"/>
                <w:lang w:val="fr-FR"/>
              </w:rPr>
              <w:t>3,0</w:t>
            </w:r>
          </w:p>
        </w:tc>
        <w:tc>
          <w:tcPr>
            <w:tcW w:w="1553" w:type="dxa"/>
            <w:shd w:val="clear" w:color="auto" w:fill="auto"/>
            <w:vAlign w:val="bottom"/>
            <w:hideMark/>
          </w:tcPr>
          <w:p w14:paraId="7959F851" w14:textId="77777777" w:rsidR="00E15ACF" w:rsidRPr="00103ECF" w:rsidRDefault="00E15ACF" w:rsidP="00057DE6">
            <w:pPr>
              <w:keepNext/>
              <w:keepLines/>
              <w:suppressAutoHyphens w:val="0"/>
              <w:spacing w:before="40" w:after="40" w:line="220" w:lineRule="exact"/>
              <w:ind w:left="170" w:right="170"/>
              <w:jc w:val="center"/>
              <w:rPr>
                <w:sz w:val="18"/>
                <w:lang w:val="fr-FR"/>
              </w:rPr>
            </w:pPr>
            <w:r w:rsidRPr="00103ECF">
              <w:rPr>
                <w:sz w:val="18"/>
                <w:lang w:val="fr-FR"/>
              </w:rPr>
              <w:t>28</w:t>
            </w:r>
          </w:p>
        </w:tc>
        <w:tc>
          <w:tcPr>
            <w:tcW w:w="2714" w:type="dxa"/>
            <w:shd w:val="clear" w:color="auto" w:fill="auto"/>
            <w:vAlign w:val="bottom"/>
            <w:hideMark/>
          </w:tcPr>
          <w:p w14:paraId="0B983DA8" w14:textId="77777777" w:rsidR="00E15ACF" w:rsidRPr="00103ECF" w:rsidRDefault="00E15ACF" w:rsidP="00057DE6">
            <w:pPr>
              <w:keepNext/>
              <w:keepLines/>
              <w:suppressAutoHyphens w:val="0"/>
              <w:spacing w:before="40" w:after="40" w:line="220" w:lineRule="exact"/>
              <w:ind w:left="170" w:right="170"/>
              <w:jc w:val="center"/>
              <w:rPr>
                <w:sz w:val="18"/>
                <w:lang w:val="fr-FR"/>
              </w:rPr>
            </w:pPr>
            <w:r w:rsidRPr="00103ECF">
              <w:rPr>
                <w:sz w:val="18"/>
                <w:lang w:val="fr-FR"/>
              </w:rPr>
              <w:t>1,27</w:t>
            </w:r>
          </w:p>
        </w:tc>
      </w:tr>
      <w:tr w:rsidR="00057DE6" w:rsidRPr="00103ECF" w14:paraId="50C57507" w14:textId="77777777" w:rsidTr="00057DE6">
        <w:tc>
          <w:tcPr>
            <w:tcW w:w="1555" w:type="dxa"/>
            <w:vMerge/>
            <w:shd w:val="clear" w:color="auto" w:fill="auto"/>
            <w:hideMark/>
          </w:tcPr>
          <w:p w14:paraId="17F32613" w14:textId="77777777" w:rsidR="00E15ACF" w:rsidRPr="00103ECF" w:rsidRDefault="00E15ACF" w:rsidP="00103ECF">
            <w:pPr>
              <w:suppressAutoHyphens w:val="0"/>
              <w:spacing w:before="40" w:after="40" w:line="220" w:lineRule="exact"/>
              <w:ind w:left="170" w:right="170"/>
              <w:jc w:val="center"/>
              <w:rPr>
                <w:rFonts w:eastAsia="Calibri"/>
                <w:sz w:val="18"/>
              </w:rPr>
            </w:pPr>
          </w:p>
        </w:tc>
        <w:tc>
          <w:tcPr>
            <w:tcW w:w="1548" w:type="dxa"/>
            <w:shd w:val="clear" w:color="auto" w:fill="auto"/>
            <w:vAlign w:val="bottom"/>
            <w:hideMark/>
          </w:tcPr>
          <w:p w14:paraId="66087700" w14:textId="77777777"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3,5</w:t>
            </w:r>
          </w:p>
        </w:tc>
        <w:tc>
          <w:tcPr>
            <w:tcW w:w="1553" w:type="dxa"/>
            <w:shd w:val="clear" w:color="auto" w:fill="auto"/>
            <w:vAlign w:val="bottom"/>
            <w:hideMark/>
          </w:tcPr>
          <w:p w14:paraId="6DCA1B81" w14:textId="77777777"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32</w:t>
            </w:r>
          </w:p>
        </w:tc>
        <w:tc>
          <w:tcPr>
            <w:tcW w:w="2714" w:type="dxa"/>
            <w:shd w:val="clear" w:color="auto" w:fill="auto"/>
            <w:vAlign w:val="bottom"/>
            <w:hideMark/>
          </w:tcPr>
          <w:p w14:paraId="7D8E2244" w14:textId="77777777" w:rsidR="00E15ACF" w:rsidRPr="00103ECF" w:rsidRDefault="00E15ACF" w:rsidP="00103ECF">
            <w:pPr>
              <w:suppressAutoHyphens w:val="0"/>
              <w:spacing w:before="40" w:after="40" w:line="220" w:lineRule="exact"/>
              <w:ind w:left="170" w:right="170"/>
              <w:jc w:val="center"/>
              <w:rPr>
                <w:sz w:val="18"/>
                <w:lang w:val="fr-FR"/>
              </w:rPr>
            </w:pPr>
            <w:r w:rsidRPr="00103ECF">
              <w:rPr>
                <w:sz w:val="18"/>
                <w:lang w:val="fr-FR"/>
              </w:rPr>
              <w:t>1,45</w:t>
            </w:r>
          </w:p>
        </w:tc>
      </w:tr>
    </w:tbl>
    <w:p w14:paraId="42275DCB" w14:textId="77777777" w:rsidR="00E15ACF" w:rsidRDefault="00E15ACF" w:rsidP="00103ECF">
      <w:pPr>
        <w:pStyle w:val="HChG"/>
      </w:pPr>
      <w:r>
        <w:rPr>
          <w:lang w:val="fr-FR"/>
        </w:rPr>
        <w:tab/>
      </w:r>
      <w:r>
        <w:rPr>
          <w:lang w:val="fr-FR"/>
        </w:rPr>
        <w:tab/>
        <w:t>Conclusion</w:t>
      </w:r>
    </w:p>
    <w:p w14:paraId="7B45FCD3" w14:textId="6629164E" w:rsidR="00E15ACF" w:rsidRPr="00A96FFC" w:rsidRDefault="00E15ACF" w:rsidP="00E15ACF">
      <w:pPr>
        <w:pStyle w:val="SingleTxtG"/>
        <w:rPr>
          <w:lang w:val="fr-FR"/>
        </w:rPr>
      </w:pPr>
      <w:r>
        <w:rPr>
          <w:lang w:val="fr-FR"/>
        </w:rPr>
        <w:t>17.</w:t>
      </w:r>
      <w:r>
        <w:rPr>
          <w:lang w:val="fr-FR"/>
        </w:rPr>
        <w:tab/>
        <w:t>Les règlements prévoient à la fois des méthodes analytiques et des méthodes fondées sur des essais en laboratoire pour déterminer si, en cas d’impact, un réservoir de citerne mobile en PRF offre un degré de sécurité équivalent, pour une épaisseur de paroi donnée, à</w:t>
      </w:r>
      <w:r w:rsidR="00246DD1">
        <w:rPr>
          <w:lang w:val="fr-FR"/>
        </w:rPr>
        <w:t> </w:t>
      </w:r>
      <w:r>
        <w:rPr>
          <w:lang w:val="fr-FR"/>
        </w:rPr>
        <w:t>celui d’un réservoir en acier de référence. Puisqu’il est considéré comme important que les matériaux métalliques soient évalués selon l’une de ces méthodes, les PRF devraient être évalués de la même manière avant de pouvoir être utilisés dans la construction de citernes mobiles. Par conséquent, la notion d</w:t>
      </w:r>
      <w:proofErr w:type="gramStart"/>
      <w:r>
        <w:rPr>
          <w:lang w:val="fr-FR"/>
        </w:rPr>
        <w:t>’«</w:t>
      </w:r>
      <w:proofErr w:type="gramEnd"/>
      <w:r>
        <w:rPr>
          <w:lang w:val="fr-FR"/>
        </w:rPr>
        <w:t> épaisseur équivalente » pourrait être utilisée pour réglementer l’épaisseur minimale des réservoirs métalliques et des réservoirs en PRF se rapportant aux instructions de transport en citerne mobile pour les « épaisseurs minimales équivalentes » à 6</w:t>
      </w:r>
      <w:r w:rsidR="00103ECF">
        <w:rPr>
          <w:lang w:val="fr-FR"/>
        </w:rPr>
        <w:t> </w:t>
      </w:r>
      <w:r>
        <w:rPr>
          <w:lang w:val="fr-FR"/>
        </w:rPr>
        <w:t>mm, 8</w:t>
      </w:r>
      <w:r w:rsidR="00103ECF">
        <w:rPr>
          <w:lang w:val="fr-FR"/>
        </w:rPr>
        <w:t> </w:t>
      </w:r>
      <w:r>
        <w:rPr>
          <w:lang w:val="fr-FR"/>
        </w:rPr>
        <w:t>mm et 10</w:t>
      </w:r>
      <w:r w:rsidR="00103ECF">
        <w:rPr>
          <w:lang w:val="fr-FR"/>
        </w:rPr>
        <w:t> </w:t>
      </w:r>
      <w:r>
        <w:rPr>
          <w:lang w:val="fr-FR"/>
        </w:rPr>
        <w:t>mm d’acier de référence.</w:t>
      </w:r>
    </w:p>
    <w:p w14:paraId="470120D0" w14:textId="77777777" w:rsidR="00E15ACF" w:rsidRPr="00A96FFC" w:rsidRDefault="00E15ACF" w:rsidP="00103ECF">
      <w:pPr>
        <w:pStyle w:val="HChG"/>
        <w:rPr>
          <w:lang w:val="fr-FR"/>
        </w:rPr>
      </w:pPr>
      <w:r>
        <w:rPr>
          <w:lang w:val="fr-FR"/>
        </w:rPr>
        <w:tab/>
      </w:r>
      <w:r>
        <w:rPr>
          <w:lang w:val="fr-FR"/>
        </w:rPr>
        <w:tab/>
        <w:t>Proposition</w:t>
      </w:r>
    </w:p>
    <w:p w14:paraId="1154B6A3" w14:textId="4AA758F5" w:rsidR="00E15ACF" w:rsidRPr="00A96FFC" w:rsidRDefault="00E15ACF" w:rsidP="00E15ACF">
      <w:pPr>
        <w:pStyle w:val="SingleTxtG"/>
        <w:rPr>
          <w:lang w:val="fr-FR"/>
        </w:rPr>
      </w:pPr>
      <w:bookmarkStart w:id="4" w:name="_Hlk67308855"/>
      <w:r>
        <w:rPr>
          <w:lang w:val="fr-FR"/>
        </w:rPr>
        <w:t>18.</w:t>
      </w:r>
      <w:r>
        <w:rPr>
          <w:lang w:val="fr-FR"/>
        </w:rPr>
        <w:tab/>
        <w:t>L’ITCO propose d’apporter au chapitre 6.9 sur les citernes mobiles en PRF les modifications suivantes</w:t>
      </w:r>
      <w:r w:rsidR="00103ECF">
        <w:rPr>
          <w:lang w:val="fr-FR"/>
        </w:rPr>
        <w:t> </w:t>
      </w:r>
      <w:r>
        <w:rPr>
          <w:lang w:val="fr-FR"/>
        </w:rPr>
        <w:t>:</w:t>
      </w:r>
    </w:p>
    <w:p w14:paraId="79EF5457" w14:textId="69140BDA" w:rsidR="00E15ACF" w:rsidRPr="00A96FFC" w:rsidRDefault="00E15ACF" w:rsidP="00103ECF">
      <w:pPr>
        <w:pStyle w:val="SingleTxtG"/>
        <w:ind w:left="1701"/>
        <w:rPr>
          <w:lang w:val="fr-FR"/>
        </w:rPr>
      </w:pPr>
      <w:r>
        <w:rPr>
          <w:lang w:val="fr-FR"/>
        </w:rPr>
        <w:t>Au paragraphe 6.9.2.3.4, supprimer le facteur K5, car celui-ci ne prend en compte que la résistance à la traction et non la résilience, qui dépend à la fois de la résistance à la traction et de l’allongement à la rupture.</w:t>
      </w:r>
    </w:p>
    <w:p w14:paraId="6D839898" w14:textId="3CBD9600" w:rsidR="00E15ACF" w:rsidRPr="00A96FFC" w:rsidRDefault="00E15ACF" w:rsidP="00103ECF">
      <w:pPr>
        <w:pStyle w:val="SingleTxtG"/>
        <w:ind w:left="1701"/>
        <w:rPr>
          <w:lang w:val="fr-FR"/>
        </w:rPr>
      </w:pPr>
      <w:r>
        <w:rPr>
          <w:lang w:val="fr-FR"/>
        </w:rPr>
        <w:t xml:space="preserve">Au paragraphe 6.9.2.4, modifier le deuxième sous-paragraphe comme suit (le texte ajouté figure en caractères </w:t>
      </w:r>
      <w:r>
        <w:rPr>
          <w:u w:val="single"/>
          <w:lang w:val="fr-FR"/>
        </w:rPr>
        <w:t>soulignés</w:t>
      </w:r>
      <w:r>
        <w:rPr>
          <w:lang w:val="fr-FR"/>
        </w:rPr>
        <w:t>)</w:t>
      </w:r>
      <w:r w:rsidR="00103ECF">
        <w:rPr>
          <w:lang w:val="fr-FR"/>
        </w:rPr>
        <w:t> </w:t>
      </w:r>
      <w:r>
        <w:rPr>
          <w:lang w:val="fr-FR"/>
        </w:rPr>
        <w:t>:</w:t>
      </w:r>
    </w:p>
    <w:p w14:paraId="6C81FD52" w14:textId="77777777" w:rsidR="00E15ACF" w:rsidRPr="00A96FFC" w:rsidRDefault="00E15ACF" w:rsidP="00103ECF">
      <w:pPr>
        <w:pStyle w:val="SingleTxtG"/>
        <w:ind w:left="2835" w:hanging="1134"/>
        <w:rPr>
          <w:lang w:val="fr-FR"/>
        </w:rPr>
      </w:pPr>
      <w:r>
        <w:rPr>
          <w:lang w:val="fr-FR"/>
        </w:rPr>
        <w:t>« 6.9.2.4.1</w:t>
      </w:r>
      <w:r>
        <w:rPr>
          <w:lang w:val="fr-FR"/>
        </w:rPr>
        <w:tab/>
        <w:t>L’épaisseur minimale des parois des réservoirs en PRF doit être confirmée par des calculs de la résistance du réservoir en respectant les prescriptions du 6.9.2.3.4.</w:t>
      </w:r>
    </w:p>
    <w:p w14:paraId="51E0279A" w14:textId="556B2101" w:rsidR="00E15ACF" w:rsidRPr="00A96FFC" w:rsidRDefault="00E15ACF" w:rsidP="00103ECF">
      <w:pPr>
        <w:pStyle w:val="SingleTxtG"/>
        <w:ind w:left="2835" w:hanging="1134"/>
        <w:rPr>
          <w:iCs/>
          <w:lang w:val="fr-FR"/>
        </w:rPr>
      </w:pPr>
      <w:r>
        <w:rPr>
          <w:lang w:val="fr-FR"/>
        </w:rPr>
        <w:t>6.9.2.4.2</w:t>
      </w:r>
      <w:r>
        <w:rPr>
          <w:lang w:val="fr-FR"/>
        </w:rPr>
        <w:tab/>
        <w:t>L’épaisseur minimale des couches structurales des réservoirs en PRF doit être calculée selon le 6.9.2.3.4</w:t>
      </w:r>
      <w:r w:rsidRPr="00246DD1">
        <w:rPr>
          <w:lang w:val="fr-FR"/>
        </w:rPr>
        <w:t xml:space="preserve">. </w:t>
      </w:r>
      <w:r>
        <w:rPr>
          <w:u w:val="single"/>
          <w:lang w:val="fr-FR"/>
        </w:rPr>
        <w:t>Toutefois, cette épaisseur minimale ne doit pas être inférieure à</w:t>
      </w:r>
      <w:r w:rsidR="00103ECF">
        <w:rPr>
          <w:u w:val="single"/>
          <w:lang w:val="fr-FR"/>
        </w:rPr>
        <w:t> </w:t>
      </w:r>
      <w:r>
        <w:rPr>
          <w:u w:val="single"/>
          <w:lang w:val="fr-FR"/>
        </w:rPr>
        <w:t>:</w:t>
      </w:r>
    </w:p>
    <w:p w14:paraId="1F5C1FAE" w14:textId="17849BF7" w:rsidR="00E15ACF" w:rsidRPr="00A96FFC" w:rsidRDefault="00E15ACF" w:rsidP="00103ECF">
      <w:pPr>
        <w:pStyle w:val="SingleTxtG"/>
        <w:ind w:left="3402" w:hanging="567"/>
        <w:rPr>
          <w:iCs/>
          <w:u w:val="single"/>
          <w:lang w:val="fr-FR"/>
        </w:rPr>
      </w:pPr>
      <w:r>
        <w:rPr>
          <w:lang w:val="fr-FR"/>
        </w:rPr>
        <w:t>a)</w:t>
      </w:r>
      <w:r>
        <w:rPr>
          <w:lang w:val="fr-FR"/>
        </w:rPr>
        <w:tab/>
      </w:r>
      <w:r>
        <w:rPr>
          <w:u w:val="single"/>
          <w:lang w:val="fr-FR"/>
        </w:rPr>
        <w:t>L’épaisseur nécessaire pour parvenir, conformément aux dispositions de l’annexe</w:t>
      </w:r>
      <w:r w:rsidR="00103ECF">
        <w:rPr>
          <w:u w:val="single"/>
          <w:lang w:val="fr-FR"/>
        </w:rPr>
        <w:t> </w:t>
      </w:r>
      <w:r>
        <w:rPr>
          <w:u w:val="single"/>
          <w:lang w:val="fr-FR"/>
        </w:rPr>
        <w:t>B de la norme EN</w:t>
      </w:r>
      <w:r w:rsidR="00103ECF">
        <w:rPr>
          <w:u w:val="single"/>
          <w:lang w:val="fr-FR"/>
        </w:rPr>
        <w:t> </w:t>
      </w:r>
      <w:proofErr w:type="gramStart"/>
      <w:r>
        <w:rPr>
          <w:u w:val="single"/>
          <w:lang w:val="fr-FR"/>
        </w:rPr>
        <w:t>13094:</w:t>
      </w:r>
      <w:proofErr w:type="gramEnd"/>
      <w:r>
        <w:rPr>
          <w:u w:val="single"/>
          <w:lang w:val="fr-FR"/>
        </w:rPr>
        <w:t>2020 sur la « résilience spécifique », à une absorption d’énergie égale au minimum à</w:t>
      </w:r>
      <w:r w:rsidR="00103ECF">
        <w:rPr>
          <w:u w:val="single"/>
          <w:lang w:val="fr-FR"/>
        </w:rPr>
        <w:t> </w:t>
      </w:r>
      <w:r>
        <w:rPr>
          <w:u w:val="single"/>
          <w:lang w:val="fr-FR"/>
        </w:rPr>
        <w:t>:</w:t>
      </w:r>
    </w:p>
    <w:p w14:paraId="2C381CCC" w14:textId="2A659A18" w:rsidR="00E15ACF" w:rsidRPr="00A96FFC" w:rsidRDefault="00E15ACF" w:rsidP="00103ECF">
      <w:pPr>
        <w:pStyle w:val="SingleTxtG"/>
        <w:ind w:left="3969" w:hanging="567"/>
        <w:rPr>
          <w:iCs/>
          <w:u w:val="single"/>
          <w:lang w:val="fr-FR"/>
        </w:rPr>
      </w:pPr>
      <w:r>
        <w:rPr>
          <w:lang w:val="fr-FR"/>
        </w:rPr>
        <w:t>i)</w:t>
      </w:r>
      <w:r>
        <w:rPr>
          <w:lang w:val="fr-FR"/>
        </w:rPr>
        <w:tab/>
      </w:r>
      <w:r>
        <w:rPr>
          <w:u w:val="single"/>
          <w:lang w:val="fr-FR"/>
        </w:rPr>
        <w:t>22</w:t>
      </w:r>
      <w:r w:rsidR="00103ECF">
        <w:rPr>
          <w:u w:val="single"/>
          <w:lang w:val="fr-FR"/>
        </w:rPr>
        <w:t> </w:t>
      </w:r>
      <w:r>
        <w:rPr>
          <w:u w:val="single"/>
          <w:lang w:val="fr-FR"/>
        </w:rPr>
        <w:t>MJ (soit l’équivalent de</w:t>
      </w:r>
      <w:r w:rsidR="00103ECF">
        <w:rPr>
          <w:u w:val="single"/>
          <w:lang w:val="fr-FR"/>
        </w:rPr>
        <w:t> </w:t>
      </w:r>
      <w:r>
        <w:rPr>
          <w:u w:val="single"/>
          <w:lang w:val="fr-FR"/>
        </w:rPr>
        <w:t>6 mm d’acier de référence) pour les instructions de transport en citerne mobile T1 à</w:t>
      </w:r>
      <w:r w:rsidR="00103ECF">
        <w:rPr>
          <w:u w:val="single"/>
          <w:lang w:val="fr-FR"/>
        </w:rPr>
        <w:t> </w:t>
      </w:r>
      <w:r>
        <w:rPr>
          <w:u w:val="single"/>
          <w:lang w:val="fr-FR"/>
        </w:rPr>
        <w:t>T19 ;</w:t>
      </w:r>
    </w:p>
    <w:p w14:paraId="7FB575A1" w14:textId="382EC335" w:rsidR="00E15ACF" w:rsidRPr="00A96FFC" w:rsidRDefault="00E15ACF" w:rsidP="00103ECF">
      <w:pPr>
        <w:pStyle w:val="SingleTxtG"/>
        <w:ind w:left="3969" w:hanging="567"/>
        <w:rPr>
          <w:iCs/>
          <w:u w:val="single"/>
          <w:lang w:val="fr-FR"/>
        </w:rPr>
      </w:pPr>
      <w:r>
        <w:rPr>
          <w:lang w:val="fr-FR"/>
        </w:rPr>
        <w:t>ii)</w:t>
      </w:r>
      <w:r>
        <w:rPr>
          <w:lang w:val="fr-FR"/>
        </w:rPr>
        <w:tab/>
      </w:r>
      <w:r>
        <w:rPr>
          <w:u w:val="single"/>
          <w:lang w:val="fr-FR"/>
        </w:rPr>
        <w:t>30</w:t>
      </w:r>
      <w:r w:rsidR="00103ECF">
        <w:rPr>
          <w:u w:val="single"/>
          <w:lang w:val="fr-FR"/>
        </w:rPr>
        <w:t> </w:t>
      </w:r>
      <w:r>
        <w:rPr>
          <w:u w:val="single"/>
          <w:lang w:val="fr-FR"/>
        </w:rPr>
        <w:t>MJ (soit l’équivalent de 8</w:t>
      </w:r>
      <w:r w:rsidR="00103ECF">
        <w:rPr>
          <w:u w:val="single"/>
          <w:lang w:val="fr-FR"/>
        </w:rPr>
        <w:t> </w:t>
      </w:r>
      <w:r>
        <w:rPr>
          <w:u w:val="single"/>
          <w:lang w:val="fr-FR"/>
        </w:rPr>
        <w:t>mm d’acier de référence) pour l’instruction de transport en citerne mobile T20 ;</w:t>
      </w:r>
    </w:p>
    <w:p w14:paraId="6F6E922E" w14:textId="3991F68C" w:rsidR="00E15ACF" w:rsidRPr="00A96FFC" w:rsidRDefault="00E15ACF" w:rsidP="00103ECF">
      <w:pPr>
        <w:pStyle w:val="SingleTxtG"/>
        <w:ind w:left="3969" w:hanging="567"/>
        <w:rPr>
          <w:iCs/>
          <w:u w:val="single"/>
          <w:lang w:val="fr-FR"/>
        </w:rPr>
      </w:pPr>
      <w:r w:rsidRPr="00103ECF">
        <w:rPr>
          <w:u w:val="single"/>
          <w:lang w:val="fr-FR"/>
        </w:rPr>
        <w:t>iii</w:t>
      </w:r>
      <w:r>
        <w:rPr>
          <w:lang w:val="fr-FR"/>
        </w:rPr>
        <w:t>)</w:t>
      </w:r>
      <w:r>
        <w:rPr>
          <w:lang w:val="fr-FR"/>
        </w:rPr>
        <w:tab/>
      </w:r>
      <w:r>
        <w:rPr>
          <w:u w:val="single"/>
          <w:lang w:val="fr-FR"/>
        </w:rPr>
        <w:t>37</w:t>
      </w:r>
      <w:r w:rsidR="00103ECF">
        <w:rPr>
          <w:u w:val="single"/>
          <w:lang w:val="fr-FR"/>
        </w:rPr>
        <w:t> </w:t>
      </w:r>
      <w:r>
        <w:rPr>
          <w:u w:val="single"/>
          <w:lang w:val="fr-FR"/>
        </w:rPr>
        <w:t>MJ (soit l’équivalent de 10</w:t>
      </w:r>
      <w:r w:rsidR="00103ECF">
        <w:rPr>
          <w:u w:val="single"/>
          <w:lang w:val="fr-FR"/>
        </w:rPr>
        <w:t> </w:t>
      </w:r>
      <w:r>
        <w:rPr>
          <w:u w:val="single"/>
          <w:lang w:val="fr-FR"/>
        </w:rPr>
        <w:t>mm d’acier de référence) pour les instructions de transport en citerne mobile T21 et T22 ;</w:t>
      </w:r>
    </w:p>
    <w:p w14:paraId="7FEACFBD" w14:textId="783797C4" w:rsidR="00E15ACF" w:rsidRPr="00A96FFC" w:rsidRDefault="00E15ACF" w:rsidP="00103ECF">
      <w:pPr>
        <w:pStyle w:val="SingleTxtG"/>
        <w:ind w:left="3402" w:hanging="567"/>
        <w:rPr>
          <w:iCs/>
          <w:lang w:val="fr-FR"/>
        </w:rPr>
      </w:pPr>
      <w:r>
        <w:rPr>
          <w:lang w:val="fr-FR"/>
        </w:rPr>
        <w:t>b)</w:t>
      </w:r>
      <w:r>
        <w:rPr>
          <w:lang w:val="fr-FR"/>
        </w:rPr>
        <w:tab/>
      </w:r>
      <w:r>
        <w:rPr>
          <w:u w:val="single"/>
          <w:lang w:val="fr-FR"/>
        </w:rPr>
        <w:t>3</w:t>
      </w:r>
      <w:r w:rsidR="00103ECF">
        <w:rPr>
          <w:u w:val="single"/>
          <w:lang w:val="fr-FR"/>
        </w:rPr>
        <w:t> </w:t>
      </w:r>
      <w:r>
        <w:rPr>
          <w:u w:val="single"/>
          <w:lang w:val="fr-FR"/>
        </w:rPr>
        <w:t>mm dans tous les cas.</w:t>
      </w:r>
      <w:r>
        <w:rPr>
          <w:lang w:val="fr-FR"/>
        </w:rPr>
        <w:t> »</w:t>
      </w:r>
      <w:r w:rsidR="00103ECF">
        <w:rPr>
          <w:lang w:val="fr-FR"/>
        </w:rPr>
        <w:t>.</w:t>
      </w:r>
    </w:p>
    <w:bookmarkEnd w:id="4"/>
    <w:p w14:paraId="6E308E8D" w14:textId="77777777" w:rsidR="00E15ACF" w:rsidRPr="00A96FFC" w:rsidRDefault="00E15ACF" w:rsidP="00103ECF">
      <w:pPr>
        <w:pStyle w:val="HChG"/>
        <w:rPr>
          <w:lang w:val="fr-FR"/>
        </w:rPr>
      </w:pPr>
      <w:r>
        <w:rPr>
          <w:lang w:val="fr-FR"/>
        </w:rPr>
        <w:lastRenderedPageBreak/>
        <w:tab/>
      </w:r>
      <w:r>
        <w:rPr>
          <w:lang w:val="fr-FR"/>
        </w:rPr>
        <w:tab/>
        <w:t>Justification</w:t>
      </w:r>
    </w:p>
    <w:p w14:paraId="57D9B207" w14:textId="77777777" w:rsidR="00E15ACF" w:rsidRPr="00A96FFC" w:rsidRDefault="00E15ACF" w:rsidP="00E15ACF">
      <w:pPr>
        <w:pStyle w:val="SingleTxtG"/>
        <w:rPr>
          <w:lang w:val="fr-FR"/>
        </w:rPr>
      </w:pPr>
      <w:r>
        <w:rPr>
          <w:lang w:val="fr-FR"/>
        </w:rPr>
        <w:t>19.</w:t>
      </w:r>
      <w:r>
        <w:rPr>
          <w:lang w:val="fr-FR"/>
        </w:rPr>
        <w:tab/>
        <w:t>L’ITCO souhaite que, en cas d’accident, le degré de sécurité soit le même pour toutes les citernes mobiles contenant des liquides dangereux, que cet accident survienne sur route, sur voie ferrée, en mer ou l</w:t>
      </w:r>
      <w:r w:rsidRPr="0022736C">
        <w:rPr>
          <w:lang w:val="fr-FR"/>
        </w:rPr>
        <w:t>ors d</w:t>
      </w:r>
      <w:r>
        <w:rPr>
          <w:lang w:val="fr-FR"/>
        </w:rPr>
        <w:t>’</w:t>
      </w:r>
      <w:r w:rsidRPr="0022736C">
        <w:rPr>
          <w:lang w:val="fr-FR"/>
        </w:rPr>
        <w:t>un</w:t>
      </w:r>
      <w:r>
        <w:rPr>
          <w:lang w:val="fr-FR"/>
        </w:rPr>
        <w:t xml:space="preserve"> transbordement. Pour ce faire, elle propose que la résilience spécifique des PRF utilisés dans la construction de citernes mobiles soit réglementée de manière à en garantir l’équivalence avec celle de l’acier de référence.</w:t>
      </w:r>
    </w:p>
    <w:p w14:paraId="558FABA8" w14:textId="77777777" w:rsidR="00E15ACF" w:rsidRPr="00A96FFC" w:rsidRDefault="00E15ACF" w:rsidP="00E15ACF">
      <w:pPr>
        <w:pStyle w:val="SingleTxtG"/>
        <w:rPr>
          <w:lang w:val="fr-FR"/>
        </w:rPr>
      </w:pPr>
      <w:r w:rsidRPr="00A96FFC">
        <w:rPr>
          <w:lang w:val="fr-FR"/>
        </w:rPr>
        <w:br w:type="page"/>
      </w:r>
    </w:p>
    <w:p w14:paraId="73BFE17A" w14:textId="749FB933" w:rsidR="00103ECF" w:rsidRDefault="00E15ACF" w:rsidP="00103ECF">
      <w:pPr>
        <w:pStyle w:val="HChG"/>
        <w:rPr>
          <w:lang w:val="en-US"/>
        </w:rPr>
      </w:pPr>
      <w:r w:rsidRPr="00A96FFC">
        <w:rPr>
          <w:lang w:val="en-US"/>
        </w:rPr>
        <w:lastRenderedPageBreak/>
        <w:t>Appendice</w:t>
      </w:r>
      <w:r w:rsidR="00103ECF">
        <w:rPr>
          <w:lang w:val="en-US"/>
        </w:rPr>
        <w:t> </w:t>
      </w:r>
      <w:r w:rsidRPr="00A96FFC">
        <w:rPr>
          <w:lang w:val="en-US"/>
        </w:rPr>
        <w:t>I</w:t>
      </w:r>
    </w:p>
    <w:p w14:paraId="03B92234" w14:textId="6AB1F64A" w:rsidR="00E15ACF" w:rsidRPr="008558F5" w:rsidRDefault="00E15ACF" w:rsidP="00103ECF">
      <w:pPr>
        <w:pStyle w:val="SingleTxtG"/>
        <w:jc w:val="right"/>
        <w:rPr>
          <w:lang w:val="en-US"/>
        </w:rPr>
      </w:pPr>
      <w:r w:rsidRPr="00E44ECF">
        <w:rPr>
          <w:lang w:val="en-US"/>
        </w:rPr>
        <w:t>[</w:t>
      </w:r>
      <w:r w:rsidRPr="00103ECF">
        <w:rPr>
          <w:i/>
          <w:iCs/>
          <w:lang w:val="en-US"/>
        </w:rPr>
        <w:t>Anglais seulement</w:t>
      </w:r>
      <w:r w:rsidRPr="00E44ECF">
        <w:rPr>
          <w:lang w:val="en-US"/>
        </w:rPr>
        <w:t>]</w:t>
      </w:r>
    </w:p>
    <w:p w14:paraId="7061D405" w14:textId="2CBD0693" w:rsidR="00E15ACF" w:rsidRDefault="009B3003" w:rsidP="00103ECF">
      <w:pPr>
        <w:pStyle w:val="HChG"/>
        <w:keepNext w:val="0"/>
        <w:keepLines w:val="0"/>
        <w:rPr>
          <w:lang w:val="en-US"/>
        </w:rPr>
      </w:pPr>
      <w:r>
        <w:rPr>
          <w:rFonts w:cstheme="minorHAnsi"/>
          <w:noProof/>
        </w:rPr>
        <w:drawing>
          <wp:anchor distT="0" distB="0" distL="114300" distR="114300" simplePos="0" relativeHeight="251667456" behindDoc="0" locked="0" layoutInCell="1" allowOverlap="1" wp14:anchorId="25745079" wp14:editId="79BF6053">
            <wp:simplePos x="0" y="0"/>
            <wp:positionH relativeFrom="column">
              <wp:posOffset>3354705</wp:posOffset>
            </wp:positionH>
            <wp:positionV relativeFrom="paragraph">
              <wp:posOffset>656894</wp:posOffset>
            </wp:positionV>
            <wp:extent cx="2520000" cy="260892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000" cy="260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ECF">
        <w:rPr>
          <w:noProof/>
        </w:rPr>
        <w:drawing>
          <wp:anchor distT="0" distB="0" distL="114300" distR="114300" simplePos="0" relativeHeight="251666432" behindDoc="0" locked="0" layoutInCell="1" allowOverlap="1" wp14:anchorId="4CBADDF5" wp14:editId="4AF44178">
            <wp:simplePos x="0" y="0"/>
            <wp:positionH relativeFrom="column">
              <wp:posOffset>707390</wp:posOffset>
            </wp:positionH>
            <wp:positionV relativeFrom="paragraph">
              <wp:posOffset>610870</wp:posOffset>
            </wp:positionV>
            <wp:extent cx="2700000" cy="7884671"/>
            <wp:effectExtent l="0" t="0" r="571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7884671"/>
                    </a:xfrm>
                    <a:prstGeom prst="rect">
                      <a:avLst/>
                    </a:prstGeom>
                    <a:noFill/>
                  </pic:spPr>
                </pic:pic>
              </a:graphicData>
            </a:graphic>
            <wp14:sizeRelH relativeFrom="margin">
              <wp14:pctWidth>0</wp14:pctWidth>
            </wp14:sizeRelH>
            <wp14:sizeRelV relativeFrom="margin">
              <wp14:pctHeight>0</wp14:pctHeight>
            </wp14:sizeRelV>
          </wp:anchor>
        </w:drawing>
      </w:r>
      <w:r w:rsidR="00E15ACF" w:rsidRPr="00A96FFC">
        <w:rPr>
          <w:lang w:val="en-US"/>
        </w:rPr>
        <w:tab/>
      </w:r>
      <w:r w:rsidR="00E15ACF" w:rsidRPr="00A96FFC">
        <w:rPr>
          <w:lang w:val="en-US"/>
        </w:rPr>
        <w:tab/>
        <w:t>Simulation of Accidents for Analysis (Courtesy of BAM Research Report 203)</w:t>
      </w:r>
    </w:p>
    <w:p w14:paraId="50013DD6" w14:textId="6150EC7C" w:rsidR="00103ECF" w:rsidRPr="00103ECF" w:rsidRDefault="00103ECF" w:rsidP="00103ECF">
      <w:pPr>
        <w:pStyle w:val="SingleTxtG"/>
        <w:rPr>
          <w:lang w:val="en-US"/>
        </w:rPr>
      </w:pPr>
    </w:p>
    <w:p w14:paraId="1792D706" w14:textId="73DD74C0" w:rsidR="00E15ACF" w:rsidRPr="009B3003" w:rsidRDefault="009B3003" w:rsidP="009B3003">
      <w:pPr>
        <w:pStyle w:val="HChG"/>
        <w:spacing w:before="340" w:after="220" w:line="280" w:lineRule="exact"/>
        <w:rPr>
          <w:rFonts w:cstheme="minorHAnsi"/>
          <w:lang w:val="en-US"/>
        </w:rPr>
      </w:pPr>
      <w:r>
        <w:rPr>
          <w:rFonts w:cstheme="minorHAnsi"/>
          <w:lang w:val="en-US"/>
        </w:rPr>
        <w:br w:type="page"/>
      </w:r>
      <w:r w:rsidR="00E15ACF" w:rsidRPr="00A96FFC">
        <w:rPr>
          <w:lang w:val="en-US"/>
        </w:rPr>
        <w:lastRenderedPageBreak/>
        <w:t>Appendice</w:t>
      </w:r>
      <w:r w:rsidR="00E15ACF">
        <w:rPr>
          <w:lang w:val="en-US"/>
        </w:rPr>
        <w:t> </w:t>
      </w:r>
      <w:r w:rsidR="00E15ACF" w:rsidRPr="00A96FFC">
        <w:rPr>
          <w:lang w:val="en-US"/>
        </w:rPr>
        <w:t>II</w:t>
      </w:r>
    </w:p>
    <w:p w14:paraId="774FB9BF" w14:textId="0E4C06E7" w:rsidR="00E15ACF" w:rsidRPr="002753CC" w:rsidRDefault="00E15ACF" w:rsidP="002753CC">
      <w:pPr>
        <w:pStyle w:val="HChG"/>
        <w:ind w:right="991"/>
        <w:rPr>
          <w:spacing w:val="-5"/>
        </w:rPr>
      </w:pPr>
      <w:r w:rsidRPr="002753CC">
        <w:rPr>
          <w:spacing w:val="-5"/>
          <w:lang w:val="en-US"/>
        </w:rPr>
        <w:tab/>
      </w:r>
      <w:r w:rsidRPr="002753CC">
        <w:rPr>
          <w:spacing w:val="-5"/>
          <w:lang w:val="en-US"/>
        </w:rPr>
        <w:tab/>
      </w:r>
      <w:r w:rsidR="00F1183D" w:rsidRPr="002753CC">
        <w:rPr>
          <w:spacing w:val="-5"/>
        </w:rPr>
        <w:t>Résilience des conteneurs-citernes mobiles lors d’accidents graves</w:t>
      </w:r>
    </w:p>
    <w:tbl>
      <w:tblPr>
        <w:tblW w:w="9123" w:type="dxa"/>
        <w:tblLayout w:type="fixed"/>
        <w:tblLook w:val="04A0" w:firstRow="1" w:lastRow="0" w:firstColumn="1" w:lastColumn="0" w:noHBand="0" w:noVBand="1"/>
      </w:tblPr>
      <w:tblGrid>
        <w:gridCol w:w="4561"/>
        <w:gridCol w:w="4562"/>
      </w:tblGrid>
      <w:tr w:rsidR="00E15ACF" w14:paraId="16A2106A" w14:textId="77777777" w:rsidTr="00E5520B">
        <w:trPr>
          <w:trHeight w:val="3449"/>
        </w:trPr>
        <w:tc>
          <w:tcPr>
            <w:tcW w:w="4561" w:type="dxa"/>
            <w:tcBorders>
              <w:top w:val="single" w:sz="4" w:space="0" w:color="auto"/>
              <w:left w:val="single" w:sz="4" w:space="0" w:color="auto"/>
              <w:bottom w:val="single" w:sz="4" w:space="0" w:color="auto"/>
              <w:right w:val="single" w:sz="4" w:space="0" w:color="auto"/>
            </w:tcBorders>
            <w:hideMark/>
          </w:tcPr>
          <w:p w14:paraId="4895D9E9" w14:textId="77777777" w:rsidR="00E15ACF" w:rsidRDefault="00E15ACF" w:rsidP="00E5520B">
            <w:pPr>
              <w:pStyle w:val="SingleTxtG"/>
              <w:spacing w:after="0"/>
            </w:pPr>
            <w:r>
              <w:rPr>
                <w:noProof/>
              </w:rPr>
              <w:drawing>
                <wp:inline distT="0" distB="0" distL="0" distR="0" wp14:anchorId="6FAC3006" wp14:editId="3BBB5B07">
                  <wp:extent cx="2131695" cy="1598930"/>
                  <wp:effectExtent l="0" t="317" r="1587" b="158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131695" cy="1598930"/>
                          </a:xfrm>
                          <a:prstGeom prst="rect">
                            <a:avLst/>
                          </a:prstGeom>
                          <a:noFill/>
                          <a:ln>
                            <a:noFill/>
                          </a:ln>
                        </pic:spPr>
                      </pic:pic>
                    </a:graphicData>
                  </a:graphic>
                </wp:inline>
              </w:drawing>
            </w:r>
          </w:p>
        </w:tc>
        <w:tc>
          <w:tcPr>
            <w:tcW w:w="4562" w:type="dxa"/>
            <w:tcBorders>
              <w:top w:val="single" w:sz="4" w:space="0" w:color="auto"/>
              <w:left w:val="single" w:sz="4" w:space="0" w:color="auto"/>
              <w:bottom w:val="single" w:sz="4" w:space="0" w:color="auto"/>
              <w:right w:val="single" w:sz="4" w:space="0" w:color="auto"/>
            </w:tcBorders>
            <w:hideMark/>
          </w:tcPr>
          <w:p w14:paraId="37D58D7F" w14:textId="77777777" w:rsidR="00E15ACF" w:rsidRDefault="00E15ACF" w:rsidP="00E5520B">
            <w:pPr>
              <w:pStyle w:val="SingleTxtG"/>
              <w:spacing w:after="0"/>
            </w:pPr>
            <w:r>
              <w:rPr>
                <w:noProof/>
              </w:rPr>
              <w:drawing>
                <wp:inline distT="0" distB="0" distL="0" distR="0" wp14:anchorId="1D9FF755" wp14:editId="1CE03EEA">
                  <wp:extent cx="1951355" cy="2131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1355" cy="2131695"/>
                          </a:xfrm>
                          <a:prstGeom prst="rect">
                            <a:avLst/>
                          </a:prstGeom>
                          <a:noFill/>
                          <a:ln>
                            <a:noFill/>
                          </a:ln>
                        </pic:spPr>
                      </pic:pic>
                    </a:graphicData>
                  </a:graphic>
                </wp:inline>
              </w:drawing>
            </w:r>
          </w:p>
        </w:tc>
      </w:tr>
      <w:tr w:rsidR="00E15ACF" w:rsidRPr="00E5520B" w14:paraId="0EC3FA95" w14:textId="77777777" w:rsidTr="007052A3">
        <w:trPr>
          <w:trHeight w:val="492"/>
        </w:trPr>
        <w:tc>
          <w:tcPr>
            <w:tcW w:w="9123" w:type="dxa"/>
            <w:gridSpan w:val="2"/>
            <w:tcBorders>
              <w:top w:val="single" w:sz="4" w:space="0" w:color="auto"/>
              <w:left w:val="single" w:sz="4" w:space="0" w:color="auto"/>
              <w:bottom w:val="single" w:sz="4" w:space="0" w:color="auto"/>
              <w:right w:val="single" w:sz="4" w:space="0" w:color="auto"/>
            </w:tcBorders>
            <w:hideMark/>
          </w:tcPr>
          <w:p w14:paraId="625C6CBA" w14:textId="15FA3E6A" w:rsidR="00E15ACF" w:rsidRPr="00E5520B" w:rsidRDefault="00F1183D" w:rsidP="00F1183D">
            <w:pPr>
              <w:pStyle w:val="SingleTxtG"/>
              <w:spacing w:after="100" w:line="220" w:lineRule="atLeast"/>
              <w:ind w:right="369"/>
            </w:pPr>
            <w:r w:rsidRPr="00F1183D">
              <w:t xml:space="preserve">Dommages subis par un conteneur-citerne </w:t>
            </w:r>
            <w:r>
              <w:t>mobile qui s’est renversé : on notera l’absence de déchirures pénétrantes dans le récipient à pression.</w:t>
            </w:r>
          </w:p>
        </w:tc>
      </w:tr>
    </w:tbl>
    <w:p w14:paraId="0F70E5E5" w14:textId="77777777" w:rsidR="00E15ACF" w:rsidRPr="00E5520B" w:rsidRDefault="00E15ACF" w:rsidP="009B3003">
      <w:pPr>
        <w:pStyle w:val="SingleTxtG"/>
        <w:spacing w:after="0"/>
      </w:pPr>
    </w:p>
    <w:tbl>
      <w:tblPr>
        <w:tblW w:w="9111" w:type="dxa"/>
        <w:tblLayout w:type="fixed"/>
        <w:tblLook w:val="04A0" w:firstRow="1" w:lastRow="0" w:firstColumn="1" w:lastColumn="0" w:noHBand="0" w:noVBand="1"/>
      </w:tblPr>
      <w:tblGrid>
        <w:gridCol w:w="4555"/>
        <w:gridCol w:w="4556"/>
      </w:tblGrid>
      <w:tr w:rsidR="00E15ACF" w14:paraId="0906F4F6" w14:textId="77777777" w:rsidTr="007052A3">
        <w:trPr>
          <w:trHeight w:val="3069"/>
        </w:trPr>
        <w:tc>
          <w:tcPr>
            <w:tcW w:w="4555" w:type="dxa"/>
            <w:tcBorders>
              <w:top w:val="single" w:sz="4" w:space="0" w:color="auto"/>
              <w:left w:val="single" w:sz="4" w:space="0" w:color="auto"/>
              <w:bottom w:val="single" w:sz="4" w:space="0" w:color="auto"/>
              <w:right w:val="single" w:sz="4" w:space="0" w:color="auto"/>
            </w:tcBorders>
            <w:hideMark/>
          </w:tcPr>
          <w:p w14:paraId="79304BC5" w14:textId="77777777" w:rsidR="00E15ACF" w:rsidRDefault="00E15ACF" w:rsidP="00E5520B">
            <w:pPr>
              <w:pStyle w:val="SingleTxtG"/>
            </w:pPr>
            <w:r>
              <w:rPr>
                <w:noProof/>
                <w:lang w:eastAsia="en-GB"/>
              </w:rPr>
              <w:drawing>
                <wp:inline distT="0" distB="0" distL="0" distR="0" wp14:anchorId="61DA51FA" wp14:editId="0F87BBCA">
                  <wp:extent cx="2586990" cy="193167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6990" cy="1931670"/>
                          </a:xfrm>
                          <a:prstGeom prst="rect">
                            <a:avLst/>
                          </a:prstGeom>
                          <a:noFill/>
                          <a:ln>
                            <a:noFill/>
                          </a:ln>
                        </pic:spPr>
                      </pic:pic>
                    </a:graphicData>
                  </a:graphic>
                </wp:inline>
              </w:drawing>
            </w:r>
          </w:p>
        </w:tc>
        <w:tc>
          <w:tcPr>
            <w:tcW w:w="4556" w:type="dxa"/>
            <w:tcBorders>
              <w:top w:val="single" w:sz="4" w:space="0" w:color="auto"/>
              <w:left w:val="single" w:sz="4" w:space="0" w:color="auto"/>
              <w:bottom w:val="single" w:sz="4" w:space="0" w:color="auto"/>
              <w:right w:val="single" w:sz="4" w:space="0" w:color="auto"/>
            </w:tcBorders>
            <w:hideMark/>
          </w:tcPr>
          <w:p w14:paraId="4CD7ACA4" w14:textId="77777777" w:rsidR="00E15ACF" w:rsidRDefault="00E15ACF" w:rsidP="00E5520B">
            <w:pPr>
              <w:pStyle w:val="SingleTxtG"/>
            </w:pPr>
            <w:r>
              <w:rPr>
                <w:noProof/>
                <w:lang w:eastAsia="en-GB"/>
              </w:rPr>
              <w:drawing>
                <wp:inline distT="0" distB="0" distL="0" distR="0" wp14:anchorId="653BF14C" wp14:editId="4807B15A">
                  <wp:extent cx="1963476" cy="193561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2061" cy="1953938"/>
                          </a:xfrm>
                          <a:prstGeom prst="rect">
                            <a:avLst/>
                          </a:prstGeom>
                          <a:noFill/>
                          <a:ln>
                            <a:noFill/>
                          </a:ln>
                        </pic:spPr>
                      </pic:pic>
                    </a:graphicData>
                  </a:graphic>
                </wp:inline>
              </w:drawing>
            </w:r>
          </w:p>
        </w:tc>
      </w:tr>
      <w:tr w:rsidR="00E15ACF" w:rsidRPr="00F1183D" w14:paraId="1AC6840D" w14:textId="77777777" w:rsidTr="007052A3">
        <w:trPr>
          <w:trHeight w:val="481"/>
        </w:trPr>
        <w:tc>
          <w:tcPr>
            <w:tcW w:w="9111" w:type="dxa"/>
            <w:gridSpan w:val="2"/>
            <w:tcBorders>
              <w:top w:val="single" w:sz="4" w:space="0" w:color="auto"/>
              <w:left w:val="single" w:sz="4" w:space="0" w:color="auto"/>
              <w:bottom w:val="single" w:sz="4" w:space="0" w:color="auto"/>
              <w:right w:val="single" w:sz="4" w:space="0" w:color="auto"/>
            </w:tcBorders>
            <w:hideMark/>
          </w:tcPr>
          <w:p w14:paraId="6AF02BA0" w14:textId="026F71CB" w:rsidR="00E15ACF" w:rsidRPr="00F1183D" w:rsidRDefault="00F1183D" w:rsidP="00E5520B">
            <w:pPr>
              <w:pStyle w:val="SingleTxtG"/>
              <w:spacing w:after="100" w:line="220" w:lineRule="atLeast"/>
              <w:ind w:right="369"/>
              <w:rPr>
                <w:noProof/>
                <w:lang w:val="en-US"/>
              </w:rPr>
            </w:pPr>
            <w:r w:rsidRPr="00F1183D">
              <w:t xml:space="preserve">Conteneur-citerne mobile ayant subi un choc lors d’un accident de manutention : on </w:t>
            </w:r>
            <w:r>
              <w:t>notera la protection minimale fournie par le cadre ISO − l’énergie a été absorbée sans qu’il y ait fracture du réservoir.</w:t>
            </w:r>
          </w:p>
        </w:tc>
      </w:tr>
    </w:tbl>
    <w:p w14:paraId="4CC4A1FE" w14:textId="77777777" w:rsidR="00E15ACF" w:rsidRPr="00F1183D" w:rsidRDefault="00E15ACF" w:rsidP="009B3003">
      <w:pPr>
        <w:pStyle w:val="SingleTxtG"/>
        <w:spacing w:after="0"/>
        <w:rPr>
          <w:lang w:val="en-US"/>
        </w:rPr>
      </w:pPr>
    </w:p>
    <w:tbl>
      <w:tblPr>
        <w:tblW w:w="9123" w:type="dxa"/>
        <w:tblLayout w:type="fixed"/>
        <w:tblLook w:val="04A0" w:firstRow="1" w:lastRow="0" w:firstColumn="1" w:lastColumn="0" w:noHBand="0" w:noVBand="1"/>
      </w:tblPr>
      <w:tblGrid>
        <w:gridCol w:w="4561"/>
        <w:gridCol w:w="4562"/>
      </w:tblGrid>
      <w:tr w:rsidR="00E15ACF" w14:paraId="4185ABAF" w14:textId="77777777" w:rsidTr="00E5520B">
        <w:trPr>
          <w:trHeight w:val="3087"/>
        </w:trPr>
        <w:tc>
          <w:tcPr>
            <w:tcW w:w="4561" w:type="dxa"/>
            <w:tcBorders>
              <w:top w:val="single" w:sz="4" w:space="0" w:color="auto"/>
              <w:left w:val="single" w:sz="4" w:space="0" w:color="auto"/>
              <w:bottom w:val="single" w:sz="4" w:space="0" w:color="auto"/>
              <w:right w:val="single" w:sz="4" w:space="0" w:color="auto"/>
            </w:tcBorders>
            <w:hideMark/>
          </w:tcPr>
          <w:p w14:paraId="2E875AC0" w14:textId="77777777" w:rsidR="00E15ACF" w:rsidRDefault="00E15ACF" w:rsidP="00E5520B">
            <w:pPr>
              <w:pStyle w:val="SingleTxtG"/>
              <w:spacing w:after="0"/>
            </w:pPr>
            <w:bookmarkStart w:id="5" w:name="_Hlk68705384"/>
            <w:r>
              <w:rPr>
                <w:noProof/>
                <w:lang w:eastAsia="en-GB"/>
              </w:rPr>
              <w:drawing>
                <wp:inline distT="0" distB="0" distL="0" distR="0" wp14:anchorId="1BD722D6" wp14:editId="27601C73">
                  <wp:extent cx="2538095" cy="18973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8095" cy="1897380"/>
                          </a:xfrm>
                          <a:prstGeom prst="rect">
                            <a:avLst/>
                          </a:prstGeom>
                          <a:noFill/>
                          <a:ln>
                            <a:noFill/>
                          </a:ln>
                        </pic:spPr>
                      </pic:pic>
                    </a:graphicData>
                  </a:graphic>
                </wp:inline>
              </w:drawing>
            </w:r>
          </w:p>
        </w:tc>
        <w:tc>
          <w:tcPr>
            <w:tcW w:w="4562" w:type="dxa"/>
            <w:tcBorders>
              <w:top w:val="single" w:sz="4" w:space="0" w:color="auto"/>
              <w:left w:val="single" w:sz="4" w:space="0" w:color="auto"/>
              <w:bottom w:val="single" w:sz="4" w:space="0" w:color="auto"/>
              <w:right w:val="single" w:sz="4" w:space="0" w:color="auto"/>
            </w:tcBorders>
            <w:hideMark/>
          </w:tcPr>
          <w:p w14:paraId="19B14A8C" w14:textId="77777777" w:rsidR="00E15ACF" w:rsidRDefault="00E15ACF" w:rsidP="00E5520B">
            <w:pPr>
              <w:pStyle w:val="SingleTxtG"/>
              <w:spacing w:after="0"/>
            </w:pPr>
            <w:r>
              <w:rPr>
                <w:noProof/>
                <w:lang w:eastAsia="en-GB"/>
              </w:rPr>
              <w:drawing>
                <wp:inline distT="0" distB="0" distL="0" distR="0" wp14:anchorId="2D301DCD" wp14:editId="131501B9">
                  <wp:extent cx="1971675" cy="1897142"/>
                  <wp:effectExtent l="0" t="0" r="0" b="825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1099" cy="1915832"/>
                          </a:xfrm>
                          <a:prstGeom prst="rect">
                            <a:avLst/>
                          </a:prstGeom>
                          <a:noFill/>
                          <a:ln>
                            <a:noFill/>
                          </a:ln>
                        </pic:spPr>
                      </pic:pic>
                    </a:graphicData>
                  </a:graphic>
                </wp:inline>
              </w:drawing>
            </w:r>
          </w:p>
        </w:tc>
      </w:tr>
      <w:tr w:rsidR="00E15ACF" w:rsidRPr="00E5520B" w14:paraId="7BD1587C" w14:textId="77777777" w:rsidTr="007052A3">
        <w:trPr>
          <w:trHeight w:val="809"/>
        </w:trPr>
        <w:tc>
          <w:tcPr>
            <w:tcW w:w="9123" w:type="dxa"/>
            <w:gridSpan w:val="2"/>
            <w:tcBorders>
              <w:top w:val="single" w:sz="4" w:space="0" w:color="auto"/>
              <w:left w:val="single" w:sz="4" w:space="0" w:color="auto"/>
              <w:bottom w:val="single" w:sz="4" w:space="0" w:color="auto"/>
              <w:right w:val="single" w:sz="4" w:space="0" w:color="auto"/>
            </w:tcBorders>
            <w:hideMark/>
          </w:tcPr>
          <w:p w14:paraId="401835B6" w14:textId="41B31029" w:rsidR="00E15ACF" w:rsidRPr="00E5520B" w:rsidRDefault="00E5520B" w:rsidP="00E5520B">
            <w:pPr>
              <w:pStyle w:val="SingleTxtG"/>
              <w:spacing w:after="100" w:line="220" w:lineRule="atLeast"/>
              <w:ind w:right="369"/>
              <w:rPr>
                <w:noProof/>
              </w:rPr>
            </w:pPr>
            <w:r w:rsidRPr="00E5520B">
              <w:t xml:space="preserve">Cas d’accident de la route grave avec renversement. </w:t>
            </w:r>
            <w:r>
              <w:t>On notera la protection minimale fournie par le cadre ISO − l’énergie a été absorbée sans qu’il y ait fracture du réservoir et le contenu ne s’est pas déversé. Les pompiers pompent la marchandise liquide dangereuse par la soupape de décharge inférieure en position renversée avant d’enlever le véhicule.</w:t>
            </w:r>
          </w:p>
        </w:tc>
      </w:tr>
    </w:tbl>
    <w:bookmarkEnd w:id="5"/>
    <w:p w14:paraId="1478C55A" w14:textId="083D2DA4" w:rsidR="00446FE5" w:rsidRPr="00E5520B" w:rsidRDefault="009B3003" w:rsidP="009B3003">
      <w:pPr>
        <w:pStyle w:val="SingleTxtG"/>
        <w:spacing w:before="120" w:after="0"/>
        <w:jc w:val="center"/>
        <w:rPr>
          <w:u w:val="single"/>
        </w:rPr>
      </w:pPr>
      <w:r w:rsidRPr="00E5520B">
        <w:rPr>
          <w:u w:val="single"/>
        </w:rPr>
        <w:tab/>
      </w:r>
      <w:r w:rsidRPr="00E5520B">
        <w:rPr>
          <w:u w:val="single"/>
        </w:rPr>
        <w:tab/>
      </w:r>
      <w:r w:rsidRPr="00E5520B">
        <w:rPr>
          <w:u w:val="single"/>
        </w:rPr>
        <w:tab/>
      </w:r>
    </w:p>
    <w:sectPr w:rsidR="00446FE5" w:rsidRPr="00E5520B" w:rsidSect="00E15ACF">
      <w:headerReference w:type="even" r:id="rId19"/>
      <w:headerReference w:type="default" r:id="rId20"/>
      <w:footerReference w:type="even" r:id="rId21"/>
      <w:footerReference w:type="default" r:id="rId22"/>
      <w:footerReference w:type="first" r:id="rId23"/>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4060E" w14:textId="77777777" w:rsidR="00C922B5" w:rsidRDefault="00C922B5" w:rsidP="00F95C08">
      <w:pPr>
        <w:spacing w:line="240" w:lineRule="auto"/>
      </w:pPr>
    </w:p>
  </w:endnote>
  <w:endnote w:type="continuationSeparator" w:id="0">
    <w:p w14:paraId="60F3D163" w14:textId="77777777" w:rsidR="00C922B5" w:rsidRPr="00AC3823" w:rsidRDefault="00C922B5" w:rsidP="00AC3823">
      <w:pPr>
        <w:pStyle w:val="Footer"/>
      </w:pPr>
    </w:p>
  </w:endnote>
  <w:endnote w:type="continuationNotice" w:id="1">
    <w:p w14:paraId="2497D6DE" w14:textId="77777777" w:rsidR="00C922B5" w:rsidRDefault="00C922B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BB34F" w14:textId="76DB5650" w:rsidR="00E15ACF" w:rsidRPr="00E15ACF" w:rsidRDefault="00E15ACF" w:rsidP="00E15ACF">
    <w:pPr>
      <w:pStyle w:val="Footer"/>
      <w:tabs>
        <w:tab w:val="right" w:pos="9638"/>
      </w:tabs>
    </w:pPr>
    <w:r w:rsidRPr="00E15ACF">
      <w:rPr>
        <w:b/>
        <w:sz w:val="18"/>
      </w:rPr>
      <w:fldChar w:fldCharType="begin"/>
    </w:r>
    <w:r w:rsidRPr="00E15ACF">
      <w:rPr>
        <w:b/>
        <w:sz w:val="18"/>
      </w:rPr>
      <w:instrText xml:space="preserve"> PAGE  \* MERGEFORMAT </w:instrText>
    </w:r>
    <w:r w:rsidRPr="00E15ACF">
      <w:rPr>
        <w:b/>
        <w:sz w:val="18"/>
      </w:rPr>
      <w:fldChar w:fldCharType="separate"/>
    </w:r>
    <w:r w:rsidRPr="00E15ACF">
      <w:rPr>
        <w:b/>
        <w:noProof/>
        <w:sz w:val="18"/>
      </w:rPr>
      <w:t>2</w:t>
    </w:r>
    <w:r w:rsidRPr="00E15ACF">
      <w:rPr>
        <w:b/>
        <w:sz w:val="18"/>
      </w:rPr>
      <w:fldChar w:fldCharType="end"/>
    </w:r>
    <w:r>
      <w:rPr>
        <w:b/>
        <w:sz w:val="18"/>
      </w:rPr>
      <w:tab/>
    </w:r>
    <w:r>
      <w:t>GE.21-05149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C4A52" w14:textId="2E0170AE" w:rsidR="00E15ACF" w:rsidRPr="00E15ACF" w:rsidRDefault="00E15ACF" w:rsidP="00E15ACF">
    <w:pPr>
      <w:pStyle w:val="Footer"/>
      <w:tabs>
        <w:tab w:val="right" w:pos="9638"/>
      </w:tabs>
      <w:rPr>
        <w:b/>
        <w:sz w:val="18"/>
      </w:rPr>
    </w:pPr>
    <w:r>
      <w:t>GE.21-05149</w:t>
    </w:r>
    <w:r>
      <w:tab/>
    </w:r>
    <w:r w:rsidRPr="00E15ACF">
      <w:rPr>
        <w:b/>
        <w:sz w:val="18"/>
      </w:rPr>
      <w:fldChar w:fldCharType="begin"/>
    </w:r>
    <w:r w:rsidRPr="00E15ACF">
      <w:rPr>
        <w:b/>
        <w:sz w:val="18"/>
      </w:rPr>
      <w:instrText xml:space="preserve"> PAGE  \* MERGEFORMAT </w:instrText>
    </w:r>
    <w:r w:rsidRPr="00E15ACF">
      <w:rPr>
        <w:b/>
        <w:sz w:val="18"/>
      </w:rPr>
      <w:fldChar w:fldCharType="separate"/>
    </w:r>
    <w:r w:rsidRPr="00E15ACF">
      <w:rPr>
        <w:b/>
        <w:noProof/>
        <w:sz w:val="18"/>
      </w:rPr>
      <w:t>3</w:t>
    </w:r>
    <w:r w:rsidRPr="00E15ACF">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BE2B9" w14:textId="737CC134" w:rsidR="0068456F" w:rsidRPr="00E15ACF" w:rsidRDefault="00E15ACF" w:rsidP="00E15ACF">
    <w:pPr>
      <w:pStyle w:val="Footer"/>
      <w:spacing w:before="120"/>
      <w:rPr>
        <w:sz w:val="20"/>
      </w:rPr>
    </w:pPr>
    <w:r>
      <w:rPr>
        <w:sz w:val="20"/>
      </w:rPr>
      <w:t>GE.</w:t>
    </w:r>
    <w:r w:rsidR="0068456F">
      <w:rPr>
        <w:noProof/>
        <w:lang w:eastAsia="fr-CH"/>
      </w:rPr>
      <w:drawing>
        <wp:anchor distT="0" distB="0" distL="114300" distR="114300" simplePos="0" relativeHeight="251659264" behindDoc="0" locked="0" layoutInCell="1" allowOverlap="0" wp14:anchorId="24C9B715" wp14:editId="4EFF85C3">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21-</w:t>
    </w:r>
    <w:proofErr w:type="gramStart"/>
    <w:r>
      <w:rPr>
        <w:sz w:val="20"/>
      </w:rPr>
      <w:t>05149  (</w:t>
    </w:r>
    <w:proofErr w:type="gramEnd"/>
    <w:r>
      <w:rPr>
        <w:sz w:val="20"/>
      </w:rPr>
      <w:t>F)</w:t>
    </w:r>
    <w:r>
      <w:rPr>
        <w:noProof/>
        <w:sz w:val="20"/>
      </w:rPr>
      <w:drawing>
        <wp:anchor distT="0" distB="0" distL="114300" distR="114300" simplePos="0" relativeHeight="251660288" behindDoc="0" locked="0" layoutInCell="1" allowOverlap="1" wp14:anchorId="31F3CBAA" wp14:editId="1B5661BA">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110521    110521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2E5274" w14:textId="77777777" w:rsidR="00C922B5" w:rsidRPr="00AC3823" w:rsidRDefault="00C922B5" w:rsidP="00AC3823">
      <w:pPr>
        <w:pStyle w:val="Footer"/>
        <w:tabs>
          <w:tab w:val="right" w:pos="2155"/>
        </w:tabs>
        <w:spacing w:after="80" w:line="240" w:lineRule="atLeast"/>
        <w:ind w:left="680"/>
        <w:rPr>
          <w:u w:val="single"/>
        </w:rPr>
      </w:pPr>
      <w:r>
        <w:rPr>
          <w:u w:val="single"/>
        </w:rPr>
        <w:tab/>
      </w:r>
    </w:p>
  </w:footnote>
  <w:footnote w:type="continuationSeparator" w:id="0">
    <w:p w14:paraId="212B19A7" w14:textId="77777777" w:rsidR="00C922B5" w:rsidRPr="00AC3823" w:rsidRDefault="00C922B5" w:rsidP="00AC3823">
      <w:pPr>
        <w:pStyle w:val="Footer"/>
        <w:tabs>
          <w:tab w:val="right" w:pos="2155"/>
        </w:tabs>
        <w:spacing w:after="80" w:line="240" w:lineRule="atLeast"/>
        <w:ind w:left="680"/>
        <w:rPr>
          <w:u w:val="single"/>
        </w:rPr>
      </w:pPr>
      <w:r>
        <w:rPr>
          <w:u w:val="single"/>
        </w:rPr>
        <w:tab/>
      </w:r>
    </w:p>
  </w:footnote>
  <w:footnote w:type="continuationNotice" w:id="1">
    <w:p w14:paraId="16D3976A" w14:textId="77777777" w:rsidR="00C922B5" w:rsidRPr="00AC3823" w:rsidRDefault="00C922B5">
      <w:pPr>
        <w:spacing w:line="240" w:lineRule="auto"/>
        <w:rPr>
          <w:sz w:val="2"/>
          <w:szCs w:val="2"/>
        </w:rPr>
      </w:pPr>
    </w:p>
  </w:footnote>
  <w:footnote w:id="2">
    <w:p w14:paraId="14920032" w14:textId="6E6CEB2F" w:rsidR="00E15ACF" w:rsidRPr="008E3965" w:rsidRDefault="00E15ACF" w:rsidP="00E15ACF">
      <w:pPr>
        <w:pStyle w:val="FootnoteText"/>
      </w:pPr>
      <w:r>
        <w:rPr>
          <w:lang w:val="fr-FR"/>
        </w:rPr>
        <w:tab/>
      </w:r>
      <w:r w:rsidRPr="008558F5">
        <w:rPr>
          <w:rStyle w:val="FootnoteReference"/>
        </w:rPr>
        <w:footnoteRef/>
      </w:r>
      <w:r>
        <w:rPr>
          <w:lang w:val="fr-FR"/>
        </w:rPr>
        <w:tab/>
        <w:t>A/75/6 (chap. 20), par. 20.51.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28E39" w14:textId="1AD59914" w:rsidR="00E15ACF" w:rsidRPr="00E15ACF" w:rsidRDefault="00691F23">
    <w:pPr>
      <w:pStyle w:val="Header"/>
    </w:pPr>
    <w:fldSimple w:instr=" TITLE  \* MERGEFORMAT ">
      <w:r w:rsidR="000A4FDB">
        <w:t>ST/SG/AC.10/C.3/2021/24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7A6CA" w14:textId="32516EE6" w:rsidR="00E15ACF" w:rsidRPr="00E15ACF" w:rsidRDefault="00691F23" w:rsidP="00E15ACF">
    <w:pPr>
      <w:pStyle w:val="Header"/>
      <w:jc w:val="right"/>
    </w:pPr>
    <w:fldSimple w:instr=" TITLE  \* MERGEFORMAT ">
      <w:r w:rsidR="000A4FDB">
        <w:t>ST/SG/AC.10/C.3/2021/24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567"/>
  <w:hyphenationZone w:val="425"/>
  <w:evenAndOddHeaders/>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2B5"/>
    <w:rsid w:val="00017F94"/>
    <w:rsid w:val="00023842"/>
    <w:rsid w:val="000305D3"/>
    <w:rsid w:val="000334F9"/>
    <w:rsid w:val="00057DE6"/>
    <w:rsid w:val="0007796D"/>
    <w:rsid w:val="000A4FDB"/>
    <w:rsid w:val="000B7790"/>
    <w:rsid w:val="00103ECF"/>
    <w:rsid w:val="00111F2F"/>
    <w:rsid w:val="00132EA9"/>
    <w:rsid w:val="0014365E"/>
    <w:rsid w:val="00172E49"/>
    <w:rsid w:val="00176178"/>
    <w:rsid w:val="001A691A"/>
    <w:rsid w:val="001F525A"/>
    <w:rsid w:val="00223272"/>
    <w:rsid w:val="002357F4"/>
    <w:rsid w:val="00246DD1"/>
    <w:rsid w:val="0024779E"/>
    <w:rsid w:val="002753CC"/>
    <w:rsid w:val="00283190"/>
    <w:rsid w:val="002832AC"/>
    <w:rsid w:val="002D7C93"/>
    <w:rsid w:val="00441C3B"/>
    <w:rsid w:val="00446FE5"/>
    <w:rsid w:val="00452396"/>
    <w:rsid w:val="004E468C"/>
    <w:rsid w:val="00504AE9"/>
    <w:rsid w:val="00527D10"/>
    <w:rsid w:val="005505B7"/>
    <w:rsid w:val="00573BE5"/>
    <w:rsid w:val="00584DC4"/>
    <w:rsid w:val="00586ED3"/>
    <w:rsid w:val="00596AA9"/>
    <w:rsid w:val="00636364"/>
    <w:rsid w:val="0068456F"/>
    <w:rsid w:val="00691F23"/>
    <w:rsid w:val="0071601D"/>
    <w:rsid w:val="007A62E6"/>
    <w:rsid w:val="007E7790"/>
    <w:rsid w:val="0080684C"/>
    <w:rsid w:val="008123E0"/>
    <w:rsid w:val="00871C75"/>
    <w:rsid w:val="008776DC"/>
    <w:rsid w:val="008B40CD"/>
    <w:rsid w:val="009705C8"/>
    <w:rsid w:val="009B3003"/>
    <w:rsid w:val="009C1CF4"/>
    <w:rsid w:val="00A03DF8"/>
    <w:rsid w:val="00A30353"/>
    <w:rsid w:val="00A81281"/>
    <w:rsid w:val="00AC3823"/>
    <w:rsid w:val="00AE323C"/>
    <w:rsid w:val="00B00181"/>
    <w:rsid w:val="00B00B0D"/>
    <w:rsid w:val="00B14656"/>
    <w:rsid w:val="00B75B52"/>
    <w:rsid w:val="00B765F7"/>
    <w:rsid w:val="00BA0CA9"/>
    <w:rsid w:val="00C02897"/>
    <w:rsid w:val="00C922B5"/>
    <w:rsid w:val="00C9395A"/>
    <w:rsid w:val="00D3438F"/>
    <w:rsid w:val="00D3439C"/>
    <w:rsid w:val="00DB1831"/>
    <w:rsid w:val="00DD3BFD"/>
    <w:rsid w:val="00DF6678"/>
    <w:rsid w:val="00E15ACF"/>
    <w:rsid w:val="00E5520B"/>
    <w:rsid w:val="00EF2E22"/>
    <w:rsid w:val="00F01738"/>
    <w:rsid w:val="00F1183D"/>
    <w:rsid w:val="00F660DF"/>
    <w:rsid w:val="00F730C8"/>
    <w:rsid w:val="00F95C08"/>
    <w:rsid w:val="00FA003E"/>
    <w:rsid w:val="00FB2734"/>
    <w:rsid w:val="00FB5020"/>
    <w:rsid w:val="00FF1B9B"/>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D65FB8"/>
  <w15:docId w15:val="{0CBB8B37-753A-4607-AE50-A04A6186B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584DC4"/>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584DC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584DC4"/>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584DC4"/>
    <w:pPr>
      <w:spacing w:line="240" w:lineRule="auto"/>
    </w:pPr>
    <w:rPr>
      <w:sz w:val="16"/>
    </w:rPr>
  </w:style>
  <w:style w:type="character" w:customStyle="1" w:styleId="FooterChar">
    <w:name w:val="Footer Char"/>
    <w:aliases w:val="3_G Char"/>
    <w:basedOn w:val="DefaultParagraphFont"/>
    <w:link w:val="Footer"/>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qFormat/>
    <w:rsid w:val="00584DC4"/>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584DC4"/>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qFormat/>
    <w:rsid w:val="00584DC4"/>
    <w:pPr>
      <w:tabs>
        <w:tab w:val="left" w:pos="1701"/>
        <w:tab w:val="left" w:pos="2268"/>
        <w:tab w:val="left" w:pos="2835"/>
      </w:tabs>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left" w:pos="1701"/>
        <w:tab w:val="left" w:pos="2268"/>
        <w:tab w:val="left" w:pos="2835"/>
      </w:tabs>
      <w:spacing w:after="120"/>
      <w:ind w:right="1134"/>
      <w:jc w:val="both"/>
    </w:pPr>
  </w:style>
  <w:style w:type="character" w:styleId="FootnoteReference">
    <w:name w:val="footnote reference"/>
    <w:aliases w:val="4_G,Footnote Reference/"/>
    <w:basedOn w:val="DefaultParagraphFont"/>
    <w:qFormat/>
    <w:rsid w:val="00584DC4"/>
    <w:rPr>
      <w:rFonts w:ascii="Times New Roman" w:hAnsi="Times New Roman"/>
      <w:sz w:val="18"/>
      <w:vertAlign w:val="superscript"/>
      <w:lang w:val="fr-CH"/>
    </w:rPr>
  </w:style>
  <w:style w:type="character" w:styleId="EndnoteReference">
    <w:name w:val="endnote reference"/>
    <w:aliases w:val="1_G"/>
    <w:basedOn w:val="FootnoteReference"/>
    <w:qFormat/>
    <w:rsid w:val="00584DC4"/>
    <w:rPr>
      <w:rFonts w:ascii="Times New Roman" w:hAnsi="Times New Roman"/>
      <w:sz w:val="18"/>
      <w:vertAlign w:val="superscript"/>
      <w:lang w:val="fr-CH"/>
    </w:rPr>
  </w:style>
  <w:style w:type="table" w:styleId="TableGrid">
    <w:name w:val="Table Grid"/>
    <w:basedOn w:val="TableNormal"/>
    <w:rsid w:val="00584DC4"/>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584DC4"/>
    <w:rPr>
      <w:color w:val="0000FF"/>
      <w:u w:val="none"/>
    </w:rPr>
  </w:style>
  <w:style w:type="character" w:styleId="FollowedHyperlink">
    <w:name w:val="FollowedHyperlink"/>
    <w:basedOn w:val="DefaultParagraphFont"/>
    <w:unhideWhenUsed/>
    <w:rsid w:val="00584DC4"/>
    <w:rPr>
      <w:color w:val="0000FF"/>
      <w:u w:val="none"/>
    </w:rPr>
  </w:style>
  <w:style w:type="paragraph" w:styleId="FootnoteText">
    <w:name w:val="footnote text"/>
    <w:aliases w:val="5_G"/>
    <w:basedOn w:val="Normal"/>
    <w:link w:val="FootnoteTextChar"/>
    <w:qFormat/>
    <w:rsid w:val="00584DC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584DC4"/>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584DC4"/>
  </w:style>
  <w:style w:type="character" w:customStyle="1" w:styleId="EndnoteTextChar">
    <w:name w:val="Endnote Text Char"/>
    <w:aliases w:val="2_G Char"/>
    <w:basedOn w:val="DefaultParagraphFont"/>
    <w:link w:val="EndnoteText"/>
    <w:rsid w:val="00584DC4"/>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584DC4"/>
    <w:rPr>
      <w:rFonts w:ascii="Times New Roman" w:hAnsi="Times New Roman"/>
      <w:b/>
      <w:sz w:val="18"/>
      <w:lang w:val="fr-CH"/>
    </w:rPr>
  </w:style>
  <w:style w:type="character" w:customStyle="1" w:styleId="Heading1Char">
    <w:name w:val="Heading 1 Char"/>
    <w:aliases w:val="Table_G Char"/>
    <w:basedOn w:val="DefaultParagraphFont"/>
    <w:link w:val="Heading1"/>
    <w:rsid w:val="00584DC4"/>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28" Type="http://schemas.openxmlformats.org/officeDocument/2006/relationships/customXml" Target="../customXml/item3.xml"/><Relationship Id="rId10" Type="http://schemas.openxmlformats.org/officeDocument/2006/relationships/image" Target="media/image4.sv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customXml" Target="../customXml/item2.xml"/></Relationships>
</file>

<file path=word/_rels/footer3.xml.rels><?xml version="1.0" encoding="UTF-8" standalone="yes"?>
<Relationships xmlns="http://schemas.openxmlformats.org/package/2006/relationships"><Relationship Id="rId2" Type="http://schemas.openxmlformats.org/officeDocument/2006/relationships/image" Target="media/image14.gif"/><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626577e1efd40950331a4241a1263ee2">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d0a6c692bd1091f1e5b8447858a85c4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00CD92-9835-46D0-9436-9441A5DAEAD9}"/>
</file>

<file path=customXml/itemProps2.xml><?xml version="1.0" encoding="utf-8"?>
<ds:datastoreItem xmlns:ds="http://schemas.openxmlformats.org/officeDocument/2006/customXml" ds:itemID="{2AAD5F81-6B67-4D5E-9770-AB6CAC1BDE67}"/>
</file>

<file path=customXml/itemProps3.xml><?xml version="1.0" encoding="utf-8"?>
<ds:datastoreItem xmlns:ds="http://schemas.openxmlformats.org/officeDocument/2006/customXml" ds:itemID="{C169AF76-DECD-4840-9637-E781CD7A3F56}"/>
</file>

<file path=docProps/app.xml><?xml version="1.0" encoding="utf-8"?>
<Properties xmlns="http://schemas.openxmlformats.org/officeDocument/2006/extended-properties" xmlns:vt="http://schemas.openxmlformats.org/officeDocument/2006/docPropsVTypes">
  <Template>Normal.dotm</Template>
  <TotalTime>1</TotalTime>
  <Pages>8</Pages>
  <Words>2026</Words>
  <Characters>11552</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ST/SG/AC.10/C.3/2021/24</vt:lpstr>
    </vt:vector>
  </TitlesOfParts>
  <Company>DCM</Company>
  <LinksUpToDate>false</LinksUpToDate>
  <CharactersWithSpaces>13551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ST/SG/AC.10/C.3/2021/24</dc:title>
  <dc:subject/>
  <dc:creator>Marie DESCHAMPS</dc:creator>
  <cp:keywords/>
  <cp:lastModifiedBy>Laurence Berthet</cp:lastModifiedBy>
  <cp:revision>3</cp:revision>
  <cp:lastPrinted>2021-05-12T17:14:00Z</cp:lastPrinted>
  <dcterms:created xsi:type="dcterms:W3CDTF">2021-05-12T17:13:00Z</dcterms:created>
  <dcterms:modified xsi:type="dcterms:W3CDTF">2021-05-12T17:14:00Z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