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F05A0" w14:paraId="52D8B42B" w14:textId="77777777" w:rsidTr="00A27C92">
        <w:trPr>
          <w:trHeight w:hRule="exact" w:val="851"/>
        </w:trPr>
        <w:tc>
          <w:tcPr>
            <w:tcW w:w="9639" w:type="dxa"/>
            <w:gridSpan w:val="2"/>
            <w:tcBorders>
              <w:bottom w:val="single" w:sz="4" w:space="0" w:color="auto"/>
            </w:tcBorders>
            <w:shd w:val="clear" w:color="auto" w:fill="auto"/>
            <w:vAlign w:val="bottom"/>
          </w:tcPr>
          <w:p w14:paraId="36757365" w14:textId="77777777" w:rsidR="000F05A0" w:rsidRPr="000F05A0" w:rsidRDefault="000F05A0" w:rsidP="000F05A0">
            <w:pPr>
              <w:jc w:val="right"/>
              <w:rPr>
                <w:lang w:val="en-US"/>
              </w:rPr>
            </w:pPr>
            <w:r w:rsidRPr="000F05A0">
              <w:rPr>
                <w:sz w:val="40"/>
                <w:lang w:val="en-US"/>
              </w:rPr>
              <w:t>E</w:t>
            </w:r>
            <w:r w:rsidRPr="000F05A0">
              <w:rPr>
                <w:lang w:val="en-US"/>
              </w:rPr>
              <w:t>/ECE/324/Rev.1/Add.82/Rev.5/Amend.10−</w:t>
            </w:r>
            <w:r w:rsidRPr="000F05A0">
              <w:rPr>
                <w:sz w:val="40"/>
                <w:lang w:val="en-US"/>
              </w:rPr>
              <w:t>E</w:t>
            </w:r>
            <w:r w:rsidRPr="000F05A0">
              <w:rPr>
                <w:lang w:val="en-US"/>
              </w:rPr>
              <w:t>/ECE/TRANS/505/Rev.1/Add.82/Rev.5/Amend.10</w:t>
            </w:r>
          </w:p>
        </w:tc>
      </w:tr>
      <w:tr w:rsidR="00421A10" w:rsidRPr="00DB58B5" w14:paraId="322713B1" w14:textId="77777777" w:rsidTr="00A27C92">
        <w:trPr>
          <w:trHeight w:hRule="exact" w:val="2835"/>
        </w:trPr>
        <w:tc>
          <w:tcPr>
            <w:tcW w:w="6804" w:type="dxa"/>
            <w:tcBorders>
              <w:top w:val="single" w:sz="4" w:space="0" w:color="auto"/>
              <w:bottom w:val="single" w:sz="12" w:space="0" w:color="auto"/>
            </w:tcBorders>
            <w:shd w:val="clear" w:color="auto" w:fill="auto"/>
          </w:tcPr>
          <w:p w14:paraId="5E84C497" w14:textId="77777777" w:rsidR="00421A10" w:rsidRPr="000F05A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676AF12" w14:textId="77777777" w:rsidR="00421A10" w:rsidRPr="00DB58B5" w:rsidRDefault="000F05A0" w:rsidP="00A27C92">
            <w:pPr>
              <w:spacing w:before="480" w:line="240" w:lineRule="exact"/>
            </w:pPr>
            <w:r>
              <w:t>1</w:t>
            </w:r>
            <w:r w:rsidRPr="000F05A0">
              <w:rPr>
                <w:vertAlign w:val="superscript"/>
              </w:rPr>
              <w:t>er</w:t>
            </w:r>
            <w:r>
              <w:t xml:space="preserve"> juillet 2020</w:t>
            </w:r>
          </w:p>
        </w:tc>
      </w:tr>
    </w:tbl>
    <w:p w14:paraId="202B3216" w14:textId="77777777" w:rsidR="00421A10" w:rsidRPr="006549FF" w:rsidRDefault="0029791D" w:rsidP="0029791D">
      <w:pPr>
        <w:pStyle w:val="HChG"/>
      </w:pPr>
      <w:r>
        <w:tab/>
      </w:r>
      <w:r>
        <w:tab/>
      </w:r>
      <w:r w:rsidR="00421A10" w:rsidRPr="006549FF">
        <w:t>Accord</w:t>
      </w:r>
    </w:p>
    <w:p w14:paraId="342D4617" w14:textId="77777777" w:rsidR="00421A10" w:rsidRPr="00583D68" w:rsidRDefault="0029791D" w:rsidP="0029791D">
      <w:pPr>
        <w:pStyle w:val="H1G"/>
      </w:pPr>
      <w:r>
        <w:tab/>
      </w:r>
      <w:r>
        <w:tab/>
      </w:r>
      <w:r w:rsidR="000F05A0" w:rsidRPr="00EC5AC3">
        <w:rPr>
          <w:bCs/>
          <w:lang w:val="fr-FR"/>
        </w:rPr>
        <w:t>Concernant l</w:t>
      </w:r>
      <w:r w:rsidR="000F05A0">
        <w:rPr>
          <w:bCs/>
          <w:lang w:val="fr-FR"/>
        </w:rPr>
        <w:t>’</w:t>
      </w:r>
      <w:r w:rsidR="000F05A0" w:rsidRPr="00EC5AC3">
        <w:rPr>
          <w:bCs/>
          <w:lang w:val="fr-FR"/>
        </w:rPr>
        <w:t>adoption de Règlements techniques harmonisés de l</w:t>
      </w:r>
      <w:r w:rsidR="000F05A0">
        <w:rPr>
          <w:bCs/>
          <w:lang w:val="fr-FR"/>
        </w:rPr>
        <w:t>’</w:t>
      </w:r>
      <w:r w:rsidR="000F05A0" w:rsidRPr="00EC5AC3">
        <w:rPr>
          <w:bCs/>
          <w:lang w:val="fr-FR"/>
        </w:rPr>
        <w:t>ONU applicables aux véhicules à roues et aux équipements et pièces susceptibles d</w:t>
      </w:r>
      <w:r w:rsidR="000F05A0">
        <w:rPr>
          <w:bCs/>
          <w:lang w:val="fr-FR"/>
        </w:rPr>
        <w:t>’</w:t>
      </w:r>
      <w:r w:rsidR="000F05A0" w:rsidRPr="00EC5AC3">
        <w:rPr>
          <w:bCs/>
          <w:lang w:val="fr-FR"/>
        </w:rPr>
        <w:t xml:space="preserve">être montés ou utilisés sur les véhicules à roues </w:t>
      </w:r>
      <w:r w:rsidR="000F05A0">
        <w:rPr>
          <w:bCs/>
          <w:lang w:val="fr-FR"/>
        </w:rPr>
        <w:br/>
      </w:r>
      <w:r w:rsidR="000F05A0" w:rsidRPr="00EC5AC3">
        <w:rPr>
          <w:bCs/>
          <w:lang w:val="fr-FR"/>
        </w:rPr>
        <w:t>et les conditions de reconnaissance réciproque des homologations délivrées conformément à ces Règlements</w:t>
      </w:r>
      <w:r w:rsidR="000F05A0" w:rsidRPr="000F05A0">
        <w:rPr>
          <w:b w:val="0"/>
          <w:bCs/>
          <w:sz w:val="20"/>
          <w:lang w:val="fr-FR"/>
        </w:rPr>
        <w:footnoteReference w:customMarkFollows="1" w:id="2"/>
        <w:t>*</w:t>
      </w:r>
    </w:p>
    <w:p w14:paraId="47E6C0DD" w14:textId="77777777" w:rsidR="00421A10" w:rsidRPr="00A12483" w:rsidRDefault="00421A10" w:rsidP="0029791D">
      <w:pPr>
        <w:pStyle w:val="SingleTxtG"/>
        <w:jc w:val="left"/>
        <w:rPr>
          <w:b/>
          <w:sz w:val="24"/>
          <w:szCs w:val="24"/>
        </w:rPr>
      </w:pPr>
      <w:r w:rsidRPr="006549FF">
        <w:t>(</w:t>
      </w:r>
      <w:r w:rsidR="000F05A0" w:rsidRPr="00EC5AC3">
        <w:rPr>
          <w:lang w:val="fr-FR"/>
        </w:rPr>
        <w:t>Révision 3, comprenant les amendements entrés en vigueur le 14 septembre 2017)</w:t>
      </w:r>
    </w:p>
    <w:p w14:paraId="7A81B653" w14:textId="77777777" w:rsidR="00421A10" w:rsidRPr="006549FF" w:rsidRDefault="0029791D" w:rsidP="0029791D">
      <w:pPr>
        <w:jc w:val="center"/>
      </w:pPr>
      <w:r>
        <w:t>_______________</w:t>
      </w:r>
    </w:p>
    <w:p w14:paraId="5D3C7866" w14:textId="77777777" w:rsidR="00421A10" w:rsidRPr="006549FF" w:rsidRDefault="0029791D" w:rsidP="0029791D">
      <w:pPr>
        <w:pStyle w:val="HChG"/>
      </w:pPr>
      <w:r>
        <w:tab/>
      </w:r>
      <w:r>
        <w:tab/>
      </w:r>
      <w:r w:rsidR="00421A10" w:rsidRPr="006549FF">
        <w:t xml:space="preserve">Additif </w:t>
      </w:r>
      <w:r w:rsidR="000F05A0" w:rsidRPr="00EC5AC3">
        <w:rPr>
          <w:bCs/>
          <w:lang w:val="fr-FR"/>
        </w:rPr>
        <w:t>82 − Règlement ONU n</w:t>
      </w:r>
      <w:r w:rsidR="000F05A0" w:rsidRPr="00EC5AC3">
        <w:rPr>
          <w:bCs/>
          <w:vertAlign w:val="superscript"/>
          <w:lang w:val="fr-FR"/>
        </w:rPr>
        <w:t>o</w:t>
      </w:r>
      <w:r w:rsidR="000F05A0" w:rsidRPr="00EC5AC3">
        <w:rPr>
          <w:bCs/>
          <w:lang w:val="fr-FR"/>
        </w:rPr>
        <w:t xml:space="preserve"> 83</w:t>
      </w:r>
    </w:p>
    <w:p w14:paraId="73E3D0C5" w14:textId="77777777" w:rsidR="00421A10" w:rsidRPr="006549FF" w:rsidRDefault="0029791D" w:rsidP="0029791D">
      <w:pPr>
        <w:pStyle w:val="H1G"/>
      </w:pPr>
      <w:r>
        <w:tab/>
      </w:r>
      <w:r>
        <w:tab/>
      </w:r>
      <w:r w:rsidR="000F05A0" w:rsidRPr="00EC5AC3">
        <w:rPr>
          <w:bCs/>
          <w:lang w:val="fr-FR"/>
        </w:rPr>
        <w:t>Révision 5 − Amendement 10</w:t>
      </w:r>
    </w:p>
    <w:p w14:paraId="05CD0F1B" w14:textId="77777777" w:rsidR="00421A10" w:rsidRPr="0029791D" w:rsidRDefault="000F05A0" w:rsidP="0029791D">
      <w:pPr>
        <w:pStyle w:val="SingleTxtG"/>
      </w:pPr>
      <w:r w:rsidRPr="00EC5AC3">
        <w:rPr>
          <w:lang w:val="fr-FR"/>
        </w:rPr>
        <w:t>Complément 10 à la série 07 d</w:t>
      </w:r>
      <w:r>
        <w:rPr>
          <w:lang w:val="fr-FR"/>
        </w:rPr>
        <w:t>’</w:t>
      </w:r>
      <w:r w:rsidRPr="00EC5AC3">
        <w:rPr>
          <w:lang w:val="fr-FR"/>
        </w:rPr>
        <w:t xml:space="preserve">amendements </w:t>
      </w:r>
      <w:r>
        <w:rPr>
          <w:lang w:val="fr-FR"/>
        </w:rPr>
        <w:t>−</w:t>
      </w:r>
      <w:r w:rsidRPr="00EC5AC3">
        <w:rPr>
          <w:lang w:val="fr-FR"/>
        </w:rPr>
        <w:t xml:space="preserve"> Date d</w:t>
      </w:r>
      <w:r>
        <w:rPr>
          <w:lang w:val="fr-FR"/>
        </w:rPr>
        <w:t>’</w:t>
      </w:r>
      <w:r w:rsidRPr="00EC5AC3">
        <w:rPr>
          <w:lang w:val="fr-FR"/>
        </w:rPr>
        <w:t>entrée en vigueur</w:t>
      </w:r>
      <w:r>
        <w:rPr>
          <w:lang w:val="fr-FR"/>
        </w:rPr>
        <w:t> </w:t>
      </w:r>
      <w:r w:rsidRPr="00EC5AC3">
        <w:rPr>
          <w:lang w:val="fr-FR"/>
        </w:rPr>
        <w:t>: 29 mai 2020</w:t>
      </w:r>
    </w:p>
    <w:p w14:paraId="26C923E6" w14:textId="77777777" w:rsidR="00421A10" w:rsidRDefault="0029791D" w:rsidP="0029791D">
      <w:pPr>
        <w:pStyle w:val="H1G"/>
      </w:pPr>
      <w:r>
        <w:tab/>
      </w:r>
      <w:r>
        <w:tab/>
      </w:r>
      <w:r w:rsidR="000F05A0" w:rsidRPr="00EC5AC3">
        <w:rPr>
          <w:lang w:val="fr-FR"/>
        </w:rPr>
        <w:t>Prescriptions uniformes relatives à l</w:t>
      </w:r>
      <w:r w:rsidR="000F05A0">
        <w:rPr>
          <w:lang w:val="fr-FR"/>
        </w:rPr>
        <w:t>’</w:t>
      </w:r>
      <w:r w:rsidR="000F05A0" w:rsidRPr="00EC5AC3">
        <w:rPr>
          <w:lang w:val="fr-FR"/>
        </w:rPr>
        <w:t xml:space="preserve">homologation des véhicules </w:t>
      </w:r>
      <w:r w:rsidR="000F05A0">
        <w:rPr>
          <w:lang w:val="fr-FR"/>
        </w:rPr>
        <w:br/>
      </w:r>
      <w:r w:rsidR="000F05A0" w:rsidRPr="00EC5AC3">
        <w:rPr>
          <w:lang w:val="fr-FR"/>
        </w:rPr>
        <w:t xml:space="preserve">en ce qui concerne les émissions de polluants selon les exigences </w:t>
      </w:r>
      <w:r w:rsidR="000F05A0">
        <w:rPr>
          <w:lang w:val="fr-FR"/>
        </w:rPr>
        <w:br/>
      </w:r>
      <w:r w:rsidR="000F05A0" w:rsidRPr="00EC5AC3">
        <w:rPr>
          <w:lang w:val="fr-FR"/>
        </w:rPr>
        <w:t>du moteur en matière de carburant</w:t>
      </w:r>
    </w:p>
    <w:p w14:paraId="0D730506" w14:textId="77777777" w:rsidR="00570D94" w:rsidRDefault="001750D2" w:rsidP="001750D2">
      <w:pPr>
        <w:pStyle w:val="SingleTxtG"/>
        <w:rPr>
          <w:spacing w:val="-2"/>
          <w:lang w:val="fr-FR"/>
        </w:rPr>
      </w:pPr>
      <w:r w:rsidRPr="000F05A0">
        <w:rPr>
          <w:noProof/>
          <w:spacing w:val="-2"/>
          <w:lang w:eastAsia="fr-CH"/>
        </w:rPr>
        <mc:AlternateContent>
          <mc:Choice Requires="wps">
            <w:drawing>
              <wp:anchor distT="0" distB="0" distL="114300" distR="114300" simplePos="0" relativeHeight="251658752" behindDoc="0" locked="0" layoutInCell="1" allowOverlap="1" wp14:anchorId="096B492B" wp14:editId="73E2BDA6">
                <wp:simplePos x="0" y="0"/>
                <wp:positionH relativeFrom="margin">
                  <wp:posOffset>0</wp:posOffset>
                </wp:positionH>
                <wp:positionV relativeFrom="margin">
                  <wp:posOffset>6257067</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68812F33" w14:textId="77777777" w:rsidR="00442E31" w:rsidRPr="0029791D" w:rsidRDefault="00442E31" w:rsidP="00C9521D">
                            <w:pPr>
                              <w:ind w:left="1134" w:right="1134"/>
                              <w:jc w:val="center"/>
                            </w:pPr>
                            <w:r>
                              <w:t>_______________</w:t>
                            </w:r>
                          </w:p>
                          <w:p w14:paraId="3EFC9FE7" w14:textId="77777777" w:rsidR="00442E31" w:rsidRDefault="00442E31" w:rsidP="00C9521D">
                            <w:pPr>
                              <w:jc w:val="center"/>
                              <w:rPr>
                                <w:b/>
                                <w:bCs/>
                                <w:sz w:val="22"/>
                              </w:rPr>
                            </w:pPr>
                            <w:r>
                              <w:rPr>
                                <w:noProof/>
                                <w:lang w:eastAsia="fr-CH"/>
                              </w:rPr>
                              <w:drawing>
                                <wp:inline distT="0" distB="0" distL="0" distR="0" wp14:anchorId="7F114B4F" wp14:editId="55830FD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C8F3BB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B492B" id="_x0000_t202" coordsize="21600,21600" o:spt="202" path="m,l,21600r21600,l21600,xe">
                <v:stroke joinstyle="miter"/>
                <v:path gradientshapeok="t" o:connecttype="rect"/>
              </v:shapetype>
              <v:shape id="Zone de texte 4" o:spid="_x0000_s1026" type="#_x0000_t202" style="position:absolute;left:0;text-align:left;margin-left:0;margin-top:492.7pt;width:481.85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" stroked="f">
                <v:textbox inset="0,0,0,0">
                  <w:txbxContent>
                    <w:p w14:paraId="68812F33" w14:textId="77777777" w:rsidR="00442E31" w:rsidRPr="0029791D" w:rsidRDefault="00442E31" w:rsidP="00C9521D">
                      <w:pPr>
                        <w:ind w:left="1134" w:right="1134"/>
                        <w:jc w:val="center"/>
                      </w:pPr>
                      <w:r>
                        <w:t>_______________</w:t>
                      </w:r>
                    </w:p>
                    <w:p w14:paraId="3EFC9FE7" w14:textId="77777777" w:rsidR="00442E31" w:rsidRDefault="00442E31" w:rsidP="00C9521D">
                      <w:pPr>
                        <w:jc w:val="center"/>
                        <w:rPr>
                          <w:b/>
                          <w:bCs/>
                          <w:sz w:val="22"/>
                        </w:rPr>
                      </w:pPr>
                      <w:r>
                        <w:rPr>
                          <w:noProof/>
                          <w:lang w:eastAsia="fr-CH"/>
                        </w:rPr>
                        <w:drawing>
                          <wp:inline distT="0" distB="0" distL="0" distR="0" wp14:anchorId="7F114B4F" wp14:editId="55830FD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C8F3BB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0F05A0" w:rsidRPr="000F05A0">
        <w:rPr>
          <w:spacing w:val="-2"/>
          <w:lang w:val="fr-FR"/>
        </w:rPr>
        <w:t>Le présent document est communiqué uniquement à titre d’information. Le texte authentique, juridiquement contraignant, est celui du document ECE/TRANS/WP.29/2019/127.</w:t>
      </w:r>
    </w:p>
    <w:p w14:paraId="10948230" w14:textId="77777777" w:rsidR="00570D94" w:rsidRPr="00EC5AC3" w:rsidRDefault="00570D94" w:rsidP="00570D94">
      <w:pPr>
        <w:pStyle w:val="SingleTxtG"/>
        <w:rPr>
          <w:i/>
          <w:lang w:val="fr-FR"/>
        </w:rPr>
      </w:pPr>
      <w:r>
        <w:rPr>
          <w:spacing w:val="-2"/>
          <w:lang w:val="fr-FR"/>
        </w:rPr>
        <w:br w:type="page"/>
      </w:r>
      <w:r w:rsidRPr="00EC5AC3">
        <w:rPr>
          <w:i/>
          <w:iCs/>
          <w:lang w:val="fr-FR"/>
        </w:rPr>
        <w:lastRenderedPageBreak/>
        <w:t>Paragraphe 7.4.4.3</w:t>
      </w:r>
      <w:r w:rsidRPr="00EC5AC3">
        <w:rPr>
          <w:lang w:val="fr-FR"/>
        </w:rPr>
        <w:t>, modification sans objet en français.</w:t>
      </w:r>
    </w:p>
    <w:p w14:paraId="2C531819" w14:textId="77777777" w:rsidR="00570D94" w:rsidRPr="00EC5AC3" w:rsidRDefault="00570D94" w:rsidP="00570D94">
      <w:pPr>
        <w:pStyle w:val="SingleTxtG"/>
        <w:keepNext/>
        <w:rPr>
          <w:i/>
          <w:lang w:val="fr-FR"/>
        </w:rPr>
      </w:pPr>
      <w:r w:rsidRPr="00EC5AC3">
        <w:rPr>
          <w:i/>
          <w:lang w:val="fr-FR"/>
        </w:rPr>
        <w:t>Annexe 8</w:t>
      </w:r>
    </w:p>
    <w:p w14:paraId="0AD03474" w14:textId="77777777" w:rsidR="00570D94" w:rsidRPr="00EC5AC3" w:rsidRDefault="00570D94" w:rsidP="00570D94">
      <w:pPr>
        <w:pStyle w:val="SingleTxtG"/>
        <w:keepNext/>
        <w:rPr>
          <w:i/>
          <w:lang w:val="fr-FR"/>
        </w:rPr>
      </w:pPr>
      <w:r w:rsidRPr="00EC5AC3">
        <w:rPr>
          <w:i/>
          <w:lang w:val="fr-FR"/>
        </w:rPr>
        <w:t>Paragraphe 3.2.1</w:t>
      </w:r>
      <w:r w:rsidRPr="00EC5AC3">
        <w:rPr>
          <w:lang w:val="fr-FR"/>
        </w:rPr>
        <w:t>, lire :</w:t>
      </w:r>
    </w:p>
    <w:p w14:paraId="7078F08C" w14:textId="77777777" w:rsidR="00570D94" w:rsidRPr="00EC5AC3" w:rsidRDefault="00570D94" w:rsidP="00570D94">
      <w:pPr>
        <w:pStyle w:val="SingleTxtG"/>
        <w:tabs>
          <w:tab w:val="left" w:pos="2268"/>
        </w:tabs>
        <w:ind w:left="2268" w:hanging="1134"/>
        <w:rPr>
          <w:lang w:val="fr-FR"/>
        </w:rPr>
      </w:pPr>
      <w:r w:rsidRPr="00EC5AC3">
        <w:rPr>
          <w:lang w:val="fr-FR"/>
        </w:rPr>
        <w:t>« 3.2.1</w:t>
      </w:r>
      <w:r w:rsidRPr="00EC5AC3">
        <w:rPr>
          <w:lang w:val="fr-FR"/>
        </w:rPr>
        <w:tab/>
        <w:t>Le démarrage du moteur, le commencement des prélèvements et l</w:t>
      </w:r>
      <w:r>
        <w:rPr>
          <w:lang w:val="fr-FR"/>
        </w:rPr>
        <w:t>’</w:t>
      </w:r>
      <w:r w:rsidRPr="00EC5AC3">
        <w:rPr>
          <w:lang w:val="fr-FR"/>
        </w:rPr>
        <w:t>exécution du premier cycle sont effectués conformément au tableau A4a/1 et à la figure A4a/1 de l</w:t>
      </w:r>
      <w:r>
        <w:rPr>
          <w:lang w:val="fr-FR"/>
        </w:rPr>
        <w:t>’</w:t>
      </w:r>
      <w:r w:rsidRPr="00EC5AC3">
        <w:rPr>
          <w:lang w:val="fr-FR"/>
        </w:rPr>
        <w:t>annexe 4a du présent Règlement. ».</w:t>
      </w:r>
    </w:p>
    <w:p w14:paraId="6AB123B7" w14:textId="77777777" w:rsidR="00570D94" w:rsidRPr="00EC5AC3" w:rsidRDefault="00570D94" w:rsidP="00570D94">
      <w:pPr>
        <w:pStyle w:val="SingleTxtG"/>
        <w:rPr>
          <w:i/>
          <w:iCs/>
          <w:lang w:val="fr-FR"/>
        </w:rPr>
      </w:pPr>
      <w:r w:rsidRPr="00EC5AC3">
        <w:rPr>
          <w:i/>
          <w:iCs/>
          <w:lang w:val="fr-FR"/>
        </w:rPr>
        <w:t>Annexe 11, appendice 1</w:t>
      </w:r>
    </w:p>
    <w:p w14:paraId="28B4233C" w14:textId="77777777" w:rsidR="00570D94" w:rsidRPr="00EC5AC3" w:rsidRDefault="00570D94" w:rsidP="00570D94">
      <w:pPr>
        <w:pStyle w:val="SingleTxtG"/>
        <w:rPr>
          <w:lang w:val="fr-FR"/>
        </w:rPr>
      </w:pPr>
      <w:r w:rsidRPr="00EC5AC3">
        <w:rPr>
          <w:i/>
          <w:iCs/>
          <w:lang w:val="fr-FR"/>
        </w:rPr>
        <w:t>Paragraphe 6.5.3.5</w:t>
      </w:r>
      <w:r w:rsidRPr="00EC5AC3">
        <w:rPr>
          <w:lang w:val="fr-FR"/>
        </w:rPr>
        <w:t>, modification sans objet en français.</w:t>
      </w:r>
    </w:p>
    <w:p w14:paraId="21B88306" w14:textId="77777777" w:rsidR="00570D94" w:rsidRPr="00EC5AC3" w:rsidRDefault="00570D94" w:rsidP="00570D94">
      <w:pPr>
        <w:pStyle w:val="SingleTxtG"/>
        <w:rPr>
          <w:i/>
          <w:lang w:val="fr-FR"/>
        </w:rPr>
      </w:pPr>
      <w:r w:rsidRPr="00EC5AC3">
        <w:rPr>
          <w:i/>
          <w:lang w:val="fr-FR"/>
        </w:rPr>
        <w:t>Annexe 14</w:t>
      </w:r>
    </w:p>
    <w:p w14:paraId="3E8748EF" w14:textId="77777777" w:rsidR="00570D94" w:rsidRPr="00EC5AC3" w:rsidRDefault="00570D94" w:rsidP="00570D94">
      <w:pPr>
        <w:pStyle w:val="SingleTxtG"/>
        <w:keepNext/>
        <w:rPr>
          <w:i/>
          <w:lang w:val="fr-FR"/>
        </w:rPr>
      </w:pPr>
      <w:r w:rsidRPr="00EC5AC3">
        <w:rPr>
          <w:i/>
          <w:lang w:val="fr-FR"/>
        </w:rPr>
        <w:t>Paragraphe 3.1.1</w:t>
      </w:r>
      <w:r w:rsidRPr="00EC5AC3">
        <w:rPr>
          <w:lang w:val="fr-FR"/>
        </w:rPr>
        <w:t>, lire :</w:t>
      </w:r>
    </w:p>
    <w:p w14:paraId="6705C4CD" w14:textId="77777777" w:rsidR="00570D94" w:rsidRPr="00EC5AC3" w:rsidRDefault="00570D94" w:rsidP="00570D94">
      <w:pPr>
        <w:pStyle w:val="SingleTxtG"/>
        <w:keepNext/>
        <w:tabs>
          <w:tab w:val="left" w:pos="2268"/>
        </w:tabs>
        <w:ind w:left="2268" w:hanging="1134"/>
        <w:jc w:val="left"/>
        <w:rPr>
          <w:lang w:val="fr-FR"/>
        </w:rPr>
      </w:pPr>
      <w:r w:rsidRPr="00EC5AC3">
        <w:rPr>
          <w:lang w:val="fr-FR"/>
        </w:rPr>
        <w:t>« 3.1.1</w:t>
      </w:r>
      <w:r w:rsidRPr="00EC5AC3">
        <w:rPr>
          <w:lang w:val="fr-FR"/>
        </w:rPr>
        <w:tab/>
        <w:t>Deux essais doivent être effectués dans les conditions suivantes :</w:t>
      </w:r>
    </w:p>
    <w:p w14:paraId="635BCD5A" w14:textId="77777777" w:rsidR="00570D94" w:rsidRPr="00EC5AC3" w:rsidRDefault="00570D94" w:rsidP="00570D94">
      <w:pPr>
        <w:pStyle w:val="SingleTxtG"/>
        <w:ind w:left="3629" w:hanging="1361"/>
        <w:rPr>
          <w:lang w:val="fr-FR"/>
        </w:rPr>
      </w:pPr>
      <w:r w:rsidRPr="00EC5AC3">
        <w:rPr>
          <w:lang w:val="fr-FR"/>
        </w:rPr>
        <w:t>Condition A :</w:t>
      </w:r>
      <w:r>
        <w:rPr>
          <w:lang w:val="fr-FR"/>
        </w:rPr>
        <w:tab/>
      </w:r>
      <w:r w:rsidRPr="00EC5AC3">
        <w:rPr>
          <w:lang w:val="fr-FR"/>
        </w:rPr>
        <w:t>L</w:t>
      </w:r>
      <w:r>
        <w:rPr>
          <w:lang w:val="fr-FR"/>
        </w:rPr>
        <w:t>’</w:t>
      </w:r>
      <w:r w:rsidRPr="00EC5AC3">
        <w:rPr>
          <w:lang w:val="fr-FR"/>
        </w:rPr>
        <w:t>essai doit être lancé alors que le dispositif de stockage d</w:t>
      </w:r>
      <w:r>
        <w:rPr>
          <w:lang w:val="fr-FR"/>
        </w:rPr>
        <w:t>’</w:t>
      </w:r>
      <w:r w:rsidRPr="00EC5AC3">
        <w:rPr>
          <w:lang w:val="fr-FR"/>
        </w:rPr>
        <w:t>énergie électrique est complétement chargé ;</w:t>
      </w:r>
    </w:p>
    <w:p w14:paraId="53E1F094" w14:textId="77777777" w:rsidR="00570D94" w:rsidRPr="00EC5AC3" w:rsidRDefault="00570D94" w:rsidP="00570D94">
      <w:pPr>
        <w:pStyle w:val="SingleTxtG"/>
        <w:ind w:left="3629" w:hanging="1361"/>
        <w:rPr>
          <w:lang w:val="fr-FR"/>
        </w:rPr>
      </w:pPr>
      <w:r w:rsidRPr="00EC5AC3">
        <w:rPr>
          <w:lang w:val="fr-FR"/>
        </w:rPr>
        <w:t>Condition B :</w:t>
      </w:r>
      <w:r>
        <w:rPr>
          <w:lang w:val="fr-FR"/>
        </w:rPr>
        <w:tab/>
      </w:r>
      <w:r w:rsidRPr="00EC5AC3">
        <w:rPr>
          <w:lang w:val="fr-FR"/>
        </w:rPr>
        <w:t>L</w:t>
      </w:r>
      <w:r>
        <w:rPr>
          <w:lang w:val="fr-FR"/>
        </w:rPr>
        <w:t>’</w:t>
      </w:r>
      <w:r w:rsidRPr="00EC5AC3">
        <w:rPr>
          <w:lang w:val="fr-FR"/>
        </w:rPr>
        <w:t>essai doit être lancé alors que le dispositif de stockage d</w:t>
      </w:r>
      <w:r>
        <w:rPr>
          <w:lang w:val="fr-FR"/>
        </w:rPr>
        <w:t>’</w:t>
      </w:r>
      <w:r w:rsidRPr="00EC5AC3">
        <w:rPr>
          <w:lang w:val="fr-FR"/>
        </w:rPr>
        <w:t>énergie électrique est à l</w:t>
      </w:r>
      <w:r>
        <w:rPr>
          <w:lang w:val="fr-FR"/>
        </w:rPr>
        <w:t>’</w:t>
      </w:r>
      <w:r w:rsidRPr="00EC5AC3">
        <w:rPr>
          <w:lang w:val="fr-FR"/>
        </w:rPr>
        <w:t>état de charge minimal (décharge maximale de la capacité).</w:t>
      </w:r>
    </w:p>
    <w:p w14:paraId="1DD73369" w14:textId="77777777" w:rsidR="00570D94" w:rsidRPr="00EC5AC3" w:rsidRDefault="00570D94" w:rsidP="00570D94">
      <w:pPr>
        <w:pStyle w:val="SingleTxtG"/>
        <w:ind w:left="2268"/>
        <w:rPr>
          <w:lang w:val="fr-FR"/>
        </w:rPr>
      </w:pPr>
      <w:r w:rsidRPr="00EC5AC3">
        <w:rPr>
          <w:lang w:val="fr-FR"/>
        </w:rPr>
        <w:tab/>
        <w:t>Le profil de l</w:t>
      </w:r>
      <w:r>
        <w:rPr>
          <w:lang w:val="fr-FR"/>
        </w:rPr>
        <w:t>’</w:t>
      </w:r>
      <w:r w:rsidRPr="00EC5AC3">
        <w:rPr>
          <w:lang w:val="fr-FR"/>
        </w:rPr>
        <w:t>état de charge du dispositif de stockage d</w:t>
      </w:r>
      <w:r>
        <w:rPr>
          <w:lang w:val="fr-FR"/>
        </w:rPr>
        <w:t>’</w:t>
      </w:r>
      <w:r w:rsidRPr="00EC5AC3">
        <w:rPr>
          <w:lang w:val="fr-FR"/>
        </w:rPr>
        <w:t>énergie électrique pendant les différentes phases de l</w:t>
      </w:r>
      <w:r>
        <w:rPr>
          <w:lang w:val="fr-FR"/>
        </w:rPr>
        <w:t>’</w:t>
      </w:r>
      <w:r w:rsidRPr="00EC5AC3">
        <w:rPr>
          <w:lang w:val="fr-FR"/>
        </w:rPr>
        <w:t>essai du type I est présenté dans l</w:t>
      </w:r>
      <w:r>
        <w:rPr>
          <w:lang w:val="fr-FR"/>
        </w:rPr>
        <w:t>’</w:t>
      </w:r>
      <w:r w:rsidRPr="00EC5AC3">
        <w:rPr>
          <w:lang w:val="fr-FR"/>
        </w:rPr>
        <w:t>appendice 1 de la présente annexe. ».</w:t>
      </w:r>
    </w:p>
    <w:p w14:paraId="63DC0E39" w14:textId="77777777" w:rsidR="00570D94" w:rsidRPr="00EC5AC3" w:rsidRDefault="00570D94" w:rsidP="00570D94">
      <w:pPr>
        <w:pStyle w:val="SingleTxtG"/>
        <w:keepNext/>
        <w:rPr>
          <w:i/>
          <w:lang w:val="fr-FR"/>
        </w:rPr>
      </w:pPr>
      <w:r w:rsidRPr="00EC5AC3">
        <w:rPr>
          <w:i/>
          <w:lang w:val="fr-FR"/>
        </w:rPr>
        <w:t>Paragraphe 3.2.1</w:t>
      </w:r>
      <w:r w:rsidRPr="00EC5AC3">
        <w:rPr>
          <w:lang w:val="fr-FR"/>
        </w:rPr>
        <w:t>, lire :</w:t>
      </w:r>
    </w:p>
    <w:p w14:paraId="0C1A7AB3" w14:textId="77777777" w:rsidR="00570D94" w:rsidRPr="00EC5AC3" w:rsidRDefault="00570D94" w:rsidP="00570D94">
      <w:pPr>
        <w:pStyle w:val="SingleTxtG"/>
        <w:keepNext/>
        <w:tabs>
          <w:tab w:val="left" w:pos="2268"/>
        </w:tabs>
        <w:ind w:left="2268" w:hanging="1134"/>
        <w:jc w:val="left"/>
        <w:rPr>
          <w:lang w:val="fr-FR"/>
        </w:rPr>
      </w:pPr>
      <w:r w:rsidRPr="00EC5AC3">
        <w:rPr>
          <w:lang w:val="fr-FR"/>
        </w:rPr>
        <w:t>« 3.2.1</w:t>
      </w:r>
      <w:r w:rsidRPr="00EC5AC3">
        <w:rPr>
          <w:lang w:val="fr-FR"/>
        </w:rPr>
        <w:tab/>
        <w:t>Deux essais doivent être effectués dans les conditions suivantes :</w:t>
      </w:r>
    </w:p>
    <w:p w14:paraId="6EE1DE45" w14:textId="77777777" w:rsidR="00570D94" w:rsidRPr="00EC5AC3" w:rsidRDefault="00570D94" w:rsidP="00570D94">
      <w:pPr>
        <w:pStyle w:val="SingleTxtG"/>
        <w:tabs>
          <w:tab w:val="left" w:pos="2268"/>
        </w:tabs>
        <w:ind w:left="2268" w:hanging="1134"/>
        <w:rPr>
          <w:lang w:val="fr-FR"/>
        </w:rPr>
      </w:pPr>
      <w:r w:rsidRPr="00EC5AC3">
        <w:rPr>
          <w:lang w:val="fr-FR"/>
        </w:rPr>
        <w:t>3.2.1.1</w:t>
      </w:r>
      <w:r w:rsidRPr="00EC5AC3">
        <w:rPr>
          <w:lang w:val="fr-FR"/>
        </w:rPr>
        <w:tab/>
        <w:t>Condition A : L</w:t>
      </w:r>
      <w:r>
        <w:rPr>
          <w:lang w:val="fr-FR"/>
        </w:rPr>
        <w:t>’</w:t>
      </w:r>
      <w:r w:rsidRPr="00EC5AC3">
        <w:rPr>
          <w:lang w:val="fr-FR"/>
        </w:rPr>
        <w:t>essai doit être lancé alors que le dispositif de stockage d</w:t>
      </w:r>
      <w:r>
        <w:rPr>
          <w:lang w:val="fr-FR"/>
        </w:rPr>
        <w:t>’</w:t>
      </w:r>
      <w:r w:rsidRPr="00EC5AC3">
        <w:rPr>
          <w:lang w:val="fr-FR"/>
        </w:rPr>
        <w:t>énergie électrique est complétement chargé.</w:t>
      </w:r>
    </w:p>
    <w:p w14:paraId="6A18F493" w14:textId="77777777" w:rsidR="00570D94" w:rsidRPr="00EC5AC3" w:rsidRDefault="00570D94" w:rsidP="00570D94">
      <w:pPr>
        <w:pStyle w:val="SingleTxtG"/>
        <w:tabs>
          <w:tab w:val="left" w:pos="2268"/>
        </w:tabs>
        <w:ind w:left="2268" w:hanging="1134"/>
        <w:rPr>
          <w:lang w:val="fr-FR"/>
        </w:rPr>
      </w:pPr>
      <w:r w:rsidRPr="00EC5AC3">
        <w:rPr>
          <w:lang w:val="fr-FR"/>
        </w:rPr>
        <w:t>3.2.1.2</w:t>
      </w:r>
      <w:r w:rsidRPr="00EC5AC3">
        <w:rPr>
          <w:lang w:val="fr-FR"/>
        </w:rPr>
        <w:tab/>
        <w:t>Condition B : L</w:t>
      </w:r>
      <w:r>
        <w:rPr>
          <w:lang w:val="fr-FR"/>
        </w:rPr>
        <w:t>’</w:t>
      </w:r>
      <w:r w:rsidRPr="00EC5AC3">
        <w:rPr>
          <w:lang w:val="fr-FR"/>
        </w:rPr>
        <w:t>essai doit être lancé alors que le dispositif de stockage d</w:t>
      </w:r>
      <w:r>
        <w:rPr>
          <w:lang w:val="fr-FR"/>
        </w:rPr>
        <w:t>’</w:t>
      </w:r>
      <w:r w:rsidRPr="00EC5AC3">
        <w:rPr>
          <w:lang w:val="fr-FR"/>
        </w:rPr>
        <w:t>énergie électrique est à l</w:t>
      </w:r>
      <w:r>
        <w:rPr>
          <w:lang w:val="fr-FR"/>
        </w:rPr>
        <w:t>’</w:t>
      </w:r>
      <w:r w:rsidRPr="00EC5AC3">
        <w:rPr>
          <w:lang w:val="fr-FR"/>
        </w:rPr>
        <w:t>état de charge minimal (décharge maximale de sa capacité) et effectué dans un mode de fonctionnement propre à maintenir le véhicule dans son état de charge, ce qui correspond à des conditions de fonctionnement dans lesquelles l</w:t>
      </w:r>
      <w:r>
        <w:rPr>
          <w:lang w:val="fr-FR"/>
        </w:rPr>
        <w:t>’</w:t>
      </w:r>
      <w:r w:rsidRPr="00EC5AC3">
        <w:rPr>
          <w:lang w:val="fr-FR"/>
        </w:rPr>
        <w:t>énergie stockée dans le dispositif de stockage d</w:t>
      </w:r>
      <w:r>
        <w:rPr>
          <w:lang w:val="fr-FR"/>
        </w:rPr>
        <w:t>’</w:t>
      </w:r>
      <w:r w:rsidRPr="00EC5AC3">
        <w:rPr>
          <w:lang w:val="fr-FR"/>
        </w:rPr>
        <w:t>énergie peut fluctuer mais est maintenue en moyenne à un niveau de charge stable pendant que le véhicule roule.</w:t>
      </w:r>
    </w:p>
    <w:p w14:paraId="5A6BA0D0" w14:textId="77777777" w:rsidR="00570D94" w:rsidRPr="00EC5AC3" w:rsidRDefault="00570D94" w:rsidP="00570D94">
      <w:pPr>
        <w:pStyle w:val="SingleTxtG"/>
        <w:keepNext/>
        <w:tabs>
          <w:tab w:val="left" w:pos="2268"/>
        </w:tabs>
        <w:ind w:left="2268" w:hanging="1134"/>
        <w:rPr>
          <w:rFonts w:eastAsiaTheme="minorEastAsia"/>
          <w:lang w:val="fr-FR"/>
        </w:rPr>
      </w:pPr>
      <w:r w:rsidRPr="00EC5AC3">
        <w:rPr>
          <w:lang w:val="fr-FR"/>
        </w:rPr>
        <w:t>3.2.1.3</w:t>
      </w:r>
      <w:r w:rsidRPr="00EC5AC3">
        <w:rPr>
          <w:lang w:val="fr-FR"/>
        </w:rPr>
        <w:tab/>
        <w:t>En accord avec l</w:t>
      </w:r>
      <w:r>
        <w:rPr>
          <w:lang w:val="fr-FR"/>
        </w:rPr>
        <w:t>’</w:t>
      </w:r>
      <w:r w:rsidRPr="00EC5AC3">
        <w:rPr>
          <w:lang w:val="fr-FR"/>
        </w:rPr>
        <w:t>autorité d</w:t>
      </w:r>
      <w:r>
        <w:rPr>
          <w:lang w:val="fr-FR"/>
        </w:rPr>
        <w:t>’</w:t>
      </w:r>
      <w:r w:rsidRPr="00EC5AC3">
        <w:rPr>
          <w:lang w:val="fr-FR"/>
        </w:rPr>
        <w:t>homologation de type et sur justification du constructeur, les modes de fonctionnement suivants ne doivent pas être utilisés aux fins d</w:t>
      </w:r>
      <w:r>
        <w:rPr>
          <w:lang w:val="fr-FR"/>
        </w:rPr>
        <w:t>’</w:t>
      </w:r>
      <w:r w:rsidRPr="00EC5AC3">
        <w:rPr>
          <w:lang w:val="fr-FR"/>
        </w:rPr>
        <w:t>essai :</w:t>
      </w:r>
    </w:p>
    <w:p w14:paraId="6E053D9A" w14:textId="77777777" w:rsidR="00570D94" w:rsidRPr="00EC5AC3" w:rsidRDefault="00570D94" w:rsidP="00570D94">
      <w:pPr>
        <w:pStyle w:val="SingleTxtG"/>
        <w:ind w:left="2835" w:hanging="567"/>
        <w:rPr>
          <w:rFonts w:eastAsiaTheme="minorEastAsia"/>
          <w:lang w:val="fr-FR"/>
        </w:rPr>
      </w:pPr>
      <w:r w:rsidRPr="00EC5AC3">
        <w:rPr>
          <w:lang w:val="fr-FR"/>
        </w:rPr>
        <w:t>a)</w:t>
      </w:r>
      <w:r w:rsidRPr="00EC5AC3">
        <w:rPr>
          <w:lang w:val="fr-FR"/>
        </w:rPr>
        <w:tab/>
        <w:t>Les modes de fonctionnement tels que le mode “charge”, qui ne se limitent pas à la propulsion du véhicule, mais qui, en plus de la propulsion, chargent le dispositif de stockage d</w:t>
      </w:r>
      <w:r>
        <w:rPr>
          <w:lang w:val="fr-FR"/>
        </w:rPr>
        <w:t>’</w:t>
      </w:r>
      <w:r w:rsidRPr="00EC5AC3">
        <w:rPr>
          <w:lang w:val="fr-FR"/>
        </w:rPr>
        <w:t>énergie afin de faciliter localement une conduite sans émissions (par exemple dans des conditions urbaines) ;</w:t>
      </w:r>
    </w:p>
    <w:p w14:paraId="5A192851" w14:textId="77777777" w:rsidR="00570D94" w:rsidRPr="00EC5AC3" w:rsidRDefault="00570D94" w:rsidP="00570D94">
      <w:pPr>
        <w:pStyle w:val="SingleTxtG"/>
        <w:ind w:left="2835" w:hanging="567"/>
        <w:rPr>
          <w:rFonts w:eastAsiaTheme="minorEastAsia"/>
          <w:lang w:val="fr-FR"/>
        </w:rPr>
      </w:pPr>
      <w:r w:rsidRPr="00EC5AC3">
        <w:rPr>
          <w:lang w:val="fr-FR"/>
        </w:rPr>
        <w:t>b)</w:t>
      </w:r>
      <w:r w:rsidRPr="00EC5AC3">
        <w:rPr>
          <w:lang w:val="fr-FR"/>
        </w:rPr>
        <w:tab/>
        <w:t>Les modes de fonctionnement destinés à l</w:t>
      </w:r>
      <w:r>
        <w:rPr>
          <w:lang w:val="fr-FR"/>
        </w:rPr>
        <w:t>’</w:t>
      </w:r>
      <w:r w:rsidRPr="00EC5AC3">
        <w:rPr>
          <w:lang w:val="fr-FR"/>
        </w:rPr>
        <w:t>entretien du véhicule, par exemple le mode “entretien” ;</w:t>
      </w:r>
    </w:p>
    <w:p w14:paraId="122C9082" w14:textId="77777777" w:rsidR="00570D94" w:rsidRPr="00EC5AC3" w:rsidRDefault="00570D94" w:rsidP="00570D94">
      <w:pPr>
        <w:pStyle w:val="SingleTxtG"/>
        <w:ind w:left="2835" w:hanging="567"/>
        <w:rPr>
          <w:rFonts w:eastAsiaTheme="minorEastAsia"/>
          <w:lang w:val="fr-FR"/>
        </w:rPr>
      </w:pPr>
      <w:r w:rsidRPr="00EC5AC3">
        <w:rPr>
          <w:lang w:val="fr-FR"/>
        </w:rPr>
        <w:t>c)</w:t>
      </w:r>
      <w:r w:rsidRPr="00EC5AC3">
        <w:rPr>
          <w:lang w:val="fr-FR"/>
        </w:rPr>
        <w:tab/>
        <w:t>Les modes de fonctionnement destinés à des usages spéciaux limités et non à l</w:t>
      </w:r>
      <w:r>
        <w:rPr>
          <w:lang w:val="fr-FR"/>
        </w:rPr>
        <w:t>’</w:t>
      </w:r>
      <w:r w:rsidRPr="00EC5AC3">
        <w:rPr>
          <w:lang w:val="fr-FR"/>
        </w:rPr>
        <w:t>usage quotidien, comme le mode “montagne”.</w:t>
      </w:r>
    </w:p>
    <w:p w14:paraId="52B07FFA" w14:textId="77777777" w:rsidR="00570D94" w:rsidRPr="00EC5AC3" w:rsidRDefault="00570D94" w:rsidP="00570D94">
      <w:pPr>
        <w:pStyle w:val="SingleTxtG"/>
        <w:ind w:left="2268"/>
        <w:rPr>
          <w:iCs/>
          <w:lang w:val="fr-FR"/>
        </w:rPr>
      </w:pPr>
      <w:r w:rsidRPr="00EC5AC3">
        <w:rPr>
          <w:lang w:val="fr-FR"/>
        </w:rPr>
        <w:t>Sur la base des renseignements fournis par le constructeur, le service technique doit veiller à ce que les valeurs limites indiquées au tableau 1 du paragraphe 5.3.1.4 du présent Règlement ne soient pas dépassées dans tous les modes hybrides, à l</w:t>
      </w:r>
      <w:r>
        <w:rPr>
          <w:lang w:val="fr-FR"/>
        </w:rPr>
        <w:t>’</w:t>
      </w:r>
      <w:r w:rsidRPr="00EC5AC3">
        <w:rPr>
          <w:lang w:val="fr-FR"/>
        </w:rPr>
        <w:t>exception du mode “entretien”.</w:t>
      </w:r>
    </w:p>
    <w:p w14:paraId="582A6EDD" w14:textId="77777777" w:rsidR="00570D94" w:rsidRPr="00EC5AC3" w:rsidRDefault="00570D94" w:rsidP="00570D94">
      <w:pPr>
        <w:pStyle w:val="SingleTxtG"/>
        <w:tabs>
          <w:tab w:val="left" w:pos="2268"/>
        </w:tabs>
        <w:ind w:left="2268" w:hanging="1134"/>
        <w:rPr>
          <w:lang w:val="fr-FR"/>
        </w:rPr>
      </w:pPr>
      <w:r w:rsidRPr="00EC5AC3">
        <w:rPr>
          <w:lang w:val="fr-FR"/>
        </w:rPr>
        <w:t>3.2.1.4</w:t>
      </w:r>
      <w:r w:rsidRPr="00EC5AC3">
        <w:rPr>
          <w:lang w:val="fr-FR"/>
        </w:rPr>
        <w:tab/>
        <w:t>Le mode de fonctionnement doit être choisi conformément aux dispositions des paragraphes</w:t>
      </w:r>
      <w:r>
        <w:rPr>
          <w:lang w:val="fr-FR"/>
        </w:rPr>
        <w:t> </w:t>
      </w:r>
      <w:r w:rsidRPr="00EC5AC3">
        <w:rPr>
          <w:lang w:val="fr-FR"/>
        </w:rPr>
        <w:t>3.2.1.4.1 à 3.2.1.4.2.2 inclus.</w:t>
      </w:r>
    </w:p>
    <w:p w14:paraId="6EEBF457" w14:textId="77777777" w:rsidR="00570D94" w:rsidRPr="00EC5AC3" w:rsidRDefault="00570D94" w:rsidP="00570D94">
      <w:pPr>
        <w:pStyle w:val="SingleTxtG"/>
        <w:keepNext/>
        <w:tabs>
          <w:tab w:val="left" w:pos="2268"/>
        </w:tabs>
        <w:ind w:left="2268" w:hanging="1134"/>
        <w:jc w:val="left"/>
        <w:rPr>
          <w:lang w:val="fr-FR"/>
        </w:rPr>
      </w:pPr>
      <w:r w:rsidRPr="00EC5AC3">
        <w:rPr>
          <w:lang w:val="fr-FR"/>
        </w:rPr>
        <w:lastRenderedPageBreak/>
        <w:t>3.2.1.4.1</w:t>
      </w:r>
      <w:r w:rsidRPr="00EC5AC3">
        <w:rPr>
          <w:lang w:val="fr-FR"/>
        </w:rPr>
        <w:tab/>
        <w:t>Choix du mode de fonctionnement pour la condition A</w:t>
      </w:r>
    </w:p>
    <w:p w14:paraId="6D09A88F" w14:textId="77777777" w:rsidR="00570D94" w:rsidRPr="00EC5AC3" w:rsidRDefault="00570D94" w:rsidP="00570D94">
      <w:pPr>
        <w:pStyle w:val="SingleTxtG"/>
        <w:tabs>
          <w:tab w:val="left" w:pos="2268"/>
        </w:tabs>
        <w:ind w:left="2268" w:hanging="1134"/>
        <w:rPr>
          <w:lang w:val="fr-FR"/>
        </w:rPr>
      </w:pPr>
      <w:r w:rsidRPr="00EC5AC3">
        <w:rPr>
          <w:lang w:val="fr-FR"/>
        </w:rPr>
        <w:t>3.2.1.4.1.1</w:t>
      </w:r>
      <w:r w:rsidRPr="00EC5AC3">
        <w:rPr>
          <w:lang w:val="fr-FR"/>
        </w:rPr>
        <w:tab/>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14:paraId="26947900" w14:textId="77777777" w:rsidR="00570D94" w:rsidRPr="00EC5AC3" w:rsidRDefault="00570D94" w:rsidP="00570D94">
      <w:pPr>
        <w:pStyle w:val="SingleTxtG"/>
        <w:tabs>
          <w:tab w:val="left" w:pos="2268"/>
        </w:tabs>
        <w:ind w:left="2268" w:hanging="1134"/>
        <w:rPr>
          <w:lang w:val="fr-FR"/>
        </w:rPr>
      </w:pPr>
      <w:r w:rsidRPr="00EC5AC3">
        <w:rPr>
          <w:lang w:val="fr-FR"/>
        </w:rPr>
        <w:t>3.2.1.4.1.2</w:t>
      </w:r>
      <w:r w:rsidRPr="00EC5AC3">
        <w:rPr>
          <w:lang w:val="fr-FR"/>
        </w:rPr>
        <w:tab/>
        <w:t>Si, dans la condition A, il n</w:t>
      </w:r>
      <w:r>
        <w:rPr>
          <w:lang w:val="fr-FR"/>
        </w:rPr>
        <w:t>’</w:t>
      </w:r>
      <w:r w:rsidRPr="00EC5AC3">
        <w:rPr>
          <w:lang w:val="fr-FR"/>
        </w:rPr>
        <w:t>existe pas de mode de fonctionnement particulier qui soit sélectionné par défaut au démarrage du véhicule, le mode dans lequel la consommation d</w:t>
      </w:r>
      <w:r>
        <w:rPr>
          <w:lang w:val="fr-FR"/>
        </w:rPr>
        <w:t>’</w:t>
      </w:r>
      <w:r w:rsidRPr="00EC5AC3">
        <w:rPr>
          <w:lang w:val="fr-FR"/>
        </w:rPr>
        <w:t>énergie électrique est la plus élevée doit être sélectionné.</w:t>
      </w:r>
    </w:p>
    <w:p w14:paraId="28F2C301" w14:textId="77777777" w:rsidR="00570D94" w:rsidRPr="00EC5AC3" w:rsidRDefault="00570D94" w:rsidP="00570D94">
      <w:pPr>
        <w:pStyle w:val="SingleTxtG"/>
        <w:keepNext/>
        <w:tabs>
          <w:tab w:val="left" w:pos="2268"/>
        </w:tabs>
        <w:ind w:left="2268" w:hanging="1134"/>
        <w:jc w:val="left"/>
        <w:rPr>
          <w:lang w:val="fr-FR"/>
        </w:rPr>
      </w:pPr>
      <w:r w:rsidRPr="00EC5AC3">
        <w:rPr>
          <w:lang w:val="fr-FR"/>
        </w:rPr>
        <w:t>3.2.1.4.2</w:t>
      </w:r>
      <w:r w:rsidRPr="00EC5AC3">
        <w:rPr>
          <w:lang w:val="fr-FR"/>
        </w:rPr>
        <w:tab/>
        <w:t>Choix du mode de fonctionnement pour la condition B</w:t>
      </w:r>
    </w:p>
    <w:p w14:paraId="042FB437" w14:textId="77777777" w:rsidR="00570D94" w:rsidRPr="00EC5AC3" w:rsidRDefault="00570D94" w:rsidP="00570D94">
      <w:pPr>
        <w:pStyle w:val="SingleTxtG"/>
        <w:tabs>
          <w:tab w:val="left" w:pos="2268"/>
        </w:tabs>
        <w:ind w:left="2268" w:hanging="1134"/>
        <w:rPr>
          <w:lang w:val="fr-FR"/>
        </w:rPr>
      </w:pPr>
      <w:r w:rsidRPr="00EC5AC3">
        <w:rPr>
          <w:lang w:val="fr-FR"/>
        </w:rPr>
        <w:t>3.2.1.4.2.1</w:t>
      </w:r>
      <w:r w:rsidRPr="00EC5AC3">
        <w:rPr>
          <w:lang w:val="fr-FR"/>
        </w:rPr>
        <w:tab/>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14:paraId="352153F5" w14:textId="77777777" w:rsidR="00570D94" w:rsidRPr="00EC5AC3" w:rsidRDefault="00570D94" w:rsidP="00570D94">
      <w:pPr>
        <w:pStyle w:val="SingleTxtG"/>
        <w:tabs>
          <w:tab w:val="left" w:pos="2268"/>
        </w:tabs>
        <w:ind w:left="2268" w:hanging="1134"/>
        <w:rPr>
          <w:lang w:val="fr-FR"/>
        </w:rPr>
      </w:pPr>
      <w:r w:rsidRPr="00EC5AC3">
        <w:rPr>
          <w:lang w:val="fr-FR"/>
        </w:rPr>
        <w:t>3.2.1.4.2.2</w:t>
      </w:r>
      <w:r w:rsidRPr="00EC5AC3">
        <w:rPr>
          <w:lang w:val="fr-FR"/>
        </w:rPr>
        <w:tab/>
        <w:t>Si, dans la condition B, il n</w:t>
      </w:r>
      <w:r>
        <w:rPr>
          <w:lang w:val="fr-FR"/>
        </w:rPr>
        <w:t>’</w:t>
      </w:r>
      <w:r w:rsidRPr="00EC5AC3">
        <w:rPr>
          <w:lang w:val="fr-FR"/>
        </w:rPr>
        <w:t>existe pas de mode de fonctionnement particulier qui soit sélectionné par défaut au démarrage du véhicule, le mode dans lequel la consommation de carburant est la plus élevée doit être sélectionné. ».</w:t>
      </w:r>
    </w:p>
    <w:p w14:paraId="5A9EBDC3" w14:textId="77777777" w:rsidR="005F0207" w:rsidRPr="00570D94" w:rsidRDefault="00570D94" w:rsidP="00570D9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0207" w:rsidRPr="00570D94" w:rsidSect="000F05A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08B3" w14:textId="77777777" w:rsidR="001A62DF" w:rsidRDefault="001A62DF"/>
  </w:endnote>
  <w:endnote w:type="continuationSeparator" w:id="0">
    <w:p w14:paraId="3690E5B4" w14:textId="77777777" w:rsidR="001A62DF" w:rsidRDefault="001A62DF">
      <w:pPr>
        <w:pStyle w:val="Pieddepage"/>
      </w:pPr>
    </w:p>
  </w:endnote>
  <w:endnote w:type="continuationNotice" w:id="1">
    <w:p w14:paraId="0A7E0219" w14:textId="77777777" w:rsidR="001A62DF" w:rsidRPr="00C451B9" w:rsidRDefault="001A62D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8B50" w14:textId="77777777" w:rsidR="000F05A0" w:rsidRPr="000F05A0" w:rsidRDefault="000F05A0" w:rsidP="000F05A0">
    <w:pPr>
      <w:pStyle w:val="Pieddepage"/>
      <w:tabs>
        <w:tab w:val="right" w:pos="9638"/>
      </w:tabs>
    </w:pPr>
    <w:r w:rsidRPr="000F05A0">
      <w:rPr>
        <w:b/>
        <w:sz w:val="18"/>
      </w:rPr>
      <w:fldChar w:fldCharType="begin"/>
    </w:r>
    <w:r w:rsidRPr="000F05A0">
      <w:rPr>
        <w:b/>
        <w:sz w:val="18"/>
      </w:rPr>
      <w:instrText xml:space="preserve"> PAGE  \* MERGEFORMAT </w:instrText>
    </w:r>
    <w:r w:rsidRPr="000F05A0">
      <w:rPr>
        <w:b/>
        <w:sz w:val="18"/>
      </w:rPr>
      <w:fldChar w:fldCharType="separate"/>
    </w:r>
    <w:r w:rsidRPr="000F05A0">
      <w:rPr>
        <w:b/>
        <w:noProof/>
        <w:sz w:val="18"/>
      </w:rPr>
      <w:t>2</w:t>
    </w:r>
    <w:r w:rsidRPr="000F05A0">
      <w:rPr>
        <w:b/>
        <w:sz w:val="18"/>
      </w:rPr>
      <w:fldChar w:fldCharType="end"/>
    </w:r>
    <w:r>
      <w:rPr>
        <w:b/>
        <w:sz w:val="18"/>
      </w:rPr>
      <w:tab/>
    </w:r>
    <w:r>
      <w:t>GE.20-08740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6768" w14:textId="77777777" w:rsidR="000F05A0" w:rsidRPr="000F05A0" w:rsidRDefault="000F05A0" w:rsidP="000F05A0">
    <w:pPr>
      <w:pStyle w:val="Pieddepage"/>
      <w:tabs>
        <w:tab w:val="right" w:pos="9638"/>
      </w:tabs>
      <w:rPr>
        <w:b/>
        <w:sz w:val="18"/>
      </w:rPr>
    </w:pPr>
    <w:r>
      <w:t>GE.20-08740</w:t>
    </w:r>
    <w:r>
      <w:tab/>
    </w:r>
    <w:r w:rsidRPr="000F05A0">
      <w:rPr>
        <w:b/>
        <w:sz w:val="18"/>
      </w:rPr>
      <w:fldChar w:fldCharType="begin"/>
    </w:r>
    <w:r w:rsidRPr="000F05A0">
      <w:rPr>
        <w:b/>
        <w:sz w:val="18"/>
      </w:rPr>
      <w:instrText xml:space="preserve"> PAGE  \* MERGEFORMAT </w:instrText>
    </w:r>
    <w:r w:rsidRPr="000F05A0">
      <w:rPr>
        <w:b/>
        <w:sz w:val="18"/>
      </w:rPr>
      <w:fldChar w:fldCharType="separate"/>
    </w:r>
    <w:r w:rsidRPr="000F05A0">
      <w:rPr>
        <w:b/>
        <w:noProof/>
        <w:sz w:val="18"/>
      </w:rPr>
      <w:t>3</w:t>
    </w:r>
    <w:r w:rsidRPr="000F05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9F82" w14:textId="31368D75" w:rsidR="00467F2C" w:rsidRPr="000F05A0" w:rsidRDefault="000F05A0" w:rsidP="000F05A0">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5DFD1BEA" wp14:editId="5224D38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20-08740  (F)</w:t>
    </w:r>
    <w:r w:rsidR="00031DA5">
      <w:rPr>
        <w:sz w:val="20"/>
      </w:rPr>
      <w:t xml:space="preserve">    181120    181120</w:t>
    </w:r>
    <w:bookmarkStart w:id="0" w:name="_GoBack"/>
    <w:bookmarkEnd w:id="0"/>
    <w:r>
      <w:rPr>
        <w:sz w:val="20"/>
      </w:rPr>
      <w:br/>
    </w:r>
    <w:r w:rsidRPr="000F05A0">
      <w:rPr>
        <w:rFonts w:ascii="C39T30Lfz" w:hAnsi="C39T30Lfz"/>
        <w:sz w:val="56"/>
      </w:rPr>
      <w:t>*2008740*</w:t>
    </w:r>
    <w:r>
      <w:rPr>
        <w:noProof/>
        <w:sz w:val="20"/>
      </w:rPr>
      <w:drawing>
        <wp:anchor distT="0" distB="0" distL="114300" distR="114300" simplePos="0" relativeHeight="251658240" behindDoc="0" locked="0" layoutInCell="1" allowOverlap="1" wp14:anchorId="455445B7" wp14:editId="4D036722">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9100" w14:textId="77777777" w:rsidR="001A62DF" w:rsidRPr="00D27D5E" w:rsidRDefault="001A62DF" w:rsidP="00D27D5E">
      <w:pPr>
        <w:tabs>
          <w:tab w:val="right" w:pos="2155"/>
        </w:tabs>
        <w:spacing w:after="80"/>
        <w:ind w:left="680"/>
        <w:rPr>
          <w:u w:val="single"/>
        </w:rPr>
      </w:pPr>
      <w:r>
        <w:rPr>
          <w:u w:val="single"/>
        </w:rPr>
        <w:tab/>
      </w:r>
    </w:p>
  </w:footnote>
  <w:footnote w:type="continuationSeparator" w:id="0">
    <w:p w14:paraId="69E9BAE1" w14:textId="77777777" w:rsidR="001A62DF" w:rsidRPr="00D171D4" w:rsidRDefault="001A62DF" w:rsidP="00D171D4">
      <w:pPr>
        <w:tabs>
          <w:tab w:val="right" w:pos="2155"/>
        </w:tabs>
        <w:spacing w:after="80"/>
        <w:ind w:left="680"/>
        <w:rPr>
          <w:u w:val="single"/>
        </w:rPr>
      </w:pPr>
      <w:r w:rsidRPr="00D171D4">
        <w:rPr>
          <w:u w:val="single"/>
        </w:rPr>
        <w:tab/>
      </w:r>
    </w:p>
  </w:footnote>
  <w:footnote w:type="continuationNotice" w:id="1">
    <w:p w14:paraId="64B010AC" w14:textId="77777777" w:rsidR="001A62DF" w:rsidRPr="00C451B9" w:rsidRDefault="001A62DF" w:rsidP="00C451B9">
      <w:pPr>
        <w:spacing w:line="240" w:lineRule="auto"/>
        <w:rPr>
          <w:sz w:val="2"/>
          <w:szCs w:val="2"/>
        </w:rPr>
      </w:pPr>
    </w:p>
  </w:footnote>
  <w:footnote w:id="2">
    <w:p w14:paraId="1698522E" w14:textId="77777777" w:rsidR="000F05A0" w:rsidRPr="00101DEC" w:rsidRDefault="000F05A0" w:rsidP="000F05A0">
      <w:pPr>
        <w:pStyle w:val="Notedebasdepage"/>
      </w:pPr>
      <w:r>
        <w:rPr>
          <w:lang w:val="fr-FR"/>
        </w:rPr>
        <w:tab/>
      </w:r>
      <w:r w:rsidRPr="001750D2">
        <w:rPr>
          <w:sz w:val="20"/>
          <w:lang w:val="fr-FR"/>
        </w:rPr>
        <w:t>*</w:t>
      </w:r>
      <w:r>
        <w:rPr>
          <w:lang w:val="fr-FR"/>
        </w:rPr>
        <w:tab/>
        <w:t>Anciens titres de l’Accord</w:t>
      </w:r>
      <w:r w:rsidR="001750D2">
        <w:rPr>
          <w:lang w:val="fr-FR"/>
        </w:rPr>
        <w:t> </w:t>
      </w:r>
      <w:r>
        <w:rPr>
          <w:lang w:val="fr-FR"/>
        </w:rPr>
        <w:t>:</w:t>
      </w:r>
    </w:p>
    <w:p w14:paraId="6C95657B" w14:textId="77777777" w:rsidR="000F05A0" w:rsidRPr="00101DEC" w:rsidRDefault="000F05A0" w:rsidP="001750D2">
      <w:pPr>
        <w:pStyle w:val="Notedebasdepage"/>
        <w:ind w:firstLine="0"/>
        <w:rPr>
          <w:sz w:val="20"/>
        </w:rPr>
      </w:pPr>
      <w:r>
        <w:rPr>
          <w:lang w:val="fr-FR"/>
        </w:rPr>
        <w:t>Accord concernant l’adoption de conditions uniformes d’homologation et la reconnaissance réciproque de l’homologation des équipements et pièces de véhicules à moteur, en date, à Genève, du</w:t>
      </w:r>
      <w:r w:rsidR="001750D2">
        <w:rPr>
          <w:lang w:val="fr-FR"/>
        </w:rPr>
        <w:t> </w:t>
      </w:r>
      <w:r>
        <w:rPr>
          <w:lang w:val="fr-FR"/>
        </w:rPr>
        <w:t>20 mars 1958 (version originale)</w:t>
      </w:r>
      <w:r w:rsidR="001750D2">
        <w:rPr>
          <w:lang w:val="fr-FR"/>
        </w:rPr>
        <w:t> </w:t>
      </w:r>
      <w:r>
        <w:rPr>
          <w:lang w:val="fr-FR"/>
        </w:rPr>
        <w:t>;</w:t>
      </w:r>
    </w:p>
    <w:p w14:paraId="3A63176B" w14:textId="77777777" w:rsidR="000F05A0" w:rsidRPr="00101DEC" w:rsidRDefault="000F05A0" w:rsidP="001750D2">
      <w:pPr>
        <w:pStyle w:val="Notedebasdepage"/>
        <w:ind w:firstLine="0"/>
      </w:pPr>
      <w:r>
        <w:rPr>
          <w:lang w:val="fr-FR"/>
        </w:rPr>
        <w:t>Accord concernant l’adoption de prescriptions techniques uniformes applicables aux véhicules à roues, aux équipements et aux pièces susceptibles d’être montés ou utilisés sur un véhicule à roues et</w:t>
      </w:r>
      <w:r w:rsidR="001750D2">
        <w:rPr>
          <w:lang w:val="fr-FR"/>
        </w:rPr>
        <w:t> </w:t>
      </w:r>
      <w:r>
        <w:rPr>
          <w:lang w:val="fr-FR"/>
        </w:rPr>
        <w:t>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CEC3" w14:textId="7A29EBD6" w:rsidR="000F05A0" w:rsidRPr="000F05A0" w:rsidRDefault="000F05A0">
    <w:pPr>
      <w:pStyle w:val="En-tte"/>
      <w:rPr>
        <w:lang w:val="en-US"/>
      </w:rPr>
    </w:pPr>
    <w:r>
      <w:fldChar w:fldCharType="begin"/>
    </w:r>
    <w:r w:rsidRPr="000F05A0">
      <w:rPr>
        <w:lang w:val="en-US"/>
      </w:rPr>
      <w:instrText xml:space="preserve"> TITLE  \* MERGEFORMAT </w:instrText>
    </w:r>
    <w:r>
      <w:fldChar w:fldCharType="separate"/>
    </w:r>
    <w:r w:rsidR="00031DA5">
      <w:rPr>
        <w:lang w:val="en-US"/>
      </w:rPr>
      <w:t>E/ECE/324/Rev.1/Add.82/Rev.5/Amend.10</w:t>
    </w:r>
    <w:r>
      <w:fldChar w:fldCharType="end"/>
    </w:r>
    <w:r w:rsidRPr="000F05A0">
      <w:rPr>
        <w:lang w:val="en-US"/>
      </w:rPr>
      <w:br/>
    </w:r>
    <w:r>
      <w:fldChar w:fldCharType="begin"/>
    </w:r>
    <w:r w:rsidRPr="000F05A0">
      <w:rPr>
        <w:lang w:val="en-US"/>
      </w:rPr>
      <w:instrText xml:space="preserve"> KEYWORDS  \* MERGEFORMAT </w:instrText>
    </w:r>
    <w:r>
      <w:fldChar w:fldCharType="separate"/>
    </w:r>
    <w:r w:rsidR="00031DA5">
      <w:rPr>
        <w:lang w:val="en-US"/>
      </w:rPr>
      <w:t>E/ECE/TRANS/505/Rev.1/Add.82/Rev.5/Amend.10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7462" w14:textId="412C581C" w:rsidR="000F05A0" w:rsidRPr="000F05A0" w:rsidRDefault="000F05A0" w:rsidP="000F05A0">
    <w:pPr>
      <w:pStyle w:val="En-tte"/>
      <w:jc w:val="right"/>
      <w:rPr>
        <w:lang w:val="en-US"/>
      </w:rPr>
    </w:pPr>
    <w:r>
      <w:fldChar w:fldCharType="begin"/>
    </w:r>
    <w:r w:rsidRPr="000F05A0">
      <w:rPr>
        <w:lang w:val="en-US"/>
      </w:rPr>
      <w:instrText xml:space="preserve"> TITLE  \* MERGEFORMAT </w:instrText>
    </w:r>
    <w:r>
      <w:fldChar w:fldCharType="separate"/>
    </w:r>
    <w:r w:rsidR="00031DA5">
      <w:rPr>
        <w:lang w:val="en-US"/>
      </w:rPr>
      <w:t>E/ECE/324/Rev.1/Add.82/Rev.5/Amend.10</w:t>
    </w:r>
    <w:r>
      <w:fldChar w:fldCharType="end"/>
    </w:r>
    <w:r w:rsidRPr="000F05A0">
      <w:rPr>
        <w:lang w:val="en-US"/>
      </w:rPr>
      <w:br/>
    </w:r>
    <w:r>
      <w:fldChar w:fldCharType="begin"/>
    </w:r>
    <w:r w:rsidRPr="000F05A0">
      <w:rPr>
        <w:lang w:val="en-US"/>
      </w:rPr>
      <w:instrText xml:space="preserve"> KEYWORDS  \* MERGEFORMAT </w:instrText>
    </w:r>
    <w:r>
      <w:fldChar w:fldCharType="separate"/>
    </w:r>
    <w:r w:rsidR="00031DA5">
      <w:rPr>
        <w:lang w:val="en-US"/>
      </w:rPr>
      <w:t>E/ECE/TRANS/505/Rev.1/Add.82/Rev.5/Amend.10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3517" w14:textId="77777777" w:rsidR="00031DA5" w:rsidRDefault="00031D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62DF"/>
    <w:rsid w:val="0001470D"/>
    <w:rsid w:val="00016165"/>
    <w:rsid w:val="00016AC5"/>
    <w:rsid w:val="00021126"/>
    <w:rsid w:val="00021907"/>
    <w:rsid w:val="000233A5"/>
    <w:rsid w:val="0002445D"/>
    <w:rsid w:val="00024C50"/>
    <w:rsid w:val="00025E92"/>
    <w:rsid w:val="000276A3"/>
    <w:rsid w:val="00031DA5"/>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05A0"/>
    <w:rsid w:val="000F41F2"/>
    <w:rsid w:val="0010373B"/>
    <w:rsid w:val="0011415F"/>
    <w:rsid w:val="00125446"/>
    <w:rsid w:val="001358D9"/>
    <w:rsid w:val="00141E26"/>
    <w:rsid w:val="00143EB9"/>
    <w:rsid w:val="00152C5A"/>
    <w:rsid w:val="0015389C"/>
    <w:rsid w:val="00160540"/>
    <w:rsid w:val="00166C68"/>
    <w:rsid w:val="00174814"/>
    <w:rsid w:val="001750D2"/>
    <w:rsid w:val="00181A90"/>
    <w:rsid w:val="00190D5D"/>
    <w:rsid w:val="00192EEB"/>
    <w:rsid w:val="00194484"/>
    <w:rsid w:val="001A2040"/>
    <w:rsid w:val="001A20FB"/>
    <w:rsid w:val="001A252F"/>
    <w:rsid w:val="001A376F"/>
    <w:rsid w:val="001A62D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20AB"/>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0D94"/>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0033B38"/>
  <w15:docId w15:val="{D6005CD9-D6B9-4C6C-AC08-F9FE5233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BFAF5-4701-48FA-B29A-A484F3505147}"/>
</file>

<file path=customXml/itemProps2.xml><?xml version="1.0" encoding="utf-8"?>
<ds:datastoreItem xmlns:ds="http://schemas.openxmlformats.org/officeDocument/2006/customXml" ds:itemID="{F5C45C95-30F4-40E2-AB91-268BC48211DA}"/>
</file>

<file path=customXml/itemProps3.xml><?xml version="1.0" encoding="utf-8"?>
<ds:datastoreItem xmlns:ds="http://schemas.openxmlformats.org/officeDocument/2006/customXml" ds:itemID="{A11A344C-A663-474A-9AD1-97AD9FA735C1}"/>
</file>

<file path=docProps/app.xml><?xml version="1.0" encoding="utf-8"?>
<Properties xmlns="http://schemas.openxmlformats.org/officeDocument/2006/extended-properties" xmlns:vt="http://schemas.openxmlformats.org/officeDocument/2006/docPropsVTypes">
  <Template>E_ECE_324.dotm</Template>
  <TotalTime>1</TotalTime>
  <Pages>3</Pages>
  <Words>696</Words>
  <Characters>4525</Characters>
  <Application>Microsoft Office Word</Application>
  <DocSecurity>0</DocSecurity>
  <Lines>452</Lines>
  <Paragraphs>307</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E/ECE/324/Rev.1/Add.82/Rev.5/Amend.10</dc:title>
  <dc:creator>Nathalie VITTOZ</dc:creator>
  <cp:keywords>E/ECE/TRANS/505/Rev.1/Add.82/Rev.5/Amend.10</cp:keywords>
  <cp:lastModifiedBy>Nathalie Vittoz</cp:lastModifiedBy>
  <cp:revision>3</cp:revision>
  <cp:lastPrinted>2020-11-18T08:35:00Z</cp:lastPrinted>
  <dcterms:created xsi:type="dcterms:W3CDTF">2020-11-18T08:35:00Z</dcterms:created>
  <dcterms:modified xsi:type="dcterms:W3CDTF">2020-11-18T08:36:00Z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