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9B6038" w14:paraId="27D91998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5C37E4" w14:textId="77777777" w:rsidR="009B6038" w:rsidRPr="009B6038" w:rsidRDefault="009B6038" w:rsidP="009B6038">
            <w:pPr>
              <w:jc w:val="right"/>
              <w:rPr>
                <w:lang w:val="en-US"/>
              </w:rPr>
            </w:pPr>
            <w:r w:rsidRPr="009B6038">
              <w:rPr>
                <w:sz w:val="40"/>
                <w:lang w:val="en-US"/>
              </w:rPr>
              <w:t>E</w:t>
            </w:r>
            <w:r w:rsidRPr="009B6038">
              <w:rPr>
                <w:lang w:val="en-US"/>
              </w:rPr>
              <w:t>/ECE/324/Add.9/Rev.6/Amend.1−</w:t>
            </w:r>
            <w:r w:rsidRPr="009B6038">
              <w:rPr>
                <w:sz w:val="40"/>
                <w:lang w:val="en-US"/>
              </w:rPr>
              <w:t>E</w:t>
            </w:r>
            <w:r w:rsidRPr="009B6038">
              <w:rPr>
                <w:lang w:val="en-US"/>
              </w:rPr>
              <w:t>/ECE/TRANS/505/Add.9/Rev.6/Amend.1</w:t>
            </w:r>
          </w:p>
        </w:tc>
      </w:tr>
      <w:tr w:rsidR="00421A10" w:rsidRPr="00DB58B5" w14:paraId="4683A1FD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EB7A81F" w14:textId="77777777" w:rsidR="00421A10" w:rsidRPr="009B6038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6B9872C" w14:textId="77777777" w:rsidR="00421A10" w:rsidRPr="00DB58B5" w:rsidRDefault="009B6038" w:rsidP="00A27C92">
            <w:pPr>
              <w:spacing w:before="480" w:line="240" w:lineRule="exact"/>
            </w:pPr>
            <w:r>
              <w:t>30 octobre 2020</w:t>
            </w:r>
          </w:p>
        </w:tc>
      </w:tr>
    </w:tbl>
    <w:p w14:paraId="42EA3C41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2F165F2F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9B6038" w:rsidRPr="009B6038">
        <w:t xml:space="preserve">de Règlements techniques harmonisés </w:t>
      </w:r>
      <w:r w:rsidR="009B6038">
        <w:br/>
      </w:r>
      <w:r w:rsidR="009B6038" w:rsidRPr="009B6038">
        <w:t xml:space="preserve">de l’ONU applicables aux véhicules à roues et aux équipements </w:t>
      </w:r>
      <w:r w:rsidR="009B6038">
        <w:br/>
      </w:r>
      <w:r w:rsidR="009B6038" w:rsidRPr="009B6038">
        <w:t>et pièces suscep</w:t>
      </w:r>
      <w:bookmarkStart w:id="0" w:name="_GoBack"/>
      <w:bookmarkEnd w:id="0"/>
      <w:r w:rsidR="009B6038" w:rsidRPr="009B6038">
        <w:t xml:space="preserve">tibles d’être montés ou utilisés sur les véhicules </w:t>
      </w:r>
      <w:r w:rsidR="009B6038">
        <w:br/>
      </w:r>
      <w:r w:rsidR="009B6038" w:rsidRPr="009B6038">
        <w:t>à roues et les conditions de reconnaissance réciproque des homologations délivrées conformément à ces Règlements</w:t>
      </w:r>
      <w:r w:rsidR="00442E31" w:rsidRPr="009B6038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084E5230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9B6038" w:rsidRPr="009B6038">
        <w:t>3, comprenant les amendements entrés en vigueur le 14 septembre 2017</w:t>
      </w:r>
      <w:r w:rsidRPr="006549FF">
        <w:t>)</w:t>
      </w:r>
    </w:p>
    <w:p w14:paraId="3FB3B32F" w14:textId="77777777" w:rsidR="00421A10" w:rsidRPr="006549FF" w:rsidRDefault="0029791D" w:rsidP="0029791D">
      <w:pPr>
        <w:jc w:val="center"/>
      </w:pPr>
      <w:r>
        <w:t>_______________</w:t>
      </w:r>
    </w:p>
    <w:p w14:paraId="6BEDF14E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9B6038">
        <w:t>9 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9B6038">
        <w:t>10</w:t>
      </w:r>
    </w:p>
    <w:p w14:paraId="224F385F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9B6038">
        <w:t>6 − Amendement 1</w:t>
      </w:r>
    </w:p>
    <w:p w14:paraId="543251E1" w14:textId="77777777" w:rsidR="00421A10" w:rsidRPr="009B6038" w:rsidRDefault="009B6038" w:rsidP="009B6038">
      <w:pPr>
        <w:pStyle w:val="SingleTxtG"/>
        <w:rPr>
          <w:spacing w:val="-3"/>
        </w:rPr>
      </w:pPr>
      <w:r w:rsidRPr="009B6038">
        <w:rPr>
          <w:spacing w:val="-3"/>
        </w:rPr>
        <w:t xml:space="preserve">Complément 1 à la série 06 d’amendements </w:t>
      </w:r>
      <w:r w:rsidRPr="009B6038">
        <w:rPr>
          <w:spacing w:val="-3"/>
        </w:rPr>
        <w:t>−</w:t>
      </w:r>
      <w:r w:rsidRPr="009B6038">
        <w:rPr>
          <w:spacing w:val="-3"/>
        </w:rPr>
        <w:t xml:space="preserve"> Date d’entrée en vigueur</w:t>
      </w:r>
      <w:r w:rsidRPr="009B6038">
        <w:rPr>
          <w:spacing w:val="-3"/>
        </w:rPr>
        <w:t> </w:t>
      </w:r>
      <w:r w:rsidRPr="009B6038">
        <w:rPr>
          <w:spacing w:val="-3"/>
        </w:rPr>
        <w:t>: 25 septembre 2020</w:t>
      </w:r>
    </w:p>
    <w:p w14:paraId="297BF583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9B6038" w:rsidRPr="009B6038">
        <w:t xml:space="preserve">à l’homologation des véhicules </w:t>
      </w:r>
      <w:r w:rsidR="009B6038">
        <w:br/>
      </w:r>
      <w:r w:rsidR="009B6038" w:rsidRPr="009B6038">
        <w:t>en ce qui concerne la compatibilité électromagnétique</w:t>
      </w:r>
    </w:p>
    <w:p w14:paraId="13867517" w14:textId="77777777" w:rsidR="009B6038" w:rsidRPr="009B6038" w:rsidRDefault="009B6038" w:rsidP="009B6038">
      <w:pPr>
        <w:pStyle w:val="SingleTxtG"/>
        <w:rPr>
          <w:spacing w:val="-3"/>
        </w:rPr>
      </w:pPr>
      <w:r w:rsidRPr="009B6038">
        <w:rPr>
          <w:spacing w:val="-3"/>
        </w:rPr>
        <w:tab/>
        <w:t xml:space="preserve">Le présent document est communiqué uniquement à titre d’information. Le texte authentique, juridiquement contraignant, est celui du document </w:t>
      </w:r>
      <w:r w:rsidRPr="009B6038">
        <w:rPr>
          <w:spacing w:val="-3"/>
          <w:lang w:eastAsia="en-GB"/>
        </w:rPr>
        <w:t>ECE/TRANS/WP.29/2020/30</w:t>
      </w:r>
      <w:r w:rsidRPr="009B6038">
        <w:rPr>
          <w:spacing w:val="-3"/>
          <w:lang w:val="fr-FR"/>
        </w:rPr>
        <w:t>.</w:t>
      </w:r>
      <w:r w:rsidR="00442E31" w:rsidRPr="009B6038">
        <w:rPr>
          <w:noProof/>
          <w:spacing w:val="-3"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5B8F02" wp14:editId="4489FB38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A87CC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4D48754D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00B62889" wp14:editId="673DD274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C8DCCB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B8F0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334A87CC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4D48754D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00B62889" wp14:editId="673DD274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C8DCCB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846A64F" w14:textId="77777777" w:rsidR="009B6038" w:rsidRPr="006073C1" w:rsidRDefault="009B6038" w:rsidP="009B6038">
      <w:pPr>
        <w:pStyle w:val="SingleTxtG"/>
      </w:pPr>
      <w:r>
        <w:br w:type="page"/>
      </w:r>
      <w:r w:rsidRPr="009B6038">
        <w:rPr>
          <w:i/>
          <w:iCs/>
          <w:lang w:val="fr-FR"/>
        </w:rPr>
        <w:lastRenderedPageBreak/>
        <w:t>Paragraphe 3.1.8</w:t>
      </w:r>
      <w:r w:rsidRPr="006073C1">
        <w:rPr>
          <w:lang w:val="fr-FR"/>
        </w:rPr>
        <w:t>, lire</w:t>
      </w:r>
      <w:r>
        <w:rPr>
          <w:lang w:val="fr-FR"/>
        </w:rPr>
        <w:t> </w:t>
      </w:r>
      <w:r w:rsidRPr="006073C1">
        <w:rPr>
          <w:lang w:val="fr-FR"/>
        </w:rPr>
        <w:t>:</w:t>
      </w:r>
    </w:p>
    <w:p w14:paraId="3966EBF5" w14:textId="77777777" w:rsidR="009B6038" w:rsidRPr="006073C1" w:rsidRDefault="009B6038" w:rsidP="009B6038">
      <w:pPr>
        <w:pStyle w:val="SingleTxtG"/>
        <w:ind w:left="2268" w:hanging="1134"/>
        <w:rPr>
          <w:bCs/>
        </w:rPr>
      </w:pPr>
      <w:r w:rsidRPr="006073C1">
        <w:rPr>
          <w:lang w:val="fr-FR"/>
        </w:rPr>
        <w:t>«</w:t>
      </w:r>
      <w:r>
        <w:rPr>
          <w:lang w:val="fr-FR"/>
        </w:rPr>
        <w:t> </w:t>
      </w:r>
      <w:r w:rsidRPr="006073C1">
        <w:rPr>
          <w:lang w:val="fr-FR"/>
        </w:rPr>
        <w:t>3.1.8</w:t>
      </w:r>
      <w:r w:rsidRPr="006073C1">
        <w:rPr>
          <w:lang w:val="fr-FR"/>
        </w:rPr>
        <w:tab/>
        <w:t>Pour les véhicules des catégories L</w:t>
      </w:r>
      <w:r w:rsidRPr="006073C1">
        <w:rPr>
          <w:vertAlign w:val="subscript"/>
          <w:lang w:val="fr-FR"/>
        </w:rPr>
        <w:t>6</w:t>
      </w:r>
      <w:r w:rsidRPr="006073C1">
        <w:rPr>
          <w:lang w:val="fr-FR"/>
        </w:rPr>
        <w:t>, L</w:t>
      </w:r>
      <w:r w:rsidRPr="006073C1">
        <w:rPr>
          <w:vertAlign w:val="subscript"/>
          <w:lang w:val="fr-FR"/>
        </w:rPr>
        <w:t>7</w:t>
      </w:r>
      <w:r w:rsidRPr="006073C1">
        <w:rPr>
          <w:lang w:val="fr-FR"/>
        </w:rPr>
        <w:t>, M, N, O, T, R et S, le constructeur du véhicule doit communiquer les bandes de fréquences, les niveaux de puissance, les positions de l</w:t>
      </w:r>
      <w:r>
        <w:rPr>
          <w:lang w:val="fr-FR"/>
        </w:rPr>
        <w:t>’</w:t>
      </w:r>
      <w:r w:rsidRPr="006073C1">
        <w:rPr>
          <w:lang w:val="fr-FR"/>
        </w:rPr>
        <w:t>antenne et les dispositions pour l</w:t>
      </w:r>
      <w:r>
        <w:rPr>
          <w:lang w:val="fr-FR"/>
        </w:rPr>
        <w:t>’</w:t>
      </w:r>
      <w:r w:rsidRPr="006073C1">
        <w:rPr>
          <w:lang w:val="fr-FR"/>
        </w:rPr>
        <w:t>installation d</w:t>
      </w:r>
      <w:r>
        <w:rPr>
          <w:lang w:val="fr-FR"/>
        </w:rPr>
        <w:t>’</w:t>
      </w:r>
      <w:r w:rsidRPr="006073C1">
        <w:rPr>
          <w:lang w:val="fr-FR"/>
        </w:rPr>
        <w:t>émetteurs de radiofréquences, même si le véhicule n</w:t>
      </w:r>
      <w:r>
        <w:rPr>
          <w:lang w:val="fr-FR"/>
        </w:rPr>
        <w:t>’</w:t>
      </w:r>
      <w:r w:rsidRPr="006073C1">
        <w:rPr>
          <w:lang w:val="fr-FR"/>
        </w:rPr>
        <w:t>en est pas équipé au moment de l</w:t>
      </w:r>
      <w:r>
        <w:rPr>
          <w:lang w:val="fr-FR"/>
        </w:rPr>
        <w:t>’</w:t>
      </w:r>
      <w:r w:rsidRPr="006073C1">
        <w:rPr>
          <w:lang w:val="fr-FR"/>
        </w:rPr>
        <w:t>homologation, et ces éléments doivent figurer dans la fiche de renseignements (par exemple à la rubrique</w:t>
      </w:r>
      <w:r>
        <w:rPr>
          <w:lang w:val="fr-FR"/>
        </w:rPr>
        <w:t> </w:t>
      </w:r>
      <w:r w:rsidRPr="006073C1">
        <w:rPr>
          <w:lang w:val="fr-FR"/>
        </w:rPr>
        <w:t>63 de l</w:t>
      </w:r>
      <w:r>
        <w:rPr>
          <w:lang w:val="fr-FR"/>
        </w:rPr>
        <w:t>’</w:t>
      </w:r>
      <w:r w:rsidRPr="006073C1">
        <w:rPr>
          <w:lang w:val="fr-FR"/>
        </w:rPr>
        <w:t>annexe</w:t>
      </w:r>
      <w:r>
        <w:rPr>
          <w:lang w:val="fr-FR"/>
        </w:rPr>
        <w:t> </w:t>
      </w:r>
      <w:r w:rsidRPr="006073C1">
        <w:rPr>
          <w:lang w:val="fr-FR"/>
        </w:rPr>
        <w:t>2A). Ces informations devraient couvrir tous les services mobiles de radiocommunication couramment utilisés dans les véhicules. Ces informations doivent être rendues publiques après l</w:t>
      </w:r>
      <w:r>
        <w:rPr>
          <w:lang w:val="fr-FR"/>
        </w:rPr>
        <w:t>’</w:t>
      </w:r>
      <w:r w:rsidRPr="006073C1">
        <w:rPr>
          <w:lang w:val="fr-FR"/>
        </w:rPr>
        <w:t>homologation.</w:t>
      </w:r>
    </w:p>
    <w:p w14:paraId="3C76E5E1" w14:textId="77777777" w:rsidR="005F0207" w:rsidRDefault="009B6038" w:rsidP="009B6038">
      <w:pPr>
        <w:pStyle w:val="SingleTxtG"/>
        <w:ind w:left="2268"/>
        <w:rPr>
          <w:lang w:val="fr-FR"/>
        </w:rPr>
      </w:pPr>
      <w:r w:rsidRPr="006073C1">
        <w:rPr>
          <w:lang w:val="fr-FR"/>
        </w:rPr>
        <w:t>Les constructeurs de véhicules doivent démontrer que les performances du véhicule ne sont pas affectées par de tels émetteurs.</w:t>
      </w:r>
      <w:r>
        <w:rPr>
          <w:lang w:val="fr-FR"/>
        </w:rPr>
        <w:t> </w:t>
      </w:r>
      <w:r w:rsidRPr="006073C1">
        <w:rPr>
          <w:lang w:val="fr-FR"/>
        </w:rPr>
        <w:t>».</w:t>
      </w:r>
    </w:p>
    <w:p w14:paraId="385DB457" w14:textId="77777777" w:rsidR="009B6038" w:rsidRPr="009B6038" w:rsidRDefault="009B6038" w:rsidP="009B603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B6038" w:rsidRPr="009B6038" w:rsidSect="009B603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B7371" w14:textId="77777777" w:rsidR="00E21ED5" w:rsidRDefault="00E21ED5"/>
  </w:endnote>
  <w:endnote w:type="continuationSeparator" w:id="0">
    <w:p w14:paraId="78FB6BEF" w14:textId="77777777" w:rsidR="00E21ED5" w:rsidRDefault="00E21ED5">
      <w:pPr>
        <w:pStyle w:val="Pieddepage"/>
      </w:pPr>
    </w:p>
  </w:endnote>
  <w:endnote w:type="continuationNotice" w:id="1">
    <w:p w14:paraId="280B32C3" w14:textId="77777777" w:rsidR="00E21ED5" w:rsidRPr="00C451B9" w:rsidRDefault="00E21ED5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90AD1" w14:textId="77777777" w:rsidR="009B6038" w:rsidRPr="009B6038" w:rsidRDefault="009B6038" w:rsidP="009B6038">
    <w:pPr>
      <w:pStyle w:val="Pieddepage"/>
      <w:tabs>
        <w:tab w:val="right" w:pos="9638"/>
      </w:tabs>
    </w:pPr>
    <w:r w:rsidRPr="009B6038">
      <w:rPr>
        <w:b/>
        <w:sz w:val="18"/>
      </w:rPr>
      <w:fldChar w:fldCharType="begin"/>
    </w:r>
    <w:r w:rsidRPr="009B6038">
      <w:rPr>
        <w:b/>
        <w:sz w:val="18"/>
      </w:rPr>
      <w:instrText xml:space="preserve"> PAGE  \* MERGEFORMAT </w:instrText>
    </w:r>
    <w:r w:rsidRPr="009B6038">
      <w:rPr>
        <w:b/>
        <w:sz w:val="18"/>
      </w:rPr>
      <w:fldChar w:fldCharType="separate"/>
    </w:r>
    <w:r w:rsidRPr="009B6038">
      <w:rPr>
        <w:b/>
        <w:noProof/>
        <w:sz w:val="18"/>
      </w:rPr>
      <w:t>2</w:t>
    </w:r>
    <w:r w:rsidRPr="009B6038">
      <w:rPr>
        <w:b/>
        <w:sz w:val="18"/>
      </w:rPr>
      <w:fldChar w:fldCharType="end"/>
    </w:r>
    <w:r>
      <w:rPr>
        <w:b/>
        <w:sz w:val="18"/>
      </w:rPr>
      <w:tab/>
    </w:r>
    <w:r>
      <w:t>GE.20-14326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B17FA" w14:textId="77777777" w:rsidR="009B6038" w:rsidRPr="009B6038" w:rsidRDefault="009B6038" w:rsidP="009B6038">
    <w:pPr>
      <w:pStyle w:val="Pieddepage"/>
      <w:tabs>
        <w:tab w:val="right" w:pos="9638"/>
      </w:tabs>
      <w:rPr>
        <w:b/>
        <w:sz w:val="18"/>
      </w:rPr>
    </w:pPr>
    <w:r>
      <w:t>GE.20-14326</w:t>
    </w:r>
    <w:r>
      <w:tab/>
    </w:r>
    <w:r w:rsidRPr="009B6038">
      <w:rPr>
        <w:b/>
        <w:sz w:val="18"/>
      </w:rPr>
      <w:fldChar w:fldCharType="begin"/>
    </w:r>
    <w:r w:rsidRPr="009B6038">
      <w:rPr>
        <w:b/>
        <w:sz w:val="18"/>
      </w:rPr>
      <w:instrText xml:space="preserve"> PAGE  \* MERGEFORMAT </w:instrText>
    </w:r>
    <w:r w:rsidRPr="009B6038">
      <w:rPr>
        <w:b/>
        <w:sz w:val="18"/>
      </w:rPr>
      <w:fldChar w:fldCharType="separate"/>
    </w:r>
    <w:r w:rsidRPr="009B6038">
      <w:rPr>
        <w:b/>
        <w:noProof/>
        <w:sz w:val="18"/>
      </w:rPr>
      <w:t>3</w:t>
    </w:r>
    <w:r w:rsidRPr="009B603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872AF" w14:textId="77777777" w:rsidR="00467F2C" w:rsidRPr="009B6038" w:rsidRDefault="009B6038" w:rsidP="009B6038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0BE44D6F" wp14:editId="4D16EB4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20-14326  (F)    201120    201120</w:t>
    </w:r>
    <w:r>
      <w:rPr>
        <w:sz w:val="20"/>
      </w:rPr>
      <w:br/>
    </w:r>
    <w:r w:rsidRPr="009B6038">
      <w:rPr>
        <w:rFonts w:ascii="C39T30Lfz" w:hAnsi="C39T30Lfz"/>
        <w:sz w:val="56"/>
      </w:rPr>
      <w:t>*2014326*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A720A0A" wp14:editId="034DE7C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775B9" w14:textId="77777777" w:rsidR="00E21ED5" w:rsidRPr="00D27D5E" w:rsidRDefault="00E21ED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A12150" w14:textId="77777777" w:rsidR="00E21ED5" w:rsidRPr="00D171D4" w:rsidRDefault="00E21ED5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63C24322" w14:textId="77777777" w:rsidR="00E21ED5" w:rsidRPr="00C451B9" w:rsidRDefault="00E21ED5" w:rsidP="00C451B9">
      <w:pPr>
        <w:spacing w:line="240" w:lineRule="auto"/>
        <w:rPr>
          <w:sz w:val="2"/>
          <w:szCs w:val="2"/>
        </w:rPr>
      </w:pPr>
    </w:p>
  </w:footnote>
  <w:footnote w:id="2">
    <w:p w14:paraId="68AE42B3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0041BEFF" w14:textId="77777777" w:rsidR="00591072" w:rsidRPr="00591072" w:rsidRDefault="00591072" w:rsidP="00591072">
      <w:pPr>
        <w:pStyle w:val="Notedebasdepage"/>
      </w:pPr>
      <w:r w:rsidRPr="009B6038">
        <w:tab/>
      </w:r>
      <w:r w:rsidRPr="009B6038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7548FAAD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0BC5A7FA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93473" w14:textId="624DBEA6" w:rsidR="009B6038" w:rsidRPr="009B6038" w:rsidRDefault="009B6038">
    <w:pPr>
      <w:pStyle w:val="En-tte"/>
    </w:pPr>
    <w:fldSimple w:instr=" TITLE  \* MERGEFORMAT ">
      <w:r w:rsidR="004E1B13">
        <w:t>E/ECE/324/Add.9/Rev.6/Amend.1</w:t>
      </w:r>
    </w:fldSimple>
    <w:r>
      <w:br/>
    </w:r>
    <w:fldSimple w:instr=" KEYWORDS  \* MERGEFORMAT ">
      <w:r w:rsidR="004E1B13">
        <w:t>E/ECE/TRANS/505/Add.9/Rev.6/Amend.1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9333D" w14:textId="128F389A" w:rsidR="009B6038" w:rsidRPr="009B6038" w:rsidRDefault="009B6038" w:rsidP="009B6038">
    <w:pPr>
      <w:pStyle w:val="En-tte"/>
      <w:jc w:val="right"/>
    </w:pPr>
    <w:fldSimple w:instr=" TITLE  \* MERGEFORMAT ">
      <w:r w:rsidR="004E1B13">
        <w:t>E/ECE/324/Add.9/Rev.6/Amend.1</w:t>
      </w:r>
    </w:fldSimple>
    <w:r>
      <w:br/>
    </w:r>
    <w:fldSimple w:instr=" KEYWORDS  \* MERGEFORMAT ">
      <w:r w:rsidR="004E1B13">
        <w:t>E/ECE/TRANS/505/Add.9/Rev.6/Amend.1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1ED5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1B13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B6038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66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1ED5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9BF9F4E"/>
  <w15:docId w15:val="{39FCB6A8-FA48-4033-A557-3D0EF7F8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1F829B-CF2A-458F-8D8C-BF670B240C57}"/>
</file>

<file path=customXml/itemProps2.xml><?xml version="1.0" encoding="utf-8"?>
<ds:datastoreItem xmlns:ds="http://schemas.openxmlformats.org/officeDocument/2006/customXml" ds:itemID="{E2912201-8CA4-4532-8933-4F5E15A3540E}"/>
</file>

<file path=customXml/itemProps3.xml><?xml version="1.0" encoding="utf-8"?>
<ds:datastoreItem xmlns:ds="http://schemas.openxmlformats.org/officeDocument/2006/customXml" ds:itemID="{A98A8E1D-6A79-461D-A127-6D8BDE43BB1E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3</TotalTime>
  <Pages>2</Pages>
  <Words>231</Words>
  <Characters>1504</Characters>
  <Application>Microsoft Office Word</Application>
  <DocSecurity>0</DocSecurity>
  <Lines>150</Lines>
  <Paragraphs>102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E/ECE/324/Add.9/Rev.6/Amend.1</dc:title>
  <dc:creator>Maud DARICHE</dc:creator>
  <cp:keywords>E/ECE/TRANS/505/Add.9/Rev.6/Amend.1</cp:keywords>
  <cp:lastModifiedBy>Maud Dariche</cp:lastModifiedBy>
  <cp:revision>3</cp:revision>
  <cp:lastPrinted>2020-11-20T13:12:00Z</cp:lastPrinted>
  <dcterms:created xsi:type="dcterms:W3CDTF">2020-11-20T13:12:00Z</dcterms:created>
  <dcterms:modified xsi:type="dcterms:W3CDTF">2020-11-20T13:15:00Z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