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DE43" w14:textId="77777777" w:rsidR="00A05432" w:rsidRDefault="00E0022B" w:rsidP="00E0022B">
      <w:pPr>
        <w:pStyle w:val="HChG"/>
        <w:spacing w:after="0"/>
        <w:rPr>
          <w:rFonts w:ascii="Times New Roman" w:hAnsi="Times New Roman" w:cs="Times New Roman"/>
        </w:rPr>
      </w:pPr>
      <w:bookmarkStart w:id="0" w:name="_Hlk24449347"/>
      <w:r w:rsidRPr="00E0022B">
        <w:rPr>
          <w:rFonts w:ascii="Times New Roman" w:hAnsi="Times New Roman" w:cs="Times New Roman"/>
        </w:rPr>
        <w:t xml:space="preserve">Proposal </w:t>
      </w:r>
      <w:proofErr w:type="gramStart"/>
      <w:r w:rsidRPr="00E0022B">
        <w:rPr>
          <w:rFonts w:ascii="Times New Roman" w:hAnsi="Times New Roman" w:cs="Times New Roman"/>
        </w:rPr>
        <w:t>for</w:t>
      </w:r>
      <w:r w:rsidR="00A05432">
        <w:rPr>
          <w:rFonts w:ascii="Times New Roman" w:hAnsi="Times New Roman" w:cs="Times New Roman"/>
        </w:rPr>
        <w:t xml:space="preserve"> :</w:t>
      </w:r>
      <w:proofErr w:type="gramEnd"/>
    </w:p>
    <w:p w14:paraId="30D86F17" w14:textId="11FAFFDA" w:rsidR="00A05432" w:rsidRPr="00E0022B" w:rsidRDefault="00A05432" w:rsidP="00A05432">
      <w:pPr>
        <w:pStyle w:val="HChG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 1 to the 04</w:t>
      </w:r>
      <w:r w:rsidRPr="00E00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series of amendments </w:t>
      </w:r>
      <w:r w:rsidRPr="00E0022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>
        <w:rPr>
          <w:rFonts w:ascii="Times New Roman" w:hAnsi="Times New Roman" w:cs="Times New Roman"/>
        </w:rPr>
        <w:t>No. 94 (</w:t>
      </w:r>
      <w:r w:rsidRPr="00A05432">
        <w:rPr>
          <w:rFonts w:ascii="Times New Roman" w:hAnsi="Times New Roman" w:cs="Times New Roman"/>
        </w:rPr>
        <w:t>Frontal collisio</w:t>
      </w:r>
      <w:r>
        <w:rPr>
          <w:rFonts w:ascii="Times New Roman" w:hAnsi="Times New Roman" w:cs="Times New Roman"/>
        </w:rPr>
        <w:t>n</w:t>
      </w:r>
      <w:r w:rsidRPr="00E0022B">
        <w:rPr>
          <w:rFonts w:ascii="Times New Roman" w:hAnsi="Times New Roman" w:cs="Times New Roman"/>
        </w:rPr>
        <w:t>)</w:t>
      </w:r>
    </w:p>
    <w:p w14:paraId="0683AD42" w14:textId="3BB3A178" w:rsidR="00A05432" w:rsidRPr="00E0022B" w:rsidRDefault="00A05432" w:rsidP="00A05432">
      <w:pPr>
        <w:pStyle w:val="HChG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="001865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the 05</w:t>
      </w:r>
      <w:r w:rsidRPr="00E00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series of amendments </w:t>
      </w:r>
      <w:r w:rsidRPr="00E0022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>
        <w:rPr>
          <w:rFonts w:ascii="Times New Roman" w:hAnsi="Times New Roman" w:cs="Times New Roman"/>
        </w:rPr>
        <w:t>No. 95 (Lateral</w:t>
      </w:r>
      <w:r w:rsidRPr="00A05432">
        <w:rPr>
          <w:rFonts w:ascii="Times New Roman" w:hAnsi="Times New Roman" w:cs="Times New Roman"/>
        </w:rPr>
        <w:t xml:space="preserve"> collision</w:t>
      </w:r>
      <w:r w:rsidRPr="00E0022B">
        <w:rPr>
          <w:rFonts w:ascii="Times New Roman" w:hAnsi="Times New Roman" w:cs="Times New Roman"/>
        </w:rPr>
        <w:t>)</w:t>
      </w:r>
    </w:p>
    <w:p w14:paraId="42BEC9CB" w14:textId="229F22FC" w:rsidR="00A05432" w:rsidRPr="00E0022B" w:rsidRDefault="00A05432" w:rsidP="00A05432">
      <w:pPr>
        <w:pStyle w:val="HChG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="001865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the 02</w:t>
      </w:r>
      <w:r w:rsidRPr="00E00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series of amendments </w:t>
      </w:r>
      <w:r w:rsidRPr="00E0022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>
        <w:rPr>
          <w:rFonts w:ascii="Times New Roman" w:hAnsi="Times New Roman" w:cs="Times New Roman"/>
        </w:rPr>
        <w:t xml:space="preserve">No. 137 </w:t>
      </w:r>
      <w:r w:rsidRPr="00A05432">
        <w:rPr>
          <w:rFonts w:ascii="Times New Roman" w:hAnsi="Times New Roman" w:cs="Times New Roman"/>
        </w:rPr>
        <w:t>(Frontal impact with focus on restraint systems</w:t>
      </w:r>
      <w:r w:rsidRPr="00E0022B">
        <w:rPr>
          <w:rFonts w:ascii="Times New Roman" w:hAnsi="Times New Roman" w:cs="Times New Roman"/>
        </w:rPr>
        <w:t>)</w:t>
      </w:r>
    </w:p>
    <w:p w14:paraId="2C505214" w14:textId="030A9EC4" w:rsidR="00A05432" w:rsidRPr="00E0022B" w:rsidRDefault="00A05432" w:rsidP="00A05432">
      <w:pPr>
        <w:pStyle w:val="HChG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 2 to the original series of amendments </w:t>
      </w:r>
      <w:r w:rsidRPr="00E0022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>
        <w:rPr>
          <w:rFonts w:ascii="Times New Roman" w:hAnsi="Times New Roman" w:cs="Times New Roman"/>
        </w:rPr>
        <w:t xml:space="preserve">No. 153 </w:t>
      </w:r>
      <w:r w:rsidRPr="00A05432">
        <w:rPr>
          <w:rFonts w:ascii="Times New Roman" w:hAnsi="Times New Roman" w:cs="Times New Roman"/>
        </w:rPr>
        <w:t>(Fuel system integrity and safety of electric power train in the event of a rear-end collision</w:t>
      </w:r>
      <w:r w:rsidRPr="00E0022B">
        <w:rPr>
          <w:rFonts w:ascii="Times New Roman" w:hAnsi="Times New Roman" w:cs="Times New Roman"/>
        </w:rPr>
        <w:t>)</w:t>
      </w:r>
    </w:p>
    <w:bookmarkEnd w:id="0"/>
    <w:p w14:paraId="35E976EA" w14:textId="77777777" w:rsidR="00E0022B" w:rsidRDefault="00E0022B" w:rsidP="00E0022B">
      <w:pPr>
        <w:pStyle w:val="SingleTxtG"/>
        <w:rPr>
          <w:snapToGrid w:val="0"/>
        </w:rPr>
      </w:pPr>
    </w:p>
    <w:p w14:paraId="2B58865B" w14:textId="05EF0E09" w:rsidR="00E0022B" w:rsidRDefault="00E0022B" w:rsidP="00E0022B">
      <w:pPr>
        <w:jc w:val="both"/>
      </w:pPr>
      <w:r w:rsidRPr="00E0022B">
        <w:tab/>
        <w:t xml:space="preserve">The text reproduced below </w:t>
      </w:r>
      <w:r>
        <w:t xml:space="preserve">was </w:t>
      </w:r>
      <w:bookmarkStart w:id="1" w:name="_Hlk32495709"/>
      <w:r>
        <w:t>prepared by the expert from</w:t>
      </w:r>
      <w:r w:rsidR="00F00EDD">
        <w:t xml:space="preserve"> CLEPA</w:t>
      </w:r>
      <w:r>
        <w:t xml:space="preserve"> the European Association of Automotive Suppliers to</w:t>
      </w:r>
      <w:r w:rsidR="00A05432">
        <w:t xml:space="preserve"> introduce in different UN Regulations the same clarification on the definition of </w:t>
      </w:r>
      <w:r w:rsidR="00A05432" w:rsidRPr="00A05432">
        <w:t xml:space="preserve">"Specific voltage condition" </w:t>
      </w:r>
      <w:r w:rsidR="00A05432">
        <w:t xml:space="preserve">proposed by CLEPA </w:t>
      </w:r>
      <w:r w:rsidR="00C3767B">
        <w:t>for</w:t>
      </w:r>
      <w:r w:rsidR="00A05432">
        <w:t xml:space="preserve"> Regulation 100</w:t>
      </w:r>
      <w:r w:rsidR="00C3767B">
        <w:t xml:space="preserve"> with its document GRSP-69-04</w:t>
      </w:r>
      <w:r>
        <w:t>.</w:t>
      </w:r>
      <w:bookmarkEnd w:id="1"/>
      <w:r>
        <w:t xml:space="preserve"> The modifications to the formal document are marked in </w:t>
      </w:r>
      <w:r w:rsidRPr="00E0022B">
        <w:rPr>
          <w:b/>
          <w:bCs/>
        </w:rPr>
        <w:t>bold</w:t>
      </w:r>
      <w:r>
        <w:t xml:space="preserve"> for new </w:t>
      </w:r>
      <w:r w:rsidR="00F00EDD">
        <w:t>and</w:t>
      </w:r>
      <w:r>
        <w:t xml:space="preserve"> strikethrough for deleted characters.</w:t>
      </w:r>
    </w:p>
    <w:p w14:paraId="3CF96A02" w14:textId="3590AE5C" w:rsidR="00E0022B" w:rsidRDefault="00E0022B"/>
    <w:p w14:paraId="0A7DC2C9" w14:textId="15A657D0" w:rsidR="00C3767B" w:rsidRDefault="00C3767B"/>
    <w:p w14:paraId="29838248" w14:textId="77777777" w:rsidR="00C3767B" w:rsidRDefault="00C3767B"/>
    <w:p w14:paraId="4F2855C1" w14:textId="77777777" w:rsidR="00C3767B" w:rsidRDefault="00E0022B" w:rsidP="00E0022B">
      <w:pPr>
        <w:pStyle w:val="HChG"/>
        <w:numPr>
          <w:ilvl w:val="0"/>
          <w:numId w:val="1"/>
        </w:numPr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 w:rsidRPr="00E0022B">
        <w:rPr>
          <w:rFonts w:ascii="Times New Roman" w:eastAsia="MS Mincho" w:hAnsi="Times New Roman" w:cs="Times New Roman"/>
        </w:rPr>
        <w:t>Proposal</w:t>
      </w:r>
      <w:r w:rsidR="00C3767B">
        <w:rPr>
          <w:rFonts w:ascii="Times New Roman" w:eastAsia="MS Mincho" w:hAnsi="Times New Roman" w:cs="Times New Roman"/>
        </w:rPr>
        <w:t xml:space="preserve"> </w:t>
      </w:r>
    </w:p>
    <w:p w14:paraId="33CFEDE5" w14:textId="77777777" w:rsidR="00C3767B" w:rsidRPr="00296899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193ED318" w14:textId="497971B6" w:rsidR="00C3767B" w:rsidRPr="00E0022B" w:rsidRDefault="00C3767B" w:rsidP="00C3767B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Supplement 1 to the 04</w:t>
      </w:r>
      <w:r w:rsidRPr="00E00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series of amendments </w:t>
      </w:r>
      <w:r w:rsidRPr="00E0022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>
        <w:rPr>
          <w:rFonts w:ascii="Times New Roman" w:hAnsi="Times New Roman" w:cs="Times New Roman"/>
        </w:rPr>
        <w:t>No. 94</w:t>
      </w:r>
    </w:p>
    <w:p w14:paraId="1A34FDE9" w14:textId="77777777" w:rsidR="00C3767B" w:rsidRPr="00887FA0" w:rsidRDefault="00C3767B" w:rsidP="00C3767B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t xml:space="preserve">Add a second note to </w:t>
      </w:r>
      <w:r w:rsidRPr="00887FA0">
        <w:rPr>
          <w:i/>
          <w:lang w:eastAsia="ja-JP"/>
        </w:rPr>
        <w:t>paragraph 2.4</w:t>
      </w:r>
      <w:r>
        <w:rPr>
          <w:i/>
          <w:lang w:eastAsia="ja-JP"/>
        </w:rPr>
        <w:t>0</w:t>
      </w:r>
      <w:r w:rsidRPr="00887FA0">
        <w:rPr>
          <w:i/>
          <w:lang w:eastAsia="ja-JP"/>
        </w:rPr>
        <w:t>.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7DFDA457" w14:textId="77777777" w:rsidR="00C3767B" w:rsidRPr="00522ABA" w:rsidRDefault="00C3767B" w:rsidP="00C3767B">
      <w:pPr>
        <w:spacing w:after="120"/>
        <w:ind w:leftChars="567" w:left="2268" w:right="1134" w:hangingChars="567" w:hanging="1134"/>
        <w:jc w:val="both"/>
        <w:rPr>
          <w:b/>
          <w:bCs/>
          <w:i/>
          <w:iCs/>
          <w:lang w:val="en-US" w:eastAsia="en-US"/>
        </w:rPr>
      </w:pPr>
      <w:r w:rsidRPr="00115ED7">
        <w:rPr>
          <w:rFonts w:eastAsia="Times New Roman"/>
          <w:lang w:eastAsia="en-US"/>
        </w:rPr>
        <w:t>"</w:t>
      </w:r>
      <w:r w:rsidRPr="00D80D05">
        <w:rPr>
          <w:rFonts w:eastAsia="Times New Roman"/>
          <w:b/>
          <w:bCs/>
          <w:i/>
          <w:iCs/>
          <w:lang w:eastAsia="en-US"/>
        </w:rPr>
        <w:t>Note 2</w:t>
      </w:r>
      <w:r>
        <w:rPr>
          <w:rFonts w:eastAsia="Times New Roman"/>
          <w:b/>
          <w:bCs/>
          <w:i/>
          <w:iCs/>
          <w:lang w:eastAsia="en-US"/>
        </w:rPr>
        <w:t>:</w:t>
      </w:r>
      <w:r>
        <w:rPr>
          <w:rFonts w:eastAsia="Times New Roman"/>
          <w:b/>
          <w:bCs/>
          <w:i/>
          <w:iCs/>
          <w:lang w:eastAsia="en-US"/>
        </w:rPr>
        <w:tab/>
      </w:r>
      <w:r w:rsidRPr="00B31B9F">
        <w:rPr>
          <w:rFonts w:eastAsia="Times New Roman"/>
          <w:b/>
          <w:bCs/>
          <w:i/>
          <w:iCs/>
          <w:lang w:val="en-US" w:eastAsia="en-US"/>
        </w:rPr>
        <w:t>For pulsating DC</w:t>
      </w:r>
      <w:r>
        <w:rPr>
          <w:rFonts w:eastAsia="Times New Roman"/>
          <w:b/>
          <w:bCs/>
          <w:i/>
          <w:iCs/>
          <w:lang w:val="en-US" w:eastAsia="en-US"/>
        </w:rPr>
        <w:t xml:space="preserve"> voltages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(alternating voltages without change of polarity) the DC threshold </w:t>
      </w:r>
      <w:r>
        <w:rPr>
          <w:rFonts w:eastAsia="Times New Roman"/>
          <w:b/>
          <w:bCs/>
          <w:i/>
          <w:iCs/>
          <w:lang w:val="en-US" w:eastAsia="en-US"/>
        </w:rPr>
        <w:t>shall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be </w:t>
      </w:r>
      <w:r w:rsidRPr="00522ABA">
        <w:rPr>
          <w:rFonts w:eastAsia="Times New Roman"/>
          <w:b/>
          <w:bCs/>
          <w:i/>
          <w:iCs/>
          <w:lang w:val="en-US" w:eastAsia="en-US"/>
        </w:rPr>
        <w:t>applied.</w:t>
      </w:r>
    </w:p>
    <w:p w14:paraId="06968F80" w14:textId="3529D514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20E040B3" w14:textId="77777777" w:rsidR="00C3767B" w:rsidRPr="00296899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64CC05E2" w14:textId="072EF5C8" w:rsidR="00C3767B" w:rsidRPr="00E0022B" w:rsidRDefault="00C3767B" w:rsidP="00C3767B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="001865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the </w:t>
      </w:r>
      <w:r w:rsidRPr="00C3767B">
        <w:rPr>
          <w:rFonts w:ascii="Times New Roman" w:hAnsi="Times New Roman" w:cs="Times New Roman"/>
        </w:rPr>
        <w:t>05 series of amendments to UN Regulation No. 95</w:t>
      </w:r>
    </w:p>
    <w:p w14:paraId="020AA1F9" w14:textId="4BEE3B09" w:rsidR="00C3767B" w:rsidRPr="00887FA0" w:rsidRDefault="00C3767B" w:rsidP="00C3767B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t xml:space="preserve">Add a second note to </w:t>
      </w:r>
      <w:r w:rsidRPr="00887FA0">
        <w:rPr>
          <w:i/>
          <w:lang w:eastAsia="ja-JP"/>
        </w:rPr>
        <w:t>paragraph 2.4</w:t>
      </w:r>
      <w:r>
        <w:rPr>
          <w:i/>
          <w:lang w:eastAsia="ja-JP"/>
        </w:rPr>
        <w:t>5</w:t>
      </w:r>
      <w:r w:rsidRPr="00887FA0">
        <w:rPr>
          <w:i/>
          <w:lang w:eastAsia="ja-JP"/>
        </w:rPr>
        <w:t>.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6CF46C06" w14:textId="77777777" w:rsidR="00C3767B" w:rsidRPr="00522ABA" w:rsidRDefault="00C3767B" w:rsidP="00C3767B">
      <w:pPr>
        <w:spacing w:after="120"/>
        <w:ind w:leftChars="567" w:left="2268" w:right="1134" w:hangingChars="567" w:hanging="1134"/>
        <w:jc w:val="both"/>
        <w:rPr>
          <w:b/>
          <w:bCs/>
          <w:i/>
          <w:iCs/>
          <w:lang w:val="en-US" w:eastAsia="en-US"/>
        </w:rPr>
      </w:pPr>
      <w:r w:rsidRPr="00115ED7">
        <w:rPr>
          <w:rFonts w:eastAsia="Times New Roman"/>
          <w:lang w:eastAsia="en-US"/>
        </w:rPr>
        <w:t>"</w:t>
      </w:r>
      <w:r w:rsidRPr="00D80D05">
        <w:rPr>
          <w:rFonts w:eastAsia="Times New Roman"/>
          <w:b/>
          <w:bCs/>
          <w:i/>
          <w:iCs/>
          <w:lang w:eastAsia="en-US"/>
        </w:rPr>
        <w:t>Note 2</w:t>
      </w:r>
      <w:r>
        <w:rPr>
          <w:rFonts w:eastAsia="Times New Roman"/>
          <w:b/>
          <w:bCs/>
          <w:i/>
          <w:iCs/>
          <w:lang w:eastAsia="en-US"/>
        </w:rPr>
        <w:t>:</w:t>
      </w:r>
      <w:r>
        <w:rPr>
          <w:rFonts w:eastAsia="Times New Roman"/>
          <w:b/>
          <w:bCs/>
          <w:i/>
          <w:iCs/>
          <w:lang w:eastAsia="en-US"/>
        </w:rPr>
        <w:tab/>
      </w:r>
      <w:r w:rsidRPr="00B31B9F">
        <w:rPr>
          <w:rFonts w:eastAsia="Times New Roman"/>
          <w:b/>
          <w:bCs/>
          <w:i/>
          <w:iCs/>
          <w:lang w:val="en-US" w:eastAsia="en-US"/>
        </w:rPr>
        <w:t>For pulsating DC</w:t>
      </w:r>
      <w:r>
        <w:rPr>
          <w:rFonts w:eastAsia="Times New Roman"/>
          <w:b/>
          <w:bCs/>
          <w:i/>
          <w:iCs/>
          <w:lang w:val="en-US" w:eastAsia="en-US"/>
        </w:rPr>
        <w:t xml:space="preserve"> voltages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(alternating voltages without change of polarity) the DC threshold </w:t>
      </w:r>
      <w:r>
        <w:rPr>
          <w:rFonts w:eastAsia="Times New Roman"/>
          <w:b/>
          <w:bCs/>
          <w:i/>
          <w:iCs/>
          <w:lang w:val="en-US" w:eastAsia="en-US"/>
        </w:rPr>
        <w:t>shall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be </w:t>
      </w:r>
      <w:r w:rsidRPr="00522ABA">
        <w:rPr>
          <w:rFonts w:eastAsia="Times New Roman"/>
          <w:b/>
          <w:bCs/>
          <w:i/>
          <w:iCs/>
          <w:lang w:val="en-US" w:eastAsia="en-US"/>
        </w:rPr>
        <w:t>applied.</w:t>
      </w:r>
    </w:p>
    <w:p w14:paraId="77E12694" w14:textId="447753D7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30D845FC" w14:textId="74019715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7C0DE5DB" w14:textId="3C37EBAF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48596C6B" w14:textId="29A12887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65D205D2" w14:textId="4536314A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4B0DC238" w14:textId="77777777" w:rsidR="00C3767B" w:rsidRPr="00296899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1391EB0A" w14:textId="68330A86" w:rsidR="00C3767B" w:rsidRPr="00E0022B" w:rsidRDefault="00C3767B" w:rsidP="00C3767B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Supplement </w:t>
      </w:r>
      <w:r w:rsidR="001865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to </w:t>
      </w:r>
      <w:r w:rsidRPr="00C3767B">
        <w:rPr>
          <w:rFonts w:ascii="Times New Roman" w:hAnsi="Times New Roman" w:cs="Times New Roman"/>
        </w:rPr>
        <w:t>the 02 series of amendments to UN Regulation No. 137</w:t>
      </w:r>
    </w:p>
    <w:p w14:paraId="5FF28811" w14:textId="5109FBB9" w:rsidR="00C3767B" w:rsidRPr="00887FA0" w:rsidRDefault="00C3767B" w:rsidP="00C3767B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t xml:space="preserve">Add a second note to </w:t>
      </w:r>
      <w:r w:rsidRPr="00887FA0">
        <w:rPr>
          <w:i/>
          <w:lang w:eastAsia="ja-JP"/>
        </w:rPr>
        <w:t>paragraph 2.</w:t>
      </w:r>
      <w:r>
        <w:rPr>
          <w:i/>
          <w:lang w:eastAsia="ja-JP"/>
        </w:rPr>
        <w:t>37</w:t>
      </w:r>
      <w:r w:rsidRPr="00887FA0">
        <w:rPr>
          <w:i/>
          <w:lang w:eastAsia="ja-JP"/>
        </w:rPr>
        <w:t>.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765ADF2C" w14:textId="77777777" w:rsidR="00C3767B" w:rsidRPr="00522ABA" w:rsidRDefault="00C3767B" w:rsidP="00C3767B">
      <w:pPr>
        <w:spacing w:after="120"/>
        <w:ind w:leftChars="567" w:left="2268" w:right="1134" w:hangingChars="567" w:hanging="1134"/>
        <w:jc w:val="both"/>
        <w:rPr>
          <w:b/>
          <w:bCs/>
          <w:i/>
          <w:iCs/>
          <w:lang w:val="en-US" w:eastAsia="en-US"/>
        </w:rPr>
      </w:pPr>
      <w:r w:rsidRPr="00115ED7">
        <w:rPr>
          <w:rFonts w:eastAsia="Times New Roman"/>
          <w:lang w:eastAsia="en-US"/>
        </w:rPr>
        <w:t>"</w:t>
      </w:r>
      <w:r w:rsidRPr="00D80D05">
        <w:rPr>
          <w:rFonts w:eastAsia="Times New Roman"/>
          <w:b/>
          <w:bCs/>
          <w:i/>
          <w:iCs/>
          <w:lang w:eastAsia="en-US"/>
        </w:rPr>
        <w:t>Note 2</w:t>
      </w:r>
      <w:r>
        <w:rPr>
          <w:rFonts w:eastAsia="Times New Roman"/>
          <w:b/>
          <w:bCs/>
          <w:i/>
          <w:iCs/>
          <w:lang w:eastAsia="en-US"/>
        </w:rPr>
        <w:t>:</w:t>
      </w:r>
      <w:r>
        <w:rPr>
          <w:rFonts w:eastAsia="Times New Roman"/>
          <w:b/>
          <w:bCs/>
          <w:i/>
          <w:iCs/>
          <w:lang w:eastAsia="en-US"/>
        </w:rPr>
        <w:tab/>
      </w:r>
      <w:r w:rsidRPr="00B31B9F">
        <w:rPr>
          <w:rFonts w:eastAsia="Times New Roman"/>
          <w:b/>
          <w:bCs/>
          <w:i/>
          <w:iCs/>
          <w:lang w:val="en-US" w:eastAsia="en-US"/>
        </w:rPr>
        <w:t>For pulsating DC</w:t>
      </w:r>
      <w:r>
        <w:rPr>
          <w:rFonts w:eastAsia="Times New Roman"/>
          <w:b/>
          <w:bCs/>
          <w:i/>
          <w:iCs/>
          <w:lang w:val="en-US" w:eastAsia="en-US"/>
        </w:rPr>
        <w:t xml:space="preserve"> voltages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(alternating voltages without change of polarity) the DC threshold </w:t>
      </w:r>
      <w:r>
        <w:rPr>
          <w:rFonts w:eastAsia="Times New Roman"/>
          <w:b/>
          <w:bCs/>
          <w:i/>
          <w:iCs/>
          <w:lang w:val="en-US" w:eastAsia="en-US"/>
        </w:rPr>
        <w:t>shall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be </w:t>
      </w:r>
      <w:r w:rsidRPr="00522ABA">
        <w:rPr>
          <w:rFonts w:eastAsia="Times New Roman"/>
          <w:b/>
          <w:bCs/>
          <w:i/>
          <w:iCs/>
          <w:lang w:val="en-US" w:eastAsia="en-US"/>
        </w:rPr>
        <w:t>applied.</w:t>
      </w:r>
    </w:p>
    <w:p w14:paraId="17308383" w14:textId="561EE419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7A218173" w14:textId="77777777" w:rsidR="00C3767B" w:rsidRPr="00296899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3B31FB0D" w14:textId="1BF7DC71" w:rsidR="00C3767B" w:rsidRPr="00E0022B" w:rsidRDefault="00C3767B" w:rsidP="00C3767B">
      <w:pPr>
        <w:pStyle w:val="HChG"/>
        <w:tabs>
          <w:tab w:val="left" w:pos="1134"/>
          <w:tab w:val="left" w:pos="1701"/>
          <w:tab w:val="left" w:pos="2268"/>
          <w:tab w:val="center" w:pos="4252"/>
        </w:tabs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Supplement 2 to the original series of amendments </w:t>
      </w:r>
      <w:r w:rsidRPr="00E0022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UN </w:t>
      </w:r>
      <w:r w:rsidRPr="00E0022B">
        <w:rPr>
          <w:rFonts w:ascii="Times New Roman" w:hAnsi="Times New Roman" w:cs="Times New Roman"/>
        </w:rPr>
        <w:t xml:space="preserve">Regulation </w:t>
      </w:r>
      <w:r>
        <w:rPr>
          <w:rFonts w:ascii="Times New Roman" w:hAnsi="Times New Roman" w:cs="Times New Roman"/>
        </w:rPr>
        <w:t>No. 153</w:t>
      </w:r>
    </w:p>
    <w:p w14:paraId="0778FFFC" w14:textId="002A1BB8" w:rsidR="00C3767B" w:rsidRPr="00887FA0" w:rsidRDefault="00C3767B" w:rsidP="00C3767B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t xml:space="preserve">Add a second note to </w:t>
      </w:r>
      <w:r w:rsidRPr="00887FA0">
        <w:rPr>
          <w:i/>
          <w:lang w:eastAsia="ja-JP"/>
        </w:rPr>
        <w:t>paragraph 2.</w:t>
      </w:r>
      <w:r>
        <w:rPr>
          <w:i/>
          <w:lang w:eastAsia="ja-JP"/>
        </w:rPr>
        <w:t>31</w:t>
      </w:r>
      <w:r w:rsidRPr="00887FA0">
        <w:rPr>
          <w:i/>
          <w:lang w:eastAsia="ja-JP"/>
        </w:rPr>
        <w:t>.</w:t>
      </w:r>
      <w:r w:rsidRPr="00887FA0">
        <w:rPr>
          <w:lang w:eastAsia="ja-JP"/>
        </w:rPr>
        <w:t>,</w:t>
      </w:r>
      <w:r w:rsidRPr="00887FA0">
        <w:rPr>
          <w:rFonts w:eastAsia="SimSun"/>
          <w:lang w:eastAsia="en-US"/>
        </w:rPr>
        <w:t xml:space="preserve"> to read:</w:t>
      </w:r>
    </w:p>
    <w:p w14:paraId="48012D5B" w14:textId="77777777" w:rsidR="00C3767B" w:rsidRPr="00522ABA" w:rsidRDefault="00C3767B" w:rsidP="00C3767B">
      <w:pPr>
        <w:spacing w:after="120"/>
        <w:ind w:leftChars="567" w:left="2268" w:right="1134" w:hangingChars="567" w:hanging="1134"/>
        <w:jc w:val="both"/>
        <w:rPr>
          <w:b/>
          <w:bCs/>
          <w:i/>
          <w:iCs/>
          <w:lang w:val="en-US" w:eastAsia="en-US"/>
        </w:rPr>
      </w:pPr>
      <w:r w:rsidRPr="00115ED7">
        <w:rPr>
          <w:rFonts w:eastAsia="Times New Roman"/>
          <w:lang w:eastAsia="en-US"/>
        </w:rPr>
        <w:t>"</w:t>
      </w:r>
      <w:r w:rsidRPr="00D80D05">
        <w:rPr>
          <w:rFonts w:eastAsia="Times New Roman"/>
          <w:b/>
          <w:bCs/>
          <w:i/>
          <w:iCs/>
          <w:lang w:eastAsia="en-US"/>
        </w:rPr>
        <w:t>Note 2</w:t>
      </w:r>
      <w:r>
        <w:rPr>
          <w:rFonts w:eastAsia="Times New Roman"/>
          <w:b/>
          <w:bCs/>
          <w:i/>
          <w:iCs/>
          <w:lang w:eastAsia="en-US"/>
        </w:rPr>
        <w:t>:</w:t>
      </w:r>
      <w:r>
        <w:rPr>
          <w:rFonts w:eastAsia="Times New Roman"/>
          <w:b/>
          <w:bCs/>
          <w:i/>
          <w:iCs/>
          <w:lang w:eastAsia="en-US"/>
        </w:rPr>
        <w:tab/>
      </w:r>
      <w:r w:rsidRPr="00B31B9F">
        <w:rPr>
          <w:rFonts w:eastAsia="Times New Roman"/>
          <w:b/>
          <w:bCs/>
          <w:i/>
          <w:iCs/>
          <w:lang w:val="en-US" w:eastAsia="en-US"/>
        </w:rPr>
        <w:t>For pulsating DC</w:t>
      </w:r>
      <w:r>
        <w:rPr>
          <w:rFonts w:eastAsia="Times New Roman"/>
          <w:b/>
          <w:bCs/>
          <w:i/>
          <w:iCs/>
          <w:lang w:val="en-US" w:eastAsia="en-US"/>
        </w:rPr>
        <w:t xml:space="preserve"> voltages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(alternating voltages without change of polarity) the DC threshold </w:t>
      </w:r>
      <w:r>
        <w:rPr>
          <w:rFonts w:eastAsia="Times New Roman"/>
          <w:b/>
          <w:bCs/>
          <w:i/>
          <w:iCs/>
          <w:lang w:val="en-US" w:eastAsia="en-US"/>
        </w:rPr>
        <w:t>shall</w:t>
      </w:r>
      <w:r w:rsidRPr="00B31B9F">
        <w:rPr>
          <w:rFonts w:eastAsia="Times New Roman"/>
          <w:b/>
          <w:bCs/>
          <w:i/>
          <w:iCs/>
          <w:lang w:val="en-US" w:eastAsia="en-US"/>
        </w:rPr>
        <w:t xml:space="preserve"> be </w:t>
      </w:r>
      <w:r w:rsidRPr="00522ABA">
        <w:rPr>
          <w:rFonts w:eastAsia="Times New Roman"/>
          <w:b/>
          <w:bCs/>
          <w:i/>
          <w:iCs/>
          <w:lang w:val="en-US" w:eastAsia="en-US"/>
        </w:rPr>
        <w:t>applied.</w:t>
      </w:r>
    </w:p>
    <w:p w14:paraId="7035C87C" w14:textId="727007F8" w:rsidR="00C3767B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4EEEA436" w14:textId="77777777" w:rsidR="00C3767B" w:rsidRPr="00296899" w:rsidRDefault="00C3767B" w:rsidP="00C3767B">
      <w:pPr>
        <w:suppressAutoHyphens w:val="0"/>
        <w:spacing w:line="240" w:lineRule="auto"/>
        <w:ind w:left="2268" w:right="1134"/>
        <w:jc w:val="both"/>
        <w:rPr>
          <w:rFonts w:eastAsia="Times New Roman"/>
          <w:b/>
          <w:lang w:val="en-US" w:eastAsia="en-US"/>
        </w:rPr>
      </w:pPr>
    </w:p>
    <w:p w14:paraId="1198D830" w14:textId="77777777" w:rsidR="00E0022B" w:rsidRPr="004C1F5B" w:rsidRDefault="00E0022B" w:rsidP="00E0022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C1F5B">
        <w:rPr>
          <w:b/>
          <w:sz w:val="28"/>
        </w:rPr>
        <w:tab/>
        <w:t>II.</w:t>
      </w:r>
      <w:r w:rsidRPr="004C1F5B">
        <w:rPr>
          <w:b/>
          <w:sz w:val="28"/>
        </w:rPr>
        <w:tab/>
        <w:t>Justification</w:t>
      </w:r>
    </w:p>
    <w:p w14:paraId="46F4AF27" w14:textId="29B1016C" w:rsidR="001F3E5D" w:rsidRDefault="00C3767B" w:rsidP="00E05B55">
      <w:pPr>
        <w:numPr>
          <w:ilvl w:val="0"/>
          <w:numId w:val="2"/>
        </w:numPr>
        <w:spacing w:after="120" w:line="276" w:lineRule="auto"/>
        <w:ind w:left="1134" w:right="95" w:firstLine="0"/>
        <w:jc w:val="both"/>
        <w:rPr>
          <w:lang w:val="en-US"/>
        </w:rPr>
      </w:pPr>
      <w:bookmarkStart w:id="2" w:name="_Hlk55299342"/>
      <w:r>
        <w:rPr>
          <w:lang w:val="en-US"/>
        </w:rPr>
        <w:t xml:space="preserve">CLEPA with document GRSP-69-04 proposed </w:t>
      </w:r>
      <w:r w:rsidR="0039237F">
        <w:rPr>
          <w:lang w:val="en-US"/>
        </w:rPr>
        <w:t xml:space="preserve">to amend </w:t>
      </w:r>
      <w:r>
        <w:rPr>
          <w:lang w:val="en-US"/>
        </w:rPr>
        <w:t xml:space="preserve">the </w:t>
      </w:r>
      <w:r w:rsidR="00843576" w:rsidRPr="009244C0">
        <w:rPr>
          <w:lang w:val="en-US"/>
        </w:rPr>
        <w:t xml:space="preserve">03 series </w:t>
      </w:r>
      <w:r w:rsidR="0039237F">
        <w:rPr>
          <w:lang w:val="en-US"/>
        </w:rPr>
        <w:t xml:space="preserve">of </w:t>
      </w:r>
      <w:r w:rsidR="00843576" w:rsidRPr="009244C0">
        <w:rPr>
          <w:lang w:val="en-US"/>
        </w:rPr>
        <w:t xml:space="preserve">Regulation 100 </w:t>
      </w:r>
      <w:r w:rsidR="0039237F">
        <w:rPr>
          <w:lang w:val="en-US"/>
        </w:rPr>
        <w:t xml:space="preserve">to clarify the </w:t>
      </w:r>
      <w:r w:rsidR="00843576" w:rsidRPr="009244C0">
        <w:rPr>
          <w:lang w:val="en-US"/>
        </w:rPr>
        <w:t xml:space="preserve">definition 2.42 “special voltage condition” and </w:t>
      </w:r>
      <w:r w:rsidR="0039237F">
        <w:rPr>
          <w:lang w:val="en-US"/>
        </w:rPr>
        <w:t xml:space="preserve">avoid mis-interpretation in the application of the </w:t>
      </w:r>
      <w:r w:rsidR="00843576" w:rsidRPr="009244C0">
        <w:rPr>
          <w:lang w:val="en-US"/>
        </w:rPr>
        <w:t>isolation resistance test after exposure to water</w:t>
      </w:r>
      <w:r w:rsidR="0039237F">
        <w:rPr>
          <w:lang w:val="en-US"/>
        </w:rPr>
        <w:t xml:space="preserve"> which would result critical for certain </w:t>
      </w:r>
      <w:r w:rsidR="00374264" w:rsidRPr="009244C0">
        <w:rPr>
          <w:lang w:val="en-US"/>
        </w:rPr>
        <w:t>48V air cooled m</w:t>
      </w:r>
      <w:r w:rsidR="006B011C" w:rsidRPr="009244C0">
        <w:rPr>
          <w:lang w:val="en-US"/>
        </w:rPr>
        <w:t xml:space="preserve">otor generators </w:t>
      </w:r>
      <w:r w:rsidR="00843576" w:rsidRPr="009244C0">
        <w:rPr>
          <w:lang w:val="en-US"/>
        </w:rPr>
        <w:t>having and integrated AD/DC voltage</w:t>
      </w:r>
      <w:r w:rsidR="006B011C" w:rsidRPr="009244C0">
        <w:rPr>
          <w:lang w:val="en-US"/>
        </w:rPr>
        <w:t>.</w:t>
      </w:r>
    </w:p>
    <w:p w14:paraId="48E598BA" w14:textId="42B56BC0" w:rsidR="0039237F" w:rsidRPr="009244C0" w:rsidRDefault="0039237F" w:rsidP="00E05B55">
      <w:pPr>
        <w:numPr>
          <w:ilvl w:val="0"/>
          <w:numId w:val="2"/>
        </w:numPr>
        <w:spacing w:after="120" w:line="276" w:lineRule="auto"/>
        <w:ind w:left="1134" w:right="95" w:firstLine="0"/>
        <w:jc w:val="both"/>
        <w:rPr>
          <w:lang w:val="en-US"/>
        </w:rPr>
      </w:pPr>
      <w:proofErr w:type="gramStart"/>
      <w:r>
        <w:rPr>
          <w:lang w:val="en-US"/>
        </w:rPr>
        <w:t>Consequently</w:t>
      </w:r>
      <w:proofErr w:type="gramEnd"/>
      <w:r>
        <w:rPr>
          <w:lang w:val="en-US"/>
        </w:rPr>
        <w:t xml:space="preserve"> it is necessary to introduce the same clarification in all other UN Regulations having the same </w:t>
      </w:r>
      <w:r w:rsidRPr="009244C0">
        <w:rPr>
          <w:lang w:val="en-US"/>
        </w:rPr>
        <w:t xml:space="preserve">“special voltage condition” </w:t>
      </w:r>
      <w:r>
        <w:rPr>
          <w:lang w:val="en-US"/>
        </w:rPr>
        <w:t>definition.</w:t>
      </w:r>
    </w:p>
    <w:bookmarkEnd w:id="2"/>
    <w:p w14:paraId="33C53073" w14:textId="77777777" w:rsidR="00E0022B" w:rsidRPr="000B6A13" w:rsidRDefault="00E0022B" w:rsidP="00E002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221553" w14:textId="77777777" w:rsidR="00E0022B" w:rsidRDefault="00E0022B"/>
    <w:sectPr w:rsidR="00E0022B" w:rsidSect="00B667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A4BB" w14:textId="77777777" w:rsidR="00E50949" w:rsidRDefault="00E50949" w:rsidP="00E0022B">
      <w:pPr>
        <w:spacing w:line="240" w:lineRule="auto"/>
      </w:pPr>
      <w:r>
        <w:separator/>
      </w:r>
    </w:p>
  </w:endnote>
  <w:endnote w:type="continuationSeparator" w:id="0">
    <w:p w14:paraId="1F262065" w14:textId="77777777" w:rsidR="00E50949" w:rsidRDefault="00E50949" w:rsidP="00E00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82C5" w14:textId="77777777" w:rsidR="00E50949" w:rsidRDefault="00E50949" w:rsidP="00E0022B">
      <w:pPr>
        <w:spacing w:line="240" w:lineRule="auto"/>
      </w:pPr>
      <w:r>
        <w:separator/>
      </w:r>
    </w:p>
  </w:footnote>
  <w:footnote w:type="continuationSeparator" w:id="0">
    <w:p w14:paraId="395B8A6C" w14:textId="77777777" w:rsidR="00E50949" w:rsidRDefault="00E50949" w:rsidP="00E00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E0022B" w14:paraId="0CDCB22E" w14:textId="77777777" w:rsidTr="00E0022B">
      <w:tc>
        <w:tcPr>
          <w:tcW w:w="4961" w:type="dxa"/>
        </w:tcPr>
        <w:p w14:paraId="74678722" w14:textId="4D6C7402" w:rsidR="00E0022B" w:rsidRDefault="00E0022B" w:rsidP="00E0022B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24"/>
              <w:szCs w:val="24"/>
              <w:lang w:val="en-US" w:eastAsia="ar-SA"/>
            </w:rPr>
          </w:pPr>
          <w:r>
            <w:rPr>
              <w:color w:val="00000A"/>
              <w:lang w:eastAsia="ar-SA"/>
            </w:rPr>
            <w:t>Submitted by the expert from CLEPA the European Association of Automotive Suppliers</w:t>
          </w:r>
        </w:p>
        <w:p w14:paraId="42B81BC3" w14:textId="77777777" w:rsidR="00E0022B" w:rsidRDefault="00E0022B" w:rsidP="00E0022B">
          <w:pPr>
            <w:tabs>
              <w:tab w:val="center" w:pos="4677"/>
              <w:tab w:val="right" w:pos="9355"/>
            </w:tabs>
            <w:spacing w:line="240" w:lineRule="auto"/>
            <w:rPr>
              <w:color w:val="00000A"/>
              <w:sz w:val="16"/>
              <w:szCs w:val="16"/>
              <w:lang w:eastAsia="ar-SA"/>
            </w:rPr>
          </w:pPr>
        </w:p>
      </w:tc>
      <w:tc>
        <w:tcPr>
          <w:tcW w:w="4960" w:type="dxa"/>
          <w:hideMark/>
        </w:tcPr>
        <w:p w14:paraId="2C0DDDC9" w14:textId="48A53EFD" w:rsidR="00E0022B" w:rsidRDefault="00E0022B" w:rsidP="00E0022B">
          <w:pPr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u w:val="single"/>
              <w:lang w:eastAsia="ar-SA"/>
            </w:rPr>
            <w:t>Informal document</w:t>
          </w:r>
          <w:r>
            <w:rPr>
              <w:color w:val="00000A"/>
              <w:lang w:eastAsia="ar-SA"/>
            </w:rPr>
            <w:t xml:space="preserve"> </w:t>
          </w:r>
          <w:r>
            <w:rPr>
              <w:b/>
              <w:bCs/>
              <w:color w:val="00000A"/>
              <w:lang w:eastAsia="ar-SA"/>
            </w:rPr>
            <w:t>GRSP-6</w:t>
          </w:r>
          <w:r w:rsidR="00EF6AA7">
            <w:rPr>
              <w:b/>
              <w:bCs/>
              <w:color w:val="00000A"/>
              <w:lang w:eastAsia="ar-SA"/>
            </w:rPr>
            <w:t>9</w:t>
          </w:r>
          <w:r>
            <w:rPr>
              <w:b/>
              <w:bCs/>
              <w:color w:val="00000A"/>
              <w:lang w:eastAsia="ar-SA"/>
            </w:rPr>
            <w:t>-</w:t>
          </w:r>
          <w:r w:rsidR="00186576">
            <w:rPr>
              <w:b/>
              <w:bCs/>
              <w:color w:val="00000A"/>
              <w:lang w:eastAsia="ar-SA"/>
            </w:rPr>
            <w:t>41</w:t>
          </w:r>
        </w:p>
        <w:p w14:paraId="2B02289C" w14:textId="166FA364" w:rsidR="00E0022B" w:rsidRDefault="00E0022B" w:rsidP="00E0022B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color w:val="00000A"/>
              <w:sz w:val="24"/>
              <w:szCs w:val="24"/>
              <w:lang w:eastAsia="ar-SA"/>
            </w:rPr>
          </w:pPr>
          <w:r>
            <w:rPr>
              <w:color w:val="00000A"/>
              <w:lang w:eastAsia="ar-SA"/>
            </w:rPr>
            <w:t>(6</w:t>
          </w:r>
          <w:r w:rsidR="00EF6AA7">
            <w:rPr>
              <w:color w:val="00000A"/>
              <w:lang w:eastAsia="ar-SA"/>
            </w:rPr>
            <w:t>9</w:t>
          </w:r>
          <w:r>
            <w:rPr>
              <w:color w:val="00000A"/>
              <w:vertAlign w:val="superscript"/>
              <w:lang w:eastAsia="ar-SA"/>
            </w:rPr>
            <w:t>th</w:t>
          </w:r>
          <w:r>
            <w:rPr>
              <w:color w:val="00000A"/>
              <w:lang w:eastAsia="ar-SA"/>
            </w:rPr>
            <w:t xml:space="preserve"> GRSP, </w:t>
          </w:r>
          <w:r w:rsidR="00EF6AA7">
            <w:rPr>
              <w:color w:val="00000A"/>
              <w:lang w:eastAsia="ar-SA"/>
            </w:rPr>
            <w:t>1</w:t>
          </w:r>
          <w:r w:rsidR="00D80D05">
            <w:rPr>
              <w:color w:val="00000A"/>
              <w:lang w:eastAsia="ar-SA"/>
            </w:rPr>
            <w:t>7-</w:t>
          </w:r>
          <w:r w:rsidR="00EF6AA7">
            <w:rPr>
              <w:color w:val="00000A"/>
              <w:lang w:eastAsia="ar-SA"/>
            </w:rPr>
            <w:t>2</w:t>
          </w:r>
          <w:r w:rsidR="00D80D05">
            <w:rPr>
              <w:color w:val="00000A"/>
              <w:lang w:eastAsia="ar-SA"/>
            </w:rPr>
            <w:t xml:space="preserve">1 </w:t>
          </w:r>
          <w:r w:rsidR="00EF6AA7">
            <w:rPr>
              <w:color w:val="00000A"/>
              <w:lang w:eastAsia="ar-SA"/>
            </w:rPr>
            <w:t>May 2021</w:t>
          </w:r>
          <w:r>
            <w:rPr>
              <w:color w:val="00000A"/>
              <w:lang w:eastAsia="ar-SA"/>
            </w:rPr>
            <w:br/>
            <w:t xml:space="preserve"> agenda item </w:t>
          </w:r>
          <w:r w:rsidR="00A05432">
            <w:rPr>
              <w:color w:val="00000A"/>
              <w:lang w:eastAsia="ar-SA"/>
            </w:rPr>
            <w:t>23</w:t>
          </w:r>
          <w:r w:rsidR="00186576">
            <w:rPr>
              <w:color w:val="00000A"/>
              <w:lang w:eastAsia="ar-SA"/>
            </w:rPr>
            <w:t>(j)</w:t>
          </w:r>
          <w:r>
            <w:rPr>
              <w:color w:val="00000A"/>
              <w:lang w:eastAsia="ar-SA"/>
            </w:rPr>
            <w:t>)</w:t>
          </w:r>
        </w:p>
      </w:tc>
    </w:tr>
  </w:tbl>
  <w:p w14:paraId="3386BD90" w14:textId="77777777" w:rsidR="00E0022B" w:rsidRDefault="00E00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ABF"/>
    <w:multiLevelType w:val="hybridMultilevel"/>
    <w:tmpl w:val="334E7E5C"/>
    <w:lvl w:ilvl="0" w:tplc="19C4B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35912"/>
    <w:multiLevelType w:val="hybridMultilevel"/>
    <w:tmpl w:val="411C3616"/>
    <w:lvl w:ilvl="0" w:tplc="28E42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869BF"/>
    <w:multiLevelType w:val="hybridMultilevel"/>
    <w:tmpl w:val="DF56666E"/>
    <w:lvl w:ilvl="0" w:tplc="49605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6AD162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BA8328C"/>
    <w:multiLevelType w:val="hybridMultilevel"/>
    <w:tmpl w:val="DDE060AA"/>
    <w:lvl w:ilvl="0" w:tplc="E082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24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4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ED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4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8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60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732E14"/>
    <w:multiLevelType w:val="hybridMultilevel"/>
    <w:tmpl w:val="F8C897CC"/>
    <w:lvl w:ilvl="0" w:tplc="E712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BA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CC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E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21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E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2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E3"/>
    <w:rsid w:val="0000729F"/>
    <w:rsid w:val="00031B1D"/>
    <w:rsid w:val="00080D30"/>
    <w:rsid w:val="0011090E"/>
    <w:rsid w:val="00115ED7"/>
    <w:rsid w:val="001833C1"/>
    <w:rsid w:val="00186576"/>
    <w:rsid w:val="001F3E5D"/>
    <w:rsid w:val="0026583B"/>
    <w:rsid w:val="002732D0"/>
    <w:rsid w:val="002914CB"/>
    <w:rsid w:val="00296899"/>
    <w:rsid w:val="003049BE"/>
    <w:rsid w:val="00317073"/>
    <w:rsid w:val="00325786"/>
    <w:rsid w:val="0033734D"/>
    <w:rsid w:val="00360544"/>
    <w:rsid w:val="00374264"/>
    <w:rsid w:val="00380BE0"/>
    <w:rsid w:val="0039237F"/>
    <w:rsid w:val="00392A4E"/>
    <w:rsid w:val="003A2F33"/>
    <w:rsid w:val="00413435"/>
    <w:rsid w:val="00476FBC"/>
    <w:rsid w:val="00522ABA"/>
    <w:rsid w:val="0056053A"/>
    <w:rsid w:val="00561DF4"/>
    <w:rsid w:val="0058616D"/>
    <w:rsid w:val="005F42E3"/>
    <w:rsid w:val="006016EC"/>
    <w:rsid w:val="00661E18"/>
    <w:rsid w:val="006B011C"/>
    <w:rsid w:val="00766D53"/>
    <w:rsid w:val="007C311C"/>
    <w:rsid w:val="007D044F"/>
    <w:rsid w:val="00813EAE"/>
    <w:rsid w:val="008361BF"/>
    <w:rsid w:val="00843576"/>
    <w:rsid w:val="0084424C"/>
    <w:rsid w:val="009244C0"/>
    <w:rsid w:val="00981225"/>
    <w:rsid w:val="009C3FA2"/>
    <w:rsid w:val="009E3818"/>
    <w:rsid w:val="009F3C8E"/>
    <w:rsid w:val="00A05432"/>
    <w:rsid w:val="00A25272"/>
    <w:rsid w:val="00A405B9"/>
    <w:rsid w:val="00A95ACC"/>
    <w:rsid w:val="00AC2F54"/>
    <w:rsid w:val="00AD1E70"/>
    <w:rsid w:val="00AF6FD3"/>
    <w:rsid w:val="00AF7E34"/>
    <w:rsid w:val="00B00A98"/>
    <w:rsid w:val="00B050B6"/>
    <w:rsid w:val="00B31B9F"/>
    <w:rsid w:val="00B46A69"/>
    <w:rsid w:val="00B47C5D"/>
    <w:rsid w:val="00B66733"/>
    <w:rsid w:val="00BA1FB1"/>
    <w:rsid w:val="00BB25A9"/>
    <w:rsid w:val="00BB35AC"/>
    <w:rsid w:val="00BB7C86"/>
    <w:rsid w:val="00C13BFB"/>
    <w:rsid w:val="00C22099"/>
    <w:rsid w:val="00C3767B"/>
    <w:rsid w:val="00C66665"/>
    <w:rsid w:val="00C70211"/>
    <w:rsid w:val="00C72614"/>
    <w:rsid w:val="00C73D3A"/>
    <w:rsid w:val="00C87820"/>
    <w:rsid w:val="00C97981"/>
    <w:rsid w:val="00CC55D0"/>
    <w:rsid w:val="00D80D05"/>
    <w:rsid w:val="00DD349D"/>
    <w:rsid w:val="00DE0A9D"/>
    <w:rsid w:val="00E0022B"/>
    <w:rsid w:val="00E05B55"/>
    <w:rsid w:val="00E2473E"/>
    <w:rsid w:val="00E50949"/>
    <w:rsid w:val="00E924C1"/>
    <w:rsid w:val="00E97999"/>
    <w:rsid w:val="00EA72DC"/>
    <w:rsid w:val="00EF6AA7"/>
    <w:rsid w:val="00F00EDD"/>
    <w:rsid w:val="00F10BDE"/>
    <w:rsid w:val="00F349E2"/>
    <w:rsid w:val="00F80F9A"/>
    <w:rsid w:val="00F93DAB"/>
    <w:rsid w:val="00FA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EDD3"/>
  <w15:chartTrackingRefBased/>
  <w15:docId w15:val="{D0BADA72-2DDF-4969-9F45-4D1F526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D7"/>
    <w:pPr>
      <w:suppressAutoHyphens/>
      <w:spacing w:after="0" w:line="240" w:lineRule="atLeast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A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A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EC"/>
    <w:rPr>
      <w:rFonts w:ascii="Segoe UI" w:eastAsia="MS Mincho" w:hAnsi="Segoe UI" w:cs="Segoe UI"/>
      <w:sz w:val="18"/>
      <w:szCs w:val="18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E002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2B"/>
    <w:rPr>
      <w:rFonts w:ascii="Times New Roman" w:eastAsia="MS Mincho" w:hAnsi="Times New Roman" w:cs="Times New Roman"/>
      <w:sz w:val="20"/>
      <w:szCs w:val="20"/>
      <w:lang w:val="en-GB" w:eastAsia="fr-FR"/>
    </w:rPr>
  </w:style>
  <w:style w:type="character" w:customStyle="1" w:styleId="HChGChar">
    <w:name w:val="_ H _Ch_G Char"/>
    <w:link w:val="HChG"/>
    <w:locked/>
    <w:rsid w:val="00E0022B"/>
    <w:rPr>
      <w:b/>
      <w:sz w:val="28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E0022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locked/>
    <w:rsid w:val="00E0022B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E0022B"/>
    <w:pPr>
      <w:spacing w:after="120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GChar">
    <w:name w:val="_ H_1_G Char"/>
    <w:link w:val="H1G"/>
    <w:locked/>
    <w:rsid w:val="00E0022B"/>
    <w:rPr>
      <w:b/>
      <w:sz w:val="24"/>
      <w:lang w:val="en-GB"/>
    </w:rPr>
  </w:style>
  <w:style w:type="paragraph" w:customStyle="1" w:styleId="H1G">
    <w:name w:val="_ H_1_G"/>
    <w:basedOn w:val="Normal"/>
    <w:next w:val="Normal"/>
    <w:link w:val="H1GChar"/>
    <w:rsid w:val="00E0022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97981"/>
    <w:pPr>
      <w:ind w:left="708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6FB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053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val="de-DE" w:eastAsia="de-D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0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76"/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76"/>
    <w:rPr>
      <w:rFonts w:ascii="Times New Roman" w:eastAsia="MS Mincho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5520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C3A7F-8D12-456A-871E-F9176E9B4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8B220-06BF-4F22-AAA6-165B97024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ACDA8-84D7-41A7-831E-FE710A59B7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2039</Characters>
  <Application>Microsoft Office Word</Application>
  <DocSecurity>4</DocSecurity>
  <Lines>169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Alburno</dc:creator>
  <cp:keywords/>
  <dc:description/>
  <cp:lastModifiedBy>E/ECE/324/Rev.1/Add.99/Rev.2/Amend.5</cp:lastModifiedBy>
  <cp:revision>2</cp:revision>
  <dcterms:created xsi:type="dcterms:W3CDTF">2021-05-20T07:35:00Z</dcterms:created>
  <dcterms:modified xsi:type="dcterms:W3CDTF">2021-05-20T07:35:00Z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