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1D067" w14:textId="77E2B250" w:rsidR="008C0C40" w:rsidRPr="004F2EA2" w:rsidRDefault="008C0C40" w:rsidP="008C0C40">
      <w:pPr>
        <w:pStyle w:val="HChG"/>
        <w:rPr>
          <w:bCs/>
        </w:rPr>
      </w:pPr>
      <w:r>
        <w:tab/>
      </w:r>
      <w:r>
        <w:tab/>
      </w:r>
      <w:r w:rsidR="00AE5D38">
        <w:rPr>
          <w:bCs/>
        </w:rPr>
        <w:t xml:space="preserve">Confirmation of GRSP on </w:t>
      </w:r>
      <w:r w:rsidR="00337694">
        <w:rPr>
          <w:bCs/>
        </w:rPr>
        <w:t xml:space="preserve">draft </w:t>
      </w:r>
      <w:r w:rsidR="00AE5D38">
        <w:rPr>
          <w:bCs/>
        </w:rPr>
        <w:t>interpretation “</w:t>
      </w:r>
      <w:r w:rsidR="00337694">
        <w:rPr>
          <w:bCs/>
        </w:rPr>
        <w:t>one</w:t>
      </w:r>
      <w:r w:rsidR="006D56B6">
        <w:rPr>
          <w:bCs/>
        </w:rPr>
        <w:t xml:space="preserve"> belt route” UN</w:t>
      </w:r>
      <w:r w:rsidR="00AE5D38">
        <w:rPr>
          <w:bCs/>
        </w:rPr>
        <w:t xml:space="preserve"> R129</w:t>
      </w:r>
      <w:r>
        <w:rPr>
          <w:bCs/>
        </w:rPr>
        <w:t xml:space="preserve"> </w:t>
      </w:r>
    </w:p>
    <w:p w14:paraId="3724D8BC" w14:textId="77777777" w:rsidR="008C0C40" w:rsidRPr="004D3A1C" w:rsidRDefault="008C0C40" w:rsidP="008C0C40">
      <w:pPr>
        <w:pStyle w:val="H1G"/>
        <w:ind w:left="0" w:firstLine="1134"/>
      </w:pPr>
      <w:r>
        <w:t xml:space="preserve">Submitted by the expert from the Netherlands </w:t>
      </w:r>
      <w:r w:rsidRPr="004F2EA2">
        <w:rPr>
          <w:bCs/>
          <w:lang w:val="en-US"/>
        </w:rPr>
        <w:footnoteReference w:customMarkFollows="1" w:id="2"/>
        <w:t>*</w:t>
      </w:r>
    </w:p>
    <w:p w14:paraId="7221990F" w14:textId="470B6142" w:rsidR="00AE5D38" w:rsidRDefault="008C0C40" w:rsidP="00AE5D38">
      <w:pPr>
        <w:pStyle w:val="SingleTxtG"/>
      </w:pPr>
      <w:r w:rsidRPr="00FD746E">
        <w:rPr>
          <w:snapToGrid w:val="0"/>
        </w:rPr>
        <w:t>The text reproduced b</w:t>
      </w:r>
      <w:r>
        <w:rPr>
          <w:snapToGrid w:val="0"/>
        </w:rPr>
        <w:t xml:space="preserve">elow was prepared by </w:t>
      </w:r>
      <w:r w:rsidRPr="00061F9B">
        <w:rPr>
          <w:snapToGrid w:val="0"/>
        </w:rPr>
        <w:t>th</w:t>
      </w:r>
      <w:r>
        <w:rPr>
          <w:snapToGrid w:val="0"/>
        </w:rPr>
        <w:t>e expert</w:t>
      </w:r>
      <w:r w:rsidRPr="005030D4">
        <w:rPr>
          <w:snapToGrid w:val="0"/>
        </w:rPr>
        <w:t xml:space="preserve"> from the</w:t>
      </w:r>
      <w:r>
        <w:t xml:space="preserve"> Netherlands, aiming to </w:t>
      </w:r>
      <w:r w:rsidR="00AE5D38">
        <w:t xml:space="preserve">seek guidance and consistency on the way </w:t>
      </w:r>
      <w:r w:rsidR="00337694">
        <w:t>“one</w:t>
      </w:r>
      <w:r w:rsidR="00AE5D38">
        <w:t xml:space="preserve"> belt route</w:t>
      </w:r>
      <w:r w:rsidR="00337694">
        <w:t>”</w:t>
      </w:r>
      <w:r w:rsidR="00AE5D38">
        <w:t xml:space="preserve"> is to be interpreted.</w:t>
      </w:r>
      <w:r w:rsidR="006E7F31">
        <w:t xml:space="preserve"> </w:t>
      </w:r>
      <w:r w:rsidR="00337694">
        <w:t>Discussion i</w:t>
      </w:r>
      <w:r w:rsidR="006E7F31">
        <w:t>n line with Schedule 6 paragraph 1 of the 1958 Agreement Rev. 3.</w:t>
      </w:r>
      <w:r w:rsidR="00AE5D38">
        <w:t xml:space="preserve"> </w:t>
      </w:r>
    </w:p>
    <w:p w14:paraId="40B106D5" w14:textId="77777777" w:rsidR="00AE5D38" w:rsidRPr="008227F0" w:rsidRDefault="00AE5D38" w:rsidP="00AE5D38">
      <w:pPr>
        <w:pStyle w:val="SingleTxtG"/>
        <w:rPr>
          <w:b/>
          <w:sz w:val="24"/>
        </w:rPr>
      </w:pPr>
    </w:p>
    <w:p w14:paraId="1855823F" w14:textId="201AB5FB" w:rsidR="00AE5D38" w:rsidRPr="008227F0" w:rsidRDefault="008227F0" w:rsidP="00AE5D38">
      <w:pPr>
        <w:pStyle w:val="SingleTxtG"/>
        <w:rPr>
          <w:b/>
          <w:sz w:val="24"/>
        </w:rPr>
      </w:pPr>
      <w:r w:rsidRPr="008227F0">
        <w:rPr>
          <w:b/>
          <w:sz w:val="24"/>
        </w:rPr>
        <w:t>Issue</w:t>
      </w:r>
    </w:p>
    <w:p w14:paraId="1649758A" w14:textId="77777777" w:rsidR="00337694" w:rsidRDefault="00337694" w:rsidP="008227F0">
      <w:pPr>
        <w:ind w:left="1134"/>
      </w:pPr>
    </w:p>
    <w:p w14:paraId="73504E77" w14:textId="42EA1603" w:rsidR="00337694" w:rsidRDefault="00337694" w:rsidP="008227F0">
      <w:pPr>
        <w:ind w:left="1134"/>
      </w:pPr>
      <w:r>
        <w:rPr>
          <w:noProof/>
          <w:lang w:val="nl-NL" w:eastAsia="nl-NL"/>
        </w:rPr>
        <w:drawing>
          <wp:inline distT="0" distB="0" distL="0" distR="0" wp14:anchorId="0F91E77D" wp14:editId="6B6A6A5E">
            <wp:extent cx="5172075" cy="3695700"/>
            <wp:effectExtent l="0" t="0" r="9525" b="0"/>
            <wp:docPr id="2" name="Afbeelding 2" descr="cid:image004.jpg@01D70900.52FF6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jpg@01D70900.52FF6C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72075" cy="3695700"/>
                    </a:xfrm>
                    <a:prstGeom prst="rect">
                      <a:avLst/>
                    </a:prstGeom>
                    <a:noFill/>
                    <a:ln>
                      <a:noFill/>
                    </a:ln>
                  </pic:spPr>
                </pic:pic>
              </a:graphicData>
            </a:graphic>
          </wp:inline>
        </w:drawing>
      </w:r>
    </w:p>
    <w:p w14:paraId="295B57F8" w14:textId="45230F39" w:rsidR="00337694" w:rsidRDefault="00337694" w:rsidP="008227F0">
      <w:pPr>
        <w:ind w:left="1134"/>
      </w:pPr>
    </w:p>
    <w:p w14:paraId="3C102B3D" w14:textId="2B85D19F" w:rsidR="00741680" w:rsidRDefault="004E0C94" w:rsidP="008227F0">
      <w:pPr>
        <w:ind w:left="1134"/>
      </w:pPr>
      <w:r>
        <w:t>Paragraph 3.2.2. allows a convertible universal belted ECRS, provided there is only one belt route.</w:t>
      </w:r>
    </w:p>
    <w:p w14:paraId="6A9B7754" w14:textId="696AAA32" w:rsidR="00337694" w:rsidRPr="00337694" w:rsidRDefault="00337694" w:rsidP="008227F0">
      <w:pPr>
        <w:ind w:left="1134"/>
        <w:rPr>
          <w:b/>
          <w:sz w:val="24"/>
        </w:rPr>
      </w:pPr>
      <w:r>
        <w:t>Is it acceptable that the belt route uses the same attachments/</w:t>
      </w:r>
      <w:proofErr w:type="spellStart"/>
      <w:r>
        <w:t>guidances</w:t>
      </w:r>
      <w:proofErr w:type="spellEnd"/>
      <w:r>
        <w:t xml:space="preserve"> when changing from forward to rearward facing orientation, but at the same time creating a slightly different belt </w:t>
      </w:r>
      <w:proofErr w:type="gramStart"/>
      <w:r>
        <w:t>route ?</w:t>
      </w:r>
      <w:proofErr w:type="gramEnd"/>
      <w:r>
        <w:br/>
      </w:r>
      <w:r>
        <w:br/>
      </w:r>
      <w:r w:rsidRPr="00337694">
        <w:rPr>
          <w:b/>
          <w:sz w:val="24"/>
        </w:rPr>
        <w:t>Draft Interpretation Netherlands</w:t>
      </w:r>
    </w:p>
    <w:p w14:paraId="6D0BDCB7" w14:textId="55EC7042" w:rsidR="00337694" w:rsidRPr="00337694" w:rsidRDefault="00337694" w:rsidP="008227F0">
      <w:pPr>
        <w:ind w:left="1134"/>
        <w:rPr>
          <w:b/>
          <w:sz w:val="24"/>
        </w:rPr>
      </w:pPr>
      <w:r w:rsidRPr="00337694">
        <w:rPr>
          <w:b/>
          <w:sz w:val="24"/>
        </w:rPr>
        <w:t xml:space="preserve"> </w:t>
      </w:r>
    </w:p>
    <w:p w14:paraId="18DDB031" w14:textId="4BF0C0BE" w:rsidR="00337694" w:rsidRDefault="00337694" w:rsidP="008227F0">
      <w:pPr>
        <w:ind w:left="1134"/>
      </w:pPr>
      <w:r>
        <w:t>Not allowed; “one belt route” shall be strictly interpreted</w:t>
      </w:r>
      <w:r w:rsidR="004E0C94">
        <w:t>;</w:t>
      </w:r>
      <w:r>
        <w:t xml:space="preserve"> only asymmetrical attachments can still be regarded “one belt route”.</w:t>
      </w:r>
    </w:p>
    <w:p w14:paraId="3991AEB9" w14:textId="24E8CDFE" w:rsidR="00337694" w:rsidRDefault="00337694">
      <w:pPr>
        <w:suppressAutoHyphens w:val="0"/>
        <w:spacing w:line="240" w:lineRule="auto"/>
      </w:pPr>
      <w:r>
        <w:br w:type="page"/>
      </w:r>
    </w:p>
    <w:p w14:paraId="12335A80" w14:textId="7348AF64" w:rsidR="00337694" w:rsidRPr="00337694" w:rsidRDefault="00337694" w:rsidP="008227F0">
      <w:pPr>
        <w:ind w:left="1134"/>
        <w:rPr>
          <w:b/>
          <w:sz w:val="24"/>
        </w:rPr>
      </w:pPr>
      <w:r w:rsidRPr="00337694">
        <w:rPr>
          <w:b/>
          <w:sz w:val="24"/>
        </w:rPr>
        <w:lastRenderedPageBreak/>
        <w:t>Background</w:t>
      </w:r>
    </w:p>
    <w:p w14:paraId="467D74B5" w14:textId="77777777" w:rsidR="00337694" w:rsidRPr="00337694" w:rsidRDefault="00337694" w:rsidP="008227F0">
      <w:pPr>
        <w:ind w:left="1134"/>
        <w:rPr>
          <w:b/>
          <w:sz w:val="24"/>
        </w:rPr>
      </w:pPr>
    </w:p>
    <w:p w14:paraId="264D28E1" w14:textId="771F37C7" w:rsidR="006E7F31" w:rsidRPr="00337694" w:rsidRDefault="008227F0" w:rsidP="008227F0">
      <w:pPr>
        <w:ind w:left="1134"/>
        <w:rPr>
          <w:lang w:val="en-US"/>
        </w:rPr>
      </w:pPr>
      <w:r>
        <w:t>As discussed in the GRSP</w:t>
      </w:r>
      <w:r w:rsidR="00337694">
        <w:t>-</w:t>
      </w:r>
      <w:r>
        <w:t>IWG-CRS</w:t>
      </w:r>
      <w:r w:rsidR="006E7F31" w:rsidRPr="008227F0">
        <w:t xml:space="preserve"> </w:t>
      </w:r>
      <w:r>
        <w:t xml:space="preserve">while </w:t>
      </w:r>
      <w:r w:rsidR="00337694">
        <w:t xml:space="preserve">setting up the new </w:t>
      </w:r>
      <w:r w:rsidR="006E7F31" w:rsidRPr="00337694">
        <w:rPr>
          <w:lang w:val="en-US"/>
        </w:rPr>
        <w:t>UN R 129</w:t>
      </w:r>
      <w:r w:rsidR="00337694">
        <w:rPr>
          <w:lang w:val="en-US"/>
        </w:rPr>
        <w:t>,</w:t>
      </w:r>
      <w:r w:rsidR="006E7F31" w:rsidRPr="00337694">
        <w:rPr>
          <w:lang w:val="en-US"/>
        </w:rPr>
        <w:t xml:space="preserve"> </w:t>
      </w:r>
      <w:r w:rsidR="00337694">
        <w:rPr>
          <w:lang w:val="en-US"/>
        </w:rPr>
        <w:t xml:space="preserve">one important reason for the </w:t>
      </w:r>
      <w:r w:rsidR="006E7F31" w:rsidRPr="00337694">
        <w:rPr>
          <w:lang w:val="en-US"/>
        </w:rPr>
        <w:t>‘one belt route’</w:t>
      </w:r>
      <w:r w:rsidR="00337694">
        <w:rPr>
          <w:lang w:val="en-US"/>
        </w:rPr>
        <w:t xml:space="preserve"> requirement was to reduce the risk of misuse for </w:t>
      </w:r>
      <w:r w:rsidR="003C2428">
        <w:rPr>
          <w:lang w:val="en-US"/>
        </w:rPr>
        <w:t>E</w:t>
      </w:r>
      <w:r w:rsidR="00337694">
        <w:rPr>
          <w:lang w:val="en-US"/>
        </w:rPr>
        <w:t xml:space="preserve">CRS’s which can be used in different orientations (e.g. a convertible </w:t>
      </w:r>
      <w:r w:rsidR="003C2428">
        <w:rPr>
          <w:lang w:val="en-US"/>
        </w:rPr>
        <w:t>E</w:t>
      </w:r>
      <w:r w:rsidR="00337694">
        <w:rPr>
          <w:lang w:val="en-US"/>
        </w:rPr>
        <w:t>CRS which may be forward or rearward facing).</w:t>
      </w:r>
    </w:p>
    <w:p w14:paraId="7925FEE6" w14:textId="77777777" w:rsidR="006E7F31" w:rsidRPr="008227F0" w:rsidRDefault="006E7F31" w:rsidP="008227F0">
      <w:pPr>
        <w:spacing w:before="100" w:beforeAutospacing="1" w:after="100" w:afterAutospacing="1"/>
        <w:ind w:left="1134"/>
        <w:rPr>
          <w:lang w:val="en-US"/>
        </w:rPr>
      </w:pPr>
      <w:r w:rsidRPr="008227F0">
        <w:rPr>
          <w:lang w:val="en-US"/>
        </w:rPr>
        <w:t>Quote draft minutes 65</w:t>
      </w:r>
      <w:r w:rsidRPr="008227F0">
        <w:rPr>
          <w:vertAlign w:val="superscript"/>
          <w:lang w:val="en-US"/>
        </w:rPr>
        <w:t>e</w:t>
      </w:r>
      <w:r w:rsidRPr="008227F0">
        <w:rPr>
          <w:lang w:val="en-US"/>
        </w:rPr>
        <w:t xml:space="preserve"> meeting (2016):</w:t>
      </w:r>
    </w:p>
    <w:p w14:paraId="3521A527" w14:textId="7D69B539" w:rsidR="006E7F31" w:rsidRPr="004E0C94" w:rsidRDefault="006E7F31" w:rsidP="004E0C94">
      <w:pPr>
        <w:numPr>
          <w:ilvl w:val="0"/>
          <w:numId w:val="23"/>
        </w:numPr>
        <w:suppressAutoHyphens w:val="0"/>
        <w:spacing w:line="240" w:lineRule="auto"/>
        <w:ind w:left="1134"/>
        <w:rPr>
          <w:lang w:val="en-US"/>
        </w:rPr>
      </w:pPr>
      <w:r w:rsidRPr="008227F0">
        <w:rPr>
          <w:lang w:val="en-US"/>
        </w:rPr>
        <w:t xml:space="preserve">Misuse according to convertible ECRS regarding the switch between </w:t>
      </w:r>
      <w:r w:rsidR="004E0C94">
        <w:rPr>
          <w:lang w:val="en-US"/>
        </w:rPr>
        <w:t>r</w:t>
      </w:r>
      <w:r w:rsidR="004E0C94" w:rsidRPr="004E0C94">
        <w:rPr>
          <w:lang w:val="en-US"/>
        </w:rPr>
        <w:t>earward facing orientation</w:t>
      </w:r>
      <w:r w:rsidRPr="004E0C94">
        <w:rPr>
          <w:lang w:val="en-US"/>
        </w:rPr>
        <w:t xml:space="preserve"> to </w:t>
      </w:r>
      <w:r w:rsidR="004E0C94" w:rsidRPr="004E0C94">
        <w:rPr>
          <w:lang w:val="en-US"/>
        </w:rPr>
        <w:t>forward facing orientation</w:t>
      </w:r>
      <w:r w:rsidRPr="004E0C94">
        <w:rPr>
          <w:lang w:val="en-US"/>
        </w:rPr>
        <w:t xml:space="preserve"> is a very essential point to have only one belt routing.</w:t>
      </w:r>
    </w:p>
    <w:p w14:paraId="66C9930C" w14:textId="77777777" w:rsidR="006E7F31" w:rsidRPr="008227F0" w:rsidRDefault="006E7F31" w:rsidP="008227F0">
      <w:pPr>
        <w:ind w:left="1134"/>
        <w:rPr>
          <w:lang w:val="en-US"/>
        </w:rPr>
      </w:pPr>
    </w:p>
    <w:p w14:paraId="4F65E8BB" w14:textId="0644B25D" w:rsidR="006E7F31" w:rsidRPr="008227F0" w:rsidRDefault="006E7F31" w:rsidP="008227F0">
      <w:pPr>
        <w:ind w:left="1134"/>
        <w:rPr>
          <w:color w:val="000000"/>
          <w:lang w:val="en-US"/>
        </w:rPr>
      </w:pPr>
      <w:r w:rsidRPr="008227F0">
        <w:rPr>
          <w:color w:val="000000"/>
          <w:lang w:val="en-US"/>
        </w:rPr>
        <w:t>In document CRS-68-11e-GRP-2017-XX_129-03 the following text</w:t>
      </w:r>
      <w:r w:rsidR="004E0C94">
        <w:rPr>
          <w:color w:val="000000"/>
          <w:lang w:val="en-US"/>
        </w:rPr>
        <w:t xml:space="preserve"> </w:t>
      </w:r>
      <w:r w:rsidRPr="008227F0">
        <w:rPr>
          <w:color w:val="000000"/>
          <w:lang w:val="en-US"/>
        </w:rPr>
        <w:t>has been added:</w:t>
      </w:r>
    </w:p>
    <w:p w14:paraId="139E3F74" w14:textId="77777777" w:rsidR="006E7F31" w:rsidRPr="008227F0" w:rsidRDefault="006E7F31" w:rsidP="008227F0">
      <w:pPr>
        <w:ind w:left="1134"/>
        <w:rPr>
          <w:color w:val="172B4D"/>
          <w:lang w:val="en-US"/>
        </w:rPr>
      </w:pPr>
    </w:p>
    <w:p w14:paraId="22AFD6EA" w14:textId="77777777" w:rsidR="004E0C94" w:rsidRDefault="006E7F31" w:rsidP="001F0849">
      <w:pPr>
        <w:numPr>
          <w:ilvl w:val="0"/>
          <w:numId w:val="23"/>
        </w:numPr>
        <w:suppressAutoHyphens w:val="0"/>
        <w:spacing w:line="240" w:lineRule="auto"/>
        <w:ind w:left="1134"/>
        <w:rPr>
          <w:lang w:val="en-US"/>
        </w:rPr>
      </w:pPr>
      <w:r w:rsidRPr="004E0C94">
        <w:rPr>
          <w:lang w:val="en-US"/>
        </w:rPr>
        <w:t>The belt route is the result of the combination of an ECRS to a specific</w:t>
      </w:r>
      <w:r w:rsidR="004E0C94">
        <w:rPr>
          <w:lang w:val="en-US"/>
        </w:rPr>
        <w:t xml:space="preserve"> </w:t>
      </w:r>
      <w:r w:rsidRPr="004E0C94">
        <w:rPr>
          <w:lang w:val="en-US"/>
        </w:rPr>
        <w:t xml:space="preserve">seating position of the car.  </w:t>
      </w:r>
    </w:p>
    <w:p w14:paraId="2FF3B693" w14:textId="77777777" w:rsidR="004E0C94" w:rsidRDefault="006E7F31" w:rsidP="004E0C94">
      <w:pPr>
        <w:suppressAutoHyphens w:val="0"/>
        <w:spacing w:line="240" w:lineRule="auto"/>
        <w:ind w:left="1134"/>
        <w:rPr>
          <w:lang w:val="en-US"/>
        </w:rPr>
      </w:pPr>
      <w:r w:rsidRPr="004E0C94">
        <w:rPr>
          <w:lang w:val="en-US"/>
        </w:rPr>
        <w:t xml:space="preserve">There shall be only one belt route when </w:t>
      </w:r>
      <w:proofErr w:type="gramStart"/>
      <w:r w:rsidRPr="004E0C94">
        <w:rPr>
          <w:lang w:val="en-US"/>
        </w:rPr>
        <w:t xml:space="preserve">a </w:t>
      </w:r>
      <w:r w:rsidR="004E0C94">
        <w:rPr>
          <w:lang w:val="en-US"/>
        </w:rPr>
        <w:t xml:space="preserve"> </w:t>
      </w:r>
      <w:r w:rsidRPr="004E0C94">
        <w:rPr>
          <w:lang w:val="en-US"/>
        </w:rPr>
        <w:t>ECRS</w:t>
      </w:r>
      <w:proofErr w:type="gramEnd"/>
      <w:r w:rsidRPr="004E0C94">
        <w:rPr>
          <w:lang w:val="en-US"/>
        </w:rPr>
        <w:t xml:space="preserve"> is installed to a specific seating position. </w:t>
      </w:r>
    </w:p>
    <w:p w14:paraId="60BD49F2" w14:textId="776D6B6D" w:rsidR="006E7F31" w:rsidRPr="008227F0" w:rsidRDefault="006E7F31" w:rsidP="004E0C94">
      <w:pPr>
        <w:suppressAutoHyphens w:val="0"/>
        <w:spacing w:line="240" w:lineRule="auto"/>
        <w:ind w:left="1134"/>
        <w:rPr>
          <w:lang w:val="en-US"/>
        </w:rPr>
      </w:pPr>
      <w:r w:rsidRPr="004E0C94">
        <w:rPr>
          <w:lang w:val="en-US"/>
        </w:rPr>
        <w:t xml:space="preserve">If the belt route has an </w:t>
      </w:r>
      <w:r w:rsidR="003C2428">
        <w:rPr>
          <w:lang w:val="en-US"/>
        </w:rPr>
        <w:t>asymmetrical layout, its</w:t>
      </w:r>
      <w:r w:rsidRPr="008227F0">
        <w:rPr>
          <w:lang w:val="en-US"/>
        </w:rPr>
        <w:t xml:space="preserve"> mirror images of the belt routing are defined </w:t>
      </w:r>
    </w:p>
    <w:p w14:paraId="58CAC5BE" w14:textId="77777777" w:rsidR="006E7F31" w:rsidRPr="008227F0" w:rsidRDefault="006E7F31" w:rsidP="008227F0">
      <w:pPr>
        <w:ind w:left="1134"/>
        <w:rPr>
          <w:lang w:val="en-US"/>
        </w:rPr>
      </w:pPr>
      <w:r w:rsidRPr="008227F0">
        <w:rPr>
          <w:lang w:val="en-US"/>
        </w:rPr>
        <w:t xml:space="preserve">as one belt routing. </w:t>
      </w:r>
    </w:p>
    <w:p w14:paraId="4880B9A0" w14:textId="77777777" w:rsidR="004E0C94" w:rsidRDefault="006E7F31" w:rsidP="008227F0">
      <w:pPr>
        <w:ind w:left="1134"/>
        <w:rPr>
          <w:lang w:val="en-US"/>
        </w:rPr>
      </w:pPr>
      <w:r w:rsidRPr="008227F0">
        <w:rPr>
          <w:lang w:val="en-US"/>
        </w:rPr>
        <w:t xml:space="preserve">When moving an ECRS from e.g. the left outboard seating position to the right outboard seating </w:t>
      </w:r>
    </w:p>
    <w:p w14:paraId="6F529CE6" w14:textId="77777777" w:rsidR="004E0C94" w:rsidRDefault="006E7F31" w:rsidP="008227F0">
      <w:pPr>
        <w:ind w:left="1134"/>
        <w:rPr>
          <w:lang w:val="en-US"/>
        </w:rPr>
      </w:pPr>
      <w:r w:rsidRPr="008227F0">
        <w:rPr>
          <w:lang w:val="en-US"/>
        </w:rPr>
        <w:t xml:space="preserve">position the actual route of the adult vehicle belt can be different. If these actual routes differ only </w:t>
      </w:r>
    </w:p>
    <w:p w14:paraId="13346AFE" w14:textId="5065DDFB" w:rsidR="006E7F31" w:rsidRPr="008B6435" w:rsidRDefault="006E7F31" w:rsidP="008227F0">
      <w:pPr>
        <w:ind w:left="1134"/>
        <w:rPr>
          <w:lang w:val="en-US"/>
        </w:rPr>
      </w:pPr>
      <w:r w:rsidRPr="008227F0">
        <w:rPr>
          <w:lang w:val="en-US"/>
        </w:rPr>
        <w:t xml:space="preserve">in symmetry, then these 2 actual routes </w:t>
      </w:r>
      <w:proofErr w:type="gramStart"/>
      <w:r w:rsidRPr="008227F0">
        <w:rPr>
          <w:lang w:val="en-US"/>
        </w:rPr>
        <w:t>are considered to be</w:t>
      </w:r>
      <w:proofErr w:type="gramEnd"/>
      <w:r w:rsidRPr="008227F0">
        <w:rPr>
          <w:lang w:val="en-US"/>
        </w:rPr>
        <w:t xml:space="preserve"> mirror images of the </w:t>
      </w:r>
      <w:r w:rsidRPr="008227F0">
        <w:t xml:space="preserve">same belt route. </w:t>
      </w:r>
    </w:p>
    <w:p w14:paraId="5CF94539" w14:textId="77777777" w:rsidR="006E7F31" w:rsidRPr="008227F0" w:rsidRDefault="006E7F31" w:rsidP="008227F0">
      <w:pPr>
        <w:ind w:left="1134"/>
        <w:rPr>
          <w:lang w:val="en-US"/>
        </w:rPr>
      </w:pPr>
    </w:p>
    <w:p w14:paraId="61E18953" w14:textId="77777777" w:rsidR="006E7F31" w:rsidRDefault="006E7F31" w:rsidP="008227F0">
      <w:pPr>
        <w:ind w:left="1134"/>
        <w:rPr>
          <w:rFonts w:ascii="Verdana" w:hAnsi="Verdana"/>
          <w:lang w:val="en-US"/>
        </w:rPr>
      </w:pPr>
    </w:p>
    <w:p w14:paraId="245E2B64" w14:textId="39CDDCF4" w:rsidR="006E7F31" w:rsidRDefault="006E7F31" w:rsidP="008227F0">
      <w:pPr>
        <w:ind w:left="1134"/>
        <w:rPr>
          <w:rFonts w:ascii="Verdana" w:hAnsi="Verdana"/>
          <w:lang w:val="en-US"/>
        </w:rPr>
      </w:pPr>
      <w:r>
        <w:rPr>
          <w:rFonts w:ascii="Verdana" w:hAnsi="Verdana"/>
          <w:lang w:val="en-US"/>
        </w:rPr>
        <w:t xml:space="preserve">           </w:t>
      </w:r>
      <w:r>
        <w:rPr>
          <w:noProof/>
          <w:lang w:val="nl-NL" w:eastAsia="nl-NL"/>
        </w:rPr>
        <w:drawing>
          <wp:inline distT="0" distB="0" distL="0" distR="0" wp14:anchorId="03587BD1" wp14:editId="753CD540">
            <wp:extent cx="4400550" cy="2486025"/>
            <wp:effectExtent l="0" t="0" r="0" b="9525"/>
            <wp:docPr id="5" name="Afbeelding 5" descr="cid:D7E477E52082294893600DEC091A78FA@nam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D7E477E52082294893600DEC091A78FA@namprd07.prod.outlook.co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400550" cy="2486025"/>
                    </a:xfrm>
                    <a:prstGeom prst="rect">
                      <a:avLst/>
                    </a:prstGeom>
                    <a:noFill/>
                    <a:ln>
                      <a:noFill/>
                    </a:ln>
                  </pic:spPr>
                </pic:pic>
              </a:graphicData>
            </a:graphic>
          </wp:inline>
        </w:drawing>
      </w:r>
    </w:p>
    <w:p w14:paraId="4BB366EE" w14:textId="6ECD9370" w:rsidR="003C2428" w:rsidRPr="003D6908" w:rsidRDefault="003C2428" w:rsidP="003C2428">
      <w:pPr>
        <w:ind w:left="1134"/>
        <w:rPr>
          <w:lang w:val="en-US"/>
        </w:rPr>
      </w:pPr>
      <w:r w:rsidRPr="003C2428">
        <w:rPr>
          <w:lang w:val="en-US"/>
        </w:rPr>
        <w:t xml:space="preserve">The </w:t>
      </w:r>
      <w:proofErr w:type="gramStart"/>
      <w:r w:rsidRPr="003C2428">
        <w:rPr>
          <w:lang w:val="en-US"/>
        </w:rPr>
        <w:t>above mentioned</w:t>
      </w:r>
      <w:proofErr w:type="gramEnd"/>
      <w:r w:rsidRPr="003C2428">
        <w:rPr>
          <w:lang w:val="en-US"/>
        </w:rPr>
        <w:t xml:space="preserve"> justification is not part of the current te</w:t>
      </w:r>
      <w:r>
        <w:rPr>
          <w:lang w:val="en-US"/>
        </w:rPr>
        <w:t>x</w:t>
      </w:r>
      <w:r w:rsidRPr="003C2428">
        <w:rPr>
          <w:lang w:val="en-US"/>
        </w:rPr>
        <w:t>t</w:t>
      </w:r>
      <w:r w:rsidR="003D6908">
        <w:rPr>
          <w:lang w:val="en-US"/>
        </w:rPr>
        <w:t xml:space="preserve"> in the Regulation</w:t>
      </w:r>
      <w:r w:rsidRPr="003C2428">
        <w:rPr>
          <w:lang w:val="en-US"/>
        </w:rPr>
        <w:t xml:space="preserve">, but </w:t>
      </w:r>
      <w:r>
        <w:rPr>
          <w:lang w:val="en-US"/>
        </w:rPr>
        <w:t>can be seen as the basis for the “one belt route</w:t>
      </w:r>
      <w:r w:rsidR="003D6908">
        <w:rPr>
          <w:lang w:val="en-US"/>
        </w:rPr>
        <w:t>”</w:t>
      </w:r>
      <w:r>
        <w:rPr>
          <w:lang w:val="en-US"/>
        </w:rPr>
        <w:t xml:space="preserve"> </w:t>
      </w:r>
      <w:r w:rsidR="003D6908">
        <w:rPr>
          <w:lang w:val="en-US"/>
        </w:rPr>
        <w:t>provision</w:t>
      </w:r>
      <w:r>
        <w:rPr>
          <w:lang w:val="en-US"/>
        </w:rPr>
        <w:t>”</w:t>
      </w:r>
      <w:r w:rsidR="003D6908">
        <w:rPr>
          <w:lang w:val="en-US"/>
        </w:rPr>
        <w:t>.</w:t>
      </w:r>
    </w:p>
    <w:p w14:paraId="2D0EB369" w14:textId="5440442B" w:rsidR="006E7F31" w:rsidRPr="003D6908" w:rsidRDefault="006E7F31" w:rsidP="008227F0">
      <w:pPr>
        <w:ind w:left="1134"/>
        <w:rPr>
          <w:lang w:val="en-US"/>
        </w:rPr>
      </w:pPr>
      <w:r w:rsidRPr="003D6908">
        <w:rPr>
          <w:lang w:val="en-US"/>
        </w:rPr>
        <w:t xml:space="preserve"> </w:t>
      </w:r>
    </w:p>
    <w:p w14:paraId="297CCC1A" w14:textId="4FD3A911" w:rsidR="006E7F31" w:rsidRPr="003D6908" w:rsidRDefault="003D6908" w:rsidP="003D6908">
      <w:pPr>
        <w:ind w:left="1134"/>
        <w:rPr>
          <w:lang w:val="en-US"/>
        </w:rPr>
      </w:pPr>
      <w:r w:rsidRPr="003D6908">
        <w:rPr>
          <w:lang w:val="en-US"/>
        </w:rPr>
        <w:t>Because of this, NL decided that the shown concept does not conform to the definition of</w:t>
      </w:r>
      <w:r w:rsidR="006E7F31" w:rsidRPr="003D6908">
        <w:rPr>
          <w:lang w:val="en-US"/>
        </w:rPr>
        <w:t xml:space="preserve"> ‘one belt route’, </w:t>
      </w:r>
      <w:r>
        <w:rPr>
          <w:lang w:val="en-US"/>
        </w:rPr>
        <w:t xml:space="preserve">  since the </w:t>
      </w:r>
      <w:r w:rsidR="006E7F31" w:rsidRPr="003D6908">
        <w:rPr>
          <w:lang w:val="en-US"/>
        </w:rPr>
        <w:t xml:space="preserve">belt routes in </w:t>
      </w:r>
      <w:r w:rsidR="00741680">
        <w:rPr>
          <w:lang w:val="en-US"/>
        </w:rPr>
        <w:t>forward facing direction</w:t>
      </w:r>
      <w:r w:rsidR="006E7F31" w:rsidRPr="003D6908">
        <w:rPr>
          <w:lang w:val="en-US"/>
        </w:rPr>
        <w:t xml:space="preserve"> </w:t>
      </w:r>
      <w:r>
        <w:rPr>
          <w:lang w:val="en-US"/>
        </w:rPr>
        <w:t>and</w:t>
      </w:r>
      <w:r w:rsidR="006E7F31" w:rsidRPr="003D6908">
        <w:rPr>
          <w:lang w:val="en-US"/>
        </w:rPr>
        <w:t xml:space="preserve"> </w:t>
      </w:r>
      <w:r w:rsidR="00741680">
        <w:rPr>
          <w:lang w:val="en-US"/>
        </w:rPr>
        <w:t>rearward facing direction</w:t>
      </w:r>
      <w:r w:rsidR="006E7F31" w:rsidRPr="003D6908">
        <w:rPr>
          <w:lang w:val="en-US"/>
        </w:rPr>
        <w:t xml:space="preserve"> </w:t>
      </w:r>
      <w:r>
        <w:rPr>
          <w:lang w:val="en-US"/>
        </w:rPr>
        <w:t>differ from each other and may result in misuse by the end user.</w:t>
      </w:r>
    </w:p>
    <w:p w14:paraId="33AEB78B" w14:textId="77777777" w:rsidR="006E7F31" w:rsidRPr="003D6908" w:rsidRDefault="006E7F31" w:rsidP="008227F0">
      <w:pPr>
        <w:ind w:left="1134"/>
        <w:rPr>
          <w:lang w:val="en-US"/>
        </w:rPr>
      </w:pPr>
    </w:p>
    <w:p w14:paraId="11475059" w14:textId="365F278C" w:rsidR="006E7F31" w:rsidRPr="001E7094" w:rsidRDefault="003D6908" w:rsidP="008227F0">
      <w:pPr>
        <w:ind w:left="1134"/>
        <w:rPr>
          <w:lang w:val="en-US"/>
        </w:rPr>
      </w:pPr>
      <w:r w:rsidRPr="003D6908">
        <w:rPr>
          <w:lang w:val="en-US"/>
        </w:rPr>
        <w:t xml:space="preserve">There are several alternatives which may be used to prevent misuse, e.g. </w:t>
      </w:r>
      <w:r>
        <w:rPr>
          <w:lang w:val="en-US"/>
        </w:rPr>
        <w:t>by using a</w:t>
      </w:r>
      <w:r w:rsidR="006E7F31" w:rsidRPr="003D6908">
        <w:rPr>
          <w:lang w:val="en-US"/>
        </w:rPr>
        <w:t xml:space="preserve"> </w:t>
      </w:r>
      <w:r>
        <w:rPr>
          <w:lang w:val="en-US"/>
        </w:rPr>
        <w:t xml:space="preserve">separate </w:t>
      </w:r>
      <w:r w:rsidR="006E7F31" w:rsidRPr="003D6908">
        <w:rPr>
          <w:lang w:val="en-US"/>
        </w:rPr>
        <w:t xml:space="preserve">base </w:t>
      </w:r>
      <w:r>
        <w:rPr>
          <w:lang w:val="en-US"/>
        </w:rPr>
        <w:t>in combination with a</w:t>
      </w:r>
      <w:r w:rsidR="006E7F31" w:rsidRPr="003D6908">
        <w:rPr>
          <w:lang w:val="en-US"/>
        </w:rPr>
        <w:t xml:space="preserve"> </w:t>
      </w:r>
      <w:r w:rsidR="008B6435">
        <w:rPr>
          <w:lang w:val="en-US"/>
        </w:rPr>
        <w:t>turn able</w:t>
      </w:r>
      <w:r>
        <w:rPr>
          <w:lang w:val="en-US"/>
        </w:rPr>
        <w:t xml:space="preserve"> </w:t>
      </w:r>
      <w:r w:rsidR="006E7F31" w:rsidRPr="003D6908">
        <w:rPr>
          <w:lang w:val="en-US"/>
        </w:rPr>
        <w:t xml:space="preserve">seat shell. </w:t>
      </w:r>
      <w:r w:rsidR="006E7F31" w:rsidRPr="001E7094">
        <w:rPr>
          <w:lang w:val="en-US"/>
        </w:rPr>
        <w:t xml:space="preserve">De base </w:t>
      </w:r>
      <w:r w:rsidR="001E7094" w:rsidRPr="001E7094">
        <w:rPr>
          <w:lang w:val="en-US"/>
        </w:rPr>
        <w:t xml:space="preserve">is installed using the </w:t>
      </w:r>
      <w:r w:rsidR="006E7F31" w:rsidRPr="001E7094">
        <w:rPr>
          <w:lang w:val="en-US"/>
        </w:rPr>
        <w:t>3-p</w:t>
      </w:r>
      <w:r w:rsidR="001E7094" w:rsidRPr="001E7094">
        <w:rPr>
          <w:lang w:val="en-US"/>
        </w:rPr>
        <w:t>oint</w:t>
      </w:r>
      <w:r w:rsidR="006E7F31" w:rsidRPr="001E7094">
        <w:rPr>
          <w:lang w:val="en-US"/>
        </w:rPr>
        <w:t xml:space="preserve"> </w:t>
      </w:r>
      <w:r w:rsidR="001E7094" w:rsidRPr="001E7094">
        <w:rPr>
          <w:lang w:val="en-US"/>
        </w:rPr>
        <w:t xml:space="preserve">belt and the </w:t>
      </w:r>
      <w:r w:rsidR="008B6435" w:rsidRPr="001E7094">
        <w:rPr>
          <w:lang w:val="en-US"/>
        </w:rPr>
        <w:t>turn able</w:t>
      </w:r>
      <w:r w:rsidR="006E7F31" w:rsidRPr="001E7094">
        <w:rPr>
          <w:lang w:val="en-US"/>
        </w:rPr>
        <w:t xml:space="preserve"> </w:t>
      </w:r>
    </w:p>
    <w:p w14:paraId="383E6949" w14:textId="08513E3C" w:rsidR="006E7F31" w:rsidRPr="008227F0" w:rsidRDefault="006E7F31" w:rsidP="008B6435">
      <w:pPr>
        <w:ind w:left="1134"/>
        <w:rPr>
          <w:lang w:val="nl-NL"/>
        </w:rPr>
      </w:pPr>
      <w:r w:rsidRPr="00741680">
        <w:rPr>
          <w:lang w:val="en-US"/>
        </w:rPr>
        <w:t xml:space="preserve">seat shell </w:t>
      </w:r>
      <w:r w:rsidR="001E7094" w:rsidRPr="00741680">
        <w:rPr>
          <w:lang w:val="en-US"/>
        </w:rPr>
        <w:t xml:space="preserve">can be used in both forward and rearward direction without having to </w:t>
      </w:r>
      <w:r w:rsidR="008B6435">
        <w:rPr>
          <w:lang w:val="en-US"/>
        </w:rPr>
        <w:t xml:space="preserve">re </w:t>
      </w:r>
      <w:r w:rsidR="001E7094" w:rsidRPr="00741680">
        <w:rPr>
          <w:lang w:val="en-US"/>
        </w:rPr>
        <w:t>install</w:t>
      </w:r>
      <w:r w:rsidR="008B6435">
        <w:rPr>
          <w:lang w:val="en-US"/>
        </w:rPr>
        <w:t xml:space="preserve"> the 3-point belt. (see example below)</w:t>
      </w:r>
    </w:p>
    <w:p w14:paraId="4D59E95D" w14:textId="77777777" w:rsidR="006E7F31" w:rsidRPr="008227F0" w:rsidRDefault="006E7F31" w:rsidP="008227F0">
      <w:pPr>
        <w:ind w:left="1134"/>
        <w:rPr>
          <w:lang w:val="nl-NL"/>
        </w:rPr>
      </w:pPr>
    </w:p>
    <w:p w14:paraId="0D5A7871" w14:textId="51628151" w:rsidR="006E7F31" w:rsidRPr="008227F0" w:rsidRDefault="006E7F31" w:rsidP="008227F0">
      <w:pPr>
        <w:ind w:left="1134"/>
      </w:pPr>
      <w:r w:rsidRPr="008227F0">
        <w:rPr>
          <w:noProof/>
          <w:lang w:val="nl-NL" w:eastAsia="nl-NL"/>
        </w:rPr>
        <w:lastRenderedPageBreak/>
        <w:drawing>
          <wp:inline distT="0" distB="0" distL="0" distR="0" wp14:anchorId="7492C5C8" wp14:editId="209A0FF2">
            <wp:extent cx="2219325" cy="2286000"/>
            <wp:effectExtent l="0" t="0" r="9525" b="0"/>
            <wp:docPr id="4" name="Afbeelding 4" descr="cid:image002.png@01D70900.52FF6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70900.52FF6C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19325" cy="2286000"/>
                    </a:xfrm>
                    <a:prstGeom prst="rect">
                      <a:avLst/>
                    </a:prstGeom>
                    <a:noFill/>
                    <a:ln>
                      <a:noFill/>
                    </a:ln>
                  </pic:spPr>
                </pic:pic>
              </a:graphicData>
            </a:graphic>
          </wp:inline>
        </w:drawing>
      </w:r>
      <w:r w:rsidRPr="008227F0">
        <w:rPr>
          <w:noProof/>
          <w:lang w:val="nl-NL" w:eastAsia="nl-NL"/>
        </w:rPr>
        <w:drawing>
          <wp:inline distT="0" distB="0" distL="0" distR="0" wp14:anchorId="3DBA8716" wp14:editId="2CBB2A2D">
            <wp:extent cx="2924175" cy="2286000"/>
            <wp:effectExtent l="0" t="0" r="9525" b="0"/>
            <wp:docPr id="3" name="Afbeelding 3" descr="A close - up of a microsco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 up of a microscope&#10;&#10;Description automatically generated with low confidenc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24175" cy="2286000"/>
                    </a:xfrm>
                    <a:prstGeom prst="rect">
                      <a:avLst/>
                    </a:prstGeom>
                    <a:noFill/>
                    <a:ln>
                      <a:noFill/>
                    </a:ln>
                  </pic:spPr>
                </pic:pic>
              </a:graphicData>
            </a:graphic>
          </wp:inline>
        </w:drawing>
      </w:r>
    </w:p>
    <w:p w14:paraId="62CB50DA" w14:textId="77777777" w:rsidR="006E7F31" w:rsidRPr="008227F0" w:rsidRDefault="006E7F31" w:rsidP="008227F0">
      <w:pPr>
        <w:ind w:left="1134"/>
        <w:rPr>
          <w:sz w:val="18"/>
          <w:szCs w:val="18"/>
        </w:rPr>
      </w:pPr>
    </w:p>
    <w:p w14:paraId="3C13E661" w14:textId="77777777" w:rsidR="008B6435" w:rsidRDefault="008B6435" w:rsidP="008227F0">
      <w:pPr>
        <w:pStyle w:val="SingleTxtG"/>
        <w:rPr>
          <w:b/>
          <w:sz w:val="24"/>
        </w:rPr>
      </w:pPr>
    </w:p>
    <w:p w14:paraId="0368E4F2" w14:textId="1F41D84E" w:rsidR="002745F6" w:rsidRPr="008B6435" w:rsidRDefault="008B6435" w:rsidP="008227F0">
      <w:pPr>
        <w:pStyle w:val="SingleTxtG"/>
        <w:rPr>
          <w:b/>
          <w:sz w:val="24"/>
        </w:rPr>
      </w:pPr>
      <w:r w:rsidRPr="008B6435">
        <w:rPr>
          <w:b/>
          <w:sz w:val="24"/>
        </w:rPr>
        <w:t>Request</w:t>
      </w:r>
    </w:p>
    <w:p w14:paraId="42371D0A" w14:textId="530A504B" w:rsidR="008B6435" w:rsidRDefault="008B6435" w:rsidP="008227F0">
      <w:pPr>
        <w:pStyle w:val="SingleTxtG"/>
        <w:rPr>
          <w:lang w:val="nl-NL"/>
        </w:rPr>
      </w:pPr>
    </w:p>
    <w:p w14:paraId="4DB7347F" w14:textId="3F9F19B5" w:rsidR="008B6435" w:rsidRPr="008B6435" w:rsidRDefault="008B6435" w:rsidP="008B6435">
      <w:pPr>
        <w:pStyle w:val="SingleTxtG"/>
        <w:numPr>
          <w:ilvl w:val="0"/>
          <w:numId w:val="24"/>
        </w:numPr>
        <w:rPr>
          <w:lang w:val="en-US"/>
        </w:rPr>
      </w:pPr>
      <w:r w:rsidRPr="008B6435">
        <w:rPr>
          <w:lang w:val="en-US"/>
        </w:rPr>
        <w:t xml:space="preserve">Do other Contracting Parties to the 1958 Agreement agree with this draft </w:t>
      </w:r>
      <w:proofErr w:type="gramStart"/>
      <w:r w:rsidRPr="008B6435">
        <w:rPr>
          <w:lang w:val="en-US"/>
        </w:rPr>
        <w:t>interpretation ?</w:t>
      </w:r>
      <w:proofErr w:type="gramEnd"/>
    </w:p>
    <w:p w14:paraId="55AA1662" w14:textId="33940881" w:rsidR="008B6435" w:rsidRDefault="008B6435" w:rsidP="008B6435">
      <w:pPr>
        <w:pStyle w:val="SingleTxtG"/>
        <w:numPr>
          <w:ilvl w:val="0"/>
          <w:numId w:val="24"/>
        </w:numPr>
        <w:rPr>
          <w:lang w:val="en-US"/>
        </w:rPr>
      </w:pPr>
      <w:r>
        <w:rPr>
          <w:lang w:val="en-US"/>
        </w:rPr>
        <w:t xml:space="preserve">Is there a need to update the current Regulation </w:t>
      </w:r>
      <w:proofErr w:type="gramStart"/>
      <w:r>
        <w:rPr>
          <w:lang w:val="en-US"/>
        </w:rPr>
        <w:t>text ?</w:t>
      </w:r>
      <w:proofErr w:type="gramEnd"/>
    </w:p>
    <w:p w14:paraId="51171D98" w14:textId="4F19929D" w:rsidR="008B6435" w:rsidRDefault="008B6435" w:rsidP="008B6435">
      <w:pPr>
        <w:pStyle w:val="SingleTxtG"/>
        <w:ind w:left="1080"/>
        <w:rPr>
          <w:lang w:val="en-US"/>
        </w:rPr>
      </w:pPr>
    </w:p>
    <w:p w14:paraId="231A83AD" w14:textId="640F9F29" w:rsidR="008B6435" w:rsidRPr="008B6435" w:rsidRDefault="008B6435" w:rsidP="008B6435">
      <w:pPr>
        <w:pStyle w:val="SingleTxtG"/>
        <w:ind w:left="1080"/>
        <w:rPr>
          <w:lang w:val="en-US"/>
        </w:rPr>
      </w:pPr>
      <w:r>
        <w:rPr>
          <w:lang w:val="en-US"/>
        </w:rPr>
        <w:t xml:space="preserve">For the Netherlands it is important to find consensus about this concept, in order to make sure that a decision about a concept which is not found acceptable by one Contracting Party, in this case the Netherlands, is supported by other Contracting Parties in order to prevent products developed using this concept do not find a back door to the market. </w:t>
      </w:r>
    </w:p>
    <w:p w14:paraId="45BC41E6" w14:textId="77777777" w:rsidR="00400F4B" w:rsidRPr="008B6435" w:rsidRDefault="00400F4B" w:rsidP="00400F4B">
      <w:pPr>
        <w:spacing w:before="240"/>
        <w:jc w:val="center"/>
        <w:rPr>
          <w:u w:val="single"/>
          <w:lang w:val="en-US"/>
        </w:rPr>
      </w:pPr>
      <w:r w:rsidRPr="008B6435">
        <w:rPr>
          <w:u w:val="single"/>
          <w:lang w:val="en-US"/>
        </w:rPr>
        <w:tab/>
      </w:r>
      <w:r w:rsidRPr="008B6435">
        <w:rPr>
          <w:u w:val="single"/>
          <w:lang w:val="en-US"/>
        </w:rPr>
        <w:tab/>
      </w:r>
      <w:r w:rsidRPr="008B6435">
        <w:rPr>
          <w:u w:val="single"/>
          <w:lang w:val="en-US"/>
        </w:rPr>
        <w:tab/>
      </w:r>
    </w:p>
    <w:sectPr w:rsidR="00400F4B" w:rsidRPr="008B6435" w:rsidSect="0039621D">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85364" w14:textId="77777777" w:rsidR="009A23EE" w:rsidRDefault="009A23EE"/>
  </w:endnote>
  <w:endnote w:type="continuationSeparator" w:id="0">
    <w:p w14:paraId="57E5D317" w14:textId="77777777" w:rsidR="009A23EE" w:rsidRDefault="009A23EE"/>
  </w:endnote>
  <w:endnote w:type="continuationNotice" w:id="1">
    <w:p w14:paraId="79C38859" w14:textId="77777777" w:rsidR="009A23EE" w:rsidRDefault="009A2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80D44" w14:textId="4798E00C" w:rsidR="0039621D" w:rsidRPr="0039621D" w:rsidRDefault="0039621D" w:rsidP="0039621D">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4F1E8F">
      <w:rPr>
        <w:b/>
        <w:noProof/>
        <w:sz w:val="18"/>
      </w:rPr>
      <w:t>2</w:t>
    </w:r>
    <w:r w:rsidRPr="0039621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4D95C" w14:textId="502507B1" w:rsidR="0039621D" w:rsidRPr="0039621D" w:rsidRDefault="0039621D" w:rsidP="0039621D">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4F1E8F">
      <w:rPr>
        <w:b/>
        <w:noProof/>
        <w:sz w:val="18"/>
      </w:rPr>
      <w:t>3</w:t>
    </w:r>
    <w:r w:rsidRPr="003962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92AA7" w14:textId="77777777" w:rsidR="00F329BA" w:rsidRDefault="00F3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ACC3D" w14:textId="77777777" w:rsidR="009A23EE" w:rsidRPr="000B175B" w:rsidRDefault="009A23EE" w:rsidP="000B175B">
      <w:pPr>
        <w:tabs>
          <w:tab w:val="right" w:pos="2155"/>
        </w:tabs>
        <w:spacing w:after="80"/>
        <w:ind w:left="680"/>
        <w:rPr>
          <w:u w:val="single"/>
        </w:rPr>
      </w:pPr>
      <w:r>
        <w:rPr>
          <w:u w:val="single"/>
        </w:rPr>
        <w:tab/>
      </w:r>
    </w:p>
  </w:footnote>
  <w:footnote w:type="continuationSeparator" w:id="0">
    <w:p w14:paraId="68C9A824" w14:textId="77777777" w:rsidR="009A23EE" w:rsidRPr="00FC68B7" w:rsidRDefault="009A23EE" w:rsidP="00FC68B7">
      <w:pPr>
        <w:tabs>
          <w:tab w:val="left" w:pos="2155"/>
        </w:tabs>
        <w:spacing w:after="80"/>
        <w:ind w:left="680"/>
        <w:rPr>
          <w:u w:val="single"/>
        </w:rPr>
      </w:pPr>
      <w:r>
        <w:rPr>
          <w:u w:val="single"/>
        </w:rPr>
        <w:tab/>
      </w:r>
    </w:p>
  </w:footnote>
  <w:footnote w:type="continuationNotice" w:id="1">
    <w:p w14:paraId="26FF646C" w14:textId="77777777" w:rsidR="009A23EE" w:rsidRDefault="009A23EE"/>
  </w:footnote>
  <w:footnote w:id="2">
    <w:p w14:paraId="3A9DA205" w14:textId="77777777" w:rsidR="008C0C40" w:rsidRPr="002232AF" w:rsidRDefault="008C0C40" w:rsidP="008C0C40">
      <w:pPr>
        <w:pStyle w:val="FootnoteText"/>
        <w:rPr>
          <w:lang w:val="en-US"/>
        </w:rPr>
      </w:pPr>
      <w:r>
        <w:tab/>
      </w:r>
      <w:r w:rsidRPr="002232AF">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2006–</w:t>
      </w:r>
      <w:r w:rsidRPr="00C04C5C">
        <w:rPr>
          <w:szCs w:val="18"/>
          <w:lang w:val="en-US"/>
        </w:rPr>
        <w:t xml:space="preserve">2010 (ECE/TRANS/166/Add.1, </w:t>
      </w:r>
      <w:proofErr w:type="spellStart"/>
      <w:r w:rsidRPr="00C04C5C">
        <w:rPr>
          <w:szCs w:val="18"/>
          <w:lang w:val="en-US"/>
        </w:rPr>
        <w:t>programme</w:t>
      </w:r>
      <w:proofErr w:type="spellEnd"/>
      <w:r w:rsidRPr="00C04C5C">
        <w:rPr>
          <w:szCs w:val="18"/>
          <w:lang w:val="en-US"/>
        </w:rPr>
        <w:t xml:space="preserve"> activity 02.4), the World Forum will develop, harmonize and update Regulations in order to en</w:t>
      </w:r>
      <w:r>
        <w:rPr>
          <w:szCs w:val="18"/>
          <w:lang w:val="en-US"/>
        </w:rPr>
        <w:t xml:space="preserve">hance the performance of vehicles. </w:t>
      </w:r>
      <w:r w:rsidRPr="00C04C5C">
        <w:rPr>
          <w:szCs w:val="18"/>
          <w:lang w:val="en-US"/>
        </w:rPr>
        <w:t>The present document is submitted in conformity with that mandate.</w:t>
      </w:r>
      <w:r w:rsidRPr="002232AF">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5225C" w14:textId="4F7401BA" w:rsidR="0039621D" w:rsidRPr="0039621D" w:rsidRDefault="00396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81B4" w14:textId="30732F49" w:rsidR="0039621D" w:rsidRPr="0039621D" w:rsidRDefault="0039621D" w:rsidP="0039621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08" w:type="dxa"/>
      <w:tblLook w:val="0000" w:firstRow="0" w:lastRow="0" w:firstColumn="0" w:lastColumn="0" w:noHBand="0" w:noVBand="0"/>
    </w:tblPr>
    <w:tblGrid>
      <w:gridCol w:w="4962"/>
      <w:gridCol w:w="4961"/>
    </w:tblGrid>
    <w:tr w:rsidR="00FD5357" w:rsidRPr="00E27568" w14:paraId="4184A21A" w14:textId="77777777" w:rsidTr="009E4C41">
      <w:tc>
        <w:tcPr>
          <w:tcW w:w="4962" w:type="dxa"/>
        </w:tcPr>
        <w:p w14:paraId="6702877C" w14:textId="77777777" w:rsidR="00FD5357" w:rsidRPr="00FD5357" w:rsidRDefault="00FD5357" w:rsidP="00FD5357">
          <w:pPr>
            <w:pStyle w:val="Header"/>
            <w:rPr>
              <w:b w:val="0"/>
              <w:sz w:val="20"/>
            </w:rPr>
          </w:pPr>
          <w:r w:rsidRPr="00FD5357">
            <w:rPr>
              <w:b w:val="0"/>
              <w:sz w:val="20"/>
            </w:rPr>
            <w:t xml:space="preserve">Submitted by the expert from the Netherlands </w:t>
          </w:r>
        </w:p>
        <w:p w14:paraId="67149528" w14:textId="77777777" w:rsidR="00FD5357" w:rsidRPr="00FD5357" w:rsidRDefault="00FD5357" w:rsidP="00FD5357">
          <w:pPr>
            <w:pStyle w:val="Header"/>
            <w:rPr>
              <w:b w:val="0"/>
              <w:sz w:val="20"/>
            </w:rPr>
          </w:pPr>
        </w:p>
        <w:p w14:paraId="1BAB1C11" w14:textId="77777777" w:rsidR="00FD5357" w:rsidRPr="00FD5357" w:rsidRDefault="00FD5357" w:rsidP="00FD5357">
          <w:pPr>
            <w:pStyle w:val="Header"/>
            <w:rPr>
              <w:b w:val="0"/>
              <w:sz w:val="16"/>
              <w:szCs w:val="16"/>
            </w:rPr>
          </w:pPr>
        </w:p>
      </w:tc>
      <w:tc>
        <w:tcPr>
          <w:tcW w:w="4961" w:type="dxa"/>
        </w:tcPr>
        <w:p w14:paraId="3090DF62" w14:textId="60678121" w:rsidR="00FD5357" w:rsidRPr="0039621D" w:rsidRDefault="00FD5357" w:rsidP="00FD5357">
          <w:pPr>
            <w:pStyle w:val="Header"/>
            <w:ind w:left="770"/>
          </w:pPr>
          <w:r w:rsidRPr="00FD5357">
            <w:rPr>
              <w:b w:val="0"/>
              <w:sz w:val="20"/>
            </w:rPr>
            <w:t>Informal document</w:t>
          </w:r>
          <w:r w:rsidRPr="0060508C">
            <w:rPr>
              <w:sz w:val="20"/>
            </w:rPr>
            <w:t xml:space="preserve"> </w:t>
          </w:r>
          <w:r w:rsidR="00F329BA">
            <w:t>GRSP-69-09</w:t>
          </w:r>
        </w:p>
        <w:p w14:paraId="2367FED8" w14:textId="28AB9E53" w:rsidR="00FD5357" w:rsidRPr="00FD5357" w:rsidRDefault="00FD5357" w:rsidP="00FD5357">
          <w:pPr>
            <w:pStyle w:val="Header"/>
            <w:ind w:left="742"/>
            <w:rPr>
              <w:b w:val="0"/>
              <w:sz w:val="20"/>
              <w:lang w:eastAsia="ja-JP"/>
            </w:rPr>
          </w:pPr>
          <w:r w:rsidRPr="00FD5357">
            <w:rPr>
              <w:b w:val="0"/>
              <w:sz w:val="20"/>
            </w:rPr>
            <w:t>(6</w:t>
          </w:r>
          <w:r w:rsidR="00F25CB2">
            <w:rPr>
              <w:b w:val="0"/>
              <w:sz w:val="20"/>
            </w:rPr>
            <w:t>9</w:t>
          </w:r>
          <w:r w:rsidRPr="003E603C">
            <w:rPr>
              <w:rFonts w:hint="eastAsia"/>
              <w:b w:val="0"/>
              <w:sz w:val="20"/>
              <w:vertAlign w:val="superscript"/>
              <w:lang w:eastAsia="ja-JP"/>
            </w:rPr>
            <w:t>th</w:t>
          </w:r>
          <w:r w:rsidR="003E603C">
            <w:rPr>
              <w:b w:val="0"/>
              <w:sz w:val="20"/>
              <w:lang w:eastAsia="ja-JP"/>
            </w:rPr>
            <w:t xml:space="preserve"> </w:t>
          </w:r>
          <w:r w:rsidRPr="00FD5357">
            <w:rPr>
              <w:b w:val="0"/>
              <w:sz w:val="20"/>
            </w:rPr>
            <w:t xml:space="preserve">GRSP, </w:t>
          </w:r>
          <w:r w:rsidR="0029451B">
            <w:rPr>
              <w:b w:val="0"/>
              <w:sz w:val="20"/>
              <w:lang w:eastAsia="ja-JP"/>
            </w:rPr>
            <w:t>1</w:t>
          </w:r>
          <w:r w:rsidR="00F25CB2">
            <w:rPr>
              <w:b w:val="0"/>
              <w:sz w:val="20"/>
              <w:lang w:eastAsia="ja-JP"/>
            </w:rPr>
            <w:t>7</w:t>
          </w:r>
          <w:r w:rsidRPr="00FD5357">
            <w:rPr>
              <w:rFonts w:hint="eastAsia"/>
              <w:b w:val="0"/>
              <w:sz w:val="20"/>
              <w:lang w:eastAsia="ja-JP"/>
            </w:rPr>
            <w:t>-</w:t>
          </w:r>
          <w:r w:rsidR="00F25CB2">
            <w:rPr>
              <w:b w:val="0"/>
              <w:sz w:val="20"/>
            </w:rPr>
            <w:t>21</w:t>
          </w:r>
          <w:r w:rsidR="002070F0">
            <w:rPr>
              <w:b w:val="0"/>
              <w:sz w:val="20"/>
            </w:rPr>
            <w:t xml:space="preserve"> </w:t>
          </w:r>
          <w:r w:rsidR="00F25CB2">
            <w:rPr>
              <w:b w:val="0"/>
              <w:sz w:val="20"/>
              <w:lang w:eastAsia="ja-JP"/>
            </w:rPr>
            <w:t>May 2021</w:t>
          </w:r>
        </w:p>
        <w:p w14:paraId="67A86056" w14:textId="0070180E" w:rsidR="00FD5357" w:rsidRPr="00E27568" w:rsidRDefault="00FD5357" w:rsidP="004F1E8F">
          <w:pPr>
            <w:pStyle w:val="Header"/>
            <w:ind w:left="742"/>
            <w:rPr>
              <w:sz w:val="20"/>
            </w:rPr>
          </w:pPr>
          <w:r w:rsidRPr="00FD5357">
            <w:rPr>
              <w:b w:val="0"/>
              <w:sz w:val="20"/>
            </w:rPr>
            <w:t xml:space="preserve">agenda item </w:t>
          </w:r>
          <w:r w:rsidR="004F1E8F">
            <w:rPr>
              <w:b w:val="0"/>
              <w:sz w:val="20"/>
              <w:lang w:eastAsia="ja-JP"/>
            </w:rPr>
            <w:t>12</w:t>
          </w:r>
          <w:r w:rsidRPr="00FD5357">
            <w:rPr>
              <w:b w:val="0"/>
              <w:sz w:val="20"/>
            </w:rPr>
            <w:t>)</w:t>
          </w:r>
        </w:p>
      </w:tc>
    </w:tr>
  </w:tbl>
  <w:p w14:paraId="0EE4CD69" w14:textId="144A4EDB" w:rsidR="008C0C40" w:rsidRDefault="008C0C40" w:rsidP="008C0C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FD37EC"/>
    <w:multiLevelType w:val="hybridMultilevel"/>
    <w:tmpl w:val="F6D6249A"/>
    <w:lvl w:ilvl="0" w:tplc="A42E13D4">
      <w:numFmt w:val="bullet"/>
      <w:lvlText w:val="-"/>
      <w:lvlJc w:val="left"/>
      <w:pPr>
        <w:ind w:left="720" w:hanging="360"/>
      </w:pPr>
      <w:rPr>
        <w:rFonts w:ascii="Verdana" w:eastAsia="Calibri" w:hAnsi="Verdana" w:cs="Times New Roman (Body C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365CE8"/>
    <w:multiLevelType w:val="hybridMultilevel"/>
    <w:tmpl w:val="31528BAE"/>
    <w:lvl w:ilvl="0" w:tplc="FB105C8E">
      <w:start w:val="1"/>
      <w:numFmt w:val="upperRoman"/>
      <w:lvlText w:val="%1."/>
      <w:lvlJc w:val="left"/>
      <w:pPr>
        <w:ind w:left="2273" w:hanging="855"/>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293C37"/>
    <w:multiLevelType w:val="hybridMultilevel"/>
    <w:tmpl w:val="8F645FB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15:restartNumberingAfterBreak="0">
    <w:nsid w:val="722F551E"/>
    <w:multiLevelType w:val="hybridMultilevel"/>
    <w:tmpl w:val="6292E2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0"/>
  </w:num>
  <w:num w:numId="18">
    <w:abstractNumId w:val="23"/>
  </w:num>
  <w:num w:numId="19">
    <w:abstractNumId w:val="12"/>
  </w:num>
  <w:num w:numId="20">
    <w:abstractNumId w:val="19"/>
  </w:num>
  <w:num w:numId="21">
    <w:abstractNumId w:val="16"/>
  </w:num>
  <w:num w:numId="22">
    <w:abstractNumId w:val="22"/>
  </w:num>
  <w:num w:numId="23">
    <w:abstractNumId w:val="11"/>
  </w:num>
  <w:num w:numId="24">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1D"/>
    <w:rsid w:val="0000122C"/>
    <w:rsid w:val="00002A7D"/>
    <w:rsid w:val="000038A8"/>
    <w:rsid w:val="00005DF3"/>
    <w:rsid w:val="00006790"/>
    <w:rsid w:val="00027624"/>
    <w:rsid w:val="00041AEC"/>
    <w:rsid w:val="00050B0A"/>
    <w:rsid w:val="00050F6B"/>
    <w:rsid w:val="00065916"/>
    <w:rsid w:val="000678CD"/>
    <w:rsid w:val="00072C8C"/>
    <w:rsid w:val="00081CE0"/>
    <w:rsid w:val="00084D30"/>
    <w:rsid w:val="00090320"/>
    <w:rsid w:val="000931C0"/>
    <w:rsid w:val="000964E3"/>
    <w:rsid w:val="00097003"/>
    <w:rsid w:val="000A2E09"/>
    <w:rsid w:val="000B175B"/>
    <w:rsid w:val="000B3A0F"/>
    <w:rsid w:val="000D3A4E"/>
    <w:rsid w:val="000E0415"/>
    <w:rsid w:val="000F7715"/>
    <w:rsid w:val="00145183"/>
    <w:rsid w:val="00156B99"/>
    <w:rsid w:val="00166124"/>
    <w:rsid w:val="00184DDA"/>
    <w:rsid w:val="001900CD"/>
    <w:rsid w:val="001A0452"/>
    <w:rsid w:val="001A74FC"/>
    <w:rsid w:val="001B4B04"/>
    <w:rsid w:val="001B5875"/>
    <w:rsid w:val="001C4B9C"/>
    <w:rsid w:val="001C6663"/>
    <w:rsid w:val="001C7895"/>
    <w:rsid w:val="001D26DF"/>
    <w:rsid w:val="001E7094"/>
    <w:rsid w:val="001F1599"/>
    <w:rsid w:val="001F19C4"/>
    <w:rsid w:val="002043F0"/>
    <w:rsid w:val="002070F0"/>
    <w:rsid w:val="00211E0B"/>
    <w:rsid w:val="00232575"/>
    <w:rsid w:val="00247258"/>
    <w:rsid w:val="00257CAC"/>
    <w:rsid w:val="0027237A"/>
    <w:rsid w:val="002745F6"/>
    <w:rsid w:val="00275642"/>
    <w:rsid w:val="00275B39"/>
    <w:rsid w:val="0029451B"/>
    <w:rsid w:val="002974E9"/>
    <w:rsid w:val="002A306B"/>
    <w:rsid w:val="002A6510"/>
    <w:rsid w:val="002A7F94"/>
    <w:rsid w:val="002B0039"/>
    <w:rsid w:val="002B109A"/>
    <w:rsid w:val="002C6D45"/>
    <w:rsid w:val="002D6E53"/>
    <w:rsid w:val="002E56BB"/>
    <w:rsid w:val="002F046D"/>
    <w:rsid w:val="002F3023"/>
    <w:rsid w:val="00301764"/>
    <w:rsid w:val="00304487"/>
    <w:rsid w:val="003229D8"/>
    <w:rsid w:val="00336C97"/>
    <w:rsid w:val="00337694"/>
    <w:rsid w:val="00337F88"/>
    <w:rsid w:val="00342432"/>
    <w:rsid w:val="0035223F"/>
    <w:rsid w:val="00352B1D"/>
    <w:rsid w:val="00352D4B"/>
    <w:rsid w:val="0035638C"/>
    <w:rsid w:val="00356564"/>
    <w:rsid w:val="0039621D"/>
    <w:rsid w:val="003A4205"/>
    <w:rsid w:val="003A46BB"/>
    <w:rsid w:val="003A4EC7"/>
    <w:rsid w:val="003A7295"/>
    <w:rsid w:val="003B1F60"/>
    <w:rsid w:val="003C2428"/>
    <w:rsid w:val="003C2CC4"/>
    <w:rsid w:val="003D3309"/>
    <w:rsid w:val="003D3C1A"/>
    <w:rsid w:val="003D4B23"/>
    <w:rsid w:val="003D6908"/>
    <w:rsid w:val="003E278A"/>
    <w:rsid w:val="003E603C"/>
    <w:rsid w:val="00400F4B"/>
    <w:rsid w:val="00413520"/>
    <w:rsid w:val="00417E56"/>
    <w:rsid w:val="004325CB"/>
    <w:rsid w:val="00440A07"/>
    <w:rsid w:val="00462880"/>
    <w:rsid w:val="004667F1"/>
    <w:rsid w:val="00476F24"/>
    <w:rsid w:val="004A0575"/>
    <w:rsid w:val="004A5D33"/>
    <w:rsid w:val="004B0CFA"/>
    <w:rsid w:val="004C55B0"/>
    <w:rsid w:val="004C75DC"/>
    <w:rsid w:val="004E0C94"/>
    <w:rsid w:val="004E1D67"/>
    <w:rsid w:val="004F1E8F"/>
    <w:rsid w:val="004F6BA0"/>
    <w:rsid w:val="00503BEA"/>
    <w:rsid w:val="00533616"/>
    <w:rsid w:val="00535ABA"/>
    <w:rsid w:val="0053768B"/>
    <w:rsid w:val="005420F2"/>
    <w:rsid w:val="0054285C"/>
    <w:rsid w:val="00543EFA"/>
    <w:rsid w:val="005702D5"/>
    <w:rsid w:val="00584173"/>
    <w:rsid w:val="00595520"/>
    <w:rsid w:val="005A44B9"/>
    <w:rsid w:val="005B1BA0"/>
    <w:rsid w:val="005B3DB3"/>
    <w:rsid w:val="005B57B2"/>
    <w:rsid w:val="005C0268"/>
    <w:rsid w:val="005D15CA"/>
    <w:rsid w:val="005E32FD"/>
    <w:rsid w:val="005F08DF"/>
    <w:rsid w:val="005F3066"/>
    <w:rsid w:val="005F3E61"/>
    <w:rsid w:val="00604DDD"/>
    <w:rsid w:val="006115CC"/>
    <w:rsid w:val="00611FC4"/>
    <w:rsid w:val="006176FB"/>
    <w:rsid w:val="00630FCB"/>
    <w:rsid w:val="00633124"/>
    <w:rsid w:val="00640B26"/>
    <w:rsid w:val="0065766B"/>
    <w:rsid w:val="00675884"/>
    <w:rsid w:val="006770B2"/>
    <w:rsid w:val="00686A48"/>
    <w:rsid w:val="0068763C"/>
    <w:rsid w:val="0069081F"/>
    <w:rsid w:val="006940E1"/>
    <w:rsid w:val="00694708"/>
    <w:rsid w:val="006A3C72"/>
    <w:rsid w:val="006A7392"/>
    <w:rsid w:val="006B03A1"/>
    <w:rsid w:val="006B67D9"/>
    <w:rsid w:val="006C5535"/>
    <w:rsid w:val="006D0589"/>
    <w:rsid w:val="006D56B6"/>
    <w:rsid w:val="006E564B"/>
    <w:rsid w:val="006E7154"/>
    <w:rsid w:val="006E7F31"/>
    <w:rsid w:val="007003CD"/>
    <w:rsid w:val="0070701E"/>
    <w:rsid w:val="00723E9C"/>
    <w:rsid w:val="0072632A"/>
    <w:rsid w:val="00734956"/>
    <w:rsid w:val="007358E8"/>
    <w:rsid w:val="00736ECE"/>
    <w:rsid w:val="007407CF"/>
    <w:rsid w:val="00741680"/>
    <w:rsid w:val="0074533B"/>
    <w:rsid w:val="00751B23"/>
    <w:rsid w:val="007643BC"/>
    <w:rsid w:val="00773BF8"/>
    <w:rsid w:val="00780C68"/>
    <w:rsid w:val="00794408"/>
    <w:rsid w:val="007959FE"/>
    <w:rsid w:val="007A084E"/>
    <w:rsid w:val="007A0CF1"/>
    <w:rsid w:val="007B6BA5"/>
    <w:rsid w:val="007C3390"/>
    <w:rsid w:val="007C42D8"/>
    <w:rsid w:val="007C4F4B"/>
    <w:rsid w:val="007D6F65"/>
    <w:rsid w:val="007D7362"/>
    <w:rsid w:val="007E312C"/>
    <w:rsid w:val="007F3D01"/>
    <w:rsid w:val="007F5CE2"/>
    <w:rsid w:val="007F6611"/>
    <w:rsid w:val="00810BAC"/>
    <w:rsid w:val="008175E9"/>
    <w:rsid w:val="008227F0"/>
    <w:rsid w:val="008242D7"/>
    <w:rsid w:val="0082577B"/>
    <w:rsid w:val="00825CB5"/>
    <w:rsid w:val="0082768F"/>
    <w:rsid w:val="00866893"/>
    <w:rsid w:val="00866F02"/>
    <w:rsid w:val="00867D18"/>
    <w:rsid w:val="00871F9A"/>
    <w:rsid w:val="00871FD5"/>
    <w:rsid w:val="0088172E"/>
    <w:rsid w:val="00881EFA"/>
    <w:rsid w:val="008879CB"/>
    <w:rsid w:val="008979B1"/>
    <w:rsid w:val="008A6B25"/>
    <w:rsid w:val="008A6C4F"/>
    <w:rsid w:val="008B389E"/>
    <w:rsid w:val="008B6435"/>
    <w:rsid w:val="008C0C40"/>
    <w:rsid w:val="008C6479"/>
    <w:rsid w:val="008D045E"/>
    <w:rsid w:val="008D27FC"/>
    <w:rsid w:val="008D3F25"/>
    <w:rsid w:val="008D4D82"/>
    <w:rsid w:val="008E0E46"/>
    <w:rsid w:val="008E7116"/>
    <w:rsid w:val="008F143B"/>
    <w:rsid w:val="008F3882"/>
    <w:rsid w:val="008F4B7C"/>
    <w:rsid w:val="00926E47"/>
    <w:rsid w:val="009369A9"/>
    <w:rsid w:val="00947162"/>
    <w:rsid w:val="009610D0"/>
    <w:rsid w:val="0096375C"/>
    <w:rsid w:val="009662E6"/>
    <w:rsid w:val="0097095E"/>
    <w:rsid w:val="00975C3F"/>
    <w:rsid w:val="0098592B"/>
    <w:rsid w:val="00985FC4"/>
    <w:rsid w:val="00990766"/>
    <w:rsid w:val="00991261"/>
    <w:rsid w:val="009964C4"/>
    <w:rsid w:val="009A23EE"/>
    <w:rsid w:val="009A7B81"/>
    <w:rsid w:val="009B7EB7"/>
    <w:rsid w:val="009D01C0"/>
    <w:rsid w:val="009D6A08"/>
    <w:rsid w:val="009E0A16"/>
    <w:rsid w:val="009E6CB7"/>
    <w:rsid w:val="009E7970"/>
    <w:rsid w:val="009E79EF"/>
    <w:rsid w:val="009F004A"/>
    <w:rsid w:val="009F2EAC"/>
    <w:rsid w:val="009F57E3"/>
    <w:rsid w:val="00A03B6B"/>
    <w:rsid w:val="00A10F4F"/>
    <w:rsid w:val="00A11067"/>
    <w:rsid w:val="00A117E2"/>
    <w:rsid w:val="00A1704A"/>
    <w:rsid w:val="00A36AC2"/>
    <w:rsid w:val="00A425EB"/>
    <w:rsid w:val="00A53C05"/>
    <w:rsid w:val="00A72F22"/>
    <w:rsid w:val="00A733BC"/>
    <w:rsid w:val="00A748A6"/>
    <w:rsid w:val="00A76A69"/>
    <w:rsid w:val="00A879A4"/>
    <w:rsid w:val="00AA0FF8"/>
    <w:rsid w:val="00AC0F2C"/>
    <w:rsid w:val="00AC38EF"/>
    <w:rsid w:val="00AC502A"/>
    <w:rsid w:val="00AE0666"/>
    <w:rsid w:val="00AE1E26"/>
    <w:rsid w:val="00AE5D38"/>
    <w:rsid w:val="00AF19C2"/>
    <w:rsid w:val="00AF587D"/>
    <w:rsid w:val="00AF58C1"/>
    <w:rsid w:val="00B04A3F"/>
    <w:rsid w:val="00B06643"/>
    <w:rsid w:val="00B15055"/>
    <w:rsid w:val="00B20551"/>
    <w:rsid w:val="00B30179"/>
    <w:rsid w:val="00B31E0B"/>
    <w:rsid w:val="00B33FC7"/>
    <w:rsid w:val="00B37B15"/>
    <w:rsid w:val="00B4162A"/>
    <w:rsid w:val="00B45C02"/>
    <w:rsid w:val="00B471CD"/>
    <w:rsid w:val="00B6590B"/>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7ED2"/>
    <w:rsid w:val="00C261FE"/>
    <w:rsid w:val="00C37129"/>
    <w:rsid w:val="00C40F7A"/>
    <w:rsid w:val="00C463DD"/>
    <w:rsid w:val="00C745C3"/>
    <w:rsid w:val="00C978F5"/>
    <w:rsid w:val="00CA24A4"/>
    <w:rsid w:val="00CB280F"/>
    <w:rsid w:val="00CB348D"/>
    <w:rsid w:val="00CC1D22"/>
    <w:rsid w:val="00CD46F5"/>
    <w:rsid w:val="00CE4A8F"/>
    <w:rsid w:val="00CF071D"/>
    <w:rsid w:val="00D003C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460A"/>
    <w:rsid w:val="00DC18AD"/>
    <w:rsid w:val="00DF7CAE"/>
    <w:rsid w:val="00E15610"/>
    <w:rsid w:val="00E423C0"/>
    <w:rsid w:val="00E54E90"/>
    <w:rsid w:val="00E6414C"/>
    <w:rsid w:val="00E64D13"/>
    <w:rsid w:val="00E71624"/>
    <w:rsid w:val="00E7260F"/>
    <w:rsid w:val="00E8702D"/>
    <w:rsid w:val="00E905F4"/>
    <w:rsid w:val="00E916A9"/>
    <w:rsid w:val="00E916DE"/>
    <w:rsid w:val="00E925AD"/>
    <w:rsid w:val="00E96630"/>
    <w:rsid w:val="00EB0B44"/>
    <w:rsid w:val="00EC62F7"/>
    <w:rsid w:val="00ED18DC"/>
    <w:rsid w:val="00ED50B4"/>
    <w:rsid w:val="00ED6201"/>
    <w:rsid w:val="00ED7A2A"/>
    <w:rsid w:val="00EF1D7F"/>
    <w:rsid w:val="00F0137E"/>
    <w:rsid w:val="00F04E44"/>
    <w:rsid w:val="00F06EF7"/>
    <w:rsid w:val="00F21786"/>
    <w:rsid w:val="00F25CB2"/>
    <w:rsid w:val="00F25D06"/>
    <w:rsid w:val="00F31CFF"/>
    <w:rsid w:val="00F329BA"/>
    <w:rsid w:val="00F3742B"/>
    <w:rsid w:val="00F41FDB"/>
    <w:rsid w:val="00F50597"/>
    <w:rsid w:val="00F56D63"/>
    <w:rsid w:val="00F609A9"/>
    <w:rsid w:val="00F80C99"/>
    <w:rsid w:val="00F867EC"/>
    <w:rsid w:val="00F91B2B"/>
    <w:rsid w:val="00FC03CD"/>
    <w:rsid w:val="00FC0646"/>
    <w:rsid w:val="00FC68B7"/>
    <w:rsid w:val="00FD535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05A4576"/>
  <w15:docId w15:val="{633F43AD-9A2E-45EC-A90D-9EF67C0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 w:type="paragraph" w:styleId="NormalWeb">
    <w:name w:val="Normal (Web)"/>
    <w:basedOn w:val="Normal"/>
    <w:uiPriority w:val="99"/>
    <w:semiHidden/>
    <w:rsid w:val="008C0C40"/>
    <w:rPr>
      <w:sz w:val="24"/>
      <w:szCs w:val="24"/>
      <w:lang w:eastAsia="en-US"/>
    </w:rPr>
  </w:style>
  <w:style w:type="paragraph" w:styleId="ListParagraph">
    <w:name w:val="List Paragraph"/>
    <w:basedOn w:val="Normal"/>
    <w:uiPriority w:val="34"/>
    <w:qFormat/>
    <w:rsid w:val="008C0C40"/>
    <w:pPr>
      <w:ind w:left="720"/>
      <w:contextualSpacing/>
    </w:pPr>
    <w:rPr>
      <w:lang w:eastAsia="en-US"/>
    </w:rPr>
  </w:style>
  <w:style w:type="paragraph" w:customStyle="1" w:styleId="para">
    <w:name w:val="para"/>
    <w:basedOn w:val="Normal"/>
    <w:link w:val="paraChar"/>
    <w:qFormat/>
    <w:rsid w:val="00EC62F7"/>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C62F7"/>
    <w:rPr>
      <w:rFonts w:eastAsia="Yu Mincho"/>
      <w:snapToGrid w:val="0"/>
      <w:lang w:eastAsia="en-US"/>
    </w:rPr>
  </w:style>
  <w:style w:type="character" w:customStyle="1" w:styleId="HeaderChar">
    <w:name w:val="Header Char"/>
    <w:aliases w:val="6_G Char"/>
    <w:link w:val="Header"/>
    <w:uiPriority w:val="99"/>
    <w:rsid w:val="00FD5357"/>
    <w:rPr>
      <w:b/>
      <w:sz w:val="18"/>
      <w:lang w:val="en-GB"/>
    </w:rPr>
  </w:style>
  <w:style w:type="character" w:styleId="CommentReference">
    <w:name w:val="annotation reference"/>
    <w:basedOn w:val="DefaultParagraphFont"/>
    <w:semiHidden/>
    <w:unhideWhenUsed/>
    <w:rsid w:val="00275B39"/>
    <w:rPr>
      <w:sz w:val="18"/>
      <w:szCs w:val="18"/>
    </w:rPr>
  </w:style>
  <w:style w:type="paragraph" w:styleId="CommentText">
    <w:name w:val="annotation text"/>
    <w:basedOn w:val="Normal"/>
    <w:link w:val="CommentTextChar"/>
    <w:semiHidden/>
    <w:unhideWhenUsed/>
    <w:rsid w:val="00275B39"/>
    <w:rPr>
      <w:rFonts w:eastAsia="MS Mincho"/>
    </w:rPr>
  </w:style>
  <w:style w:type="character" w:customStyle="1" w:styleId="CommentTextChar">
    <w:name w:val="Comment Text Char"/>
    <w:basedOn w:val="DefaultParagraphFont"/>
    <w:link w:val="CommentText"/>
    <w:semiHidden/>
    <w:rsid w:val="00275B39"/>
    <w:rPr>
      <w:rFonts w:eastAsia="MS Mincho"/>
      <w:lang w:val="en-GB"/>
    </w:rPr>
  </w:style>
  <w:style w:type="paragraph" w:customStyle="1" w:styleId="Default">
    <w:name w:val="Default"/>
    <w:rsid w:val="00AF19C2"/>
    <w:pPr>
      <w:autoSpaceDE w:val="0"/>
      <w:autoSpaceDN w:val="0"/>
      <w:adjustRightInd w:val="0"/>
    </w:pPr>
    <w:rPr>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91391">
      <w:bodyDiv w:val="1"/>
      <w:marLeft w:val="0"/>
      <w:marRight w:val="0"/>
      <w:marTop w:val="0"/>
      <w:marBottom w:val="0"/>
      <w:divBdr>
        <w:top w:val="none" w:sz="0" w:space="0" w:color="auto"/>
        <w:left w:val="none" w:sz="0" w:space="0" w:color="auto"/>
        <w:bottom w:val="none" w:sz="0" w:space="0" w:color="auto"/>
        <w:right w:val="none" w:sz="0" w:space="0" w:color="auto"/>
      </w:divBdr>
    </w:div>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1498761870">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2.png@01D70900.52FF6C00"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70900.52FF6C00"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cid:image003.png@01D70900.52FF6C00"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4.jpg@01D70900.52FF6C00"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64B87-B175-4446-BC1A-4C2D6B284B60}">
  <ds:schemaRefs>
    <ds:schemaRef ds:uri="http://schemas.openxmlformats.org/officeDocument/2006/bibliography"/>
  </ds:schemaRefs>
</ds:datastoreItem>
</file>

<file path=customXml/itemProps2.xml><?xml version="1.0" encoding="utf-8"?>
<ds:datastoreItem xmlns:ds="http://schemas.openxmlformats.org/officeDocument/2006/customXml" ds:itemID="{CA658460-4EC4-4FDE-90D7-F4485BEE0D54}"/>
</file>

<file path=customXml/itemProps3.xml><?xml version="1.0" encoding="utf-8"?>
<ds:datastoreItem xmlns:ds="http://schemas.openxmlformats.org/officeDocument/2006/customXml" ds:itemID="{9121E4C0-3E25-428F-BE1E-4F11DE653FCF}"/>
</file>

<file path=customXml/itemProps4.xml><?xml version="1.0" encoding="utf-8"?>
<ds:datastoreItem xmlns:ds="http://schemas.openxmlformats.org/officeDocument/2006/customXml" ds:itemID="{9CD91C88-40E8-4D86-83FE-8A12D814A10F}"/>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2798</Characters>
  <Application>Microsoft Office Word</Application>
  <DocSecurity>4</DocSecurity>
  <Lines>58</Lines>
  <Paragraphs>26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GRSP-69-xx</vt:lpstr>
      <vt:lpstr>ECE/TRANS/WP.29/GRSP/2019/20</vt:lpstr>
      <vt:lpstr/>
    </vt:vector>
  </TitlesOfParts>
  <Company>CSD</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GRSP-69-xx</dc:title>
  <dc:subject>1916529</dc:subject>
  <dc:creator>Edoardo Gianotti</dc:creator>
  <cp:keywords/>
  <dc:description/>
  <cp:lastModifiedBy>E/ECE/324/Rev.1/Add.94/Rev.3</cp:lastModifiedBy>
  <cp:revision>2</cp:revision>
  <cp:lastPrinted>2019-09-25T15:16:00Z</cp:lastPrinted>
  <dcterms:created xsi:type="dcterms:W3CDTF">2021-05-07T08:11:00Z</dcterms:created>
  <dcterms:modified xsi:type="dcterms:W3CDTF">2021-05-07T08:11:00Z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