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5E33C3" w14:paraId="7782A9D8" w14:textId="77777777" w:rsidTr="005316B0">
        <w:trPr>
          <w:trHeight w:hRule="exact" w:val="851"/>
        </w:trPr>
        <w:tc>
          <w:tcPr>
            <w:tcW w:w="1276" w:type="dxa"/>
            <w:tcBorders>
              <w:bottom w:val="single" w:sz="4" w:space="0" w:color="auto"/>
            </w:tcBorders>
          </w:tcPr>
          <w:p w14:paraId="1503E17A" w14:textId="77777777" w:rsidR="001433FD" w:rsidRPr="005E33C3" w:rsidRDefault="001433FD" w:rsidP="0001207F">
            <w:pPr>
              <w:rPr>
                <w:lang w:val="fr-FR"/>
              </w:rPr>
            </w:pPr>
          </w:p>
        </w:tc>
        <w:tc>
          <w:tcPr>
            <w:tcW w:w="2268" w:type="dxa"/>
            <w:tcBorders>
              <w:bottom w:val="single" w:sz="4" w:space="0" w:color="auto"/>
            </w:tcBorders>
            <w:vAlign w:val="bottom"/>
          </w:tcPr>
          <w:p w14:paraId="50EDC0EC" w14:textId="77777777" w:rsidR="001433FD" w:rsidRPr="005E33C3" w:rsidRDefault="001433FD" w:rsidP="007D3236">
            <w:pPr>
              <w:spacing w:after="80" w:line="300" w:lineRule="exact"/>
              <w:rPr>
                <w:sz w:val="28"/>
                <w:lang w:val="fr-FR"/>
              </w:rPr>
            </w:pPr>
            <w:r w:rsidRPr="005E33C3">
              <w:rPr>
                <w:sz w:val="28"/>
                <w:lang w:val="fr-FR"/>
              </w:rPr>
              <w:t>Nations Unies</w:t>
            </w:r>
          </w:p>
        </w:tc>
        <w:tc>
          <w:tcPr>
            <w:tcW w:w="6095" w:type="dxa"/>
            <w:gridSpan w:val="2"/>
            <w:tcBorders>
              <w:bottom w:val="single" w:sz="4" w:space="0" w:color="auto"/>
            </w:tcBorders>
            <w:vAlign w:val="bottom"/>
          </w:tcPr>
          <w:p w14:paraId="4C0F06BF" w14:textId="77777777" w:rsidR="001433FD" w:rsidRPr="005E33C3" w:rsidRDefault="00406C55" w:rsidP="00406C55">
            <w:pPr>
              <w:jc w:val="right"/>
              <w:rPr>
                <w:lang w:val="fr-FR"/>
              </w:rPr>
            </w:pPr>
            <w:r w:rsidRPr="005E33C3">
              <w:rPr>
                <w:sz w:val="40"/>
                <w:lang w:val="fr-FR"/>
              </w:rPr>
              <w:t>ECE</w:t>
            </w:r>
            <w:r w:rsidRPr="005E33C3">
              <w:rPr>
                <w:lang w:val="fr-FR"/>
              </w:rPr>
              <w:t>/TRANS/WP.15/253</w:t>
            </w:r>
          </w:p>
        </w:tc>
      </w:tr>
      <w:tr w:rsidR="001433FD" w:rsidRPr="005E33C3" w14:paraId="6BCDB260" w14:textId="77777777" w:rsidTr="007D3236">
        <w:trPr>
          <w:trHeight w:hRule="exact" w:val="2835"/>
        </w:trPr>
        <w:tc>
          <w:tcPr>
            <w:tcW w:w="1276" w:type="dxa"/>
            <w:tcBorders>
              <w:top w:val="single" w:sz="4" w:space="0" w:color="auto"/>
              <w:bottom w:val="single" w:sz="12" w:space="0" w:color="auto"/>
            </w:tcBorders>
          </w:tcPr>
          <w:p w14:paraId="6ABAC937" w14:textId="77777777" w:rsidR="001433FD" w:rsidRPr="005E33C3" w:rsidRDefault="001433FD" w:rsidP="007D3236">
            <w:pPr>
              <w:spacing w:before="120"/>
              <w:jc w:val="center"/>
              <w:rPr>
                <w:lang w:val="fr-FR"/>
              </w:rPr>
            </w:pPr>
            <w:r w:rsidRPr="005E33C3">
              <w:rPr>
                <w:noProof/>
                <w:lang w:val="fr-FR" w:eastAsia="fr-CH"/>
              </w:rPr>
              <w:drawing>
                <wp:inline distT="0" distB="0" distL="0" distR="0" wp14:anchorId="534F0DA2" wp14:editId="1ACAE083">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C625AA" w14:textId="77777777" w:rsidR="001433FD" w:rsidRPr="005E33C3" w:rsidRDefault="001433FD" w:rsidP="007D3236">
            <w:pPr>
              <w:spacing w:before="120" w:line="420" w:lineRule="exact"/>
              <w:rPr>
                <w:b/>
                <w:sz w:val="40"/>
                <w:szCs w:val="40"/>
                <w:lang w:val="fr-FR"/>
              </w:rPr>
            </w:pPr>
            <w:r w:rsidRPr="005E33C3">
              <w:rPr>
                <w:b/>
                <w:sz w:val="40"/>
                <w:szCs w:val="40"/>
                <w:lang w:val="fr-FR"/>
              </w:rPr>
              <w:t>Conseil économique et social</w:t>
            </w:r>
          </w:p>
        </w:tc>
        <w:tc>
          <w:tcPr>
            <w:tcW w:w="2835" w:type="dxa"/>
            <w:tcBorders>
              <w:top w:val="single" w:sz="4" w:space="0" w:color="auto"/>
              <w:bottom w:val="single" w:sz="12" w:space="0" w:color="auto"/>
            </w:tcBorders>
          </w:tcPr>
          <w:p w14:paraId="3E9FA6B3" w14:textId="77777777" w:rsidR="0001207F" w:rsidRPr="005E33C3" w:rsidRDefault="00406C55" w:rsidP="00406C55">
            <w:pPr>
              <w:spacing w:before="240" w:line="240" w:lineRule="exact"/>
              <w:rPr>
                <w:lang w:val="fr-FR"/>
              </w:rPr>
            </w:pPr>
            <w:proofErr w:type="spellStart"/>
            <w:r w:rsidRPr="005E33C3">
              <w:rPr>
                <w:lang w:val="fr-FR"/>
              </w:rPr>
              <w:t>Distr</w:t>
            </w:r>
            <w:proofErr w:type="spellEnd"/>
            <w:r w:rsidRPr="005E33C3">
              <w:rPr>
                <w:lang w:val="fr-FR"/>
              </w:rPr>
              <w:t xml:space="preserve">. </w:t>
            </w:r>
            <w:proofErr w:type="gramStart"/>
            <w:r w:rsidRPr="005E33C3">
              <w:rPr>
                <w:lang w:val="fr-FR"/>
              </w:rPr>
              <w:t>générale</w:t>
            </w:r>
            <w:proofErr w:type="gramEnd"/>
          </w:p>
          <w:p w14:paraId="0DCB06DC" w14:textId="7BA5F04A" w:rsidR="00406C55" w:rsidRPr="005E33C3" w:rsidRDefault="00C0206C" w:rsidP="00406C55">
            <w:pPr>
              <w:spacing w:line="240" w:lineRule="exact"/>
              <w:rPr>
                <w:lang w:val="fr-FR"/>
              </w:rPr>
            </w:pPr>
            <w:r>
              <w:rPr>
                <w:lang w:val="fr-FR"/>
              </w:rPr>
              <w:t>26</w:t>
            </w:r>
            <w:r w:rsidR="00DE3FFF" w:rsidRPr="005E33C3">
              <w:rPr>
                <w:lang w:val="fr-FR"/>
              </w:rPr>
              <w:t xml:space="preserve"> </w:t>
            </w:r>
            <w:r w:rsidR="00406C55" w:rsidRPr="005E33C3">
              <w:rPr>
                <w:lang w:val="fr-FR"/>
              </w:rPr>
              <w:t>mai 2021</w:t>
            </w:r>
          </w:p>
          <w:p w14:paraId="40D2D3A1" w14:textId="6606A0FF" w:rsidR="00406C55" w:rsidRPr="005E33C3" w:rsidRDefault="006E585A" w:rsidP="00406C55">
            <w:pPr>
              <w:spacing w:line="240" w:lineRule="exact"/>
              <w:rPr>
                <w:lang w:val="fr-FR"/>
              </w:rPr>
            </w:pPr>
            <w:r w:rsidRPr="005E33C3">
              <w:rPr>
                <w:lang w:val="fr-FR"/>
              </w:rPr>
              <w:t>Français</w:t>
            </w:r>
          </w:p>
          <w:p w14:paraId="730D99AF" w14:textId="665C1DE0" w:rsidR="00406C55" w:rsidRPr="005E33C3" w:rsidRDefault="00406C55" w:rsidP="00406C55">
            <w:pPr>
              <w:spacing w:line="240" w:lineRule="exact"/>
              <w:rPr>
                <w:lang w:val="fr-FR"/>
              </w:rPr>
            </w:pPr>
            <w:r w:rsidRPr="005E33C3">
              <w:rPr>
                <w:lang w:val="fr-FR"/>
              </w:rPr>
              <w:t>Original : anglais et français</w:t>
            </w:r>
          </w:p>
        </w:tc>
      </w:tr>
    </w:tbl>
    <w:p w14:paraId="74C0DCFF" w14:textId="77777777" w:rsidR="0020361C" w:rsidRPr="005E33C3" w:rsidRDefault="0020361C" w:rsidP="00FD1581">
      <w:pPr>
        <w:spacing w:before="120"/>
        <w:rPr>
          <w:b/>
          <w:sz w:val="28"/>
          <w:szCs w:val="28"/>
          <w:lang w:val="fr-FR"/>
        </w:rPr>
      </w:pPr>
      <w:r w:rsidRPr="005E33C3">
        <w:rPr>
          <w:b/>
          <w:sz w:val="28"/>
          <w:szCs w:val="28"/>
          <w:lang w:val="fr-FR"/>
        </w:rPr>
        <w:t>Commission économique pour l’Europe</w:t>
      </w:r>
    </w:p>
    <w:p w14:paraId="25EB205E" w14:textId="77777777" w:rsidR="0020361C" w:rsidRPr="005E33C3" w:rsidRDefault="0020361C" w:rsidP="00FD1581">
      <w:pPr>
        <w:spacing w:before="120"/>
        <w:rPr>
          <w:sz w:val="28"/>
          <w:szCs w:val="28"/>
          <w:lang w:val="fr-FR"/>
        </w:rPr>
      </w:pPr>
      <w:r w:rsidRPr="005E33C3">
        <w:rPr>
          <w:sz w:val="28"/>
          <w:szCs w:val="28"/>
          <w:lang w:val="fr-FR"/>
        </w:rPr>
        <w:t>Comité des transports intérieurs</w:t>
      </w:r>
    </w:p>
    <w:p w14:paraId="48458832" w14:textId="77777777" w:rsidR="0020361C" w:rsidRPr="005E33C3" w:rsidRDefault="0020361C" w:rsidP="00FD1581">
      <w:pPr>
        <w:spacing w:before="120"/>
        <w:rPr>
          <w:b/>
          <w:sz w:val="24"/>
          <w:szCs w:val="24"/>
          <w:lang w:val="fr-FR"/>
        </w:rPr>
      </w:pPr>
      <w:r w:rsidRPr="005E33C3">
        <w:rPr>
          <w:b/>
          <w:sz w:val="24"/>
          <w:szCs w:val="24"/>
          <w:lang w:val="fr-FR"/>
        </w:rPr>
        <w:t xml:space="preserve">Groupe de travail des transports </w:t>
      </w:r>
      <w:r w:rsidRPr="005E33C3">
        <w:rPr>
          <w:b/>
          <w:sz w:val="24"/>
          <w:szCs w:val="24"/>
          <w:lang w:val="fr-FR"/>
        </w:rPr>
        <w:br/>
        <w:t>de marchandises dangereuses</w:t>
      </w:r>
    </w:p>
    <w:p w14:paraId="680E2BCA" w14:textId="7D9D3393" w:rsidR="007757AE" w:rsidRPr="005E33C3" w:rsidRDefault="007757AE" w:rsidP="007757AE">
      <w:pPr>
        <w:spacing w:before="120"/>
        <w:rPr>
          <w:b/>
          <w:lang w:val="fr-FR"/>
        </w:rPr>
      </w:pPr>
      <w:r w:rsidRPr="005E33C3">
        <w:rPr>
          <w:b/>
          <w:lang w:val="fr-FR"/>
        </w:rPr>
        <w:t>109</w:t>
      </w:r>
      <w:r w:rsidRPr="005E33C3">
        <w:rPr>
          <w:b/>
          <w:vertAlign w:val="superscript"/>
          <w:lang w:val="fr-FR"/>
        </w:rPr>
        <w:t>e</w:t>
      </w:r>
      <w:r w:rsidRPr="005E33C3">
        <w:rPr>
          <w:b/>
          <w:lang w:val="fr-FR"/>
        </w:rPr>
        <w:t> session</w:t>
      </w:r>
    </w:p>
    <w:p w14:paraId="02B2D574" w14:textId="4D459038" w:rsidR="007757AE" w:rsidRPr="005E33C3" w:rsidRDefault="007757AE" w:rsidP="007757AE">
      <w:pPr>
        <w:rPr>
          <w:lang w:val="fr-FR"/>
        </w:rPr>
      </w:pPr>
      <w:r w:rsidRPr="005E33C3">
        <w:rPr>
          <w:lang w:val="fr-FR"/>
        </w:rPr>
        <w:t xml:space="preserve">Genève, </w:t>
      </w:r>
      <w:r w:rsidR="00C62BFE" w:rsidRPr="005E33C3">
        <w:rPr>
          <w:lang w:val="fr-FR"/>
        </w:rPr>
        <w:t>4</w:t>
      </w:r>
      <w:r w:rsidRPr="005E33C3">
        <w:rPr>
          <w:lang w:val="fr-FR"/>
        </w:rPr>
        <w:t>-</w:t>
      </w:r>
      <w:r w:rsidR="00C62BFE" w:rsidRPr="005E33C3">
        <w:rPr>
          <w:lang w:val="fr-FR"/>
        </w:rPr>
        <w:t>7</w:t>
      </w:r>
      <w:r w:rsidRPr="005E33C3">
        <w:rPr>
          <w:lang w:val="fr-FR"/>
        </w:rPr>
        <w:t xml:space="preserve"> </w:t>
      </w:r>
      <w:r w:rsidR="00C62BFE" w:rsidRPr="005E33C3">
        <w:rPr>
          <w:lang w:val="fr-FR"/>
        </w:rPr>
        <w:t>mai</w:t>
      </w:r>
      <w:r w:rsidRPr="005E33C3">
        <w:rPr>
          <w:lang w:val="fr-FR"/>
        </w:rPr>
        <w:t xml:space="preserve"> 202</w:t>
      </w:r>
      <w:r w:rsidR="00C62BFE" w:rsidRPr="005E33C3">
        <w:rPr>
          <w:lang w:val="fr-FR"/>
        </w:rPr>
        <w:t>1</w:t>
      </w:r>
    </w:p>
    <w:p w14:paraId="21B37A4A" w14:textId="423DC59E" w:rsidR="007757AE" w:rsidRPr="005E33C3" w:rsidRDefault="007757AE" w:rsidP="007757AE">
      <w:pPr>
        <w:pStyle w:val="HChG"/>
        <w:rPr>
          <w:lang w:val="fr-FR"/>
        </w:rPr>
      </w:pPr>
      <w:r w:rsidRPr="005E33C3">
        <w:rPr>
          <w:lang w:val="fr-FR"/>
        </w:rPr>
        <w:tab/>
      </w:r>
      <w:r w:rsidRPr="005E33C3">
        <w:rPr>
          <w:lang w:val="fr-FR"/>
        </w:rPr>
        <w:tab/>
        <w:t>Rapport du Groupe de travail sur sa 109</w:t>
      </w:r>
      <w:r w:rsidRPr="005E33C3">
        <w:rPr>
          <w:vertAlign w:val="superscript"/>
          <w:lang w:val="fr-FR"/>
        </w:rPr>
        <w:t>e</w:t>
      </w:r>
      <w:r w:rsidRPr="005E33C3">
        <w:rPr>
          <w:lang w:val="fr-FR"/>
        </w:rPr>
        <w:t xml:space="preserve"> session</w:t>
      </w:r>
      <w:bookmarkStart w:id="0" w:name="_Toc499903628"/>
      <w:bookmarkEnd w:id="0"/>
    </w:p>
    <w:p w14:paraId="7D6736BB" w14:textId="68E63AF9" w:rsidR="007757AE" w:rsidRPr="005E33C3" w:rsidRDefault="007757AE" w:rsidP="007757AE">
      <w:pPr>
        <w:pStyle w:val="H56G"/>
        <w:rPr>
          <w:lang w:val="fr-FR"/>
        </w:rPr>
      </w:pPr>
      <w:r w:rsidRPr="005E33C3">
        <w:rPr>
          <w:lang w:val="fr-FR"/>
        </w:rPr>
        <w:tab/>
      </w:r>
      <w:r w:rsidRPr="005E33C3">
        <w:rPr>
          <w:lang w:val="fr-FR"/>
        </w:rPr>
        <w:tab/>
        <w:t xml:space="preserve">tenue à Genève du </w:t>
      </w:r>
      <w:r w:rsidR="00C62BFE" w:rsidRPr="005E33C3">
        <w:rPr>
          <w:lang w:val="fr-FR"/>
        </w:rPr>
        <w:t>4</w:t>
      </w:r>
      <w:r w:rsidRPr="005E33C3">
        <w:rPr>
          <w:lang w:val="fr-FR"/>
        </w:rPr>
        <w:t xml:space="preserve"> au </w:t>
      </w:r>
      <w:r w:rsidR="00C62BFE" w:rsidRPr="005E33C3">
        <w:rPr>
          <w:lang w:val="fr-FR"/>
        </w:rPr>
        <w:t>7</w:t>
      </w:r>
      <w:r w:rsidRPr="005E33C3">
        <w:rPr>
          <w:lang w:val="fr-FR"/>
        </w:rPr>
        <w:t xml:space="preserve"> </w:t>
      </w:r>
      <w:r w:rsidR="00C62BFE" w:rsidRPr="005E33C3">
        <w:rPr>
          <w:lang w:val="fr-FR"/>
        </w:rPr>
        <w:t>mai</w:t>
      </w:r>
      <w:r w:rsidRPr="005E33C3">
        <w:rPr>
          <w:lang w:val="fr-FR"/>
        </w:rPr>
        <w:t xml:space="preserve"> 202</w:t>
      </w:r>
      <w:r w:rsidR="00C62BFE" w:rsidRPr="005E33C3">
        <w:rPr>
          <w:lang w:val="fr-FR"/>
        </w:rPr>
        <w:t>1</w:t>
      </w:r>
    </w:p>
    <w:p w14:paraId="7BABB092" w14:textId="0D183985" w:rsidR="007757AE" w:rsidRPr="005E33C3" w:rsidRDefault="007757AE" w:rsidP="007757AE">
      <w:pPr>
        <w:spacing w:after="120"/>
        <w:rPr>
          <w:sz w:val="28"/>
          <w:lang w:val="fr-FR"/>
        </w:rPr>
      </w:pPr>
      <w:r w:rsidRPr="005E33C3">
        <w:rPr>
          <w:sz w:val="28"/>
          <w:lang w:val="fr-FR"/>
        </w:rPr>
        <w:t>Table des matières</w:t>
      </w:r>
    </w:p>
    <w:p w14:paraId="09805F12" w14:textId="77777777" w:rsidR="00F75549" w:rsidRPr="005E33C3" w:rsidRDefault="00F75549" w:rsidP="00F75549">
      <w:pPr>
        <w:tabs>
          <w:tab w:val="right" w:pos="8929"/>
          <w:tab w:val="right" w:pos="9638"/>
        </w:tabs>
        <w:spacing w:after="120"/>
        <w:ind w:left="283"/>
        <w:rPr>
          <w:lang w:val="fr-FR"/>
        </w:rPr>
      </w:pPr>
      <w:r w:rsidRPr="005E33C3">
        <w:rPr>
          <w:i/>
          <w:sz w:val="18"/>
          <w:lang w:val="fr-FR"/>
        </w:rPr>
        <w:tab/>
        <w:t>Paragraphes</w:t>
      </w:r>
      <w:r w:rsidRPr="005E33C3">
        <w:rPr>
          <w:i/>
          <w:sz w:val="18"/>
          <w:lang w:val="fr-FR"/>
        </w:rPr>
        <w:tab/>
        <w:t>Page</w:t>
      </w:r>
    </w:p>
    <w:p w14:paraId="7D177EA9" w14:textId="77777777" w:rsidR="000B2121" w:rsidRPr="005E33C3" w:rsidRDefault="000B2121" w:rsidP="000B2121">
      <w:pPr>
        <w:tabs>
          <w:tab w:val="right" w:pos="850"/>
          <w:tab w:val="left" w:pos="1134"/>
          <w:tab w:val="left" w:pos="1559"/>
          <w:tab w:val="left" w:pos="1984"/>
          <w:tab w:val="left" w:leader="dot" w:pos="7654"/>
          <w:tab w:val="right" w:pos="8929"/>
          <w:tab w:val="right" w:pos="9638"/>
        </w:tabs>
        <w:spacing w:after="120"/>
        <w:rPr>
          <w:lang w:val="fr-FR"/>
        </w:rPr>
      </w:pPr>
      <w:r w:rsidRPr="005E33C3">
        <w:rPr>
          <w:lang w:val="fr-FR"/>
        </w:rPr>
        <w:tab/>
        <w:t>I.</w:t>
      </w:r>
      <w:r w:rsidRPr="005E33C3">
        <w:rPr>
          <w:lang w:val="fr-FR"/>
        </w:rPr>
        <w:tab/>
        <w:t>Questions d’organisation et participation</w:t>
      </w:r>
      <w:r w:rsidRPr="005E33C3">
        <w:rPr>
          <w:lang w:val="fr-FR"/>
        </w:rPr>
        <w:tab/>
      </w:r>
      <w:r w:rsidRPr="005E33C3">
        <w:rPr>
          <w:lang w:val="fr-FR"/>
        </w:rPr>
        <w:tab/>
        <w:t>1</w:t>
      </w:r>
      <w:r w:rsidRPr="005E33C3">
        <w:rPr>
          <w:lang w:val="fr-FR"/>
        </w:rPr>
        <w:tab/>
        <w:t>3</w:t>
      </w:r>
    </w:p>
    <w:p w14:paraId="096306B8" w14:textId="77777777" w:rsidR="000B2121" w:rsidRPr="005E33C3" w:rsidRDefault="000B2121" w:rsidP="000B2121">
      <w:pPr>
        <w:tabs>
          <w:tab w:val="right" w:pos="850"/>
          <w:tab w:val="left" w:pos="1134"/>
          <w:tab w:val="left" w:pos="1559"/>
          <w:tab w:val="left" w:pos="1984"/>
          <w:tab w:val="left" w:leader="dot" w:pos="7654"/>
          <w:tab w:val="right" w:pos="8929"/>
          <w:tab w:val="right" w:pos="9638"/>
        </w:tabs>
        <w:spacing w:after="120"/>
        <w:rPr>
          <w:lang w:val="fr-FR"/>
        </w:rPr>
      </w:pPr>
      <w:r w:rsidRPr="005E33C3">
        <w:rPr>
          <w:lang w:val="fr-FR"/>
        </w:rPr>
        <w:tab/>
      </w:r>
      <w:r w:rsidRPr="005E33C3">
        <w:rPr>
          <w:lang w:val="fr-FR"/>
        </w:rPr>
        <w:tab/>
        <w:t>A.</w:t>
      </w:r>
      <w:r w:rsidRPr="005E33C3">
        <w:rPr>
          <w:lang w:val="fr-FR"/>
        </w:rPr>
        <w:tab/>
        <w:t>Questions d’organisation</w:t>
      </w:r>
      <w:r w:rsidRPr="005E33C3">
        <w:rPr>
          <w:lang w:val="fr-FR"/>
        </w:rPr>
        <w:tab/>
      </w:r>
      <w:r w:rsidRPr="005E33C3">
        <w:rPr>
          <w:lang w:val="fr-FR"/>
        </w:rPr>
        <w:tab/>
        <w:t>2-4</w:t>
      </w:r>
      <w:r w:rsidRPr="005E33C3">
        <w:rPr>
          <w:lang w:val="fr-FR"/>
        </w:rPr>
        <w:tab/>
        <w:t>3</w:t>
      </w:r>
    </w:p>
    <w:p w14:paraId="370574EB" w14:textId="033F30EC" w:rsidR="000B2121" w:rsidRPr="005E33C3" w:rsidRDefault="000B2121"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B.</w:t>
      </w:r>
      <w:r w:rsidRPr="005E33C3">
        <w:rPr>
          <w:rFonts w:eastAsia="SimSun"/>
          <w:lang w:val="fr-FR"/>
        </w:rPr>
        <w:tab/>
      </w:r>
      <w:r w:rsidRPr="005E33C3">
        <w:rPr>
          <w:lang w:val="fr-FR"/>
        </w:rPr>
        <w:t>Participation</w:t>
      </w:r>
      <w:r w:rsidRPr="005E33C3">
        <w:rPr>
          <w:rFonts w:eastAsia="SimSun"/>
          <w:lang w:val="fr-FR"/>
        </w:rPr>
        <w:tab/>
      </w:r>
      <w:r w:rsidRPr="005E33C3">
        <w:rPr>
          <w:rFonts w:eastAsia="SimSun"/>
          <w:lang w:val="fr-FR"/>
        </w:rPr>
        <w:tab/>
        <w:t>5-</w:t>
      </w:r>
      <w:r w:rsidR="00056D7B" w:rsidRPr="005E33C3">
        <w:rPr>
          <w:rFonts w:eastAsia="SimSun"/>
          <w:lang w:val="fr-FR"/>
        </w:rPr>
        <w:t>8</w:t>
      </w:r>
      <w:r w:rsidRPr="005E33C3">
        <w:rPr>
          <w:rFonts w:eastAsia="SimSun"/>
          <w:lang w:val="fr-FR"/>
        </w:rPr>
        <w:tab/>
        <w:t>3</w:t>
      </w:r>
    </w:p>
    <w:p w14:paraId="2A448795" w14:textId="1BA80D2B" w:rsidR="00056D7B" w:rsidRPr="005E33C3" w:rsidRDefault="00056D7B"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II.</w:t>
      </w:r>
      <w:r w:rsidRPr="005E33C3">
        <w:rPr>
          <w:rFonts w:eastAsia="SimSun"/>
          <w:lang w:val="fr-FR"/>
        </w:rPr>
        <w:tab/>
      </w:r>
      <w:r w:rsidR="00127413" w:rsidRPr="005E33C3">
        <w:rPr>
          <w:rFonts w:eastAsia="SimSun"/>
          <w:lang w:val="fr-FR"/>
        </w:rPr>
        <w:t>Ouverture de la session</w:t>
      </w:r>
      <w:r w:rsidR="00127413" w:rsidRPr="005E33C3">
        <w:rPr>
          <w:rFonts w:eastAsia="SimSun"/>
          <w:lang w:val="fr-FR"/>
        </w:rPr>
        <w:tab/>
      </w:r>
      <w:r w:rsidR="00127413" w:rsidRPr="005E33C3">
        <w:rPr>
          <w:rFonts w:eastAsia="SimSun"/>
          <w:lang w:val="fr-FR"/>
        </w:rPr>
        <w:tab/>
        <w:t>9</w:t>
      </w:r>
      <w:r w:rsidR="00127413" w:rsidRPr="005E33C3">
        <w:rPr>
          <w:rFonts w:eastAsia="SimSun"/>
          <w:lang w:val="fr-FR"/>
        </w:rPr>
        <w:tab/>
      </w:r>
      <w:r w:rsidR="00AB6CE6" w:rsidRPr="005E33C3">
        <w:rPr>
          <w:rFonts w:eastAsia="SimSun"/>
          <w:lang w:val="fr-FR"/>
        </w:rPr>
        <w:t>4</w:t>
      </w:r>
    </w:p>
    <w:p w14:paraId="67EFF276" w14:textId="2F069A27" w:rsidR="00A27D7D" w:rsidRPr="005E33C3" w:rsidRDefault="00A27D7D"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III.</w:t>
      </w:r>
      <w:r w:rsidRPr="005E33C3">
        <w:rPr>
          <w:rFonts w:eastAsia="SimSun"/>
          <w:lang w:val="fr-FR"/>
        </w:rPr>
        <w:tab/>
      </w:r>
      <w:r w:rsidR="002A0530" w:rsidRPr="005E33C3">
        <w:rPr>
          <w:rFonts w:eastAsia="SimSun"/>
          <w:lang w:val="fr-FR"/>
        </w:rPr>
        <w:t>Adoption de l’ordre du jour (point 1 de l’ordre du jour)</w:t>
      </w:r>
      <w:r w:rsidR="002A0530" w:rsidRPr="005E33C3">
        <w:rPr>
          <w:rFonts w:eastAsia="SimSun"/>
          <w:lang w:val="fr-FR"/>
        </w:rPr>
        <w:tab/>
      </w:r>
      <w:r w:rsidR="002A0530" w:rsidRPr="005E33C3">
        <w:rPr>
          <w:rFonts w:eastAsia="SimSun"/>
          <w:lang w:val="fr-FR"/>
        </w:rPr>
        <w:tab/>
        <w:t>10</w:t>
      </w:r>
      <w:r w:rsidR="002A0530" w:rsidRPr="005E33C3">
        <w:rPr>
          <w:rFonts w:eastAsia="SimSun"/>
          <w:lang w:val="fr-FR"/>
        </w:rPr>
        <w:tab/>
      </w:r>
      <w:r w:rsidR="00AB6CE6" w:rsidRPr="005E33C3">
        <w:rPr>
          <w:rFonts w:eastAsia="SimSun"/>
          <w:lang w:val="fr-FR"/>
        </w:rPr>
        <w:t>4</w:t>
      </w:r>
    </w:p>
    <w:p w14:paraId="1C6D4A0B" w14:textId="1AFF3097" w:rsidR="002A0530" w:rsidRPr="005E33C3" w:rsidRDefault="002A0530"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IV.</w:t>
      </w:r>
      <w:r w:rsidRPr="005E33C3">
        <w:rPr>
          <w:rFonts w:eastAsia="SimSun"/>
          <w:lang w:val="fr-FR"/>
        </w:rPr>
        <w:tab/>
      </w:r>
      <w:r w:rsidR="00CE7424" w:rsidRPr="005E33C3">
        <w:rPr>
          <w:rFonts w:eastAsia="SimSun"/>
          <w:lang w:val="fr-FR"/>
        </w:rPr>
        <w:t xml:space="preserve">Quatre-vingt-troisième session du Comité des transports intérieurs </w:t>
      </w:r>
      <w:r w:rsidR="00CE7424" w:rsidRPr="005E33C3">
        <w:rPr>
          <w:rFonts w:eastAsia="SimSun"/>
          <w:lang w:val="fr-FR"/>
        </w:rPr>
        <w:br/>
      </w:r>
      <w:r w:rsidR="00CE7424" w:rsidRPr="005E33C3">
        <w:rPr>
          <w:rFonts w:eastAsia="SimSun"/>
          <w:lang w:val="fr-FR"/>
        </w:rPr>
        <w:tab/>
      </w:r>
      <w:r w:rsidR="00CE7424" w:rsidRPr="005E33C3">
        <w:rPr>
          <w:rFonts w:eastAsia="SimSun"/>
          <w:lang w:val="fr-FR"/>
        </w:rPr>
        <w:tab/>
        <w:t>(point 2 de l’ordre du jour)</w:t>
      </w:r>
      <w:r w:rsidR="00CE7424" w:rsidRPr="005E33C3">
        <w:rPr>
          <w:rFonts w:eastAsia="SimSun"/>
          <w:lang w:val="fr-FR"/>
        </w:rPr>
        <w:tab/>
      </w:r>
      <w:r w:rsidR="00CE7424" w:rsidRPr="005E33C3">
        <w:rPr>
          <w:rFonts w:eastAsia="SimSun"/>
          <w:lang w:val="fr-FR"/>
        </w:rPr>
        <w:tab/>
        <w:t>11-13</w:t>
      </w:r>
      <w:r w:rsidR="00CE7424" w:rsidRPr="005E33C3">
        <w:rPr>
          <w:rFonts w:eastAsia="SimSun"/>
          <w:lang w:val="fr-FR"/>
        </w:rPr>
        <w:tab/>
      </w:r>
      <w:r w:rsidR="00AB6CE6" w:rsidRPr="005E33C3">
        <w:rPr>
          <w:rFonts w:eastAsia="SimSun"/>
          <w:lang w:val="fr-FR"/>
        </w:rPr>
        <w:t>4</w:t>
      </w:r>
    </w:p>
    <w:p w14:paraId="0BF857A9" w14:textId="79146C5C" w:rsidR="00CE7424" w:rsidRPr="005E33C3" w:rsidRDefault="00CE7424"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V.</w:t>
      </w:r>
      <w:r w:rsidRPr="005E33C3">
        <w:rPr>
          <w:rFonts w:eastAsia="SimSun"/>
          <w:lang w:val="fr-FR"/>
        </w:rPr>
        <w:tab/>
      </w:r>
      <w:r w:rsidR="004E5080" w:rsidRPr="005E33C3">
        <w:rPr>
          <w:rFonts w:eastAsia="SimSun"/>
          <w:lang w:val="fr-FR"/>
        </w:rPr>
        <w:t xml:space="preserve">État de l’Accord relatif au transport international des marchandises </w:t>
      </w:r>
      <w:r w:rsidR="004E5080" w:rsidRPr="005E33C3">
        <w:rPr>
          <w:rFonts w:eastAsia="SimSun"/>
          <w:lang w:val="fr-FR"/>
        </w:rPr>
        <w:br/>
      </w:r>
      <w:r w:rsidR="004E5080" w:rsidRPr="005E33C3">
        <w:rPr>
          <w:rFonts w:eastAsia="SimSun"/>
          <w:lang w:val="fr-FR"/>
        </w:rPr>
        <w:tab/>
      </w:r>
      <w:r w:rsidR="004E5080" w:rsidRPr="005E33C3">
        <w:rPr>
          <w:rFonts w:eastAsia="SimSun"/>
          <w:lang w:val="fr-FR"/>
        </w:rPr>
        <w:tab/>
        <w:t>dangereuses par route (ADR) et questions connexes (point 3 de l’ordre du jour)</w:t>
      </w:r>
      <w:r w:rsidR="004E5080" w:rsidRPr="005E33C3">
        <w:rPr>
          <w:rFonts w:eastAsia="SimSun"/>
          <w:lang w:val="fr-FR"/>
        </w:rPr>
        <w:tab/>
      </w:r>
      <w:r w:rsidR="004E5080" w:rsidRPr="005E33C3">
        <w:rPr>
          <w:rFonts w:eastAsia="SimSun"/>
          <w:lang w:val="fr-FR"/>
        </w:rPr>
        <w:tab/>
        <w:t>14</w:t>
      </w:r>
      <w:r w:rsidR="004E5080" w:rsidRPr="005E33C3">
        <w:rPr>
          <w:rFonts w:eastAsia="SimSun"/>
          <w:lang w:val="fr-FR"/>
        </w:rPr>
        <w:tab/>
      </w:r>
      <w:r w:rsidR="00AB6CE6" w:rsidRPr="005E33C3">
        <w:rPr>
          <w:rFonts w:eastAsia="SimSun"/>
          <w:lang w:val="fr-FR"/>
        </w:rPr>
        <w:t>4</w:t>
      </w:r>
    </w:p>
    <w:p w14:paraId="33D3CD41" w14:textId="60AC90FD" w:rsidR="00E75006" w:rsidRPr="005E33C3" w:rsidRDefault="00E75006"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VI.</w:t>
      </w:r>
      <w:r w:rsidRPr="005E33C3">
        <w:rPr>
          <w:rFonts w:eastAsia="SimSun"/>
          <w:lang w:val="fr-FR"/>
        </w:rPr>
        <w:tab/>
      </w:r>
      <w:r w:rsidR="00941B32" w:rsidRPr="005E33C3">
        <w:rPr>
          <w:rFonts w:eastAsia="SimSun"/>
          <w:lang w:val="fr-FR"/>
        </w:rPr>
        <w:t>Travaux de la Réunion commune RID/ADR/ADN (point 4 de l’ordre du jour)</w:t>
      </w:r>
      <w:r w:rsidR="00941B32" w:rsidRPr="005E33C3">
        <w:rPr>
          <w:rFonts w:eastAsia="SimSun"/>
          <w:lang w:val="fr-FR"/>
        </w:rPr>
        <w:tab/>
      </w:r>
      <w:r w:rsidR="00941B32" w:rsidRPr="005E33C3">
        <w:rPr>
          <w:rFonts w:eastAsia="SimSun"/>
          <w:lang w:val="fr-FR"/>
        </w:rPr>
        <w:tab/>
        <w:t>15-18</w:t>
      </w:r>
      <w:r w:rsidR="00941B32" w:rsidRPr="005E33C3">
        <w:rPr>
          <w:rFonts w:eastAsia="SimSun"/>
          <w:lang w:val="fr-FR"/>
        </w:rPr>
        <w:tab/>
      </w:r>
      <w:r w:rsidR="00AB6CE6" w:rsidRPr="005E33C3">
        <w:rPr>
          <w:rFonts w:eastAsia="SimSun"/>
          <w:lang w:val="fr-FR"/>
        </w:rPr>
        <w:t>5</w:t>
      </w:r>
    </w:p>
    <w:p w14:paraId="04AC7C0C" w14:textId="763281BB" w:rsidR="00941B32" w:rsidRPr="005E33C3" w:rsidRDefault="00941B32"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VII.</w:t>
      </w:r>
      <w:r w:rsidRPr="005E33C3">
        <w:rPr>
          <w:rFonts w:eastAsia="SimSun"/>
          <w:lang w:val="fr-FR"/>
        </w:rPr>
        <w:tab/>
      </w:r>
      <w:r w:rsidR="00C060AA" w:rsidRPr="005E33C3">
        <w:rPr>
          <w:rFonts w:eastAsia="SimSun"/>
          <w:lang w:val="fr-FR"/>
        </w:rPr>
        <w:t xml:space="preserve">Propositions d’amendements aux annexes A et B de l’ADR </w:t>
      </w:r>
      <w:r w:rsidR="00C060AA" w:rsidRPr="005E33C3">
        <w:rPr>
          <w:rFonts w:eastAsia="SimSun"/>
          <w:lang w:val="fr-FR"/>
        </w:rPr>
        <w:br/>
      </w:r>
      <w:r w:rsidR="00C060AA" w:rsidRPr="005E33C3">
        <w:rPr>
          <w:rFonts w:eastAsia="SimSun"/>
          <w:lang w:val="fr-FR"/>
        </w:rPr>
        <w:tab/>
      </w:r>
      <w:r w:rsidR="00C060AA" w:rsidRPr="005E33C3">
        <w:rPr>
          <w:rFonts w:eastAsia="SimSun"/>
          <w:lang w:val="fr-FR"/>
        </w:rPr>
        <w:tab/>
        <w:t>(point 5 de l’ordre du jour)</w:t>
      </w:r>
      <w:r w:rsidR="00C060AA" w:rsidRPr="005E33C3">
        <w:rPr>
          <w:rFonts w:eastAsia="SimSun"/>
          <w:lang w:val="fr-FR"/>
        </w:rPr>
        <w:tab/>
      </w:r>
      <w:r w:rsidR="00C060AA" w:rsidRPr="005E33C3">
        <w:rPr>
          <w:rFonts w:eastAsia="SimSun"/>
          <w:lang w:val="fr-FR"/>
        </w:rPr>
        <w:tab/>
      </w:r>
      <w:r w:rsidR="00D751D1" w:rsidRPr="005E33C3">
        <w:rPr>
          <w:rFonts w:eastAsia="SimSun"/>
          <w:lang w:val="fr-FR"/>
        </w:rPr>
        <w:t>19-43</w:t>
      </w:r>
      <w:r w:rsidR="00D751D1" w:rsidRPr="005E33C3">
        <w:rPr>
          <w:rFonts w:eastAsia="SimSun"/>
          <w:lang w:val="fr-FR"/>
        </w:rPr>
        <w:tab/>
      </w:r>
      <w:r w:rsidR="00AB6CE6" w:rsidRPr="005E33C3">
        <w:rPr>
          <w:rFonts w:eastAsia="SimSun"/>
          <w:lang w:val="fr-FR"/>
        </w:rPr>
        <w:t>5</w:t>
      </w:r>
    </w:p>
    <w:p w14:paraId="7A5C4C62" w14:textId="5AE1BC81" w:rsidR="00D751D1" w:rsidRPr="005E33C3" w:rsidRDefault="00D751D1"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00BB6CAD" w:rsidRPr="005E33C3">
        <w:rPr>
          <w:rFonts w:eastAsia="SimSun"/>
          <w:lang w:val="fr-FR"/>
        </w:rPr>
        <w:tab/>
        <w:t>A.</w:t>
      </w:r>
      <w:r w:rsidR="00BB6CAD" w:rsidRPr="005E33C3">
        <w:rPr>
          <w:rFonts w:eastAsia="SimSun"/>
          <w:lang w:val="fr-FR"/>
        </w:rPr>
        <w:tab/>
        <w:t>Construction et agrément des véhicules</w:t>
      </w:r>
      <w:r w:rsidR="00BB6CAD" w:rsidRPr="005E33C3">
        <w:rPr>
          <w:rFonts w:eastAsia="SimSun"/>
          <w:lang w:val="fr-FR"/>
        </w:rPr>
        <w:tab/>
      </w:r>
      <w:r w:rsidR="00BB6CAD" w:rsidRPr="005E33C3">
        <w:rPr>
          <w:rFonts w:eastAsia="SimSun"/>
          <w:lang w:val="fr-FR"/>
        </w:rPr>
        <w:tab/>
        <w:t>19-33</w:t>
      </w:r>
      <w:r w:rsidR="00BB6CAD" w:rsidRPr="005E33C3">
        <w:rPr>
          <w:rFonts w:eastAsia="SimSun"/>
          <w:lang w:val="fr-FR"/>
        </w:rPr>
        <w:tab/>
      </w:r>
      <w:r w:rsidR="00AB6CE6" w:rsidRPr="005E33C3">
        <w:rPr>
          <w:rFonts w:eastAsia="SimSun"/>
          <w:lang w:val="fr-FR"/>
        </w:rPr>
        <w:t>5</w:t>
      </w:r>
    </w:p>
    <w:p w14:paraId="51D64606" w14:textId="2A9D974D" w:rsidR="008D5E67" w:rsidRPr="005E33C3" w:rsidRDefault="008D5E67"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1.</w:t>
      </w:r>
      <w:r w:rsidRPr="005E33C3">
        <w:rPr>
          <w:rFonts w:eastAsia="SimSun"/>
          <w:lang w:val="fr-FR"/>
        </w:rPr>
        <w:tab/>
      </w:r>
      <w:r w:rsidR="00DC0FBC" w:rsidRPr="005E33C3">
        <w:rPr>
          <w:rFonts w:eastAsia="SimSun"/>
          <w:lang w:val="fr-FR"/>
        </w:rPr>
        <w:t>Protection arrière des véhicules</w:t>
      </w:r>
      <w:r w:rsidR="00DC0FBC" w:rsidRPr="005E33C3">
        <w:rPr>
          <w:rFonts w:eastAsia="SimSun"/>
          <w:lang w:val="fr-FR"/>
        </w:rPr>
        <w:tab/>
      </w:r>
      <w:r w:rsidR="00DC0FBC" w:rsidRPr="005E33C3">
        <w:rPr>
          <w:rFonts w:eastAsia="SimSun"/>
          <w:lang w:val="fr-FR"/>
        </w:rPr>
        <w:tab/>
        <w:t>19-22</w:t>
      </w:r>
      <w:r w:rsidR="00DC0FBC" w:rsidRPr="005E33C3">
        <w:rPr>
          <w:rFonts w:eastAsia="SimSun"/>
          <w:lang w:val="fr-FR"/>
        </w:rPr>
        <w:tab/>
      </w:r>
      <w:r w:rsidR="00AB6CE6" w:rsidRPr="005E33C3">
        <w:rPr>
          <w:rFonts w:eastAsia="SimSun"/>
          <w:lang w:val="fr-FR"/>
        </w:rPr>
        <w:t>5</w:t>
      </w:r>
    </w:p>
    <w:p w14:paraId="72858075" w14:textId="62B994AE" w:rsidR="00DC0FBC" w:rsidRPr="005E33C3" w:rsidRDefault="00DC0FBC"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2.</w:t>
      </w:r>
      <w:r w:rsidRPr="005E33C3">
        <w:rPr>
          <w:rFonts w:eastAsia="SimSun"/>
          <w:lang w:val="fr-FR"/>
        </w:rPr>
        <w:tab/>
      </w:r>
      <w:r w:rsidR="001C3D58" w:rsidRPr="005E33C3">
        <w:rPr>
          <w:rFonts w:eastAsia="SimSun"/>
          <w:lang w:val="fr-FR"/>
        </w:rPr>
        <w:t>Système de surveillance de la pression des pneumatiques</w:t>
      </w:r>
      <w:r w:rsidR="001C3D58" w:rsidRPr="005E33C3">
        <w:rPr>
          <w:rFonts w:eastAsia="SimSun"/>
          <w:lang w:val="fr-FR"/>
        </w:rPr>
        <w:tab/>
      </w:r>
      <w:r w:rsidR="001C3D58" w:rsidRPr="005E33C3">
        <w:rPr>
          <w:rFonts w:eastAsia="SimSun"/>
          <w:lang w:val="fr-FR"/>
        </w:rPr>
        <w:tab/>
        <w:t>23-25</w:t>
      </w:r>
      <w:r w:rsidR="001C3D58" w:rsidRPr="005E33C3">
        <w:rPr>
          <w:rFonts w:eastAsia="SimSun"/>
          <w:lang w:val="fr-FR"/>
        </w:rPr>
        <w:tab/>
      </w:r>
      <w:r w:rsidR="00AB6CE6" w:rsidRPr="005E33C3">
        <w:rPr>
          <w:rFonts w:eastAsia="SimSun"/>
          <w:lang w:val="fr-FR"/>
        </w:rPr>
        <w:t>6</w:t>
      </w:r>
    </w:p>
    <w:p w14:paraId="389573C8" w14:textId="673B0BF9" w:rsidR="001C3D58" w:rsidRPr="005E33C3" w:rsidRDefault="001C3D58"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3.</w:t>
      </w:r>
      <w:r w:rsidRPr="005E33C3">
        <w:rPr>
          <w:rFonts w:eastAsia="SimSun"/>
          <w:lang w:val="fr-FR"/>
        </w:rPr>
        <w:tab/>
      </w:r>
      <w:r w:rsidR="00BF5A30" w:rsidRPr="005E33C3">
        <w:rPr>
          <w:rFonts w:eastAsia="SimSun"/>
          <w:lang w:val="fr-FR"/>
        </w:rPr>
        <w:t xml:space="preserve">Systèmes d'extinction d'incendie du compartiment moteur et </w:t>
      </w:r>
      <w:r w:rsidR="00BF5A30" w:rsidRPr="005E33C3">
        <w:rPr>
          <w:rFonts w:eastAsia="SimSun"/>
          <w:lang w:val="fr-FR"/>
        </w:rPr>
        <w:br/>
      </w:r>
      <w:r w:rsidR="00BF5A30" w:rsidRPr="005E33C3">
        <w:rPr>
          <w:rFonts w:eastAsia="SimSun"/>
          <w:lang w:val="fr-FR"/>
        </w:rPr>
        <w:tab/>
      </w:r>
      <w:r w:rsidR="00BF5A30" w:rsidRPr="005E33C3">
        <w:rPr>
          <w:rFonts w:eastAsia="SimSun"/>
          <w:lang w:val="fr-FR"/>
        </w:rPr>
        <w:tab/>
      </w:r>
      <w:r w:rsidR="00BF5A30" w:rsidRPr="005E33C3">
        <w:rPr>
          <w:rFonts w:eastAsia="SimSun"/>
          <w:lang w:val="fr-FR"/>
        </w:rPr>
        <w:tab/>
      </w:r>
      <w:r w:rsidR="00BF5A30" w:rsidRPr="005E33C3">
        <w:rPr>
          <w:rFonts w:eastAsia="SimSun"/>
          <w:lang w:val="fr-FR"/>
        </w:rPr>
        <w:tab/>
        <w:t xml:space="preserve">systèmes de protection contre les feux de pneumatiques pour </w:t>
      </w:r>
      <w:r w:rsidR="00BF5A30" w:rsidRPr="005E33C3">
        <w:rPr>
          <w:rFonts w:eastAsia="SimSun"/>
          <w:lang w:val="fr-FR"/>
        </w:rPr>
        <w:br/>
      </w:r>
      <w:r w:rsidR="00BF5A30" w:rsidRPr="005E33C3">
        <w:rPr>
          <w:rFonts w:eastAsia="SimSun"/>
          <w:lang w:val="fr-FR"/>
        </w:rPr>
        <w:tab/>
      </w:r>
      <w:r w:rsidR="00BF5A30" w:rsidRPr="005E33C3">
        <w:rPr>
          <w:rFonts w:eastAsia="SimSun"/>
          <w:lang w:val="fr-FR"/>
        </w:rPr>
        <w:tab/>
      </w:r>
      <w:r w:rsidR="00BF5A30" w:rsidRPr="005E33C3">
        <w:rPr>
          <w:rFonts w:eastAsia="SimSun"/>
          <w:lang w:val="fr-FR"/>
        </w:rPr>
        <w:tab/>
      </w:r>
      <w:r w:rsidR="00BF5A30" w:rsidRPr="005E33C3">
        <w:rPr>
          <w:rFonts w:eastAsia="SimSun"/>
          <w:lang w:val="fr-FR"/>
        </w:rPr>
        <w:tab/>
        <w:t>réduire la probabilité d'un BLEVE</w:t>
      </w:r>
      <w:r w:rsidR="00BF5A30" w:rsidRPr="005E33C3">
        <w:rPr>
          <w:rFonts w:eastAsia="SimSun"/>
          <w:lang w:val="fr-FR"/>
        </w:rPr>
        <w:tab/>
      </w:r>
      <w:r w:rsidR="00BF5A30" w:rsidRPr="005E33C3">
        <w:rPr>
          <w:rFonts w:eastAsia="SimSun"/>
          <w:lang w:val="fr-FR"/>
        </w:rPr>
        <w:tab/>
        <w:t>26-29</w:t>
      </w:r>
      <w:r w:rsidR="00BF5A30" w:rsidRPr="005E33C3">
        <w:rPr>
          <w:rFonts w:eastAsia="SimSun"/>
          <w:lang w:val="fr-FR"/>
        </w:rPr>
        <w:tab/>
      </w:r>
      <w:r w:rsidR="00AB6CE6" w:rsidRPr="005E33C3">
        <w:rPr>
          <w:rFonts w:eastAsia="SimSun"/>
          <w:lang w:val="fr-FR"/>
        </w:rPr>
        <w:t>6</w:t>
      </w:r>
    </w:p>
    <w:p w14:paraId="5BB204A3" w14:textId="34A766F6" w:rsidR="00BF5A30" w:rsidRPr="005E33C3" w:rsidRDefault="00BF5A30"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4.</w:t>
      </w:r>
      <w:r w:rsidRPr="005E33C3">
        <w:rPr>
          <w:rFonts w:eastAsia="SimSun"/>
          <w:lang w:val="fr-FR"/>
        </w:rPr>
        <w:tab/>
      </w:r>
      <w:r w:rsidR="00150DA1" w:rsidRPr="005E33C3">
        <w:rPr>
          <w:rFonts w:eastAsia="SimSun"/>
          <w:lang w:val="fr-FR"/>
        </w:rPr>
        <w:t>Stabilité des véhicules-citernes</w:t>
      </w:r>
      <w:r w:rsidR="00150DA1" w:rsidRPr="005E33C3">
        <w:rPr>
          <w:rFonts w:eastAsia="SimSun"/>
          <w:lang w:val="fr-FR"/>
        </w:rPr>
        <w:tab/>
      </w:r>
      <w:r w:rsidR="00150DA1" w:rsidRPr="005E33C3">
        <w:rPr>
          <w:rFonts w:eastAsia="SimSun"/>
          <w:lang w:val="fr-FR"/>
        </w:rPr>
        <w:tab/>
        <w:t>30</w:t>
      </w:r>
      <w:r w:rsidR="00150DA1" w:rsidRPr="005E33C3">
        <w:rPr>
          <w:rFonts w:eastAsia="SimSun"/>
          <w:lang w:val="fr-FR"/>
        </w:rPr>
        <w:tab/>
      </w:r>
      <w:r w:rsidR="00AB6CE6" w:rsidRPr="005E33C3">
        <w:rPr>
          <w:rFonts w:eastAsia="SimSun"/>
          <w:lang w:val="fr-FR"/>
        </w:rPr>
        <w:t>6</w:t>
      </w:r>
    </w:p>
    <w:p w14:paraId="5C184AF6" w14:textId="46216E75" w:rsidR="00150DA1" w:rsidRPr="005E33C3" w:rsidRDefault="00150DA1"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5.</w:t>
      </w:r>
      <w:r w:rsidRPr="005E33C3">
        <w:rPr>
          <w:rFonts w:eastAsia="SimSun"/>
          <w:lang w:val="fr-FR"/>
        </w:rPr>
        <w:tab/>
      </w:r>
      <w:r w:rsidR="005D13F0" w:rsidRPr="005E33C3">
        <w:rPr>
          <w:rFonts w:eastAsia="SimSun"/>
          <w:lang w:val="fr-FR"/>
        </w:rPr>
        <w:t xml:space="preserve">Utilisation des véhicules électriques à batterie et des véhicules </w:t>
      </w:r>
      <w:r w:rsidR="005D13F0" w:rsidRPr="005E33C3">
        <w:rPr>
          <w:rFonts w:eastAsia="SimSun"/>
          <w:lang w:val="fr-FR"/>
        </w:rPr>
        <w:br/>
      </w:r>
      <w:r w:rsidR="005D13F0" w:rsidRPr="005E33C3">
        <w:rPr>
          <w:rFonts w:eastAsia="SimSun"/>
          <w:lang w:val="fr-FR"/>
        </w:rPr>
        <w:tab/>
      </w:r>
      <w:r w:rsidR="005D13F0" w:rsidRPr="005E33C3">
        <w:rPr>
          <w:rFonts w:eastAsia="SimSun"/>
          <w:lang w:val="fr-FR"/>
        </w:rPr>
        <w:tab/>
      </w:r>
      <w:r w:rsidR="005D13F0" w:rsidRPr="005E33C3">
        <w:rPr>
          <w:rFonts w:eastAsia="SimSun"/>
          <w:lang w:val="fr-FR"/>
        </w:rPr>
        <w:tab/>
      </w:r>
      <w:r w:rsidR="005D13F0" w:rsidRPr="005E33C3">
        <w:rPr>
          <w:rFonts w:eastAsia="SimSun"/>
          <w:lang w:val="fr-FR"/>
        </w:rPr>
        <w:tab/>
        <w:t>à pile à hydrogène pour le transport de marchandises dangereuses</w:t>
      </w:r>
      <w:r w:rsidR="005D13F0" w:rsidRPr="005E33C3">
        <w:rPr>
          <w:rFonts w:eastAsia="SimSun"/>
          <w:lang w:val="fr-FR"/>
        </w:rPr>
        <w:tab/>
      </w:r>
      <w:r w:rsidR="005D13F0" w:rsidRPr="005E33C3">
        <w:rPr>
          <w:rFonts w:eastAsia="SimSun"/>
          <w:lang w:val="fr-FR"/>
        </w:rPr>
        <w:tab/>
        <w:t>31-33</w:t>
      </w:r>
      <w:r w:rsidR="005D13F0" w:rsidRPr="005E33C3">
        <w:rPr>
          <w:rFonts w:eastAsia="SimSun"/>
          <w:lang w:val="fr-FR"/>
        </w:rPr>
        <w:tab/>
      </w:r>
      <w:r w:rsidR="00AB6CE6" w:rsidRPr="005E33C3">
        <w:rPr>
          <w:rFonts w:eastAsia="SimSun"/>
          <w:lang w:val="fr-FR"/>
        </w:rPr>
        <w:t>6</w:t>
      </w:r>
    </w:p>
    <w:p w14:paraId="4A6A2D26" w14:textId="07372F05" w:rsidR="005D13F0" w:rsidRPr="005E33C3" w:rsidRDefault="005D13F0"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lastRenderedPageBreak/>
        <w:tab/>
      </w:r>
      <w:r w:rsidRPr="005E33C3">
        <w:rPr>
          <w:rFonts w:eastAsia="SimSun"/>
          <w:lang w:val="fr-FR"/>
        </w:rPr>
        <w:tab/>
        <w:t>B.</w:t>
      </w:r>
      <w:r w:rsidRPr="005E33C3">
        <w:rPr>
          <w:rFonts w:eastAsia="SimSun"/>
          <w:lang w:val="fr-FR"/>
        </w:rPr>
        <w:tab/>
      </w:r>
      <w:r w:rsidR="00A05847" w:rsidRPr="005E33C3">
        <w:rPr>
          <w:rFonts w:eastAsia="SimSun"/>
          <w:lang w:val="fr-FR"/>
        </w:rPr>
        <w:t>Propositions diverses</w:t>
      </w:r>
      <w:r w:rsidRPr="005E33C3">
        <w:rPr>
          <w:rFonts w:eastAsia="SimSun"/>
          <w:lang w:val="fr-FR"/>
        </w:rPr>
        <w:tab/>
      </w:r>
      <w:r w:rsidRPr="005E33C3">
        <w:rPr>
          <w:rFonts w:eastAsia="SimSun"/>
          <w:lang w:val="fr-FR"/>
        </w:rPr>
        <w:tab/>
      </w:r>
      <w:r w:rsidR="00A05847" w:rsidRPr="005E33C3">
        <w:rPr>
          <w:rFonts w:eastAsia="SimSun"/>
          <w:lang w:val="fr-FR"/>
        </w:rPr>
        <w:t>34</w:t>
      </w:r>
      <w:r w:rsidRPr="005E33C3">
        <w:rPr>
          <w:rFonts w:eastAsia="SimSun"/>
          <w:lang w:val="fr-FR"/>
        </w:rPr>
        <w:t>-</w:t>
      </w:r>
      <w:r w:rsidR="00A05847" w:rsidRPr="005E33C3">
        <w:rPr>
          <w:rFonts w:eastAsia="SimSun"/>
          <w:lang w:val="fr-FR"/>
        </w:rPr>
        <w:t>4</w:t>
      </w:r>
      <w:r w:rsidRPr="005E33C3">
        <w:rPr>
          <w:rFonts w:eastAsia="SimSun"/>
          <w:lang w:val="fr-FR"/>
        </w:rPr>
        <w:t>3</w:t>
      </w:r>
      <w:r w:rsidRPr="005E33C3">
        <w:rPr>
          <w:rFonts w:eastAsia="SimSun"/>
          <w:lang w:val="fr-FR"/>
        </w:rPr>
        <w:tab/>
      </w:r>
      <w:r w:rsidR="00C06F9B" w:rsidRPr="005E33C3">
        <w:rPr>
          <w:rFonts w:eastAsia="SimSun"/>
          <w:lang w:val="fr-FR"/>
        </w:rPr>
        <w:t>7</w:t>
      </w:r>
    </w:p>
    <w:p w14:paraId="1455BD8B" w14:textId="1CCFA4EB" w:rsidR="00A05847" w:rsidRPr="005E33C3" w:rsidRDefault="00A05847"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1.</w:t>
      </w:r>
      <w:r w:rsidRPr="005E33C3">
        <w:rPr>
          <w:rFonts w:eastAsia="SimSun"/>
          <w:lang w:val="fr-FR"/>
        </w:rPr>
        <w:tab/>
      </w:r>
      <w:r w:rsidR="009A1915" w:rsidRPr="005E33C3">
        <w:rPr>
          <w:rFonts w:eastAsia="SimSun"/>
          <w:lang w:val="fr-FR"/>
        </w:rPr>
        <w:t xml:space="preserve">Ajout d’une référence aux </w:t>
      </w:r>
      <w:proofErr w:type="spellStart"/>
      <w:r w:rsidR="009A1915" w:rsidRPr="005E33C3">
        <w:rPr>
          <w:rFonts w:eastAsia="SimSun"/>
          <w:lang w:val="fr-FR"/>
        </w:rPr>
        <w:t>MEMUs</w:t>
      </w:r>
      <w:proofErr w:type="spellEnd"/>
      <w:r w:rsidR="009A1915" w:rsidRPr="005E33C3">
        <w:rPr>
          <w:rFonts w:eastAsia="SimSun"/>
          <w:lang w:val="fr-FR"/>
        </w:rPr>
        <w:t xml:space="preserve"> dans le Modèle de rapport </w:t>
      </w:r>
      <w:r w:rsidR="009A1915" w:rsidRPr="005E33C3">
        <w:rPr>
          <w:rFonts w:eastAsia="SimSun"/>
          <w:lang w:val="fr-FR"/>
        </w:rPr>
        <w:br/>
      </w:r>
      <w:r w:rsidR="009A1915" w:rsidRPr="005E33C3">
        <w:rPr>
          <w:rFonts w:eastAsia="SimSun"/>
          <w:lang w:val="fr-FR"/>
        </w:rPr>
        <w:tab/>
      </w:r>
      <w:r w:rsidR="009A1915" w:rsidRPr="005E33C3">
        <w:rPr>
          <w:rFonts w:eastAsia="SimSun"/>
          <w:lang w:val="fr-FR"/>
        </w:rPr>
        <w:tab/>
      </w:r>
      <w:r w:rsidR="009A1915" w:rsidRPr="005E33C3">
        <w:rPr>
          <w:rFonts w:eastAsia="SimSun"/>
          <w:lang w:val="fr-FR"/>
        </w:rPr>
        <w:tab/>
      </w:r>
      <w:r w:rsidR="009A1915" w:rsidRPr="005E33C3">
        <w:rPr>
          <w:rFonts w:eastAsia="SimSun"/>
          <w:lang w:val="fr-FR"/>
        </w:rPr>
        <w:tab/>
        <w:t xml:space="preserve">sur des événements survenus pendant le transport de marchandises </w:t>
      </w:r>
      <w:r w:rsidR="009A1915" w:rsidRPr="005E33C3">
        <w:rPr>
          <w:rFonts w:eastAsia="SimSun"/>
          <w:lang w:val="fr-FR"/>
        </w:rPr>
        <w:br/>
      </w:r>
      <w:r w:rsidR="009A1915" w:rsidRPr="005E33C3">
        <w:rPr>
          <w:rFonts w:eastAsia="SimSun"/>
          <w:lang w:val="fr-FR"/>
        </w:rPr>
        <w:tab/>
      </w:r>
      <w:r w:rsidR="009A1915" w:rsidRPr="005E33C3">
        <w:rPr>
          <w:rFonts w:eastAsia="SimSun"/>
          <w:lang w:val="fr-FR"/>
        </w:rPr>
        <w:tab/>
      </w:r>
      <w:r w:rsidR="009A1915" w:rsidRPr="005E33C3">
        <w:rPr>
          <w:rFonts w:eastAsia="SimSun"/>
          <w:lang w:val="fr-FR"/>
        </w:rPr>
        <w:tab/>
      </w:r>
      <w:r w:rsidR="009A1915" w:rsidRPr="005E33C3">
        <w:rPr>
          <w:rFonts w:eastAsia="SimSun"/>
          <w:lang w:val="fr-FR"/>
        </w:rPr>
        <w:tab/>
        <w:t>dangereuses</w:t>
      </w:r>
      <w:r w:rsidR="009A1915" w:rsidRPr="005E33C3">
        <w:rPr>
          <w:rFonts w:eastAsia="SimSun"/>
          <w:lang w:val="fr-FR"/>
        </w:rPr>
        <w:tab/>
      </w:r>
      <w:r w:rsidR="009A1915" w:rsidRPr="005E33C3">
        <w:rPr>
          <w:rFonts w:eastAsia="SimSun"/>
          <w:lang w:val="fr-FR"/>
        </w:rPr>
        <w:tab/>
        <w:t>34</w:t>
      </w:r>
      <w:r w:rsidR="009A1915" w:rsidRPr="005E33C3">
        <w:rPr>
          <w:rFonts w:eastAsia="SimSun"/>
          <w:lang w:val="fr-FR"/>
        </w:rPr>
        <w:tab/>
      </w:r>
      <w:r w:rsidR="00C06F9B" w:rsidRPr="005E33C3">
        <w:rPr>
          <w:rFonts w:eastAsia="SimSun"/>
          <w:lang w:val="fr-FR"/>
        </w:rPr>
        <w:t>7</w:t>
      </w:r>
    </w:p>
    <w:p w14:paraId="4D2E6FAA" w14:textId="67DA6DFE" w:rsidR="009A1915" w:rsidRPr="005E33C3" w:rsidRDefault="009A1915"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2.</w:t>
      </w:r>
      <w:r w:rsidRPr="005E33C3">
        <w:rPr>
          <w:rFonts w:eastAsia="SimSun"/>
          <w:lang w:val="fr-FR"/>
        </w:rPr>
        <w:tab/>
      </w:r>
      <w:r w:rsidR="00525FEE" w:rsidRPr="005E33C3">
        <w:rPr>
          <w:rFonts w:eastAsia="SimSun"/>
          <w:lang w:val="fr-FR"/>
        </w:rPr>
        <w:t>Prescriptions relatives à la surveillance pour les détonateurs</w:t>
      </w:r>
      <w:r w:rsidR="00525FEE" w:rsidRPr="005E33C3">
        <w:rPr>
          <w:rFonts w:eastAsia="SimSun"/>
          <w:lang w:val="fr-FR"/>
        </w:rPr>
        <w:tab/>
      </w:r>
      <w:r w:rsidR="00525FEE" w:rsidRPr="005E33C3">
        <w:rPr>
          <w:rFonts w:eastAsia="SimSun"/>
          <w:lang w:val="fr-FR"/>
        </w:rPr>
        <w:tab/>
        <w:t>35</w:t>
      </w:r>
      <w:r w:rsidR="00525FEE" w:rsidRPr="005E33C3">
        <w:rPr>
          <w:rFonts w:eastAsia="SimSun"/>
          <w:lang w:val="fr-FR"/>
        </w:rPr>
        <w:tab/>
      </w:r>
      <w:r w:rsidR="00C06F9B" w:rsidRPr="005E33C3">
        <w:rPr>
          <w:rFonts w:eastAsia="SimSun"/>
          <w:lang w:val="fr-FR"/>
        </w:rPr>
        <w:t>7</w:t>
      </w:r>
    </w:p>
    <w:p w14:paraId="638D0DA4" w14:textId="65EA6546" w:rsidR="00525FEE" w:rsidRPr="005E33C3" w:rsidRDefault="00525FEE"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3.</w:t>
      </w:r>
      <w:r w:rsidRPr="005E33C3">
        <w:rPr>
          <w:rFonts w:eastAsia="SimSun"/>
          <w:lang w:val="fr-FR"/>
        </w:rPr>
        <w:tab/>
      </w:r>
      <w:r w:rsidR="00EF42FE" w:rsidRPr="005E33C3">
        <w:rPr>
          <w:rFonts w:eastAsia="SimSun"/>
          <w:lang w:val="fr-FR"/>
        </w:rPr>
        <w:t>Références aux autorités compétentes dans les parties 8 et 9</w:t>
      </w:r>
      <w:r w:rsidR="00EF42FE" w:rsidRPr="005E33C3">
        <w:rPr>
          <w:rFonts w:eastAsia="SimSun"/>
          <w:lang w:val="fr-FR"/>
        </w:rPr>
        <w:tab/>
      </w:r>
      <w:r w:rsidR="00EF42FE" w:rsidRPr="005E33C3">
        <w:rPr>
          <w:rFonts w:eastAsia="SimSun"/>
          <w:lang w:val="fr-FR"/>
        </w:rPr>
        <w:tab/>
        <w:t>36-39</w:t>
      </w:r>
      <w:r w:rsidR="00EF42FE" w:rsidRPr="005E33C3">
        <w:rPr>
          <w:rFonts w:eastAsia="SimSun"/>
          <w:lang w:val="fr-FR"/>
        </w:rPr>
        <w:tab/>
      </w:r>
      <w:r w:rsidR="00C06F9B" w:rsidRPr="005E33C3">
        <w:rPr>
          <w:rFonts w:eastAsia="SimSun"/>
          <w:lang w:val="fr-FR"/>
        </w:rPr>
        <w:t>7</w:t>
      </w:r>
    </w:p>
    <w:p w14:paraId="701C5875" w14:textId="2C77A542" w:rsidR="00EF42FE" w:rsidRPr="005E33C3" w:rsidRDefault="00EF42FE"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4.</w:t>
      </w:r>
      <w:r w:rsidRPr="005E33C3">
        <w:rPr>
          <w:rFonts w:eastAsia="SimSun"/>
          <w:lang w:val="fr-FR"/>
        </w:rPr>
        <w:tab/>
      </w:r>
      <w:r w:rsidR="004916B7" w:rsidRPr="005E33C3">
        <w:rPr>
          <w:rFonts w:eastAsia="SimSun"/>
          <w:lang w:val="fr-FR"/>
        </w:rPr>
        <w:t>Transports sous régulation de température</w:t>
      </w:r>
      <w:r w:rsidR="004916B7" w:rsidRPr="005E33C3">
        <w:rPr>
          <w:rFonts w:eastAsia="SimSun"/>
          <w:lang w:val="fr-FR"/>
        </w:rPr>
        <w:tab/>
      </w:r>
      <w:r w:rsidR="004916B7" w:rsidRPr="005E33C3">
        <w:rPr>
          <w:rFonts w:eastAsia="SimSun"/>
          <w:lang w:val="fr-FR"/>
        </w:rPr>
        <w:tab/>
        <w:t>40</w:t>
      </w:r>
      <w:r w:rsidR="004916B7" w:rsidRPr="005E33C3">
        <w:rPr>
          <w:rFonts w:eastAsia="SimSun"/>
          <w:lang w:val="fr-FR"/>
        </w:rPr>
        <w:tab/>
      </w:r>
      <w:r w:rsidR="00B34041" w:rsidRPr="005E33C3">
        <w:rPr>
          <w:rFonts w:eastAsia="SimSun"/>
          <w:lang w:val="fr-FR"/>
        </w:rPr>
        <w:t>8</w:t>
      </w:r>
    </w:p>
    <w:p w14:paraId="6C942B82" w14:textId="090FF0FB" w:rsidR="004916B7" w:rsidRPr="005E33C3" w:rsidRDefault="004916B7"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5.</w:t>
      </w:r>
      <w:r w:rsidRPr="005E33C3">
        <w:rPr>
          <w:rFonts w:eastAsia="SimSun"/>
          <w:lang w:val="fr-FR"/>
        </w:rPr>
        <w:tab/>
      </w:r>
      <w:r w:rsidR="004B503E" w:rsidRPr="005E33C3">
        <w:rPr>
          <w:rFonts w:eastAsia="SimSun"/>
          <w:lang w:val="fr-FR"/>
        </w:rPr>
        <w:t>Modifications éditoriales</w:t>
      </w:r>
      <w:r w:rsidR="004B503E" w:rsidRPr="005E33C3">
        <w:rPr>
          <w:rFonts w:eastAsia="SimSun"/>
          <w:lang w:val="fr-FR"/>
        </w:rPr>
        <w:tab/>
      </w:r>
      <w:r w:rsidR="004B503E" w:rsidRPr="005E33C3">
        <w:rPr>
          <w:rFonts w:eastAsia="SimSun"/>
          <w:lang w:val="fr-FR"/>
        </w:rPr>
        <w:tab/>
        <w:t>41</w:t>
      </w:r>
      <w:r w:rsidR="004B503E" w:rsidRPr="005E33C3">
        <w:rPr>
          <w:rFonts w:eastAsia="SimSun"/>
          <w:lang w:val="fr-FR"/>
        </w:rPr>
        <w:tab/>
      </w:r>
      <w:r w:rsidR="00B34041" w:rsidRPr="005E33C3">
        <w:rPr>
          <w:rFonts w:eastAsia="SimSun"/>
          <w:lang w:val="fr-FR"/>
        </w:rPr>
        <w:t>8</w:t>
      </w:r>
    </w:p>
    <w:p w14:paraId="1A7E3068" w14:textId="25F1BA9B" w:rsidR="004B503E" w:rsidRPr="005E33C3" w:rsidRDefault="004B503E"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Pr="005E33C3">
        <w:rPr>
          <w:rFonts w:eastAsia="SimSun"/>
          <w:lang w:val="fr-FR"/>
        </w:rPr>
        <w:tab/>
        <w:t>6.</w:t>
      </w:r>
      <w:r w:rsidRPr="005E33C3">
        <w:rPr>
          <w:rFonts w:eastAsia="SimSun"/>
          <w:lang w:val="fr-FR"/>
        </w:rPr>
        <w:tab/>
      </w:r>
      <w:r w:rsidR="00A7271F" w:rsidRPr="005E33C3">
        <w:rPr>
          <w:rFonts w:eastAsia="SimSun"/>
          <w:lang w:val="fr-FR"/>
        </w:rPr>
        <w:t xml:space="preserve">Code de restriction en tunnels pour les colis exceptés </w:t>
      </w:r>
      <w:r w:rsidR="00A7271F" w:rsidRPr="005E33C3">
        <w:rPr>
          <w:rFonts w:eastAsia="SimSun"/>
          <w:lang w:val="fr-FR"/>
        </w:rPr>
        <w:br/>
      </w:r>
      <w:r w:rsidR="00A7271F" w:rsidRPr="005E33C3">
        <w:rPr>
          <w:rFonts w:eastAsia="SimSun"/>
          <w:lang w:val="fr-FR"/>
        </w:rPr>
        <w:tab/>
      </w:r>
      <w:r w:rsidR="00A7271F" w:rsidRPr="005E33C3">
        <w:rPr>
          <w:rFonts w:eastAsia="SimSun"/>
          <w:lang w:val="fr-FR"/>
        </w:rPr>
        <w:tab/>
      </w:r>
      <w:r w:rsidR="00A7271F" w:rsidRPr="005E33C3">
        <w:rPr>
          <w:rFonts w:eastAsia="SimSun"/>
          <w:lang w:val="fr-FR"/>
        </w:rPr>
        <w:tab/>
      </w:r>
      <w:r w:rsidR="00A7271F" w:rsidRPr="005E33C3">
        <w:rPr>
          <w:rFonts w:eastAsia="SimSun"/>
          <w:lang w:val="fr-FR"/>
        </w:rPr>
        <w:tab/>
        <w:t>(Nos ONU 2908 à 2911)</w:t>
      </w:r>
      <w:r w:rsidR="00A7271F" w:rsidRPr="005E33C3">
        <w:rPr>
          <w:rFonts w:eastAsia="SimSun"/>
          <w:lang w:val="fr-FR"/>
        </w:rPr>
        <w:tab/>
      </w:r>
      <w:r w:rsidR="00A7271F" w:rsidRPr="005E33C3">
        <w:rPr>
          <w:rFonts w:eastAsia="SimSun"/>
          <w:lang w:val="fr-FR"/>
        </w:rPr>
        <w:tab/>
        <w:t>42-43</w:t>
      </w:r>
      <w:r w:rsidR="00A7271F" w:rsidRPr="005E33C3">
        <w:rPr>
          <w:rFonts w:eastAsia="SimSun"/>
          <w:lang w:val="fr-FR"/>
        </w:rPr>
        <w:tab/>
      </w:r>
      <w:r w:rsidR="00B34041" w:rsidRPr="005E33C3">
        <w:rPr>
          <w:rFonts w:eastAsia="SimSun"/>
          <w:lang w:val="fr-FR"/>
        </w:rPr>
        <w:t>8</w:t>
      </w:r>
    </w:p>
    <w:p w14:paraId="5F0ECBEF" w14:textId="09EB55CE" w:rsidR="00A7271F" w:rsidRPr="005E33C3" w:rsidRDefault="00A7271F"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VIII.</w:t>
      </w:r>
      <w:r w:rsidRPr="005E33C3">
        <w:rPr>
          <w:rFonts w:eastAsia="SimSun"/>
          <w:lang w:val="fr-FR"/>
        </w:rPr>
        <w:tab/>
      </w:r>
      <w:r w:rsidR="00E7645D" w:rsidRPr="005E33C3">
        <w:rPr>
          <w:rFonts w:eastAsia="SimSun"/>
          <w:lang w:val="fr-FR"/>
        </w:rPr>
        <w:t>Interprétation de l’ADR (point 6 de l’ordre du jour)</w:t>
      </w:r>
      <w:r w:rsidR="00E7645D" w:rsidRPr="005E33C3">
        <w:rPr>
          <w:rFonts w:eastAsia="SimSun"/>
          <w:lang w:val="fr-FR"/>
        </w:rPr>
        <w:tab/>
      </w:r>
      <w:r w:rsidR="00E7645D" w:rsidRPr="005E33C3">
        <w:rPr>
          <w:rFonts w:eastAsia="SimSun"/>
          <w:lang w:val="fr-FR"/>
        </w:rPr>
        <w:tab/>
      </w:r>
      <w:r w:rsidR="00BF6312" w:rsidRPr="005E33C3">
        <w:rPr>
          <w:rFonts w:eastAsia="SimSun"/>
          <w:lang w:val="fr-FR"/>
        </w:rPr>
        <w:t>44-52</w:t>
      </w:r>
      <w:r w:rsidR="00BF6312" w:rsidRPr="005E33C3">
        <w:rPr>
          <w:rFonts w:eastAsia="SimSun"/>
          <w:lang w:val="fr-FR"/>
        </w:rPr>
        <w:tab/>
      </w:r>
      <w:r w:rsidR="00B34041" w:rsidRPr="005E33C3">
        <w:rPr>
          <w:rFonts w:eastAsia="SimSun"/>
          <w:lang w:val="fr-FR"/>
        </w:rPr>
        <w:t>8</w:t>
      </w:r>
    </w:p>
    <w:p w14:paraId="33816A11" w14:textId="16C25532" w:rsidR="00BF6312" w:rsidRPr="005E33C3" w:rsidRDefault="00BF6312"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A.</w:t>
      </w:r>
      <w:r w:rsidRPr="005E33C3">
        <w:rPr>
          <w:rFonts w:eastAsia="SimSun"/>
          <w:lang w:val="fr-FR"/>
        </w:rPr>
        <w:tab/>
      </w:r>
      <w:r w:rsidR="006F5D72" w:rsidRPr="005E33C3">
        <w:rPr>
          <w:rFonts w:eastAsia="SimSun"/>
          <w:lang w:val="fr-FR"/>
        </w:rPr>
        <w:t xml:space="preserve">Application des prescriptions relatives à l'équipement électrique des </w:t>
      </w:r>
      <w:r w:rsidR="006F5D72" w:rsidRPr="005E33C3">
        <w:rPr>
          <w:rFonts w:eastAsia="SimSun"/>
          <w:lang w:val="fr-FR"/>
        </w:rPr>
        <w:br/>
      </w:r>
      <w:r w:rsidR="006F5D72" w:rsidRPr="005E33C3">
        <w:rPr>
          <w:rFonts w:eastAsia="SimSun"/>
          <w:lang w:val="fr-FR"/>
        </w:rPr>
        <w:tab/>
      </w:r>
      <w:r w:rsidR="006F5D72" w:rsidRPr="005E33C3">
        <w:rPr>
          <w:rFonts w:eastAsia="SimSun"/>
          <w:lang w:val="fr-FR"/>
        </w:rPr>
        <w:tab/>
      </w:r>
      <w:r w:rsidR="006F5D72" w:rsidRPr="005E33C3">
        <w:rPr>
          <w:rFonts w:eastAsia="SimSun"/>
          <w:lang w:val="fr-FR"/>
        </w:rPr>
        <w:tab/>
        <w:t>véhicules conformément au 9.2.1.1</w:t>
      </w:r>
      <w:r w:rsidR="006F5D72" w:rsidRPr="005E33C3">
        <w:rPr>
          <w:rFonts w:eastAsia="SimSun"/>
          <w:lang w:val="fr-FR"/>
        </w:rPr>
        <w:tab/>
      </w:r>
      <w:r w:rsidR="006F5D72" w:rsidRPr="005E33C3">
        <w:rPr>
          <w:rFonts w:eastAsia="SimSun"/>
          <w:lang w:val="fr-FR"/>
        </w:rPr>
        <w:tab/>
        <w:t>44-46</w:t>
      </w:r>
      <w:r w:rsidR="006F5D72" w:rsidRPr="005E33C3">
        <w:rPr>
          <w:rFonts w:eastAsia="SimSun"/>
          <w:lang w:val="fr-FR"/>
        </w:rPr>
        <w:tab/>
      </w:r>
      <w:r w:rsidR="00B34041" w:rsidRPr="005E33C3">
        <w:rPr>
          <w:rFonts w:eastAsia="SimSun"/>
          <w:lang w:val="fr-FR"/>
        </w:rPr>
        <w:t>8</w:t>
      </w:r>
    </w:p>
    <w:p w14:paraId="00199FA0" w14:textId="5C7A4719" w:rsidR="006F5D72" w:rsidRPr="005E33C3" w:rsidRDefault="006F5D72"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r>
      <w:r w:rsidR="006C2DED" w:rsidRPr="005E33C3">
        <w:rPr>
          <w:rFonts w:eastAsia="SimSun"/>
          <w:lang w:val="fr-FR"/>
        </w:rPr>
        <w:t>B.</w:t>
      </w:r>
      <w:r w:rsidR="006C2DED" w:rsidRPr="005E33C3">
        <w:rPr>
          <w:rFonts w:eastAsia="SimSun"/>
          <w:lang w:val="fr-FR"/>
        </w:rPr>
        <w:tab/>
        <w:t>Mise en œuvre des accords multilatéraux</w:t>
      </w:r>
      <w:r w:rsidR="006C2DED" w:rsidRPr="005E33C3">
        <w:rPr>
          <w:rFonts w:eastAsia="SimSun"/>
          <w:lang w:val="fr-FR"/>
        </w:rPr>
        <w:tab/>
      </w:r>
      <w:r w:rsidR="006C2DED" w:rsidRPr="005E33C3">
        <w:rPr>
          <w:rFonts w:eastAsia="SimSun"/>
          <w:lang w:val="fr-FR"/>
        </w:rPr>
        <w:tab/>
        <w:t>47-50</w:t>
      </w:r>
      <w:r w:rsidR="006C2DED" w:rsidRPr="005E33C3">
        <w:rPr>
          <w:rFonts w:eastAsia="SimSun"/>
          <w:lang w:val="fr-FR"/>
        </w:rPr>
        <w:tab/>
      </w:r>
      <w:r w:rsidR="00B34041" w:rsidRPr="005E33C3">
        <w:rPr>
          <w:rFonts w:eastAsia="SimSun"/>
          <w:lang w:val="fr-FR"/>
        </w:rPr>
        <w:t>8</w:t>
      </w:r>
    </w:p>
    <w:p w14:paraId="1EBB443F" w14:textId="6171B2B1" w:rsidR="006C2DED" w:rsidRPr="005E33C3" w:rsidRDefault="006C2DED"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C.</w:t>
      </w:r>
      <w:r w:rsidRPr="005E33C3">
        <w:rPr>
          <w:rFonts w:eastAsia="SimSun"/>
          <w:lang w:val="fr-FR"/>
        </w:rPr>
        <w:tab/>
      </w:r>
      <w:r w:rsidR="00266C83" w:rsidRPr="005E33C3">
        <w:rPr>
          <w:rFonts w:eastAsia="SimSun"/>
          <w:lang w:val="fr-FR"/>
        </w:rPr>
        <w:t>Clarification du 5.3.2.2.1</w:t>
      </w:r>
      <w:r w:rsidR="00266C83" w:rsidRPr="005E33C3">
        <w:rPr>
          <w:rFonts w:eastAsia="SimSun"/>
          <w:lang w:val="fr-FR"/>
        </w:rPr>
        <w:tab/>
      </w:r>
      <w:r w:rsidR="00266C83" w:rsidRPr="005E33C3">
        <w:rPr>
          <w:rFonts w:eastAsia="SimSun"/>
          <w:lang w:val="fr-FR"/>
        </w:rPr>
        <w:tab/>
        <w:t>51-52</w:t>
      </w:r>
      <w:r w:rsidR="00266C83" w:rsidRPr="005E33C3">
        <w:rPr>
          <w:rFonts w:eastAsia="SimSun"/>
          <w:lang w:val="fr-FR"/>
        </w:rPr>
        <w:tab/>
      </w:r>
      <w:r w:rsidR="001D6E9A" w:rsidRPr="005E33C3">
        <w:rPr>
          <w:rFonts w:eastAsia="SimSun"/>
          <w:lang w:val="fr-FR"/>
        </w:rPr>
        <w:t>9</w:t>
      </w:r>
    </w:p>
    <w:p w14:paraId="067504E1" w14:textId="0A56B7A1" w:rsidR="00266C83" w:rsidRPr="005E33C3" w:rsidRDefault="00266C83"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IX.</w:t>
      </w:r>
      <w:r w:rsidRPr="005E33C3">
        <w:rPr>
          <w:rFonts w:eastAsia="SimSun"/>
          <w:lang w:val="fr-FR"/>
        </w:rPr>
        <w:tab/>
      </w:r>
      <w:r w:rsidR="00B419CD" w:rsidRPr="005E33C3">
        <w:rPr>
          <w:rFonts w:eastAsia="SimSun"/>
          <w:lang w:val="fr-FR"/>
        </w:rPr>
        <w:t>Programme de travail (point 7 de l’ordre du jour)</w:t>
      </w:r>
      <w:r w:rsidR="00B419CD" w:rsidRPr="005E33C3">
        <w:rPr>
          <w:rFonts w:eastAsia="SimSun"/>
          <w:lang w:val="fr-FR"/>
        </w:rPr>
        <w:tab/>
      </w:r>
      <w:r w:rsidR="00B419CD" w:rsidRPr="005E33C3">
        <w:rPr>
          <w:rFonts w:eastAsia="SimSun"/>
          <w:lang w:val="fr-FR"/>
        </w:rPr>
        <w:tab/>
        <w:t>53-55</w:t>
      </w:r>
      <w:r w:rsidR="00B419CD" w:rsidRPr="005E33C3">
        <w:rPr>
          <w:rFonts w:eastAsia="SimSun"/>
          <w:lang w:val="fr-FR"/>
        </w:rPr>
        <w:tab/>
      </w:r>
      <w:r w:rsidR="001D6E9A" w:rsidRPr="005E33C3">
        <w:rPr>
          <w:rFonts w:eastAsia="SimSun"/>
          <w:lang w:val="fr-FR"/>
        </w:rPr>
        <w:t>9</w:t>
      </w:r>
    </w:p>
    <w:p w14:paraId="48CFC301" w14:textId="6201033C" w:rsidR="00B419CD" w:rsidRPr="005E33C3" w:rsidRDefault="00B419CD"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X.</w:t>
      </w:r>
      <w:r w:rsidRPr="005E33C3">
        <w:rPr>
          <w:rFonts w:eastAsia="SimSun"/>
          <w:lang w:val="fr-FR"/>
        </w:rPr>
        <w:tab/>
      </w:r>
      <w:r w:rsidR="009907F9" w:rsidRPr="005E33C3">
        <w:rPr>
          <w:rFonts w:eastAsia="SimSun"/>
          <w:lang w:val="fr-FR"/>
        </w:rPr>
        <w:t>Questions diverses (point 8 de l’ordre du jour)</w:t>
      </w:r>
      <w:r w:rsidR="009907F9" w:rsidRPr="005E33C3">
        <w:rPr>
          <w:rFonts w:eastAsia="SimSun"/>
          <w:lang w:val="fr-FR"/>
        </w:rPr>
        <w:tab/>
      </w:r>
      <w:r w:rsidR="009907F9" w:rsidRPr="005E33C3">
        <w:rPr>
          <w:rFonts w:eastAsia="SimSun"/>
          <w:lang w:val="fr-FR"/>
        </w:rPr>
        <w:tab/>
        <w:t>56-59</w:t>
      </w:r>
      <w:r w:rsidR="009907F9" w:rsidRPr="005E33C3">
        <w:rPr>
          <w:rFonts w:eastAsia="SimSun"/>
          <w:lang w:val="fr-FR"/>
        </w:rPr>
        <w:tab/>
      </w:r>
      <w:r w:rsidR="001D6E9A" w:rsidRPr="005E33C3">
        <w:rPr>
          <w:rFonts w:eastAsia="SimSun"/>
          <w:lang w:val="fr-FR"/>
        </w:rPr>
        <w:t>10</w:t>
      </w:r>
    </w:p>
    <w:p w14:paraId="5470DD6C" w14:textId="51C5000C" w:rsidR="009907F9" w:rsidRPr="005E33C3" w:rsidRDefault="009907F9"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A.</w:t>
      </w:r>
      <w:r w:rsidRPr="005E33C3">
        <w:rPr>
          <w:rFonts w:eastAsia="SimSun"/>
          <w:lang w:val="fr-FR"/>
        </w:rPr>
        <w:tab/>
      </w:r>
      <w:r w:rsidR="009B2EB6" w:rsidRPr="005E33C3">
        <w:rPr>
          <w:rFonts w:eastAsia="SimSun"/>
          <w:lang w:val="fr-FR"/>
        </w:rPr>
        <w:t xml:space="preserve">Incohérences entre le tableau 1.10.3.1.2 pour les marchandises </w:t>
      </w:r>
      <w:r w:rsidR="009B2EB6" w:rsidRPr="005E33C3">
        <w:rPr>
          <w:rFonts w:eastAsia="SimSun"/>
          <w:lang w:val="fr-FR"/>
        </w:rPr>
        <w:br/>
      </w:r>
      <w:r w:rsidR="009B2EB6" w:rsidRPr="005E33C3">
        <w:rPr>
          <w:rFonts w:eastAsia="SimSun"/>
          <w:lang w:val="fr-FR"/>
        </w:rPr>
        <w:tab/>
      </w:r>
      <w:r w:rsidR="009B2EB6" w:rsidRPr="005E33C3">
        <w:rPr>
          <w:rFonts w:eastAsia="SimSun"/>
          <w:lang w:val="fr-FR"/>
        </w:rPr>
        <w:tab/>
      </w:r>
      <w:r w:rsidR="009B2EB6" w:rsidRPr="005E33C3">
        <w:rPr>
          <w:rFonts w:eastAsia="SimSun"/>
          <w:lang w:val="fr-FR"/>
        </w:rPr>
        <w:tab/>
        <w:t>dangereuses à haut risque, la disposition spéciale S1 (6) du chapitre 8.5</w:t>
      </w:r>
      <w:r w:rsidR="009B2EB6" w:rsidRPr="005E33C3">
        <w:rPr>
          <w:rFonts w:eastAsia="SimSun"/>
          <w:lang w:val="fr-FR"/>
        </w:rPr>
        <w:br/>
      </w:r>
      <w:r w:rsidR="009B2EB6" w:rsidRPr="005E33C3">
        <w:rPr>
          <w:rFonts w:eastAsia="SimSun"/>
          <w:lang w:val="fr-FR"/>
        </w:rPr>
        <w:tab/>
      </w:r>
      <w:r w:rsidR="009B2EB6" w:rsidRPr="005E33C3">
        <w:rPr>
          <w:rFonts w:eastAsia="SimSun"/>
          <w:lang w:val="fr-FR"/>
        </w:rPr>
        <w:tab/>
      </w:r>
      <w:r w:rsidR="009B2EB6" w:rsidRPr="005E33C3">
        <w:rPr>
          <w:rFonts w:eastAsia="SimSun"/>
          <w:lang w:val="fr-FR"/>
        </w:rPr>
        <w:tab/>
        <w:t>et la sous-section 1.1.3.6</w:t>
      </w:r>
      <w:r w:rsidR="009B2EB6" w:rsidRPr="005E33C3">
        <w:rPr>
          <w:rFonts w:eastAsia="SimSun"/>
          <w:lang w:val="fr-FR"/>
        </w:rPr>
        <w:tab/>
      </w:r>
      <w:r w:rsidR="009B2EB6" w:rsidRPr="005E33C3">
        <w:rPr>
          <w:rFonts w:eastAsia="SimSun"/>
          <w:lang w:val="fr-FR"/>
        </w:rPr>
        <w:tab/>
        <w:t>56-57</w:t>
      </w:r>
      <w:r w:rsidR="009B2EB6" w:rsidRPr="005E33C3">
        <w:rPr>
          <w:rFonts w:eastAsia="SimSun"/>
          <w:lang w:val="fr-FR"/>
        </w:rPr>
        <w:tab/>
      </w:r>
      <w:r w:rsidR="001D6E9A" w:rsidRPr="005E33C3">
        <w:rPr>
          <w:rFonts w:eastAsia="SimSun"/>
          <w:lang w:val="fr-FR"/>
        </w:rPr>
        <w:t>10</w:t>
      </w:r>
    </w:p>
    <w:p w14:paraId="421783D4" w14:textId="1FC23979" w:rsidR="009B2EB6" w:rsidRPr="005E33C3" w:rsidRDefault="009B2EB6"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B.</w:t>
      </w:r>
      <w:r w:rsidRPr="005E33C3">
        <w:rPr>
          <w:rFonts w:eastAsia="SimSun"/>
          <w:lang w:val="fr-FR"/>
        </w:rPr>
        <w:tab/>
      </w:r>
      <w:r w:rsidR="0066410F" w:rsidRPr="005E33C3">
        <w:rPr>
          <w:rFonts w:eastAsia="SimSun"/>
          <w:lang w:val="fr-FR"/>
        </w:rPr>
        <w:t>Règlement intérieur du Groupe de travail</w:t>
      </w:r>
      <w:r w:rsidR="0066410F" w:rsidRPr="005E33C3">
        <w:rPr>
          <w:rFonts w:eastAsia="SimSun"/>
          <w:lang w:val="fr-FR"/>
        </w:rPr>
        <w:tab/>
      </w:r>
      <w:r w:rsidR="0066410F" w:rsidRPr="005E33C3">
        <w:rPr>
          <w:rFonts w:eastAsia="SimSun"/>
          <w:lang w:val="fr-FR"/>
        </w:rPr>
        <w:tab/>
        <w:t>58</w:t>
      </w:r>
      <w:r w:rsidR="0066410F" w:rsidRPr="005E33C3">
        <w:rPr>
          <w:rFonts w:eastAsia="SimSun"/>
          <w:lang w:val="fr-FR"/>
        </w:rPr>
        <w:tab/>
      </w:r>
      <w:r w:rsidR="001D6E9A" w:rsidRPr="005E33C3">
        <w:rPr>
          <w:rFonts w:eastAsia="SimSun"/>
          <w:lang w:val="fr-FR"/>
        </w:rPr>
        <w:t>10</w:t>
      </w:r>
    </w:p>
    <w:p w14:paraId="53BFC801" w14:textId="0D82237D" w:rsidR="0066410F" w:rsidRPr="005E33C3" w:rsidRDefault="0066410F"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r w:rsidRPr="005E33C3">
        <w:rPr>
          <w:rFonts w:eastAsia="SimSun"/>
          <w:lang w:val="fr-FR"/>
        </w:rPr>
        <w:tab/>
        <w:t>C.</w:t>
      </w:r>
      <w:r w:rsidRPr="005E33C3">
        <w:rPr>
          <w:rFonts w:eastAsia="SimSun"/>
          <w:lang w:val="fr-FR"/>
        </w:rPr>
        <w:tab/>
      </w:r>
      <w:r w:rsidR="00772E66" w:rsidRPr="005E33C3">
        <w:rPr>
          <w:rFonts w:eastAsia="SimSun"/>
          <w:lang w:val="fr-FR"/>
        </w:rPr>
        <w:t xml:space="preserve">Méthode et systèmes utilisés pour l’attribution de codes tunnels aux </w:t>
      </w:r>
      <w:r w:rsidR="00772E66" w:rsidRPr="005E33C3">
        <w:rPr>
          <w:rFonts w:eastAsia="SimSun"/>
          <w:lang w:val="fr-FR"/>
        </w:rPr>
        <w:br/>
      </w:r>
      <w:r w:rsidR="00772E66" w:rsidRPr="005E33C3">
        <w:rPr>
          <w:rFonts w:eastAsia="SimSun"/>
          <w:lang w:val="fr-FR"/>
        </w:rPr>
        <w:tab/>
      </w:r>
      <w:r w:rsidR="00772E66" w:rsidRPr="005E33C3">
        <w:rPr>
          <w:rFonts w:eastAsia="SimSun"/>
          <w:lang w:val="fr-FR"/>
        </w:rPr>
        <w:tab/>
      </w:r>
      <w:r w:rsidR="00772E66" w:rsidRPr="005E33C3">
        <w:rPr>
          <w:rFonts w:eastAsia="SimSun"/>
          <w:lang w:val="fr-FR"/>
        </w:rPr>
        <w:tab/>
        <w:t>marchandises de la classe 7 et pour l’attribution du code « (-) »</w:t>
      </w:r>
      <w:r w:rsidR="00772E66" w:rsidRPr="005E33C3">
        <w:rPr>
          <w:rFonts w:eastAsia="SimSun"/>
          <w:lang w:val="fr-FR"/>
        </w:rPr>
        <w:tab/>
      </w:r>
      <w:r w:rsidR="00772E66" w:rsidRPr="005E33C3">
        <w:rPr>
          <w:rFonts w:eastAsia="SimSun"/>
          <w:lang w:val="fr-FR"/>
        </w:rPr>
        <w:tab/>
        <w:t>59</w:t>
      </w:r>
      <w:r w:rsidR="00772E66" w:rsidRPr="005E33C3">
        <w:rPr>
          <w:rFonts w:eastAsia="SimSun"/>
          <w:lang w:val="fr-FR"/>
        </w:rPr>
        <w:tab/>
      </w:r>
      <w:r w:rsidR="001D6E9A" w:rsidRPr="005E33C3">
        <w:rPr>
          <w:rFonts w:eastAsia="SimSun"/>
          <w:lang w:val="fr-FR"/>
        </w:rPr>
        <w:t>10</w:t>
      </w:r>
    </w:p>
    <w:p w14:paraId="4BC74886" w14:textId="7EE655DC" w:rsidR="00772E66" w:rsidRPr="005E33C3" w:rsidRDefault="00772E66" w:rsidP="00A05847">
      <w:pPr>
        <w:keepNext/>
        <w:keepLines/>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t>XI.</w:t>
      </w:r>
      <w:r w:rsidRPr="005E33C3">
        <w:rPr>
          <w:rFonts w:eastAsia="SimSun"/>
          <w:lang w:val="fr-FR"/>
        </w:rPr>
        <w:tab/>
      </w:r>
      <w:r w:rsidR="00026EC1" w:rsidRPr="005E33C3">
        <w:rPr>
          <w:rFonts w:eastAsia="SimSun"/>
          <w:lang w:val="fr-FR"/>
        </w:rPr>
        <w:t xml:space="preserve">Adoption du rapport (point </w:t>
      </w:r>
      <w:r w:rsidR="00037E3B" w:rsidRPr="005E33C3">
        <w:rPr>
          <w:rFonts w:eastAsia="SimSun"/>
          <w:lang w:val="fr-FR"/>
        </w:rPr>
        <w:t>9</w:t>
      </w:r>
      <w:r w:rsidR="00026EC1" w:rsidRPr="005E33C3">
        <w:rPr>
          <w:rFonts w:eastAsia="SimSun"/>
          <w:lang w:val="fr-FR"/>
        </w:rPr>
        <w:t xml:space="preserve"> de l’ordre du jour)</w:t>
      </w:r>
      <w:r w:rsidR="00026EC1" w:rsidRPr="005E33C3">
        <w:rPr>
          <w:rFonts w:eastAsia="SimSun"/>
          <w:lang w:val="fr-FR"/>
        </w:rPr>
        <w:tab/>
      </w:r>
      <w:r w:rsidR="00026EC1" w:rsidRPr="005E33C3">
        <w:rPr>
          <w:rFonts w:eastAsia="SimSun"/>
          <w:lang w:val="fr-FR"/>
        </w:rPr>
        <w:tab/>
        <w:t>60-61</w:t>
      </w:r>
      <w:r w:rsidR="00026EC1" w:rsidRPr="005E33C3">
        <w:rPr>
          <w:rFonts w:eastAsia="SimSun"/>
          <w:lang w:val="fr-FR"/>
        </w:rPr>
        <w:tab/>
      </w:r>
      <w:r w:rsidR="001D6E9A" w:rsidRPr="005E33C3">
        <w:rPr>
          <w:rFonts w:eastAsia="SimSun"/>
          <w:lang w:val="fr-FR"/>
        </w:rPr>
        <w:t>10</w:t>
      </w:r>
    </w:p>
    <w:p w14:paraId="4E3C7B34" w14:textId="0BA30200" w:rsidR="00946EA7" w:rsidRPr="005E33C3" w:rsidRDefault="00946EA7" w:rsidP="00946EA7">
      <w:pPr>
        <w:tabs>
          <w:tab w:val="right" w:pos="850"/>
          <w:tab w:val="left" w:pos="1134"/>
          <w:tab w:val="left" w:pos="1559"/>
          <w:tab w:val="left" w:pos="1984"/>
          <w:tab w:val="left" w:leader="dot" w:pos="8787"/>
          <w:tab w:val="right" w:pos="9638"/>
        </w:tabs>
        <w:spacing w:after="120"/>
        <w:rPr>
          <w:lang w:val="fr-FR"/>
        </w:rPr>
      </w:pPr>
      <w:r w:rsidRPr="005E33C3">
        <w:rPr>
          <w:lang w:val="fr-FR"/>
        </w:rPr>
        <w:t>Annexes</w:t>
      </w:r>
    </w:p>
    <w:p w14:paraId="014F4ABE" w14:textId="2EAE3C39" w:rsidR="00946EA7" w:rsidRPr="005E33C3" w:rsidRDefault="00946EA7" w:rsidP="00946EA7">
      <w:pPr>
        <w:tabs>
          <w:tab w:val="right" w:pos="850"/>
          <w:tab w:val="left" w:pos="1134"/>
          <w:tab w:val="left" w:pos="1559"/>
          <w:tab w:val="left" w:pos="1984"/>
          <w:tab w:val="left" w:leader="dot" w:pos="8787"/>
          <w:tab w:val="right" w:pos="9638"/>
        </w:tabs>
        <w:spacing w:after="120"/>
        <w:rPr>
          <w:lang w:val="fr-FR"/>
        </w:rPr>
      </w:pPr>
      <w:r w:rsidRPr="005E33C3">
        <w:rPr>
          <w:lang w:val="fr-FR"/>
        </w:rPr>
        <w:tab/>
        <w:t>I.</w:t>
      </w:r>
      <w:r w:rsidRPr="005E33C3">
        <w:rPr>
          <w:lang w:val="fr-FR"/>
        </w:rPr>
        <w:tab/>
        <w:t xml:space="preserve">Projet d’amendements aux annexes A et B de l’ADR pour </w:t>
      </w:r>
      <w:proofErr w:type="spellStart"/>
      <w:r w:rsidRPr="005E33C3">
        <w:rPr>
          <w:lang w:val="fr-FR"/>
        </w:rPr>
        <w:t>entrée</w:t>
      </w:r>
      <w:proofErr w:type="spellEnd"/>
      <w:r w:rsidRPr="005E33C3">
        <w:rPr>
          <w:lang w:val="fr-FR"/>
        </w:rPr>
        <w:t xml:space="preserve"> en vigueur </w:t>
      </w:r>
      <w:r w:rsidRPr="005E33C3">
        <w:rPr>
          <w:lang w:val="fr-FR"/>
        </w:rPr>
        <w:br/>
      </w:r>
      <w:r w:rsidRPr="005E33C3">
        <w:rPr>
          <w:lang w:val="fr-FR"/>
        </w:rPr>
        <w:tab/>
      </w:r>
      <w:r w:rsidRPr="005E33C3">
        <w:rPr>
          <w:lang w:val="fr-FR"/>
        </w:rPr>
        <w:tab/>
        <w:t>le 1er janvier 2023</w:t>
      </w:r>
      <w:r w:rsidRPr="005E33C3">
        <w:rPr>
          <w:lang w:val="fr-FR"/>
        </w:rPr>
        <w:tab/>
      </w:r>
      <w:r w:rsidRPr="005E33C3">
        <w:rPr>
          <w:lang w:val="fr-FR"/>
        </w:rPr>
        <w:tab/>
      </w:r>
      <w:r w:rsidR="001D6E9A" w:rsidRPr="005E33C3">
        <w:rPr>
          <w:lang w:val="fr-FR"/>
        </w:rPr>
        <w:t>11</w:t>
      </w:r>
    </w:p>
    <w:p w14:paraId="59F30E20" w14:textId="691CABE5" w:rsidR="00946EA7" w:rsidRPr="005E33C3" w:rsidRDefault="00946EA7" w:rsidP="00946EA7">
      <w:pPr>
        <w:tabs>
          <w:tab w:val="right" w:pos="850"/>
          <w:tab w:val="left" w:pos="1134"/>
          <w:tab w:val="left" w:pos="1559"/>
          <w:tab w:val="left" w:pos="1984"/>
          <w:tab w:val="left" w:leader="dot" w:pos="8787"/>
          <w:tab w:val="right" w:pos="9638"/>
        </w:tabs>
        <w:spacing w:after="120"/>
        <w:rPr>
          <w:lang w:val="fr-FR"/>
        </w:rPr>
      </w:pPr>
      <w:r w:rsidRPr="005E33C3">
        <w:rPr>
          <w:lang w:val="fr-FR"/>
        </w:rPr>
        <w:tab/>
        <w:t>II.</w:t>
      </w:r>
      <w:r w:rsidRPr="005E33C3">
        <w:rPr>
          <w:lang w:val="fr-FR"/>
        </w:rPr>
        <w:tab/>
      </w:r>
      <w:r w:rsidR="00ED5B52" w:rsidRPr="005E33C3">
        <w:rPr>
          <w:lang w:val="fr-FR"/>
        </w:rPr>
        <w:t>Corrections à la version anglaise de l’ADR 2021</w:t>
      </w:r>
      <w:r w:rsidRPr="005E33C3">
        <w:rPr>
          <w:lang w:val="fr-FR"/>
        </w:rPr>
        <w:tab/>
      </w:r>
      <w:r w:rsidRPr="005E33C3">
        <w:rPr>
          <w:lang w:val="fr-FR"/>
        </w:rPr>
        <w:tab/>
      </w:r>
      <w:r w:rsidR="005E33C3">
        <w:rPr>
          <w:lang w:val="fr-FR"/>
        </w:rPr>
        <w:t>24</w:t>
      </w:r>
    </w:p>
    <w:p w14:paraId="1C753C97" w14:textId="409A4718" w:rsidR="00ED5B52" w:rsidRPr="005E33C3" w:rsidRDefault="00ED5B52" w:rsidP="00946EA7">
      <w:pPr>
        <w:tabs>
          <w:tab w:val="right" w:pos="850"/>
          <w:tab w:val="left" w:pos="1134"/>
          <w:tab w:val="left" w:pos="1559"/>
          <w:tab w:val="left" w:pos="1984"/>
          <w:tab w:val="left" w:leader="dot" w:pos="8787"/>
          <w:tab w:val="right" w:pos="9638"/>
        </w:tabs>
        <w:spacing w:after="120"/>
        <w:rPr>
          <w:lang w:val="fr-FR"/>
        </w:rPr>
      </w:pPr>
      <w:r w:rsidRPr="005E33C3">
        <w:rPr>
          <w:lang w:val="fr-FR"/>
        </w:rPr>
        <w:tab/>
        <w:t>III.</w:t>
      </w:r>
      <w:r w:rsidRPr="005E33C3">
        <w:rPr>
          <w:lang w:val="fr-FR"/>
        </w:rPr>
        <w:tab/>
      </w:r>
      <w:r w:rsidR="0091519B" w:rsidRPr="005E33C3">
        <w:rPr>
          <w:lang w:val="fr-FR"/>
        </w:rPr>
        <w:t>Liste de décisions</w:t>
      </w:r>
      <w:r w:rsidR="0091519B" w:rsidRPr="005E33C3">
        <w:rPr>
          <w:lang w:val="fr-FR"/>
        </w:rPr>
        <w:tab/>
      </w:r>
      <w:r w:rsidR="0091519B" w:rsidRPr="005E33C3">
        <w:rPr>
          <w:lang w:val="fr-FR"/>
        </w:rPr>
        <w:tab/>
      </w:r>
      <w:r w:rsidR="005E33C3">
        <w:rPr>
          <w:lang w:val="fr-FR"/>
        </w:rPr>
        <w:t>25</w:t>
      </w:r>
    </w:p>
    <w:p w14:paraId="7E6B7402" w14:textId="5C71B6D1" w:rsidR="005D13F0" w:rsidRPr="005E33C3" w:rsidRDefault="00D9090F" w:rsidP="000B2121">
      <w:pPr>
        <w:tabs>
          <w:tab w:val="right" w:pos="850"/>
          <w:tab w:val="left" w:pos="1134"/>
          <w:tab w:val="left" w:pos="1559"/>
          <w:tab w:val="left" w:pos="1984"/>
          <w:tab w:val="left" w:leader="dot" w:pos="7654"/>
          <w:tab w:val="right" w:pos="8929"/>
          <w:tab w:val="right" w:pos="9638"/>
        </w:tabs>
        <w:spacing w:after="120"/>
        <w:rPr>
          <w:rFonts w:eastAsia="SimSun"/>
          <w:lang w:val="fr-FR"/>
        </w:rPr>
      </w:pPr>
      <w:r w:rsidRPr="005E33C3">
        <w:rPr>
          <w:rFonts w:eastAsia="SimSun"/>
          <w:lang w:val="fr-FR"/>
        </w:rPr>
        <w:tab/>
      </w:r>
    </w:p>
    <w:p w14:paraId="289C21C0" w14:textId="0F670FB3" w:rsidR="004E5080" w:rsidRPr="005E33C3" w:rsidRDefault="00E75006" w:rsidP="000B2121">
      <w:pPr>
        <w:tabs>
          <w:tab w:val="right" w:pos="850"/>
          <w:tab w:val="left" w:pos="1134"/>
          <w:tab w:val="left" w:pos="1559"/>
          <w:tab w:val="left" w:pos="1984"/>
          <w:tab w:val="left" w:leader="dot" w:pos="7654"/>
          <w:tab w:val="right" w:pos="8929"/>
          <w:tab w:val="right" w:pos="9638"/>
        </w:tabs>
        <w:spacing w:after="120"/>
        <w:rPr>
          <w:b/>
          <w:bCs/>
          <w:lang w:val="fr-FR"/>
        </w:rPr>
      </w:pPr>
      <w:r w:rsidRPr="005E33C3">
        <w:rPr>
          <w:b/>
          <w:bCs/>
          <w:lang w:val="fr-FR"/>
        </w:rPr>
        <w:tab/>
      </w:r>
    </w:p>
    <w:p w14:paraId="267F4F72" w14:textId="77777777" w:rsidR="000B2121" w:rsidRPr="005E33C3" w:rsidRDefault="000B2121" w:rsidP="007757AE">
      <w:pPr>
        <w:spacing w:after="120"/>
        <w:rPr>
          <w:sz w:val="28"/>
          <w:lang w:val="fr-FR"/>
        </w:rPr>
      </w:pPr>
    </w:p>
    <w:p w14:paraId="4D410AFB" w14:textId="63715C10" w:rsidR="00C62BFE" w:rsidRPr="005E33C3" w:rsidRDefault="00C62BFE">
      <w:pPr>
        <w:suppressAutoHyphens w:val="0"/>
        <w:kinsoku/>
        <w:overflowPunct/>
        <w:autoSpaceDE/>
        <w:autoSpaceDN/>
        <w:adjustRightInd/>
        <w:snapToGrid/>
        <w:spacing w:after="200" w:line="276" w:lineRule="auto"/>
        <w:rPr>
          <w:lang w:val="fr-FR"/>
        </w:rPr>
      </w:pPr>
      <w:r w:rsidRPr="005E33C3">
        <w:rPr>
          <w:lang w:val="fr-FR"/>
        </w:rPr>
        <w:br w:type="page"/>
      </w:r>
    </w:p>
    <w:p w14:paraId="092A7CC8" w14:textId="77777777" w:rsidR="00B969A9" w:rsidRPr="005E33C3" w:rsidRDefault="00B969A9" w:rsidP="0080755A">
      <w:pPr>
        <w:pStyle w:val="HChG"/>
        <w:rPr>
          <w:lang w:val="fr-FR"/>
        </w:rPr>
      </w:pPr>
      <w:r w:rsidRPr="005E33C3">
        <w:rPr>
          <w:lang w:val="fr-FR"/>
        </w:rPr>
        <w:lastRenderedPageBreak/>
        <w:tab/>
        <w:t>I.</w:t>
      </w:r>
      <w:r w:rsidRPr="005E33C3">
        <w:rPr>
          <w:lang w:val="fr-FR"/>
        </w:rPr>
        <w:tab/>
        <w:t>Questions d’organisation et participation</w:t>
      </w:r>
    </w:p>
    <w:p w14:paraId="3E01C1B9" w14:textId="77777777" w:rsidR="00B969A9" w:rsidRPr="005E33C3" w:rsidRDefault="00B969A9" w:rsidP="00B969A9">
      <w:pPr>
        <w:spacing w:after="120"/>
        <w:ind w:left="1134" w:right="1134"/>
        <w:jc w:val="both"/>
        <w:rPr>
          <w:lang w:val="fr-FR"/>
        </w:rPr>
      </w:pPr>
      <w:r w:rsidRPr="005E33C3">
        <w:rPr>
          <w:lang w:val="fr-FR"/>
        </w:rPr>
        <w:t>1.</w:t>
      </w:r>
      <w:r w:rsidRPr="005E33C3">
        <w:rPr>
          <w:lang w:val="fr-FR"/>
        </w:rPr>
        <w:tab/>
        <w:t>Le Groupe de travail des transports de marchandises dangereuses a tenu sa 109e session du 4 au 7 mai 2021 sous la présidence de M</w:t>
      </w:r>
      <w:r w:rsidRPr="005E33C3">
        <w:rPr>
          <w:vertAlign w:val="superscript"/>
          <w:lang w:val="fr-FR"/>
        </w:rPr>
        <w:t>me</w:t>
      </w:r>
      <w:r w:rsidRPr="005E33C3">
        <w:rPr>
          <w:lang w:val="fr-FR"/>
        </w:rPr>
        <w:t> A. </w:t>
      </w:r>
      <w:proofErr w:type="spellStart"/>
      <w:r w:rsidRPr="005E33C3">
        <w:rPr>
          <w:lang w:val="fr-FR"/>
        </w:rPr>
        <w:t>Roumier</w:t>
      </w:r>
      <w:proofErr w:type="spellEnd"/>
      <w:r w:rsidRPr="005E33C3">
        <w:rPr>
          <w:lang w:val="fr-FR"/>
        </w:rPr>
        <w:t xml:space="preserve"> (France) et la vice-présidence de M. A. Simoni (Italie).</w:t>
      </w:r>
    </w:p>
    <w:p w14:paraId="6471B178" w14:textId="77777777" w:rsidR="00B969A9" w:rsidRPr="005E33C3" w:rsidRDefault="00B969A9" w:rsidP="00B969A9">
      <w:pPr>
        <w:keepNext/>
        <w:keepLines/>
        <w:tabs>
          <w:tab w:val="right" w:pos="851"/>
        </w:tabs>
        <w:spacing w:before="360" w:after="240" w:line="270" w:lineRule="exact"/>
        <w:ind w:left="1134" w:right="1134" w:hanging="1134"/>
        <w:rPr>
          <w:b/>
          <w:sz w:val="24"/>
          <w:lang w:val="fr-FR"/>
        </w:rPr>
      </w:pPr>
      <w:r w:rsidRPr="005E33C3">
        <w:rPr>
          <w:b/>
          <w:sz w:val="24"/>
          <w:lang w:val="fr-FR"/>
        </w:rPr>
        <w:tab/>
        <w:t>A.</w:t>
      </w:r>
      <w:r w:rsidRPr="005E33C3">
        <w:rPr>
          <w:b/>
          <w:sz w:val="24"/>
          <w:lang w:val="fr-FR"/>
        </w:rPr>
        <w:tab/>
        <w:t>Questions d’organisation</w:t>
      </w:r>
    </w:p>
    <w:p w14:paraId="78B22B92" w14:textId="17CAB822" w:rsidR="00B969A9" w:rsidRPr="005E33C3" w:rsidRDefault="00B969A9" w:rsidP="00B969A9">
      <w:pPr>
        <w:spacing w:after="120"/>
        <w:ind w:left="1134" w:right="1134"/>
        <w:jc w:val="both"/>
        <w:rPr>
          <w:lang w:val="fr-FR"/>
        </w:rPr>
      </w:pPr>
      <w:r w:rsidRPr="005E33C3">
        <w:rPr>
          <w:lang w:val="fr-FR"/>
        </w:rPr>
        <w:t>2.</w:t>
      </w:r>
      <w:r w:rsidRPr="005E33C3">
        <w:rPr>
          <w:lang w:val="fr-FR"/>
        </w:rPr>
        <w:tab/>
        <w:t>En raison d'une combinaison de mesures d'intervention COVID-19, de contraintes financières déclenchées par la crise de liquidités à laquelle l'Organisation des Nations Unies est confrontée, des travaux de rénovation en cours au Palais des Nations dans le cadre du Plan stratégique patrimonial et de contraintes techniques liées au nombre de salles de réunion disponibles pour les réunions hybrides, la part des services de réunion avec interprétation allouée à la Commission économique pour l'Europe a été réduite de trois séances par jour à une seule par jour pour le premier semestre 2021. Compte tenu de ces facteurs et des restrictions de quarantaine et de voyage en vigueur, et après consultation du secrétariat et des services de conférence de l’ONUG, le Bureau du Groupe de travail a accepté d’adapter le format de la 109e session.</w:t>
      </w:r>
    </w:p>
    <w:p w14:paraId="663E7E37" w14:textId="522DF816" w:rsidR="00B969A9" w:rsidRPr="005E33C3" w:rsidRDefault="00B969A9" w:rsidP="00B969A9">
      <w:pPr>
        <w:spacing w:after="120"/>
        <w:ind w:left="1134" w:right="1134"/>
        <w:jc w:val="both"/>
        <w:rPr>
          <w:lang w:val="fr-FR"/>
        </w:rPr>
      </w:pPr>
      <w:r w:rsidRPr="005E33C3">
        <w:rPr>
          <w:lang w:val="fr-FR"/>
        </w:rPr>
        <w:t>3.</w:t>
      </w:r>
      <w:r w:rsidRPr="005E33C3">
        <w:rPr>
          <w:lang w:val="fr-FR"/>
        </w:rPr>
        <w:tab/>
        <w:t xml:space="preserve">En conséquence et compte-tenu du fait que certains documents ne pouvaient être discutés en séances informelles, la session initialement prévue du 3 au 7 mai s’est tenue du 4 au 7 mai 2021, sous format hybride, avec la possibilité de participer en ligne ou en présentiel. Le Groupe de travail s’est réuni en séances informelles sans interprétation et en séances hybrides officielles suivant le calendrier présenté dans le document informel INF.14. Au cours des séances hybrides officielles il a pu prendre des décisions sur les propositions et adopter le projet de rapport de la réunion. </w:t>
      </w:r>
    </w:p>
    <w:p w14:paraId="067CFFB1" w14:textId="53F44356" w:rsidR="00B969A9" w:rsidRPr="005E33C3" w:rsidRDefault="00B969A9" w:rsidP="00B969A9">
      <w:pPr>
        <w:spacing w:after="120"/>
        <w:ind w:left="1134" w:right="1134"/>
        <w:jc w:val="both"/>
        <w:rPr>
          <w:lang w:val="fr-FR"/>
        </w:rPr>
      </w:pPr>
      <w:r w:rsidRPr="005E33C3">
        <w:rPr>
          <w:lang w:val="fr-FR"/>
        </w:rPr>
        <w:t>4.</w:t>
      </w:r>
      <w:r w:rsidRPr="005E33C3">
        <w:rPr>
          <w:lang w:val="fr-FR"/>
        </w:rPr>
        <w:tab/>
        <w:t>Plusieurs délégations non-anglophones ont exprimé leur regret de ne disposer que d’un nombre restreint de séances officielles avec interprétation. Le Groupe de travail est convenu que cette situation avait un impact sur l’efficacité de ses travaux. Le Groupe de travail a souhaité rappeler que la session d’automne de la Réunion commune et la 110e session du Groupe de travail seraient les dernières sessions de la période biennale pendant lesquelles la liste complète des amendements devant entrer en vigueur au 1</w:t>
      </w:r>
      <w:r w:rsidRPr="005E33C3">
        <w:rPr>
          <w:vertAlign w:val="superscript"/>
          <w:lang w:val="fr-FR"/>
        </w:rPr>
        <w:t>er</w:t>
      </w:r>
      <w:r w:rsidRPr="005E33C3">
        <w:rPr>
          <w:lang w:val="fr-FR"/>
        </w:rPr>
        <w:t xml:space="preserve"> janvier 2023 serait finalisée et adoptée. Il sera nécessaire de disposer, pour ces réunions, de l’ensemble des séances officielles avec interprétation prévues dans le Projet de programme de travail du sous-programme Transports pour 2021 (ECE/TRANS/2021/8) adopté par le Comité des Transports Intérieurs (CTI) et approuvé par le Comité exécutif à sa 115e session (voir EXCOM/CONCLU/115).</w:t>
      </w:r>
    </w:p>
    <w:p w14:paraId="0469D882" w14:textId="77777777" w:rsidR="00B969A9" w:rsidRPr="005E33C3" w:rsidRDefault="00B969A9" w:rsidP="00B969A9">
      <w:pPr>
        <w:keepNext/>
        <w:keepLines/>
        <w:tabs>
          <w:tab w:val="right" w:pos="851"/>
        </w:tabs>
        <w:spacing w:before="360" w:after="240" w:line="270" w:lineRule="exact"/>
        <w:ind w:left="1134" w:right="1134" w:hanging="1134"/>
        <w:rPr>
          <w:b/>
          <w:sz w:val="24"/>
          <w:lang w:val="fr-FR"/>
        </w:rPr>
      </w:pPr>
      <w:r w:rsidRPr="005E33C3">
        <w:rPr>
          <w:b/>
          <w:sz w:val="24"/>
          <w:lang w:val="fr-FR"/>
        </w:rPr>
        <w:tab/>
        <w:t>B.</w:t>
      </w:r>
      <w:r w:rsidRPr="005E33C3">
        <w:rPr>
          <w:b/>
          <w:sz w:val="24"/>
          <w:lang w:val="fr-FR"/>
        </w:rPr>
        <w:tab/>
        <w:t>Participation</w:t>
      </w:r>
    </w:p>
    <w:p w14:paraId="6BA3B756" w14:textId="46BC2757" w:rsidR="00B969A9" w:rsidRPr="005E33C3" w:rsidRDefault="00B969A9" w:rsidP="00B969A9">
      <w:pPr>
        <w:spacing w:after="120"/>
        <w:ind w:left="1134" w:right="1134"/>
        <w:jc w:val="both"/>
        <w:rPr>
          <w:lang w:val="fr-FR"/>
        </w:rPr>
      </w:pPr>
      <w:r w:rsidRPr="005E33C3">
        <w:rPr>
          <w:lang w:val="fr-FR"/>
        </w:rPr>
        <w:t>5.</w:t>
      </w:r>
      <w:r w:rsidRPr="005E33C3">
        <w:rPr>
          <w:lang w:val="fr-FR"/>
        </w:rPr>
        <w:tab/>
        <w:t xml:space="preserve">Ont pris part à la session des représentants des pays suivants : Allemagne, Autriche, Bélarus, Belgique, Danemark, Espagne, Fédération de Russie, Finlande, France, Italie, Lettonie, Norvège, Pays-Bas, Pologne, Portugal, République de Moldova, Roumanie, Royaume-Uni, </w:t>
      </w:r>
      <w:r w:rsidR="00CC7DB6" w:rsidRPr="005E33C3">
        <w:rPr>
          <w:lang w:val="fr-FR"/>
        </w:rPr>
        <w:t>Slovaquie</w:t>
      </w:r>
      <w:r w:rsidR="003027E3" w:rsidRPr="005E33C3">
        <w:rPr>
          <w:lang w:val="fr-FR"/>
        </w:rPr>
        <w:t xml:space="preserve">, </w:t>
      </w:r>
      <w:r w:rsidRPr="005E33C3">
        <w:rPr>
          <w:rFonts w:ascii="TimesNewRomanPSMT" w:hAnsi="TimesNewRomanPSMT" w:cs="TimesNewRomanPSMT"/>
          <w:lang w:val="fr-FR"/>
        </w:rPr>
        <w:t>Slovénie,</w:t>
      </w:r>
      <w:r w:rsidRPr="005E33C3">
        <w:rPr>
          <w:lang w:val="fr-FR"/>
        </w:rPr>
        <w:t xml:space="preserve"> Suède, Suisse et Turquie.</w:t>
      </w:r>
    </w:p>
    <w:p w14:paraId="30C127EE" w14:textId="764AF462" w:rsidR="00B969A9" w:rsidRPr="005E33C3" w:rsidRDefault="006D69EB" w:rsidP="00B969A9">
      <w:pPr>
        <w:spacing w:after="120"/>
        <w:ind w:left="1134" w:right="1134"/>
        <w:jc w:val="both"/>
        <w:rPr>
          <w:lang w:val="fr-FR"/>
        </w:rPr>
      </w:pPr>
      <w:r w:rsidRPr="005E33C3">
        <w:rPr>
          <w:lang w:val="fr-FR"/>
        </w:rPr>
        <w:t>6</w:t>
      </w:r>
      <w:r w:rsidR="00B969A9" w:rsidRPr="005E33C3">
        <w:rPr>
          <w:lang w:val="fr-FR"/>
        </w:rPr>
        <w:t>.</w:t>
      </w:r>
      <w:r w:rsidR="00B969A9" w:rsidRPr="005E33C3">
        <w:rPr>
          <w:lang w:val="fr-FR"/>
        </w:rPr>
        <w:tab/>
        <w:t>L’Union européenne était représentée.</w:t>
      </w:r>
    </w:p>
    <w:p w14:paraId="7D25AA21" w14:textId="348E5AB3" w:rsidR="00B969A9" w:rsidRPr="005E33C3" w:rsidRDefault="006D69EB" w:rsidP="00B969A9">
      <w:pPr>
        <w:spacing w:after="120"/>
        <w:ind w:left="1134" w:right="1134"/>
        <w:jc w:val="both"/>
        <w:rPr>
          <w:lang w:val="fr-FR"/>
        </w:rPr>
      </w:pPr>
      <w:r w:rsidRPr="005E33C3">
        <w:rPr>
          <w:lang w:val="fr-FR"/>
        </w:rPr>
        <w:t>7</w:t>
      </w:r>
      <w:r w:rsidR="00B969A9" w:rsidRPr="005E33C3">
        <w:rPr>
          <w:lang w:val="fr-FR"/>
        </w:rPr>
        <w:t>.</w:t>
      </w:r>
      <w:r w:rsidR="00B969A9" w:rsidRPr="005E33C3">
        <w:rPr>
          <w:lang w:val="fr-FR"/>
        </w:rPr>
        <w:tab/>
        <w:t>L’organisation intergouvernementale suivante était représentée : Organisation intergouvernementale pour les transports internationaux ferroviaires (OTIF).</w:t>
      </w:r>
    </w:p>
    <w:p w14:paraId="28FCAE93" w14:textId="66EB0B2B" w:rsidR="00B969A9" w:rsidRPr="005E33C3" w:rsidRDefault="006D69EB" w:rsidP="00B969A9">
      <w:pPr>
        <w:spacing w:after="120"/>
        <w:ind w:left="1134" w:right="1134"/>
        <w:jc w:val="both"/>
        <w:rPr>
          <w:lang w:val="fr-FR"/>
        </w:rPr>
      </w:pPr>
      <w:r w:rsidRPr="005E33C3">
        <w:rPr>
          <w:lang w:val="fr-FR"/>
        </w:rPr>
        <w:t>8</w:t>
      </w:r>
      <w:r w:rsidR="00B969A9" w:rsidRPr="005E33C3">
        <w:rPr>
          <w:lang w:val="fr-FR"/>
        </w:rPr>
        <w:t>.</w:t>
      </w:r>
      <w:r w:rsidR="00B969A9" w:rsidRPr="005E33C3">
        <w:rPr>
          <w:lang w:val="fr-FR"/>
        </w:rPr>
        <w:tab/>
        <w:t>Les organisations non gouvernementales suivantes étaient représentées : l’Association européenne des gaz industriels (EIGA), la Conférence européenne des négociants en combustibles et carburants (ECFD), le Conseil européen de l’industrie chimique (</w:t>
      </w:r>
      <w:proofErr w:type="spellStart"/>
      <w:r w:rsidR="00B969A9" w:rsidRPr="005E33C3">
        <w:rPr>
          <w:lang w:val="fr-FR"/>
        </w:rPr>
        <w:t>Cefic</w:t>
      </w:r>
      <w:proofErr w:type="spellEnd"/>
      <w:r w:rsidR="00B969A9" w:rsidRPr="005E33C3">
        <w:rPr>
          <w:lang w:val="fr-FR"/>
        </w:rPr>
        <w:t xml:space="preserve">), </w:t>
      </w:r>
      <w:proofErr w:type="spellStart"/>
      <w:r w:rsidR="00B969A9" w:rsidRPr="005E33C3">
        <w:rPr>
          <w:lang w:val="fr-FR"/>
        </w:rPr>
        <w:t>FuelsEurope</w:t>
      </w:r>
      <w:proofErr w:type="spellEnd"/>
      <w:r w:rsidR="00B969A9" w:rsidRPr="005E33C3">
        <w:rPr>
          <w:lang w:val="fr-FR"/>
        </w:rPr>
        <w:t xml:space="preserve">, </w:t>
      </w:r>
      <w:proofErr w:type="spellStart"/>
      <w:r w:rsidR="00B969A9" w:rsidRPr="005E33C3">
        <w:rPr>
          <w:lang w:val="fr-FR"/>
        </w:rPr>
        <w:t>Liquid</w:t>
      </w:r>
      <w:proofErr w:type="spellEnd"/>
      <w:r w:rsidR="00B969A9" w:rsidRPr="005E33C3">
        <w:rPr>
          <w:lang w:val="fr-FR"/>
        </w:rPr>
        <w:t xml:space="preserve"> Gas Europe,</w:t>
      </w:r>
      <w:r w:rsidR="00B969A9" w:rsidRPr="005E33C3" w:rsidDel="00B27B85">
        <w:rPr>
          <w:lang w:val="fr-FR"/>
        </w:rPr>
        <w:t xml:space="preserve"> </w:t>
      </w:r>
      <w:r w:rsidR="00B969A9" w:rsidRPr="005E33C3">
        <w:rPr>
          <w:lang w:val="fr-FR"/>
        </w:rPr>
        <w:t xml:space="preserve">l’Organisation internationale des constructeurs automobiles (OICA) et l’Union internationale des transports routiers (IRU). </w:t>
      </w:r>
    </w:p>
    <w:p w14:paraId="00C1F72D" w14:textId="77777777" w:rsidR="00B969A9" w:rsidRPr="005E33C3" w:rsidRDefault="00B969A9" w:rsidP="0080755A">
      <w:pPr>
        <w:pStyle w:val="HChG"/>
        <w:rPr>
          <w:lang w:val="fr-FR"/>
        </w:rPr>
      </w:pPr>
      <w:r w:rsidRPr="005E33C3">
        <w:rPr>
          <w:lang w:val="fr-FR"/>
        </w:rPr>
        <w:lastRenderedPageBreak/>
        <w:tab/>
        <w:t>II.</w:t>
      </w:r>
      <w:r w:rsidRPr="005E33C3">
        <w:rPr>
          <w:lang w:val="fr-FR"/>
        </w:rPr>
        <w:tab/>
        <w:t>Ouverture de la session</w:t>
      </w:r>
    </w:p>
    <w:p w14:paraId="2C342E8C" w14:textId="62185207" w:rsidR="00B969A9" w:rsidRPr="005E33C3" w:rsidRDefault="006D69EB" w:rsidP="00B969A9">
      <w:pPr>
        <w:spacing w:after="120"/>
        <w:ind w:left="1134" w:right="1134"/>
        <w:jc w:val="both"/>
        <w:rPr>
          <w:lang w:val="fr-FR"/>
        </w:rPr>
      </w:pPr>
      <w:r w:rsidRPr="005E33C3">
        <w:rPr>
          <w:lang w:val="fr-FR"/>
        </w:rPr>
        <w:t>9</w:t>
      </w:r>
      <w:r w:rsidR="00B969A9" w:rsidRPr="005E33C3">
        <w:rPr>
          <w:lang w:val="fr-FR"/>
        </w:rPr>
        <w:t>.</w:t>
      </w:r>
      <w:r w:rsidR="00B969A9" w:rsidRPr="005E33C3">
        <w:rPr>
          <w:lang w:val="fr-FR"/>
        </w:rPr>
        <w:tab/>
        <w:t>M. </w:t>
      </w:r>
      <w:proofErr w:type="spellStart"/>
      <w:r w:rsidR="00B969A9" w:rsidRPr="005E33C3">
        <w:rPr>
          <w:lang w:val="fr-FR"/>
        </w:rPr>
        <w:t>Dmitry</w:t>
      </w:r>
      <w:proofErr w:type="spellEnd"/>
      <w:r w:rsidR="00B969A9" w:rsidRPr="005E33C3">
        <w:rPr>
          <w:lang w:val="fr-FR"/>
        </w:rPr>
        <w:t xml:space="preserve"> </w:t>
      </w:r>
      <w:proofErr w:type="spellStart"/>
      <w:r w:rsidR="00B969A9" w:rsidRPr="005E33C3">
        <w:rPr>
          <w:lang w:val="fr-FR"/>
        </w:rPr>
        <w:t>Mariyasin</w:t>
      </w:r>
      <w:proofErr w:type="spellEnd"/>
      <w:r w:rsidR="00B969A9" w:rsidRPr="005E33C3">
        <w:rPr>
          <w:lang w:val="fr-FR"/>
        </w:rPr>
        <w:t>, Secrétaire exécutif adjoint de la CEE, a ouvert la session et souhaité la bienvenue à tous les participants. Il a souligné l’importance de l’ADR notamment en ces temps d’épidémie de COVID-19 où les transports de marchandises dangereuses à usage médical doivent continuer à être assurés dans les meilleurs conditions possibles. Il s’est félicité des mesures prises par les autorités compétentes en ce sens, notamment la signature d’accords multilatéraux ayant pour objectif de maintenir la continuité du service dans un cadre juridique et institutionnel et avec suffisamment de garanties de sécurité. Il a également souligné l’importance des travaux sur l'utilisation des véhicules électriques à batterie et des véhicules à pile à hydrogène pour le transport de marchandises dangereuses dans le cadre de la transition énergétique.</w:t>
      </w:r>
    </w:p>
    <w:p w14:paraId="68EA8959" w14:textId="77777777" w:rsidR="00B969A9" w:rsidRPr="005E33C3" w:rsidRDefault="00B969A9" w:rsidP="0080755A">
      <w:pPr>
        <w:pStyle w:val="HChG"/>
        <w:rPr>
          <w:lang w:val="fr-FR"/>
        </w:rPr>
      </w:pPr>
      <w:r w:rsidRPr="005E33C3">
        <w:rPr>
          <w:lang w:val="fr-FR"/>
        </w:rPr>
        <w:tab/>
        <w:t>III.</w:t>
      </w:r>
      <w:r w:rsidRPr="005E33C3">
        <w:rPr>
          <w:lang w:val="fr-FR"/>
        </w:rPr>
        <w:tab/>
      </w:r>
      <w:bookmarkStart w:id="1" w:name="_Hlk6316889"/>
      <w:r w:rsidRPr="005E33C3">
        <w:rPr>
          <w:lang w:val="fr-FR"/>
        </w:rPr>
        <w:t>Adoption de l’ordre du jour (point 1 de l’ordre du jour)</w:t>
      </w:r>
      <w:bookmarkStart w:id="2" w:name="_Toc499903630"/>
      <w:bookmarkEnd w:id="1"/>
      <w:bookmarkEnd w:id="2"/>
    </w:p>
    <w:p w14:paraId="08A41488" w14:textId="77777777" w:rsidR="00B969A9" w:rsidRPr="005E33C3" w:rsidRDefault="00B969A9" w:rsidP="00B969A9">
      <w:pPr>
        <w:ind w:left="3402" w:right="1134" w:hanging="2268"/>
        <w:jc w:val="both"/>
        <w:rPr>
          <w:lang w:val="fr-FR"/>
        </w:rPr>
      </w:pPr>
      <w:r w:rsidRPr="005E33C3">
        <w:rPr>
          <w:i/>
          <w:iCs/>
          <w:lang w:val="fr-FR"/>
        </w:rPr>
        <w:t>Documents </w:t>
      </w:r>
      <w:r w:rsidRPr="005E33C3">
        <w:rPr>
          <w:iCs/>
          <w:lang w:val="fr-FR"/>
        </w:rPr>
        <w:t>:</w:t>
      </w:r>
      <w:r w:rsidRPr="005E33C3">
        <w:rPr>
          <w:lang w:val="fr-FR"/>
        </w:rPr>
        <w:tab/>
        <w:t>ECE/TRANS/WP.15/252 et Add.1 (secrétariat)</w:t>
      </w:r>
    </w:p>
    <w:p w14:paraId="19B46480" w14:textId="77777777" w:rsidR="00B969A9" w:rsidRPr="005E33C3" w:rsidRDefault="00B969A9" w:rsidP="00B969A9">
      <w:pPr>
        <w:spacing w:after="120"/>
        <w:ind w:left="3402" w:right="1134" w:hanging="2268"/>
        <w:jc w:val="both"/>
        <w:rPr>
          <w:lang w:val="fr-FR"/>
        </w:rPr>
      </w:pPr>
      <w:r w:rsidRPr="005E33C3">
        <w:rPr>
          <w:i/>
          <w:iCs/>
          <w:lang w:val="fr-FR"/>
        </w:rPr>
        <w:t>Documents informels </w:t>
      </w:r>
      <w:r w:rsidRPr="005E33C3">
        <w:rPr>
          <w:lang w:val="fr-FR"/>
        </w:rPr>
        <w:t>:</w:t>
      </w:r>
      <w:r w:rsidRPr="005E33C3">
        <w:rPr>
          <w:lang w:val="fr-FR"/>
        </w:rPr>
        <w:tab/>
        <w:t>INF.1, INF.2, INF.14 et INF.15 (secrétariat)</w:t>
      </w:r>
    </w:p>
    <w:p w14:paraId="388033BB" w14:textId="2713F1CD" w:rsidR="00B969A9" w:rsidRPr="005E33C3" w:rsidRDefault="001F7525" w:rsidP="00B969A9">
      <w:pPr>
        <w:spacing w:after="120"/>
        <w:ind w:left="1134" w:right="1134"/>
        <w:jc w:val="both"/>
        <w:rPr>
          <w:lang w:val="fr-FR"/>
        </w:rPr>
      </w:pPr>
      <w:r w:rsidRPr="005E33C3">
        <w:rPr>
          <w:lang w:val="fr-FR"/>
        </w:rPr>
        <w:t>10</w:t>
      </w:r>
      <w:r w:rsidR="00B969A9" w:rsidRPr="005E33C3">
        <w:rPr>
          <w:lang w:val="fr-FR"/>
        </w:rPr>
        <w:t>.</w:t>
      </w:r>
      <w:r w:rsidR="00B969A9" w:rsidRPr="005E33C3">
        <w:rPr>
          <w:lang w:val="fr-FR"/>
        </w:rPr>
        <w:tab/>
        <w:t>Le Groupe de travail a adopté l’ordre du jour provisoire établi par le secrétariat, tel que modifié par le document informel INF.2 pour tenir compte des documents informels INF.1 à INF.20. Le Groupe de travail a noté que le document informel INF.3 avait été retiré car publié par erreur.</w:t>
      </w:r>
    </w:p>
    <w:p w14:paraId="294D4D60" w14:textId="77777777" w:rsidR="00B969A9" w:rsidRPr="005E33C3" w:rsidRDefault="00B969A9" w:rsidP="0080755A">
      <w:pPr>
        <w:pStyle w:val="HChG"/>
        <w:rPr>
          <w:lang w:val="fr-FR"/>
        </w:rPr>
      </w:pPr>
      <w:r w:rsidRPr="005E33C3">
        <w:rPr>
          <w:lang w:val="fr-FR"/>
        </w:rPr>
        <w:tab/>
        <w:t>IV.</w:t>
      </w:r>
      <w:r w:rsidRPr="005E33C3">
        <w:rPr>
          <w:lang w:val="fr-FR"/>
        </w:rPr>
        <w:tab/>
        <w:t>Quatre-vingt-troisième session du Comité des transports intérieurs (point 2 de l’ordre du jour)</w:t>
      </w:r>
    </w:p>
    <w:p w14:paraId="5D77D5C1" w14:textId="77777777" w:rsidR="007846B5" w:rsidRPr="005E33C3" w:rsidRDefault="007846B5" w:rsidP="007846B5">
      <w:pPr>
        <w:keepNext/>
        <w:keepLines/>
        <w:tabs>
          <w:tab w:val="left" w:pos="3402"/>
        </w:tabs>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ECE/TRANS/2021/3 (</w:t>
      </w:r>
      <w:r w:rsidRPr="005E33C3">
        <w:rPr>
          <w:bCs/>
          <w:lang w:val="fr-FR"/>
        </w:rPr>
        <w:t>Mise en œuvre de la stratégie du CTI</w:t>
      </w:r>
      <w:r w:rsidRPr="005E33C3">
        <w:rPr>
          <w:bCs/>
          <w:lang w:val="fr-FR"/>
        </w:rPr>
        <w:br/>
      </w:r>
      <w:r w:rsidRPr="005E33C3">
        <w:rPr>
          <w:bCs/>
          <w:lang w:val="fr-FR"/>
        </w:rPr>
        <w:tab/>
        <w:t>à l’horizon 2030</w:t>
      </w:r>
      <w:r w:rsidRPr="005E33C3">
        <w:rPr>
          <w:lang w:val="fr-FR"/>
        </w:rPr>
        <w:t>)</w:t>
      </w:r>
    </w:p>
    <w:p w14:paraId="5950229B" w14:textId="77777777" w:rsidR="007846B5" w:rsidRPr="005E33C3" w:rsidRDefault="007846B5" w:rsidP="007846B5">
      <w:pPr>
        <w:spacing w:after="120"/>
        <w:ind w:left="3402" w:right="1134" w:hanging="2268"/>
        <w:rPr>
          <w:lang w:val="fr-FR"/>
        </w:rPr>
      </w:pPr>
      <w:r w:rsidRPr="005E33C3">
        <w:rPr>
          <w:i/>
          <w:iCs/>
          <w:lang w:val="fr-FR"/>
        </w:rPr>
        <w:t>Documents informels </w:t>
      </w:r>
      <w:r w:rsidRPr="005E33C3">
        <w:rPr>
          <w:lang w:val="fr-FR"/>
        </w:rPr>
        <w:t>:</w:t>
      </w:r>
      <w:r w:rsidRPr="005E33C3">
        <w:rPr>
          <w:lang w:val="fr-FR"/>
        </w:rPr>
        <w:tab/>
        <w:t>Document informel No. 8/Rev.5 de la quatre-vingt-troisième session du Comité des transports intérieurs</w:t>
      </w:r>
      <w:r w:rsidRPr="005E33C3">
        <w:rPr>
          <w:lang w:val="fr-FR"/>
        </w:rPr>
        <w:br/>
        <w:t>Document informel INF.20</w:t>
      </w:r>
    </w:p>
    <w:p w14:paraId="724C77D0" w14:textId="432FFD5F" w:rsidR="007846B5" w:rsidRPr="005E33C3" w:rsidRDefault="001F7525" w:rsidP="007846B5">
      <w:pPr>
        <w:spacing w:after="120"/>
        <w:ind w:left="1134" w:right="1134"/>
        <w:jc w:val="both"/>
        <w:rPr>
          <w:lang w:val="fr-FR"/>
        </w:rPr>
      </w:pPr>
      <w:r w:rsidRPr="005E33C3">
        <w:rPr>
          <w:lang w:val="fr-FR"/>
        </w:rPr>
        <w:t>11</w:t>
      </w:r>
      <w:r w:rsidR="007846B5" w:rsidRPr="005E33C3">
        <w:rPr>
          <w:lang w:val="fr-FR"/>
        </w:rPr>
        <w:t>.</w:t>
      </w:r>
      <w:r w:rsidR="007846B5" w:rsidRPr="005E33C3">
        <w:rPr>
          <w:lang w:val="fr-FR"/>
        </w:rPr>
        <w:tab/>
        <w:t>Le Groupe de travail a pris note des décisions du CTI sur sa quatre-vingt-troisième session (Genève, 23</w:t>
      </w:r>
      <w:r w:rsidR="007846B5" w:rsidRPr="005E33C3">
        <w:rPr>
          <w:lang w:val="fr-FR"/>
        </w:rPr>
        <w:noBreakHyphen/>
        <w:t>26 février 2021) et notamment des décisions 50 à 55 concernant les activités relatives au transport de marchandises dangereuses et aux travaux du Groupe de travail.</w:t>
      </w:r>
    </w:p>
    <w:p w14:paraId="7A9D48CA" w14:textId="67D1D237" w:rsidR="007846B5" w:rsidRPr="005E33C3" w:rsidRDefault="00E5164C" w:rsidP="007846B5">
      <w:pPr>
        <w:spacing w:after="120"/>
        <w:ind w:left="1134" w:right="1134"/>
        <w:jc w:val="both"/>
        <w:rPr>
          <w:lang w:val="fr-FR"/>
        </w:rPr>
      </w:pPr>
      <w:r w:rsidRPr="005E33C3">
        <w:rPr>
          <w:lang w:val="fr-FR"/>
        </w:rPr>
        <w:t>12</w:t>
      </w:r>
      <w:r w:rsidR="007846B5" w:rsidRPr="005E33C3">
        <w:rPr>
          <w:lang w:val="fr-FR"/>
        </w:rPr>
        <w:t>.</w:t>
      </w:r>
      <w:r w:rsidR="007846B5" w:rsidRPr="005E33C3">
        <w:rPr>
          <w:lang w:val="fr-FR"/>
        </w:rPr>
        <w:tab/>
        <w:t xml:space="preserve">Le Groupe de travail a noté avec intérêt les travaux relatifs à la mise en œuvre de la Stratégie du Comité à l’horizon 2030 et les actions requises listées dans le document ECE/TRANS/2021/3. </w:t>
      </w:r>
    </w:p>
    <w:p w14:paraId="7EFE72AD" w14:textId="2E99F4DB" w:rsidR="007846B5" w:rsidRPr="005E33C3" w:rsidRDefault="00E5164C" w:rsidP="007846B5">
      <w:pPr>
        <w:spacing w:after="120"/>
        <w:ind w:left="1134" w:right="1134"/>
        <w:jc w:val="both"/>
        <w:rPr>
          <w:lang w:val="fr-FR"/>
        </w:rPr>
      </w:pPr>
      <w:r w:rsidRPr="005E33C3">
        <w:rPr>
          <w:lang w:val="fr-FR"/>
        </w:rPr>
        <w:t>13</w:t>
      </w:r>
      <w:r w:rsidR="007846B5" w:rsidRPr="005E33C3">
        <w:rPr>
          <w:lang w:val="fr-FR"/>
        </w:rPr>
        <w:t>.</w:t>
      </w:r>
      <w:r w:rsidR="007846B5" w:rsidRPr="005E33C3">
        <w:rPr>
          <w:lang w:val="fr-FR"/>
        </w:rPr>
        <w:tab/>
        <w:t>La présidente du Groupe de travail a indiqué qu’elle transmettrait un rapport d’étape au secrétariat du CTI quant à l’avancement de la mise en œuvre de la stratégie au sein du Groupe de travail et aux éventuels ajouts et modifications nécessaires dans le tableau « Etat d’avancement et prochaines étapes » du document ECE/TRANS/2021/3. Les délégations qui le souhaiteraient pourront envoyer leur commentaires et propositions d’ajouts et modifications à la présidente du Groupe de travail avant le 1</w:t>
      </w:r>
      <w:r w:rsidR="007846B5" w:rsidRPr="005E33C3">
        <w:rPr>
          <w:vertAlign w:val="superscript"/>
          <w:lang w:val="fr-FR"/>
        </w:rPr>
        <w:t>er</w:t>
      </w:r>
      <w:r w:rsidR="007846B5" w:rsidRPr="005E33C3">
        <w:rPr>
          <w:lang w:val="fr-FR"/>
        </w:rPr>
        <w:t xml:space="preserve"> juillet 2021 afin que ceux-ci puissent être rapportés au Bureau du CTI à sa session de novembre 2021. </w:t>
      </w:r>
    </w:p>
    <w:p w14:paraId="1BFAA31C" w14:textId="77777777" w:rsidR="00C46351" w:rsidRPr="005E33C3" w:rsidRDefault="00C46351" w:rsidP="0080755A">
      <w:pPr>
        <w:pStyle w:val="HChG"/>
        <w:rPr>
          <w:lang w:val="fr-FR"/>
        </w:rPr>
      </w:pPr>
      <w:r w:rsidRPr="005E33C3">
        <w:rPr>
          <w:lang w:val="fr-FR"/>
        </w:rPr>
        <w:tab/>
        <w:t>V.</w:t>
      </w:r>
      <w:r w:rsidRPr="005E33C3">
        <w:rPr>
          <w:lang w:val="fr-FR"/>
        </w:rPr>
        <w:tab/>
        <w:t>État de l’Accord relatif au transport international des marchandises dangereuses par route (ADR) et questions connexes (point 3 de l’ordre du jour)</w:t>
      </w:r>
    </w:p>
    <w:p w14:paraId="79502EED" w14:textId="63534D99" w:rsidR="00C46351" w:rsidRPr="005E33C3" w:rsidRDefault="00E5164C" w:rsidP="00C46351">
      <w:pPr>
        <w:spacing w:after="120"/>
        <w:ind w:left="1134" w:right="1134"/>
        <w:jc w:val="both"/>
        <w:rPr>
          <w:lang w:val="fr-FR"/>
        </w:rPr>
      </w:pPr>
      <w:r w:rsidRPr="005E33C3">
        <w:rPr>
          <w:lang w:val="fr-FR"/>
        </w:rPr>
        <w:t>14</w:t>
      </w:r>
      <w:r w:rsidR="00C46351" w:rsidRPr="005E33C3">
        <w:rPr>
          <w:lang w:val="fr-FR"/>
        </w:rPr>
        <w:t>.</w:t>
      </w:r>
      <w:r w:rsidR="00C46351" w:rsidRPr="005E33C3">
        <w:rPr>
          <w:lang w:val="fr-FR"/>
        </w:rPr>
        <w:tab/>
        <w:t xml:space="preserve">Le Groupe de travail a noté que treize pays (Azerbaïdjan, Bélarus, Bosnie-Herzégovine, Croatie, Géorgie, Islande, Kazakhstan, Macédoine du Nord, Maroc, Monténégro, Nigéria, San Marin et Tadjikistan) n’ont pas encore déposé l’instrument juridique approprié pour que le Protocole de 1993 portant amendement des articles 1 a), 14 </w:t>
      </w:r>
      <w:r w:rsidR="00C46351" w:rsidRPr="005E33C3">
        <w:rPr>
          <w:lang w:val="fr-FR"/>
        </w:rPr>
        <w:lastRenderedPageBreak/>
        <w:t xml:space="preserve">(1) et 14 (3) b) de l’ADR) puisse entrer en vigueur et a encouragé ces pays à prendre les mesures nécessaires pour ratifier ou accéder à ce Protocole, afin qu’il puisse prendre effet. </w:t>
      </w:r>
    </w:p>
    <w:p w14:paraId="14253E6D" w14:textId="77777777" w:rsidR="00C46351" w:rsidRPr="005E33C3" w:rsidRDefault="00C46351" w:rsidP="0080755A">
      <w:pPr>
        <w:pStyle w:val="HChG"/>
        <w:rPr>
          <w:lang w:val="fr-FR"/>
        </w:rPr>
      </w:pPr>
      <w:r w:rsidRPr="005E33C3">
        <w:rPr>
          <w:lang w:val="fr-FR"/>
        </w:rPr>
        <w:tab/>
        <w:t>VI.</w:t>
      </w:r>
      <w:r w:rsidRPr="005E33C3">
        <w:rPr>
          <w:lang w:val="fr-FR"/>
        </w:rPr>
        <w:tab/>
        <w:t>Travaux de la Réunion commune RID/ADR/ADN (point 4 de l’ordre du jour)</w:t>
      </w:r>
    </w:p>
    <w:p w14:paraId="73D886AE" w14:textId="77777777" w:rsidR="00C46351" w:rsidRPr="005E33C3" w:rsidRDefault="00C46351" w:rsidP="00C46351">
      <w:pPr>
        <w:keepNext/>
        <w:keepLines/>
        <w:tabs>
          <w:tab w:val="left" w:pos="3402"/>
        </w:tabs>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 xml:space="preserve">ECE/TRANS/WP.15/AC.1/158 (Rapport de la Réunion </w:t>
      </w:r>
      <w:r w:rsidRPr="005E33C3">
        <w:rPr>
          <w:lang w:val="fr-FR"/>
        </w:rPr>
        <w:tab/>
      </w:r>
      <w:r w:rsidRPr="005E33C3">
        <w:rPr>
          <w:lang w:val="fr-FR"/>
        </w:rPr>
        <w:tab/>
        <w:t>commune sur sa session d’automne 2020)</w:t>
      </w:r>
    </w:p>
    <w:p w14:paraId="54B3AC0F" w14:textId="77777777" w:rsidR="00C46351" w:rsidRPr="005E33C3" w:rsidRDefault="00C46351" w:rsidP="00C46351">
      <w:pPr>
        <w:tabs>
          <w:tab w:val="left" w:pos="3000"/>
        </w:tabs>
        <w:spacing w:after="120"/>
        <w:ind w:left="2268" w:right="1134" w:hanging="1134"/>
        <w:rPr>
          <w:szCs w:val="24"/>
          <w:lang w:val="fr-FR"/>
        </w:rPr>
      </w:pPr>
      <w:r w:rsidRPr="005E33C3">
        <w:rPr>
          <w:i/>
          <w:lang w:val="fr-FR"/>
        </w:rPr>
        <w:t>Document informel </w:t>
      </w:r>
      <w:r w:rsidRPr="005E33C3">
        <w:rPr>
          <w:lang w:val="fr-FR"/>
        </w:rPr>
        <w:t>:</w:t>
      </w:r>
      <w:r w:rsidRPr="005E33C3">
        <w:rPr>
          <w:lang w:val="fr-FR"/>
        </w:rPr>
        <w:tab/>
      </w:r>
      <w:r w:rsidRPr="005E33C3">
        <w:rPr>
          <w:lang w:val="fr-FR"/>
        </w:rPr>
        <w:tab/>
        <w:t>INF.11 (Secrétariat)</w:t>
      </w:r>
    </w:p>
    <w:p w14:paraId="0BDC9631" w14:textId="385C4496" w:rsidR="00C46351" w:rsidRPr="005E33C3" w:rsidRDefault="00E5164C" w:rsidP="00C46351">
      <w:pPr>
        <w:spacing w:after="120"/>
        <w:ind w:left="1134" w:right="1134"/>
        <w:jc w:val="both"/>
        <w:rPr>
          <w:lang w:val="fr-FR"/>
        </w:rPr>
      </w:pPr>
      <w:r w:rsidRPr="005E33C3">
        <w:rPr>
          <w:lang w:val="fr-FR"/>
        </w:rPr>
        <w:t>15</w:t>
      </w:r>
      <w:r w:rsidR="00C46351" w:rsidRPr="005E33C3">
        <w:rPr>
          <w:lang w:val="fr-FR"/>
        </w:rPr>
        <w:t>.</w:t>
      </w:r>
      <w:r w:rsidR="00C46351" w:rsidRPr="005E33C3">
        <w:rPr>
          <w:lang w:val="fr-FR"/>
        </w:rPr>
        <w:tab/>
        <w:t>A la session précédente, plusieurs délégations avaient souhaité avoir plus de temps pour étudier les lignes directrices multimodales (</w:t>
      </w:r>
      <w:proofErr w:type="spellStart"/>
      <w:r w:rsidR="00C46351" w:rsidRPr="005E33C3">
        <w:rPr>
          <w:lang w:val="fr-FR"/>
        </w:rPr>
        <w:t>Inland</w:t>
      </w:r>
      <w:proofErr w:type="spellEnd"/>
      <w:r w:rsidR="00C46351" w:rsidRPr="005E33C3">
        <w:rPr>
          <w:lang w:val="fr-FR"/>
        </w:rPr>
        <w:t xml:space="preserve"> TDG Risk Management Framework) de l’Union européenne avant d’adopter l’ajout d’une référence non contraignante à ces lignes directrices au 1.9.4. Des délégations ont à nouveau indiqué qu’elles considéraient qu’il était prématuré d’ajouter cette référence dans l’ADR dans la mesure où ces lignes directrices étaient toujours en cours de développement et devraient encore être alimentées par de nouvelles données. Il a été rappelé que l’utilisation de ces lignes directrices aurait un caractère non obligatoire. Le Groupe de travail a adopté </w:t>
      </w:r>
      <w:bookmarkStart w:id="3" w:name="_Hlk71029095"/>
      <w:bookmarkStart w:id="4" w:name="_Hlk71029049"/>
      <w:r w:rsidR="00C46351" w:rsidRPr="005E33C3">
        <w:rPr>
          <w:lang w:val="fr-FR"/>
        </w:rPr>
        <w:t>l’amendement au 1.9.4</w:t>
      </w:r>
      <w:bookmarkEnd w:id="3"/>
      <w:r w:rsidR="00C46351" w:rsidRPr="005E33C3">
        <w:rPr>
          <w:lang w:val="fr-FR"/>
        </w:rPr>
        <w:t xml:space="preserve"> </w:t>
      </w:r>
      <w:proofErr w:type="gramStart"/>
      <w:r w:rsidR="00C46351" w:rsidRPr="005E33C3">
        <w:rPr>
          <w:lang w:val="fr-FR"/>
        </w:rPr>
        <w:t>figurant</w:t>
      </w:r>
      <w:proofErr w:type="gramEnd"/>
      <w:r w:rsidR="00C46351" w:rsidRPr="005E33C3">
        <w:rPr>
          <w:lang w:val="fr-FR"/>
        </w:rPr>
        <w:t xml:space="preserve"> en annexe II du document ECE/TRANS/WP.15/AC.1/158 (voir annexe </w:t>
      </w:r>
      <w:bookmarkEnd w:id="4"/>
      <w:r w:rsidR="00806E91" w:rsidRPr="005E33C3">
        <w:rPr>
          <w:lang w:val="fr-FR"/>
        </w:rPr>
        <w:t xml:space="preserve">I) </w:t>
      </w:r>
      <w:r w:rsidR="00C46351" w:rsidRPr="005E33C3">
        <w:rPr>
          <w:lang w:val="fr-FR"/>
        </w:rPr>
        <w:t>et a invité les délégations qui souhaiterait revenir sur cet amendement à transmettre leurs commentaires à la Réunion commune.</w:t>
      </w:r>
    </w:p>
    <w:p w14:paraId="7FC05CA9" w14:textId="6D20F955" w:rsidR="00C46351" w:rsidRPr="005E33C3" w:rsidRDefault="00E5164C" w:rsidP="00C46351">
      <w:pPr>
        <w:spacing w:after="120"/>
        <w:ind w:left="1134" w:right="1134"/>
        <w:jc w:val="both"/>
        <w:rPr>
          <w:lang w:val="fr-FR"/>
        </w:rPr>
      </w:pPr>
      <w:r w:rsidRPr="005E33C3">
        <w:rPr>
          <w:lang w:val="fr-FR"/>
        </w:rPr>
        <w:t>16</w:t>
      </w:r>
      <w:r w:rsidR="00C46351" w:rsidRPr="005E33C3">
        <w:rPr>
          <w:lang w:val="fr-FR"/>
        </w:rPr>
        <w:t>.</w:t>
      </w:r>
      <w:r w:rsidR="00C46351" w:rsidRPr="005E33C3">
        <w:rPr>
          <w:lang w:val="fr-FR"/>
        </w:rPr>
        <w:tab/>
        <w:t xml:space="preserve">Le Groupe de travail a entériné les amendements adoptés par la Réunion commune à sa session de printemps 2021 tels que reproduits dans le document informel INF.11 en anglais, français et russe avec quelques modifications éditoriales (voir annexe </w:t>
      </w:r>
      <w:r w:rsidR="00943A15" w:rsidRPr="005E33C3">
        <w:rPr>
          <w:lang w:val="fr-FR"/>
        </w:rPr>
        <w:t xml:space="preserve">I). </w:t>
      </w:r>
      <w:r w:rsidR="00C46351" w:rsidRPr="005E33C3">
        <w:rPr>
          <w:lang w:val="fr-FR"/>
        </w:rPr>
        <w:t>Les amendements figurant entre crochet seront confirmés lors de la 110e session après un nouvel examen à la prochaine session de la Réunion commune.</w:t>
      </w:r>
    </w:p>
    <w:p w14:paraId="36EF405F" w14:textId="2BA8A1DE" w:rsidR="00586E6E" w:rsidRPr="005E33C3" w:rsidRDefault="00E5164C" w:rsidP="00586E6E">
      <w:pPr>
        <w:spacing w:after="120"/>
        <w:ind w:left="1134" w:right="1134"/>
        <w:jc w:val="both"/>
        <w:rPr>
          <w:lang w:val="fr-FR"/>
        </w:rPr>
      </w:pPr>
      <w:r w:rsidRPr="005E33C3">
        <w:rPr>
          <w:lang w:val="fr-FR"/>
        </w:rPr>
        <w:t>17</w:t>
      </w:r>
      <w:r w:rsidR="00586E6E" w:rsidRPr="005E33C3">
        <w:rPr>
          <w:lang w:val="fr-FR"/>
        </w:rPr>
        <w:t>.</w:t>
      </w:r>
      <w:r w:rsidR="00586E6E" w:rsidRPr="005E33C3">
        <w:rPr>
          <w:lang w:val="fr-FR"/>
        </w:rPr>
        <w:tab/>
        <w:t xml:space="preserve">Le Groupe de travail a noté que les termes « expéditeur chargé du transport ADR » </w:t>
      </w:r>
      <w:r w:rsidR="005811E4" w:rsidRPr="005E33C3">
        <w:rPr>
          <w:lang w:val="fr-FR"/>
        </w:rPr>
        <w:t xml:space="preserve">dans le nouveau 1.1.4.7 </w:t>
      </w:r>
      <w:r w:rsidR="00586E6E" w:rsidRPr="005E33C3">
        <w:rPr>
          <w:lang w:val="fr-FR"/>
        </w:rPr>
        <w:t xml:space="preserve">devaient encore être précisés et que le secrétariat de l’OTIF allait préparer un document sur ce point pour considération par la Réunion commune à sa prochaine session. </w:t>
      </w:r>
    </w:p>
    <w:p w14:paraId="138553BC" w14:textId="7F56841B" w:rsidR="00586E6E" w:rsidRPr="005E33C3" w:rsidRDefault="00A00DBD" w:rsidP="00586E6E">
      <w:pPr>
        <w:spacing w:after="120"/>
        <w:ind w:left="1134" w:right="1134"/>
        <w:jc w:val="both"/>
        <w:rPr>
          <w:lang w:val="fr-FR"/>
        </w:rPr>
      </w:pPr>
      <w:r w:rsidRPr="005E33C3">
        <w:rPr>
          <w:lang w:val="fr-FR"/>
        </w:rPr>
        <w:t>18</w:t>
      </w:r>
      <w:r w:rsidR="00586E6E" w:rsidRPr="005E33C3">
        <w:rPr>
          <w:lang w:val="fr-FR"/>
        </w:rPr>
        <w:t>. Le Groupe de travail a également recommandé que certains acronymes correspondant à des termes français, repris dans la version anglaise de la nouvelle section 1.2.3, pourraient être assortie d’une mention indiquant le terme français correspondant comme cela se fait dans la version française, par exemple pour l’acronyme CSI. Cela concernerait notamment les termes ADN, UIC et RID. Le Groupe de travail a demandé au secrétariat d’étudier les acronymes qui pourraient être concernés en collaboration avec le secrétariat de l’OTIF.</w:t>
      </w:r>
    </w:p>
    <w:p w14:paraId="0B6BBA54" w14:textId="77777777" w:rsidR="00E66394" w:rsidRPr="005E33C3" w:rsidRDefault="00E66394" w:rsidP="0080755A">
      <w:pPr>
        <w:pStyle w:val="HChG"/>
        <w:rPr>
          <w:lang w:val="fr-FR"/>
        </w:rPr>
      </w:pPr>
      <w:r w:rsidRPr="005E33C3">
        <w:rPr>
          <w:lang w:val="fr-FR"/>
        </w:rPr>
        <w:tab/>
        <w:t>VII.</w:t>
      </w:r>
      <w:r w:rsidRPr="005E33C3">
        <w:rPr>
          <w:lang w:val="fr-FR"/>
        </w:rPr>
        <w:tab/>
        <w:t xml:space="preserve">Propositions d’amendements aux annexes A et B de l’ADR (point 5 de l’ordre du jour) </w:t>
      </w:r>
    </w:p>
    <w:p w14:paraId="72A0994F" w14:textId="77777777" w:rsidR="000A5DAC" w:rsidRPr="005E33C3" w:rsidRDefault="000A5DAC" w:rsidP="0080755A">
      <w:pPr>
        <w:pStyle w:val="H1G"/>
        <w:rPr>
          <w:lang w:val="fr-FR"/>
        </w:rPr>
      </w:pPr>
      <w:r w:rsidRPr="005E33C3">
        <w:rPr>
          <w:lang w:val="fr-FR"/>
        </w:rPr>
        <w:tab/>
        <w:t>A.</w:t>
      </w:r>
      <w:r w:rsidRPr="005E33C3">
        <w:rPr>
          <w:lang w:val="fr-FR"/>
        </w:rPr>
        <w:tab/>
        <w:t>Construction et agrément des véhicules</w:t>
      </w:r>
    </w:p>
    <w:p w14:paraId="1626738C" w14:textId="77777777" w:rsidR="000A5DAC" w:rsidRPr="005E33C3" w:rsidRDefault="000A5DAC" w:rsidP="0080755A">
      <w:pPr>
        <w:pStyle w:val="H23G"/>
        <w:rPr>
          <w:lang w:val="fr-FR"/>
        </w:rPr>
      </w:pPr>
      <w:r w:rsidRPr="005E33C3">
        <w:rPr>
          <w:lang w:val="fr-FR"/>
        </w:rPr>
        <w:tab/>
        <w:t>1.</w:t>
      </w:r>
      <w:r w:rsidRPr="005E33C3">
        <w:rPr>
          <w:lang w:val="fr-FR"/>
        </w:rPr>
        <w:tab/>
        <w:t>Protection arrière des véhicules</w:t>
      </w:r>
    </w:p>
    <w:p w14:paraId="5C2B8179" w14:textId="77777777" w:rsidR="000A5DAC" w:rsidRPr="005E33C3" w:rsidRDefault="000A5DAC" w:rsidP="000A5DAC">
      <w:pPr>
        <w:keepNext/>
        <w:keepLines/>
        <w:tabs>
          <w:tab w:val="left" w:pos="3402"/>
        </w:tabs>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ECE/TRANS/WP.15/2021/7 (France)</w:t>
      </w:r>
    </w:p>
    <w:p w14:paraId="0C12E0F7" w14:textId="77777777" w:rsidR="000A5DAC" w:rsidRPr="005E33C3" w:rsidRDefault="000A5DAC" w:rsidP="000A5DAC">
      <w:pPr>
        <w:tabs>
          <w:tab w:val="left" w:pos="3000"/>
        </w:tabs>
        <w:spacing w:after="120"/>
        <w:ind w:left="2268" w:right="1134" w:hanging="1134"/>
        <w:rPr>
          <w:szCs w:val="24"/>
          <w:lang w:val="fr-FR"/>
        </w:rPr>
      </w:pPr>
      <w:r w:rsidRPr="005E33C3">
        <w:rPr>
          <w:i/>
          <w:lang w:val="fr-FR"/>
        </w:rPr>
        <w:t>Document informel </w:t>
      </w:r>
      <w:r w:rsidRPr="005E33C3">
        <w:rPr>
          <w:lang w:val="fr-FR"/>
        </w:rPr>
        <w:t>:</w:t>
      </w:r>
      <w:r w:rsidRPr="005E33C3">
        <w:rPr>
          <w:lang w:val="fr-FR"/>
        </w:rPr>
        <w:tab/>
      </w:r>
      <w:r w:rsidRPr="005E33C3">
        <w:rPr>
          <w:lang w:val="fr-FR"/>
        </w:rPr>
        <w:tab/>
        <w:t>INF.5 (Pays-Bas)</w:t>
      </w:r>
    </w:p>
    <w:p w14:paraId="4B4D2DAF" w14:textId="3517046F" w:rsidR="000A5DAC" w:rsidRPr="005E33C3" w:rsidRDefault="00A00DBD" w:rsidP="000A5DAC">
      <w:pPr>
        <w:spacing w:after="120"/>
        <w:ind w:left="1134" w:right="1134"/>
        <w:jc w:val="both"/>
        <w:rPr>
          <w:lang w:val="fr-FR"/>
        </w:rPr>
      </w:pPr>
      <w:r w:rsidRPr="005E33C3">
        <w:rPr>
          <w:lang w:val="fr-FR"/>
        </w:rPr>
        <w:t>19</w:t>
      </w:r>
      <w:r w:rsidR="000A5DAC" w:rsidRPr="005E33C3">
        <w:rPr>
          <w:lang w:val="fr-FR"/>
        </w:rPr>
        <w:t>.</w:t>
      </w:r>
      <w:r w:rsidR="000A5DAC" w:rsidRPr="005E33C3">
        <w:rPr>
          <w:lang w:val="fr-FR"/>
        </w:rPr>
        <w:tab/>
        <w:t>La proposition figurant dans le document ECE/TRANS/WP.15/2021/7 visait à garantir une interprétation uniforme quant à la façon de mesurer l’espace libre de 100 mm requis entre la paroi arrière de la citerne et le pare-chocs arrière.</w:t>
      </w:r>
    </w:p>
    <w:p w14:paraId="6ADE7720" w14:textId="7B62ED84" w:rsidR="000A5DAC" w:rsidRPr="005E33C3" w:rsidRDefault="00565D9A" w:rsidP="000A5DAC">
      <w:pPr>
        <w:spacing w:after="120"/>
        <w:ind w:left="1134" w:right="1134"/>
        <w:jc w:val="both"/>
        <w:rPr>
          <w:lang w:val="fr-FR"/>
        </w:rPr>
      </w:pPr>
      <w:r w:rsidRPr="005E33C3">
        <w:rPr>
          <w:lang w:val="fr-FR"/>
        </w:rPr>
        <w:t>20</w:t>
      </w:r>
      <w:r w:rsidR="000A5DAC" w:rsidRPr="005E33C3">
        <w:rPr>
          <w:lang w:val="fr-FR"/>
        </w:rPr>
        <w:t>.</w:t>
      </w:r>
      <w:r w:rsidR="000A5DAC" w:rsidRPr="005E33C3">
        <w:rPr>
          <w:lang w:val="fr-FR"/>
        </w:rPr>
        <w:tab/>
        <w:t xml:space="preserve">La majorité des délégations qui se sont prononcées étaient en faveur de la proposition. Il y a eu quelques propositions de modification de la figure. Il a également été proposé d’étendre la mesure transitoire envisagée aux véhicules-citernes immatriculés avant le 1er janvier 2025 afin de laisser un délai d’adaptation suffisant aux constructeurs des pays qui avaient une interprétation différente. </w:t>
      </w:r>
    </w:p>
    <w:p w14:paraId="738CFDAF" w14:textId="1D3EE368" w:rsidR="000A5DAC" w:rsidRPr="005E33C3" w:rsidRDefault="00565D9A" w:rsidP="000A5DAC">
      <w:pPr>
        <w:spacing w:after="120"/>
        <w:ind w:left="1134" w:right="1134"/>
        <w:jc w:val="both"/>
        <w:rPr>
          <w:lang w:val="fr-FR"/>
        </w:rPr>
      </w:pPr>
      <w:r w:rsidRPr="005E33C3">
        <w:rPr>
          <w:lang w:val="fr-FR"/>
        </w:rPr>
        <w:lastRenderedPageBreak/>
        <w:t>21</w:t>
      </w:r>
      <w:r w:rsidR="000A5DAC" w:rsidRPr="005E33C3">
        <w:rPr>
          <w:lang w:val="fr-FR"/>
        </w:rPr>
        <w:t>.</w:t>
      </w:r>
      <w:r w:rsidR="000A5DAC" w:rsidRPr="005E33C3">
        <w:rPr>
          <w:lang w:val="fr-FR"/>
        </w:rPr>
        <w:tab/>
        <w:t>La représentante de la France présentera une proposition révisée à la prochaine session.</w:t>
      </w:r>
    </w:p>
    <w:p w14:paraId="02ED148B" w14:textId="10A6C967" w:rsidR="000A5DAC" w:rsidRPr="005E33C3" w:rsidRDefault="00565D9A" w:rsidP="000A5DAC">
      <w:pPr>
        <w:spacing w:after="120"/>
        <w:ind w:left="1134" w:right="1134"/>
        <w:jc w:val="both"/>
        <w:rPr>
          <w:lang w:val="fr-FR"/>
        </w:rPr>
      </w:pPr>
      <w:r w:rsidRPr="005E33C3">
        <w:rPr>
          <w:lang w:val="fr-FR"/>
        </w:rPr>
        <w:t>22</w:t>
      </w:r>
      <w:r w:rsidR="000A5DAC" w:rsidRPr="005E33C3">
        <w:rPr>
          <w:lang w:val="fr-FR"/>
        </w:rPr>
        <w:t>.</w:t>
      </w:r>
      <w:r w:rsidR="000A5DAC" w:rsidRPr="005E33C3">
        <w:rPr>
          <w:lang w:val="fr-FR"/>
        </w:rPr>
        <w:tab/>
        <w:t>Le Groupe de travail a accueilli avec intérêt les commentaires des Pays-Bas et est convenu qu’il pourrait être nécessaire de définir des prescriptions spécifiques en fonction des différents types de constructions de citernes et des équipements et protections supplémentaires dans le cadre de travaux futurs.</w:t>
      </w:r>
    </w:p>
    <w:p w14:paraId="2607BF7E" w14:textId="77777777" w:rsidR="00392B03" w:rsidRPr="005E33C3" w:rsidRDefault="00392B03" w:rsidP="0080755A">
      <w:pPr>
        <w:pStyle w:val="H23G"/>
        <w:rPr>
          <w:lang w:val="fr-FR"/>
        </w:rPr>
      </w:pPr>
      <w:r w:rsidRPr="005E33C3">
        <w:rPr>
          <w:lang w:val="fr-FR"/>
        </w:rPr>
        <w:tab/>
        <w:t>2.</w:t>
      </w:r>
      <w:r w:rsidRPr="005E33C3">
        <w:rPr>
          <w:lang w:val="fr-FR"/>
        </w:rPr>
        <w:tab/>
        <w:t>Système de surveillance de la pression des pneumatiques</w:t>
      </w:r>
    </w:p>
    <w:p w14:paraId="124A15ED" w14:textId="77777777" w:rsidR="00392B03" w:rsidRPr="005E33C3" w:rsidRDefault="00392B03" w:rsidP="00392B03">
      <w:pPr>
        <w:tabs>
          <w:tab w:val="left" w:pos="3000"/>
        </w:tabs>
        <w:spacing w:after="120"/>
        <w:ind w:left="2268" w:right="1134" w:hanging="1134"/>
        <w:rPr>
          <w:szCs w:val="24"/>
          <w:lang w:val="fr-FR"/>
        </w:rPr>
      </w:pPr>
      <w:r w:rsidRPr="005E33C3">
        <w:rPr>
          <w:i/>
          <w:lang w:val="fr-FR"/>
        </w:rPr>
        <w:t>Documents informels </w:t>
      </w:r>
      <w:r w:rsidRPr="005E33C3">
        <w:rPr>
          <w:lang w:val="fr-FR"/>
        </w:rPr>
        <w:t>:</w:t>
      </w:r>
      <w:r w:rsidRPr="005E33C3">
        <w:rPr>
          <w:lang w:val="fr-FR"/>
        </w:rPr>
        <w:tab/>
      </w:r>
      <w:r w:rsidRPr="005E33C3">
        <w:rPr>
          <w:lang w:val="fr-FR"/>
        </w:rPr>
        <w:tab/>
        <w:t>INF.6 (Pays-Bas), INF.18 (OICA)</w:t>
      </w:r>
    </w:p>
    <w:p w14:paraId="3F37CDB6" w14:textId="698925DE" w:rsidR="00392B03" w:rsidRPr="005E33C3" w:rsidRDefault="00565D9A" w:rsidP="00392B03">
      <w:pPr>
        <w:spacing w:after="120"/>
        <w:ind w:left="1134" w:right="1134"/>
        <w:jc w:val="both"/>
        <w:rPr>
          <w:lang w:val="fr-FR"/>
        </w:rPr>
      </w:pPr>
      <w:r w:rsidRPr="005E33C3">
        <w:rPr>
          <w:lang w:val="fr-FR"/>
        </w:rPr>
        <w:t>23</w:t>
      </w:r>
      <w:r w:rsidR="00392B03" w:rsidRPr="005E33C3">
        <w:rPr>
          <w:lang w:val="fr-FR"/>
        </w:rPr>
        <w:t>.</w:t>
      </w:r>
      <w:r w:rsidR="00392B03" w:rsidRPr="005E33C3">
        <w:rPr>
          <w:lang w:val="fr-FR"/>
        </w:rPr>
        <w:tab/>
        <w:t xml:space="preserve">Le Groupe de travail a noté que le Forum mondial de l’harmonisation des Règlements concernant les véhicules (WP.29) avait adopté, à sa 183e session (9-11 mars 2021), des amendements aux Prescriptions uniformes relatives à l’homologation des véhicules en ce qui concerne leur système de surveillance de la pression des pneumatiques (Règlement ONU No 141) visant à étendre l’application de ces prescriptions aux véhicules utilitaires lourds. </w:t>
      </w:r>
    </w:p>
    <w:p w14:paraId="5ADB83D3" w14:textId="4D7EB15B" w:rsidR="00392B03" w:rsidRPr="005E33C3" w:rsidRDefault="00565D9A" w:rsidP="00392B03">
      <w:pPr>
        <w:spacing w:after="120"/>
        <w:ind w:left="1134" w:right="1134"/>
        <w:jc w:val="both"/>
        <w:rPr>
          <w:lang w:val="fr-FR"/>
        </w:rPr>
      </w:pPr>
      <w:r w:rsidRPr="005E33C3">
        <w:rPr>
          <w:lang w:val="fr-FR"/>
        </w:rPr>
        <w:t>24</w:t>
      </w:r>
      <w:r w:rsidR="00392B03" w:rsidRPr="005E33C3">
        <w:rPr>
          <w:lang w:val="fr-FR"/>
        </w:rPr>
        <w:t>.</w:t>
      </w:r>
      <w:r w:rsidR="00392B03" w:rsidRPr="005E33C3">
        <w:rPr>
          <w:lang w:val="fr-FR"/>
        </w:rPr>
        <w:tab/>
        <w:t xml:space="preserve">Plusieurs délégations considéraient qu’une référence à ce Règlement dans l’ADR pourrait améliorer la sécurité des transports de marchandises dangereuses notamment par la prévention des éclatements. </w:t>
      </w:r>
    </w:p>
    <w:p w14:paraId="325D2526" w14:textId="1066C5A1" w:rsidR="00392B03" w:rsidRPr="005E33C3" w:rsidRDefault="00565D9A" w:rsidP="00392B03">
      <w:pPr>
        <w:spacing w:after="120"/>
        <w:ind w:left="1134" w:right="1134"/>
        <w:jc w:val="both"/>
        <w:rPr>
          <w:lang w:val="fr-FR"/>
        </w:rPr>
      </w:pPr>
      <w:r w:rsidRPr="005E33C3">
        <w:rPr>
          <w:lang w:val="fr-FR"/>
        </w:rPr>
        <w:t>25</w:t>
      </w:r>
      <w:r w:rsidR="00392B03" w:rsidRPr="005E33C3">
        <w:rPr>
          <w:lang w:val="fr-FR"/>
        </w:rPr>
        <w:t>.</w:t>
      </w:r>
      <w:r w:rsidR="00392B03" w:rsidRPr="005E33C3">
        <w:rPr>
          <w:lang w:val="fr-FR"/>
        </w:rPr>
        <w:tab/>
        <w:t xml:space="preserve">Le représentant des Pays-Bas a pris note des commentaires de l’OICA dans le document informel INF.18 et des commentaires formulés en session. Il a également invité les délégations qui le souhaiteraient à lui transmettre leurs commentaires par écrit et indiqué qu’il pourrait présenter un document officiel à la prochaine session. </w:t>
      </w:r>
    </w:p>
    <w:p w14:paraId="3A66E112" w14:textId="77777777" w:rsidR="00392B03" w:rsidRPr="005E33C3" w:rsidRDefault="00392B03" w:rsidP="0080755A">
      <w:pPr>
        <w:pStyle w:val="H23G"/>
        <w:rPr>
          <w:lang w:val="fr-FR"/>
        </w:rPr>
      </w:pPr>
      <w:r w:rsidRPr="005E33C3">
        <w:rPr>
          <w:lang w:val="fr-FR"/>
        </w:rPr>
        <w:tab/>
        <w:t>3.</w:t>
      </w:r>
      <w:r w:rsidRPr="005E33C3">
        <w:rPr>
          <w:lang w:val="fr-FR"/>
        </w:rPr>
        <w:tab/>
        <w:t>Systèmes d'extinction d'incendie du compartiment moteur et systèmes de protection contre les feux de pneumatiques pour réduire la probabilité d'un BLEVE</w:t>
      </w:r>
    </w:p>
    <w:p w14:paraId="17D54735" w14:textId="77777777" w:rsidR="00392B03" w:rsidRPr="005E33C3" w:rsidRDefault="00392B03" w:rsidP="00392B03">
      <w:pPr>
        <w:tabs>
          <w:tab w:val="left" w:pos="3000"/>
        </w:tabs>
        <w:spacing w:after="120"/>
        <w:ind w:left="2268" w:right="1134" w:hanging="1134"/>
        <w:rPr>
          <w:szCs w:val="24"/>
          <w:lang w:val="fr-FR"/>
        </w:rPr>
      </w:pPr>
      <w:r w:rsidRPr="005E33C3">
        <w:rPr>
          <w:i/>
          <w:lang w:val="fr-FR"/>
        </w:rPr>
        <w:t>Documents informels </w:t>
      </w:r>
      <w:r w:rsidRPr="005E33C3">
        <w:rPr>
          <w:lang w:val="fr-FR"/>
        </w:rPr>
        <w:t>:</w:t>
      </w:r>
      <w:r w:rsidRPr="005E33C3">
        <w:rPr>
          <w:lang w:val="fr-FR"/>
        </w:rPr>
        <w:tab/>
      </w:r>
      <w:r w:rsidRPr="005E33C3">
        <w:rPr>
          <w:lang w:val="fr-FR"/>
        </w:rPr>
        <w:tab/>
        <w:t>INF.7 (Espagne), INF.19 (OICA)</w:t>
      </w:r>
    </w:p>
    <w:p w14:paraId="6C1983A9" w14:textId="51B87599" w:rsidR="00392B03" w:rsidRPr="005E33C3" w:rsidRDefault="00565D9A" w:rsidP="00392B03">
      <w:pPr>
        <w:spacing w:after="120"/>
        <w:ind w:left="1134" w:right="1134"/>
        <w:jc w:val="both"/>
        <w:rPr>
          <w:lang w:val="fr-FR"/>
        </w:rPr>
      </w:pPr>
      <w:r w:rsidRPr="005E33C3">
        <w:rPr>
          <w:lang w:val="fr-FR"/>
        </w:rPr>
        <w:t>26</w:t>
      </w:r>
      <w:r w:rsidR="00392B03" w:rsidRPr="005E33C3">
        <w:rPr>
          <w:lang w:val="fr-FR"/>
        </w:rPr>
        <w:t>.</w:t>
      </w:r>
      <w:r w:rsidR="00392B03" w:rsidRPr="005E33C3">
        <w:rPr>
          <w:lang w:val="fr-FR"/>
        </w:rPr>
        <w:tab/>
        <w:t xml:space="preserve">La représentante de l’Espagne a présenté au Groupe de travail les propositions du groupe de travail informel BLEVE de la Réunion commune visant à équiper les véhicules de systèmes d'extinction d'incendie du compartiment moteur et de protection contre les feux de pneumatiques. </w:t>
      </w:r>
    </w:p>
    <w:p w14:paraId="29DCC835" w14:textId="2C844CB2" w:rsidR="00392B03" w:rsidRPr="005E33C3" w:rsidRDefault="00565D9A" w:rsidP="00392B03">
      <w:pPr>
        <w:spacing w:after="120"/>
        <w:ind w:left="1134" w:right="1134"/>
        <w:jc w:val="both"/>
        <w:rPr>
          <w:lang w:val="fr-FR"/>
        </w:rPr>
      </w:pPr>
      <w:r w:rsidRPr="005E33C3">
        <w:rPr>
          <w:lang w:val="fr-FR"/>
        </w:rPr>
        <w:t>27</w:t>
      </w:r>
      <w:r w:rsidR="00392B03" w:rsidRPr="005E33C3">
        <w:rPr>
          <w:lang w:val="fr-FR"/>
        </w:rPr>
        <w:t>.</w:t>
      </w:r>
      <w:r w:rsidR="00392B03" w:rsidRPr="005E33C3">
        <w:rPr>
          <w:lang w:val="fr-FR"/>
        </w:rPr>
        <w:tab/>
        <w:t>La représentante de l’Espagne a pris note des commentaires formulés en session et des préférences concernant les différentes options proposées. Les vues étaient partagées quant à la meilleure option à retenir.</w:t>
      </w:r>
    </w:p>
    <w:p w14:paraId="15F95C9E" w14:textId="6A7F0188" w:rsidR="00392B03" w:rsidRPr="005E33C3" w:rsidRDefault="00565D9A" w:rsidP="00392B03">
      <w:pPr>
        <w:spacing w:after="120"/>
        <w:ind w:left="1134" w:right="1134"/>
        <w:jc w:val="both"/>
        <w:rPr>
          <w:lang w:val="fr-FR"/>
        </w:rPr>
      </w:pPr>
      <w:r w:rsidRPr="005E33C3">
        <w:rPr>
          <w:lang w:val="fr-FR"/>
        </w:rPr>
        <w:t>28</w:t>
      </w:r>
      <w:r w:rsidR="00392B03" w:rsidRPr="005E33C3">
        <w:rPr>
          <w:lang w:val="fr-FR"/>
        </w:rPr>
        <w:t>.</w:t>
      </w:r>
      <w:r w:rsidR="00392B03" w:rsidRPr="005E33C3">
        <w:rPr>
          <w:lang w:val="fr-FR"/>
        </w:rPr>
        <w:tab/>
        <w:t>La représentante de l’Espagne a invité les délégations qui le souhaiteraient à étudier les différentes options et à lui transmettre leurs commentaires, si possible avant la prochaine réunion du groupe informel prévue le 27 mai 2021. Elle a également invité les délégations qui souhaiteraient participer à ce groupe informel à la contacter.</w:t>
      </w:r>
    </w:p>
    <w:p w14:paraId="1A62D831" w14:textId="256AB971" w:rsidR="00392B03" w:rsidRPr="005E33C3" w:rsidRDefault="00565D9A" w:rsidP="00392B03">
      <w:pPr>
        <w:spacing w:after="120"/>
        <w:ind w:left="1134" w:right="1134"/>
        <w:jc w:val="both"/>
        <w:rPr>
          <w:lang w:val="fr-FR"/>
        </w:rPr>
      </w:pPr>
      <w:r w:rsidRPr="005E33C3">
        <w:rPr>
          <w:lang w:val="fr-FR"/>
        </w:rPr>
        <w:t>29</w:t>
      </w:r>
      <w:r w:rsidR="00392B03" w:rsidRPr="005E33C3">
        <w:rPr>
          <w:lang w:val="fr-FR"/>
        </w:rPr>
        <w:t>.</w:t>
      </w:r>
      <w:r w:rsidR="00392B03" w:rsidRPr="005E33C3">
        <w:rPr>
          <w:lang w:val="fr-FR"/>
        </w:rPr>
        <w:tab/>
        <w:t>Le Groupe de travail a noté que le groupe informel BLEVE présenterait un document officiel concernant l'équipement des véhicules de systèmes d'extinction d'incendie du compartiment moteur et de protection contre les feux de pneumatiques à la prochaine session. Le Groupe de travail a également noté que des propositions relatives aux soupapes de sécurité seraient présentées séparément à la réunion commune car applicables à tous les modes de transport terrestre.</w:t>
      </w:r>
    </w:p>
    <w:p w14:paraId="5D0C8B84" w14:textId="77777777" w:rsidR="00392B03" w:rsidRPr="005E33C3" w:rsidRDefault="00392B03" w:rsidP="0080755A">
      <w:pPr>
        <w:pStyle w:val="H23G"/>
        <w:rPr>
          <w:lang w:val="fr-FR"/>
        </w:rPr>
      </w:pPr>
      <w:r w:rsidRPr="005E33C3">
        <w:rPr>
          <w:lang w:val="fr-FR"/>
        </w:rPr>
        <w:tab/>
        <w:t>4.</w:t>
      </w:r>
      <w:r w:rsidRPr="005E33C3">
        <w:rPr>
          <w:lang w:val="fr-FR"/>
        </w:rPr>
        <w:tab/>
        <w:t>Stabilité des véhicules-citernes</w:t>
      </w:r>
    </w:p>
    <w:p w14:paraId="45513E3D" w14:textId="77777777" w:rsidR="00392B03" w:rsidRPr="005E33C3" w:rsidRDefault="00392B03" w:rsidP="00392B03">
      <w:pPr>
        <w:tabs>
          <w:tab w:val="left" w:pos="3000"/>
        </w:tabs>
        <w:spacing w:after="120"/>
        <w:ind w:left="2268" w:right="1134" w:hanging="1134"/>
        <w:rPr>
          <w:szCs w:val="24"/>
          <w:lang w:val="fr-FR"/>
        </w:rPr>
      </w:pPr>
      <w:r w:rsidRPr="005E33C3">
        <w:rPr>
          <w:i/>
          <w:lang w:val="fr-FR"/>
        </w:rPr>
        <w:t>Document informel </w:t>
      </w:r>
      <w:r w:rsidRPr="005E33C3">
        <w:rPr>
          <w:lang w:val="fr-FR"/>
        </w:rPr>
        <w:t>:</w:t>
      </w:r>
      <w:r w:rsidRPr="005E33C3">
        <w:rPr>
          <w:lang w:val="fr-FR"/>
        </w:rPr>
        <w:tab/>
      </w:r>
      <w:r w:rsidRPr="005E33C3">
        <w:rPr>
          <w:lang w:val="fr-FR"/>
        </w:rPr>
        <w:tab/>
        <w:t>INF.12 (</w:t>
      </w:r>
      <w:proofErr w:type="spellStart"/>
      <w:r w:rsidRPr="005E33C3">
        <w:rPr>
          <w:lang w:val="fr-FR"/>
        </w:rPr>
        <w:t>Cefic</w:t>
      </w:r>
      <w:proofErr w:type="spellEnd"/>
      <w:r w:rsidRPr="005E33C3">
        <w:rPr>
          <w:lang w:val="fr-FR"/>
        </w:rPr>
        <w:t>)</w:t>
      </w:r>
    </w:p>
    <w:p w14:paraId="58CD8A97" w14:textId="0A58E145" w:rsidR="00392B03" w:rsidRPr="005E33C3" w:rsidRDefault="00565D9A" w:rsidP="00392B03">
      <w:pPr>
        <w:spacing w:after="120"/>
        <w:ind w:left="1134" w:right="1134"/>
        <w:jc w:val="both"/>
        <w:rPr>
          <w:lang w:val="fr-FR"/>
        </w:rPr>
      </w:pPr>
      <w:r w:rsidRPr="005E33C3">
        <w:rPr>
          <w:lang w:val="fr-FR"/>
        </w:rPr>
        <w:t>30</w:t>
      </w:r>
      <w:r w:rsidR="00392B03" w:rsidRPr="005E33C3">
        <w:rPr>
          <w:lang w:val="fr-FR"/>
        </w:rPr>
        <w:t>.</w:t>
      </w:r>
      <w:r w:rsidR="00392B03" w:rsidRPr="005E33C3">
        <w:rPr>
          <w:lang w:val="fr-FR"/>
        </w:rPr>
        <w:tab/>
        <w:t>Le Groupe de travail a noté les résultats du groupe de travail informel sur la stabilité des véhicules ainsi que les prochaines étapes de travail prévues avec pour objectif la préparation d’amendements au 9.7.5.1 pour considération à une prochaine session.</w:t>
      </w:r>
    </w:p>
    <w:p w14:paraId="604ABA4A" w14:textId="77777777" w:rsidR="00392B03" w:rsidRPr="005E33C3" w:rsidRDefault="00392B03" w:rsidP="0080755A">
      <w:pPr>
        <w:pStyle w:val="H23G"/>
        <w:rPr>
          <w:lang w:val="fr-FR"/>
        </w:rPr>
      </w:pPr>
      <w:r w:rsidRPr="005E33C3">
        <w:rPr>
          <w:lang w:val="fr-FR"/>
        </w:rPr>
        <w:tab/>
        <w:t>5.</w:t>
      </w:r>
      <w:r w:rsidRPr="005E33C3">
        <w:rPr>
          <w:lang w:val="fr-FR"/>
        </w:rPr>
        <w:tab/>
        <w:t>Utilisation des véhicules électriques à batterie et des véhicules à pile à hydrogène pour le transport de marchandises dangereuses</w:t>
      </w:r>
    </w:p>
    <w:p w14:paraId="2DD99741" w14:textId="77777777" w:rsidR="00392B03" w:rsidRPr="005E33C3" w:rsidRDefault="00392B03" w:rsidP="00392B03">
      <w:pPr>
        <w:tabs>
          <w:tab w:val="left" w:pos="3000"/>
        </w:tabs>
        <w:spacing w:after="120"/>
        <w:ind w:left="2268" w:right="1134" w:hanging="1134"/>
        <w:rPr>
          <w:szCs w:val="24"/>
          <w:lang w:val="fr-FR"/>
        </w:rPr>
      </w:pPr>
      <w:r w:rsidRPr="005E33C3">
        <w:rPr>
          <w:i/>
          <w:lang w:val="fr-FR"/>
        </w:rPr>
        <w:t>Documents informels </w:t>
      </w:r>
      <w:r w:rsidRPr="005E33C3">
        <w:rPr>
          <w:lang w:val="fr-FR"/>
        </w:rPr>
        <w:t>:</w:t>
      </w:r>
      <w:r w:rsidRPr="005E33C3">
        <w:rPr>
          <w:lang w:val="fr-FR"/>
        </w:rPr>
        <w:tab/>
      </w:r>
      <w:r w:rsidRPr="005E33C3">
        <w:rPr>
          <w:lang w:val="fr-FR"/>
        </w:rPr>
        <w:tab/>
        <w:t>INF.16 (OICA), INF.17 (Pays-Bas)</w:t>
      </w:r>
    </w:p>
    <w:p w14:paraId="0F8C6172" w14:textId="0EC6D6E8" w:rsidR="00392B03" w:rsidRPr="005E33C3" w:rsidRDefault="002F7A2B" w:rsidP="00392B03">
      <w:pPr>
        <w:spacing w:after="120"/>
        <w:ind w:left="1134" w:right="1134"/>
        <w:jc w:val="both"/>
        <w:rPr>
          <w:lang w:val="fr-FR"/>
        </w:rPr>
      </w:pPr>
      <w:r w:rsidRPr="005E33C3">
        <w:rPr>
          <w:lang w:val="fr-FR"/>
        </w:rPr>
        <w:lastRenderedPageBreak/>
        <w:t>31</w:t>
      </w:r>
      <w:r w:rsidR="00392B03" w:rsidRPr="005E33C3">
        <w:rPr>
          <w:lang w:val="fr-FR"/>
        </w:rPr>
        <w:t xml:space="preserve">. </w:t>
      </w:r>
      <w:r w:rsidR="00392B03" w:rsidRPr="005E33C3">
        <w:rPr>
          <w:lang w:val="fr-FR"/>
        </w:rPr>
        <w:tab/>
        <w:t xml:space="preserve">Le représentant des Pays-Bas a informé le Groupe de travail sur les résultats des travaux du « groupe de travail sur l'utilisation des véhicules électriques à batterie et des véhicules à pile à hydrogène pour le transport de marchandises dangereuses » qui s’est réuni deux fois depuis la dernière session du Groupe de travail, à l’initiative des Pays-Bas. </w:t>
      </w:r>
    </w:p>
    <w:p w14:paraId="17831B2C" w14:textId="7D2F36A7" w:rsidR="00392B03" w:rsidRPr="005E33C3" w:rsidRDefault="002F7A2B" w:rsidP="00392B03">
      <w:pPr>
        <w:spacing w:after="120"/>
        <w:ind w:left="1134" w:right="1134"/>
        <w:jc w:val="both"/>
        <w:rPr>
          <w:lang w:val="fr-FR"/>
        </w:rPr>
      </w:pPr>
      <w:r w:rsidRPr="005E33C3">
        <w:rPr>
          <w:lang w:val="fr-FR"/>
        </w:rPr>
        <w:t>32</w:t>
      </w:r>
      <w:r w:rsidR="00392B03" w:rsidRPr="005E33C3">
        <w:rPr>
          <w:lang w:val="fr-FR"/>
        </w:rPr>
        <w:t>.</w:t>
      </w:r>
      <w:r w:rsidR="00392B03" w:rsidRPr="005E33C3">
        <w:rPr>
          <w:lang w:val="fr-FR"/>
        </w:rPr>
        <w:tab/>
        <w:t xml:space="preserve">Le Groupe de travail s’est félicité des travaux menés sous l’égide de la délégation des Pays-Bas. </w:t>
      </w:r>
    </w:p>
    <w:p w14:paraId="1BB628C6" w14:textId="1750A399" w:rsidR="00392B03" w:rsidRPr="005E33C3" w:rsidRDefault="002F7A2B" w:rsidP="00392B03">
      <w:pPr>
        <w:spacing w:after="120"/>
        <w:ind w:left="1134" w:right="1134"/>
        <w:jc w:val="both"/>
        <w:rPr>
          <w:lang w:val="fr-FR"/>
        </w:rPr>
      </w:pPr>
      <w:r w:rsidRPr="005E33C3">
        <w:rPr>
          <w:lang w:val="fr-FR"/>
        </w:rPr>
        <w:t>33</w:t>
      </w:r>
      <w:r w:rsidR="00392B03" w:rsidRPr="005E33C3">
        <w:rPr>
          <w:lang w:val="fr-FR"/>
        </w:rPr>
        <w:t xml:space="preserve">. </w:t>
      </w:r>
      <w:r w:rsidR="00392B03" w:rsidRPr="005E33C3">
        <w:rPr>
          <w:lang w:val="fr-FR"/>
        </w:rPr>
        <w:tab/>
        <w:t xml:space="preserve">Le Groupe de travail a souhaité que les travaux se poursuivre au sein d’un groupe informel animé par les Pays-Bas et dont l’OICA assurerait le secrétariat. Sur la base de la proposition figurant dans le document informel INF.16, le Groupe de travail a adopté le mandat suivant pour ce groupe de travail informel : </w:t>
      </w:r>
    </w:p>
    <w:p w14:paraId="3646F9D7" w14:textId="77777777" w:rsidR="00392B03" w:rsidRPr="005E33C3" w:rsidRDefault="00392B03" w:rsidP="00392B03">
      <w:pPr>
        <w:pStyle w:val="Bullet1G"/>
        <w:numPr>
          <w:ilvl w:val="0"/>
          <w:numId w:val="14"/>
        </w:numPr>
        <w:rPr>
          <w:lang w:val="fr-FR"/>
        </w:rPr>
      </w:pPr>
      <w:r w:rsidRPr="005E33C3">
        <w:rPr>
          <w:lang w:val="fr-FR"/>
        </w:rPr>
        <w:t>Le groupe de travail informel élaborera des dispositions pour l’ADR concernant la construction des véhicules électriques à batterie (BEV) et des véhicules à pile à hydrogène (HFCV) et de leurs remorques et visant à assurer la sécurité du transport des marchandises dangereuses dans ces véhicules. Les dispositions concerneront en particulier :</w:t>
      </w:r>
    </w:p>
    <w:p w14:paraId="5BEB72A3" w14:textId="77777777" w:rsidR="00392B03" w:rsidRPr="005E33C3" w:rsidRDefault="00392B03" w:rsidP="00392B03">
      <w:pPr>
        <w:pStyle w:val="Bullet2G"/>
        <w:rPr>
          <w:lang w:val="fr-FR"/>
        </w:rPr>
      </w:pPr>
      <w:r w:rsidRPr="005E33C3">
        <w:rPr>
          <w:lang w:val="fr-FR"/>
        </w:rPr>
        <w:t>L’équipement électrique de ces véhicules ;</w:t>
      </w:r>
    </w:p>
    <w:p w14:paraId="7299C6A1" w14:textId="77777777" w:rsidR="00392B03" w:rsidRPr="005E33C3" w:rsidRDefault="00392B03" w:rsidP="00392B03">
      <w:pPr>
        <w:pStyle w:val="Bullet2G"/>
        <w:rPr>
          <w:lang w:val="fr-FR"/>
        </w:rPr>
      </w:pPr>
      <w:r w:rsidRPr="005E33C3">
        <w:rPr>
          <w:lang w:val="fr-FR"/>
        </w:rPr>
        <w:t>La prévention des risques d'incendie ; et</w:t>
      </w:r>
    </w:p>
    <w:p w14:paraId="10661284" w14:textId="77777777" w:rsidR="00392B03" w:rsidRPr="005E33C3" w:rsidRDefault="00392B03" w:rsidP="00392B03">
      <w:pPr>
        <w:pStyle w:val="Bullet2G"/>
        <w:rPr>
          <w:lang w:val="fr-FR"/>
        </w:rPr>
      </w:pPr>
      <w:r w:rsidRPr="005E33C3">
        <w:rPr>
          <w:lang w:val="fr-FR"/>
        </w:rPr>
        <w:t>La prévention des autres risques causés par les carburants.</w:t>
      </w:r>
    </w:p>
    <w:p w14:paraId="36E10787" w14:textId="77777777" w:rsidR="00392B03" w:rsidRPr="005E33C3" w:rsidRDefault="00392B03" w:rsidP="00392B03">
      <w:pPr>
        <w:pStyle w:val="Bullet1G"/>
        <w:numPr>
          <w:ilvl w:val="0"/>
          <w:numId w:val="14"/>
        </w:numPr>
        <w:rPr>
          <w:lang w:val="fr-FR"/>
        </w:rPr>
      </w:pPr>
      <w:r w:rsidRPr="005E33C3">
        <w:rPr>
          <w:lang w:val="fr-FR"/>
        </w:rPr>
        <w:t>Le groupe de travail informel tiendra pleinement compte de l’évolution de la situation et travaillera en pleine coopération avec d’autres Groupes de travail (par exemple le WP.29).</w:t>
      </w:r>
    </w:p>
    <w:p w14:paraId="71EA9B02" w14:textId="77777777" w:rsidR="00392B03" w:rsidRPr="005E33C3" w:rsidRDefault="00392B03" w:rsidP="00392B03">
      <w:pPr>
        <w:pStyle w:val="Bullet1G"/>
        <w:numPr>
          <w:ilvl w:val="0"/>
          <w:numId w:val="14"/>
        </w:numPr>
        <w:rPr>
          <w:lang w:val="fr-FR"/>
        </w:rPr>
      </w:pPr>
      <w:r w:rsidRPr="005E33C3">
        <w:rPr>
          <w:lang w:val="fr-FR"/>
        </w:rPr>
        <w:t>Lors de l'élaboration de ses propositions, le groupe de travail informel devra tenir compte des Règlements ONU existants (en particulier des Règlements ONU Nos. 13, 100, 122 et 134), des données, des recherches et des normes d’application volontaire dont disposent les parties contractantes.</w:t>
      </w:r>
    </w:p>
    <w:p w14:paraId="299C9343" w14:textId="77777777" w:rsidR="00746A90" w:rsidRPr="005E33C3" w:rsidRDefault="00746A90" w:rsidP="0080755A">
      <w:pPr>
        <w:pStyle w:val="H1G"/>
        <w:rPr>
          <w:lang w:val="fr-FR"/>
        </w:rPr>
      </w:pPr>
      <w:r w:rsidRPr="005E33C3">
        <w:rPr>
          <w:lang w:val="fr-FR"/>
        </w:rPr>
        <w:tab/>
        <w:t>B.</w:t>
      </w:r>
      <w:r w:rsidRPr="005E33C3">
        <w:rPr>
          <w:lang w:val="fr-FR"/>
        </w:rPr>
        <w:tab/>
        <w:t>Propositions diverses</w:t>
      </w:r>
    </w:p>
    <w:p w14:paraId="76CA4136" w14:textId="77777777" w:rsidR="00746A90" w:rsidRPr="005E33C3" w:rsidRDefault="00746A90" w:rsidP="0080755A">
      <w:pPr>
        <w:pStyle w:val="H23G"/>
        <w:rPr>
          <w:lang w:val="fr-FR"/>
        </w:rPr>
      </w:pPr>
      <w:r w:rsidRPr="005E33C3">
        <w:rPr>
          <w:lang w:val="fr-FR"/>
        </w:rPr>
        <w:tab/>
        <w:t>1.</w:t>
      </w:r>
      <w:r w:rsidRPr="005E33C3">
        <w:rPr>
          <w:lang w:val="fr-FR"/>
        </w:rPr>
        <w:tab/>
        <w:t xml:space="preserve">Ajout d’une référence aux </w:t>
      </w:r>
      <w:proofErr w:type="spellStart"/>
      <w:r w:rsidRPr="005E33C3">
        <w:rPr>
          <w:lang w:val="fr-FR"/>
        </w:rPr>
        <w:t>MEMUs</w:t>
      </w:r>
      <w:proofErr w:type="spellEnd"/>
      <w:r w:rsidRPr="005E33C3">
        <w:rPr>
          <w:lang w:val="fr-FR"/>
        </w:rPr>
        <w:t xml:space="preserve"> dans le Modèle de rapport sur des événements survenus pendant le transport de marchandises dangereuses</w:t>
      </w:r>
    </w:p>
    <w:p w14:paraId="4834A695" w14:textId="77777777" w:rsidR="00746A90" w:rsidRPr="005E33C3" w:rsidRDefault="00746A90" w:rsidP="00746A90">
      <w:pPr>
        <w:tabs>
          <w:tab w:val="left" w:pos="3000"/>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ECE/TRANS/WP.15/2021/1 (Suède)</w:t>
      </w:r>
    </w:p>
    <w:p w14:paraId="26E7869C" w14:textId="47D72C4A" w:rsidR="00746A90" w:rsidRPr="005E33C3" w:rsidRDefault="002F7A2B" w:rsidP="00746A90">
      <w:pPr>
        <w:spacing w:after="120"/>
        <w:ind w:left="1134" w:right="1134"/>
        <w:jc w:val="both"/>
        <w:rPr>
          <w:lang w:val="fr-FR"/>
        </w:rPr>
      </w:pPr>
      <w:r w:rsidRPr="005E33C3">
        <w:rPr>
          <w:lang w:val="fr-FR"/>
        </w:rPr>
        <w:t>34</w:t>
      </w:r>
      <w:r w:rsidR="00746A90" w:rsidRPr="005E33C3">
        <w:rPr>
          <w:lang w:val="fr-FR"/>
        </w:rPr>
        <w:t>.</w:t>
      </w:r>
      <w:r w:rsidR="00746A90" w:rsidRPr="005E33C3">
        <w:rPr>
          <w:lang w:val="fr-FR"/>
        </w:rPr>
        <w:tab/>
        <w:t>Le Groupe de travail a adopté la proposition (voir annexe</w:t>
      </w:r>
      <w:r w:rsidR="00365971" w:rsidRPr="005E33C3">
        <w:rPr>
          <w:lang w:val="fr-FR"/>
        </w:rPr>
        <w:t xml:space="preserve"> I). </w:t>
      </w:r>
    </w:p>
    <w:p w14:paraId="6EE26378" w14:textId="77777777" w:rsidR="00EE1927" w:rsidRPr="005E33C3" w:rsidRDefault="00EE1927" w:rsidP="0080755A">
      <w:pPr>
        <w:pStyle w:val="H23G"/>
        <w:rPr>
          <w:lang w:val="fr-FR"/>
        </w:rPr>
      </w:pPr>
      <w:r w:rsidRPr="005E33C3">
        <w:rPr>
          <w:lang w:val="fr-FR"/>
        </w:rPr>
        <w:tab/>
        <w:t>2.</w:t>
      </w:r>
      <w:r w:rsidRPr="005E33C3">
        <w:rPr>
          <w:lang w:val="fr-FR"/>
        </w:rPr>
        <w:tab/>
        <w:t>Prescriptions relatives à la surveillance pour les détonateurs</w:t>
      </w:r>
    </w:p>
    <w:p w14:paraId="7E0EEB13" w14:textId="77777777" w:rsidR="00EE1927" w:rsidRPr="005E33C3" w:rsidRDefault="00EE1927" w:rsidP="00EE1927">
      <w:pPr>
        <w:tabs>
          <w:tab w:val="left" w:pos="3000"/>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ECE/TRANS/WP.15/2021/3 (Secrétariat)</w:t>
      </w:r>
    </w:p>
    <w:p w14:paraId="1D5D3B1B" w14:textId="47D361E0" w:rsidR="00EE1927" w:rsidRPr="005E33C3" w:rsidRDefault="002F7A2B" w:rsidP="00EE1927">
      <w:pPr>
        <w:spacing w:after="120"/>
        <w:ind w:left="1134" w:right="1134"/>
        <w:jc w:val="both"/>
        <w:rPr>
          <w:lang w:val="fr-FR"/>
        </w:rPr>
      </w:pPr>
      <w:r w:rsidRPr="005E33C3">
        <w:rPr>
          <w:lang w:val="fr-FR"/>
        </w:rPr>
        <w:t>35</w:t>
      </w:r>
      <w:r w:rsidR="00EE1927" w:rsidRPr="005E33C3">
        <w:rPr>
          <w:lang w:val="fr-FR"/>
        </w:rPr>
        <w:t>.</w:t>
      </w:r>
      <w:r w:rsidR="00EE1927" w:rsidRPr="005E33C3">
        <w:rPr>
          <w:lang w:val="fr-FR"/>
        </w:rPr>
        <w:tab/>
        <w:t xml:space="preserve">Le Groupe de travail a adopté la proposition (voir annexe </w:t>
      </w:r>
      <w:r w:rsidR="00123B3F" w:rsidRPr="005E33C3">
        <w:rPr>
          <w:lang w:val="fr-FR"/>
        </w:rPr>
        <w:t>I).</w:t>
      </w:r>
    </w:p>
    <w:p w14:paraId="5499F492" w14:textId="77777777" w:rsidR="00EE1927" w:rsidRPr="005E33C3" w:rsidRDefault="00EE1927" w:rsidP="0080755A">
      <w:pPr>
        <w:pStyle w:val="H23G"/>
        <w:rPr>
          <w:lang w:val="fr-FR"/>
        </w:rPr>
      </w:pPr>
      <w:r w:rsidRPr="005E33C3">
        <w:rPr>
          <w:lang w:val="fr-FR"/>
        </w:rPr>
        <w:tab/>
        <w:t>3.</w:t>
      </w:r>
      <w:r w:rsidRPr="005E33C3">
        <w:rPr>
          <w:lang w:val="fr-FR"/>
        </w:rPr>
        <w:tab/>
        <w:t>Références aux autorités compétentes dans les parties 8 et 9</w:t>
      </w:r>
    </w:p>
    <w:p w14:paraId="31485E21" w14:textId="77777777" w:rsidR="00EE1927" w:rsidRPr="005E33C3" w:rsidRDefault="00EE1927" w:rsidP="00EE1927">
      <w:pPr>
        <w:tabs>
          <w:tab w:val="left" w:pos="3000"/>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ECE/TRANS/WP.15/2021/5 (Secrétariat)</w:t>
      </w:r>
    </w:p>
    <w:p w14:paraId="404FF0B4" w14:textId="2207A5C6" w:rsidR="00EE1927" w:rsidRPr="005E33C3" w:rsidRDefault="0009157B" w:rsidP="00EE1927">
      <w:pPr>
        <w:spacing w:after="120"/>
        <w:ind w:left="1134" w:right="1134"/>
        <w:jc w:val="both"/>
        <w:rPr>
          <w:lang w:val="fr-FR"/>
        </w:rPr>
      </w:pPr>
      <w:r w:rsidRPr="005E33C3">
        <w:rPr>
          <w:lang w:val="fr-FR"/>
        </w:rPr>
        <w:t>36</w:t>
      </w:r>
      <w:r w:rsidR="00EE1927" w:rsidRPr="005E33C3">
        <w:rPr>
          <w:lang w:val="fr-FR"/>
        </w:rPr>
        <w:t>.</w:t>
      </w:r>
      <w:r w:rsidR="00EE1927" w:rsidRPr="005E33C3">
        <w:rPr>
          <w:lang w:val="fr-FR"/>
        </w:rPr>
        <w:tab/>
        <w:t xml:space="preserve">Le Groupe de travail a </w:t>
      </w:r>
      <w:bookmarkStart w:id="5" w:name="_Hlk71054472"/>
      <w:r w:rsidR="00EE1927" w:rsidRPr="005E33C3">
        <w:rPr>
          <w:lang w:val="fr-FR"/>
        </w:rPr>
        <w:t>confirmé les interprétations proposées aux paragraphes 8, 9, 12 et 14 du document ECE/TRANS/WP.15/2021/5</w:t>
      </w:r>
      <w:bookmarkEnd w:id="5"/>
      <w:r w:rsidR="00EE1927" w:rsidRPr="005E33C3">
        <w:rPr>
          <w:lang w:val="fr-FR"/>
        </w:rPr>
        <w:t>. Ces interprétations seront publiées sur le site internet de la CEE.</w:t>
      </w:r>
    </w:p>
    <w:p w14:paraId="752EBBF7" w14:textId="342DA32B" w:rsidR="00EE1927" w:rsidRPr="005E33C3" w:rsidRDefault="0009157B" w:rsidP="00EE1927">
      <w:pPr>
        <w:spacing w:after="120"/>
        <w:ind w:left="1134" w:right="1134"/>
        <w:jc w:val="both"/>
        <w:rPr>
          <w:lang w:val="fr-FR"/>
        </w:rPr>
      </w:pPr>
      <w:r w:rsidRPr="005E33C3">
        <w:rPr>
          <w:lang w:val="fr-FR"/>
        </w:rPr>
        <w:t>37</w:t>
      </w:r>
      <w:r w:rsidR="00EE1927" w:rsidRPr="005E33C3">
        <w:rPr>
          <w:lang w:val="fr-FR"/>
        </w:rPr>
        <w:t>.</w:t>
      </w:r>
      <w:r w:rsidR="00EE1927" w:rsidRPr="005E33C3">
        <w:rPr>
          <w:lang w:val="fr-FR"/>
        </w:rPr>
        <w:tab/>
        <w:t>Concernant le 9.1.2.1 (paragraphe 13 du document ECE/TRANS/WP.15/2021/5), les délégations qui se sont prononcées considéraient que le terme « autorité compétente » dans cette sous-section faisait référence à l’autorité compétente du pays d’immatriculation. Le Groupe de travail a confirmé cette interprétation.</w:t>
      </w:r>
    </w:p>
    <w:p w14:paraId="6CF86A50" w14:textId="6508C046" w:rsidR="00EE1927" w:rsidRPr="005E33C3" w:rsidRDefault="0009157B" w:rsidP="00EE1927">
      <w:pPr>
        <w:spacing w:after="120"/>
        <w:ind w:left="1134" w:right="1134"/>
        <w:jc w:val="both"/>
        <w:rPr>
          <w:lang w:val="fr-FR"/>
        </w:rPr>
      </w:pPr>
      <w:r w:rsidRPr="005E33C3">
        <w:rPr>
          <w:lang w:val="fr-FR"/>
        </w:rPr>
        <w:t>38</w:t>
      </w:r>
      <w:r w:rsidR="00EE1927" w:rsidRPr="005E33C3">
        <w:rPr>
          <w:lang w:val="fr-FR"/>
        </w:rPr>
        <w:t>.</w:t>
      </w:r>
      <w:r w:rsidR="00EE1927" w:rsidRPr="005E33C3">
        <w:rPr>
          <w:lang w:val="fr-FR"/>
        </w:rPr>
        <w:tab/>
        <w:t>Le Groupe de travail est convenu que la mention de « la ou les autorité(s) compétente(s) » devait être conservée au 8.6.3.1 car différentes autorités compétentes pouvaient être impliquées et pas uniquement l’autorité compétente pour la Classe 7. La proposition 1 a été retirée.</w:t>
      </w:r>
    </w:p>
    <w:p w14:paraId="11137A8C" w14:textId="1BC51938" w:rsidR="00EE1927" w:rsidRPr="005E33C3" w:rsidRDefault="00A4019C" w:rsidP="00EE1927">
      <w:pPr>
        <w:spacing w:after="120"/>
        <w:ind w:left="1134" w:right="1134"/>
        <w:jc w:val="both"/>
        <w:rPr>
          <w:lang w:val="fr-FR"/>
        </w:rPr>
      </w:pPr>
      <w:r w:rsidRPr="005E33C3">
        <w:rPr>
          <w:lang w:val="fr-FR"/>
        </w:rPr>
        <w:lastRenderedPageBreak/>
        <w:t>39</w:t>
      </w:r>
      <w:r w:rsidR="00EE1927" w:rsidRPr="005E33C3">
        <w:rPr>
          <w:lang w:val="fr-FR"/>
        </w:rPr>
        <w:t>.</w:t>
      </w:r>
      <w:r w:rsidR="00EE1927" w:rsidRPr="005E33C3">
        <w:rPr>
          <w:lang w:val="fr-FR"/>
        </w:rPr>
        <w:tab/>
        <w:t>Plusieurs délégations considéraient que le terme « autorité locale » n’était pas approprié pour les dispositions S8 et S9 du chapitre 8.5 car, conformément à la définition d’autorité compétente au 1.2.1, la mise en œuvre de ces dispositions pouvait relever de différents niveaux d’autorité suivant ce qui est précisé dans le droit national. La proposition 2 a été retirée.</w:t>
      </w:r>
    </w:p>
    <w:p w14:paraId="47809E27" w14:textId="77777777" w:rsidR="00EE1927" w:rsidRPr="005E33C3" w:rsidRDefault="00EE1927" w:rsidP="0080755A">
      <w:pPr>
        <w:pStyle w:val="H23G"/>
        <w:rPr>
          <w:lang w:val="fr-FR"/>
        </w:rPr>
      </w:pPr>
      <w:r w:rsidRPr="005E33C3">
        <w:rPr>
          <w:lang w:val="fr-FR"/>
        </w:rPr>
        <w:tab/>
        <w:t>4.</w:t>
      </w:r>
      <w:r w:rsidRPr="005E33C3">
        <w:rPr>
          <w:lang w:val="fr-FR"/>
        </w:rPr>
        <w:tab/>
        <w:t>Transports sous régulation de température</w:t>
      </w:r>
    </w:p>
    <w:p w14:paraId="2C401B28" w14:textId="77777777" w:rsidR="00EE1927" w:rsidRPr="005E33C3" w:rsidRDefault="00EE1927" w:rsidP="00EE1927">
      <w:pPr>
        <w:tabs>
          <w:tab w:val="left" w:pos="3000"/>
        </w:tabs>
        <w:spacing w:after="120"/>
        <w:ind w:left="2268" w:right="1134" w:hanging="1134"/>
        <w:rPr>
          <w:szCs w:val="24"/>
          <w:lang w:val="fr-FR"/>
        </w:rPr>
      </w:pPr>
      <w:r w:rsidRPr="005E33C3">
        <w:rPr>
          <w:i/>
          <w:lang w:val="fr-FR"/>
        </w:rPr>
        <w:t>Document informel </w:t>
      </w:r>
      <w:r w:rsidRPr="005E33C3">
        <w:rPr>
          <w:lang w:val="fr-FR"/>
        </w:rPr>
        <w:t>:</w:t>
      </w:r>
      <w:r w:rsidRPr="005E33C3">
        <w:rPr>
          <w:lang w:val="fr-FR"/>
        </w:rPr>
        <w:tab/>
      </w:r>
      <w:r w:rsidRPr="005E33C3">
        <w:rPr>
          <w:lang w:val="fr-FR"/>
        </w:rPr>
        <w:tab/>
        <w:t xml:space="preserve">INF.4/Rev.1 (Pays-Bas et </w:t>
      </w:r>
      <w:proofErr w:type="spellStart"/>
      <w:r w:rsidRPr="005E33C3">
        <w:rPr>
          <w:lang w:val="fr-FR"/>
        </w:rPr>
        <w:t>Cefic</w:t>
      </w:r>
      <w:proofErr w:type="spellEnd"/>
      <w:r w:rsidRPr="005E33C3">
        <w:rPr>
          <w:lang w:val="fr-FR"/>
        </w:rPr>
        <w:t>)</w:t>
      </w:r>
    </w:p>
    <w:p w14:paraId="325E90F8" w14:textId="7365405F" w:rsidR="00EE1927" w:rsidRPr="005E33C3" w:rsidRDefault="00A4019C" w:rsidP="00EE1927">
      <w:pPr>
        <w:spacing w:after="120"/>
        <w:ind w:left="1134" w:right="1134"/>
        <w:jc w:val="both"/>
        <w:rPr>
          <w:lang w:val="fr-FR"/>
        </w:rPr>
      </w:pPr>
      <w:r w:rsidRPr="005E33C3">
        <w:rPr>
          <w:lang w:val="fr-FR"/>
        </w:rPr>
        <w:t>40</w:t>
      </w:r>
      <w:r w:rsidR="00EE1927" w:rsidRPr="005E33C3">
        <w:rPr>
          <w:lang w:val="fr-FR"/>
        </w:rPr>
        <w:t>.</w:t>
      </w:r>
      <w:r w:rsidR="00EE1927" w:rsidRPr="005E33C3">
        <w:rPr>
          <w:lang w:val="fr-FR"/>
        </w:rPr>
        <w:tab/>
        <w:t xml:space="preserve">Les représentants des Pays-Bas et du </w:t>
      </w:r>
      <w:proofErr w:type="spellStart"/>
      <w:r w:rsidR="00EE1927" w:rsidRPr="005E33C3">
        <w:rPr>
          <w:lang w:val="fr-FR"/>
        </w:rPr>
        <w:t>Cefic</w:t>
      </w:r>
      <w:proofErr w:type="spellEnd"/>
      <w:r w:rsidR="00EE1927" w:rsidRPr="005E33C3">
        <w:rPr>
          <w:lang w:val="fr-FR"/>
        </w:rPr>
        <w:t xml:space="preserve"> ont invité les délégations qui le souhaiteraient à leur transmettre leurs commentaires sur leur projet de proposition d’amendement avant mi-juillet 2021 afin de préparer un document officiel pour la prochaine session.</w:t>
      </w:r>
    </w:p>
    <w:p w14:paraId="70EC3FD9" w14:textId="77777777" w:rsidR="00EE1927" w:rsidRPr="005E33C3" w:rsidRDefault="00EE1927" w:rsidP="0080755A">
      <w:pPr>
        <w:pStyle w:val="H23G"/>
        <w:rPr>
          <w:lang w:val="fr-FR"/>
        </w:rPr>
      </w:pPr>
      <w:r w:rsidRPr="005E33C3">
        <w:rPr>
          <w:lang w:val="fr-FR"/>
        </w:rPr>
        <w:tab/>
        <w:t>5.</w:t>
      </w:r>
      <w:r w:rsidRPr="005E33C3">
        <w:rPr>
          <w:lang w:val="fr-FR"/>
        </w:rPr>
        <w:tab/>
        <w:t>Modifications éditoriales</w:t>
      </w:r>
    </w:p>
    <w:p w14:paraId="325A6C28" w14:textId="77777777" w:rsidR="00EE1927" w:rsidRPr="005E33C3" w:rsidRDefault="00EE1927" w:rsidP="00EE1927">
      <w:pPr>
        <w:tabs>
          <w:tab w:val="left" w:pos="3000"/>
        </w:tabs>
        <w:spacing w:after="120"/>
        <w:ind w:left="2268" w:right="1134" w:hanging="1134"/>
        <w:rPr>
          <w:szCs w:val="24"/>
          <w:lang w:val="fr-FR"/>
        </w:rPr>
      </w:pPr>
      <w:r w:rsidRPr="005E33C3">
        <w:rPr>
          <w:i/>
          <w:lang w:val="fr-FR"/>
        </w:rPr>
        <w:t>Document informel </w:t>
      </w:r>
      <w:r w:rsidRPr="005E33C3">
        <w:rPr>
          <w:lang w:val="fr-FR"/>
        </w:rPr>
        <w:t>:</w:t>
      </w:r>
      <w:r w:rsidRPr="005E33C3">
        <w:rPr>
          <w:lang w:val="fr-FR"/>
        </w:rPr>
        <w:tab/>
      </w:r>
      <w:r w:rsidRPr="005E33C3">
        <w:rPr>
          <w:lang w:val="fr-FR"/>
        </w:rPr>
        <w:tab/>
        <w:t>INF.10 (Royaume-Uni)</w:t>
      </w:r>
    </w:p>
    <w:p w14:paraId="51F40BFA" w14:textId="0E638436" w:rsidR="00EE1927" w:rsidRPr="005E33C3" w:rsidRDefault="00A4019C" w:rsidP="00EE1927">
      <w:pPr>
        <w:spacing w:after="120"/>
        <w:ind w:left="1134" w:right="1134"/>
        <w:jc w:val="both"/>
        <w:rPr>
          <w:lang w:val="fr-FR"/>
        </w:rPr>
      </w:pPr>
      <w:r w:rsidRPr="005E33C3">
        <w:rPr>
          <w:lang w:val="fr-FR"/>
        </w:rPr>
        <w:t>41</w:t>
      </w:r>
      <w:r w:rsidR="00EE1927" w:rsidRPr="005E33C3">
        <w:rPr>
          <w:lang w:val="fr-FR"/>
        </w:rPr>
        <w:t>.</w:t>
      </w:r>
      <w:r w:rsidR="00EE1927" w:rsidRPr="005E33C3">
        <w:rPr>
          <w:lang w:val="fr-FR"/>
        </w:rPr>
        <w:tab/>
        <w:t>Le Groupe de travail a confirmé que le libellé de la disposition spéciale S3 et la numérotation de la deuxième figure sous 5.2.1.10.1.2 devait être corrigée dans la version anglaise. Un membre du secrétariat a confirmé que ces points étaient corrects dans les versions française et russe de l’ADR et que ces corrections seraient prises en compte dans un prochain rectificatif à la version anglaise publiée de l’ADR</w:t>
      </w:r>
      <w:r w:rsidR="00B17F47" w:rsidRPr="005E33C3">
        <w:rPr>
          <w:lang w:val="fr-FR"/>
        </w:rPr>
        <w:t xml:space="preserve"> (</w:t>
      </w:r>
      <w:r w:rsidR="00315C5C" w:rsidRPr="005E33C3">
        <w:rPr>
          <w:lang w:val="fr-FR"/>
        </w:rPr>
        <w:t>voir annexe II</w:t>
      </w:r>
      <w:r w:rsidR="00B17F47" w:rsidRPr="005E33C3">
        <w:rPr>
          <w:lang w:val="fr-FR"/>
        </w:rPr>
        <w:t>)</w:t>
      </w:r>
      <w:r w:rsidR="00EE1927" w:rsidRPr="005E33C3">
        <w:rPr>
          <w:lang w:val="fr-FR"/>
        </w:rPr>
        <w:t>.</w:t>
      </w:r>
    </w:p>
    <w:p w14:paraId="7A053F8D" w14:textId="77777777" w:rsidR="00D779BC" w:rsidRPr="005E33C3" w:rsidRDefault="00D779BC" w:rsidP="0080755A">
      <w:pPr>
        <w:pStyle w:val="H23G"/>
        <w:rPr>
          <w:lang w:val="fr-FR"/>
        </w:rPr>
      </w:pPr>
      <w:r w:rsidRPr="005E33C3">
        <w:rPr>
          <w:lang w:val="fr-FR"/>
        </w:rPr>
        <w:tab/>
        <w:t>6.</w:t>
      </w:r>
      <w:r w:rsidRPr="005E33C3">
        <w:rPr>
          <w:lang w:val="fr-FR"/>
        </w:rPr>
        <w:tab/>
        <w:t>Code de restriction en tunnels pour les colis exceptés (Nos ONU 2908 à 2911)</w:t>
      </w:r>
    </w:p>
    <w:p w14:paraId="3663EDA6" w14:textId="77777777" w:rsidR="00D779BC" w:rsidRPr="005E33C3" w:rsidRDefault="00D779BC" w:rsidP="00D779BC">
      <w:pPr>
        <w:tabs>
          <w:tab w:val="left" w:pos="3000"/>
        </w:tabs>
        <w:spacing w:after="120"/>
        <w:ind w:left="2268" w:right="1134" w:hanging="1134"/>
        <w:rPr>
          <w:lang w:val="fr-FR"/>
        </w:rPr>
      </w:pPr>
      <w:r w:rsidRPr="005E33C3">
        <w:rPr>
          <w:i/>
          <w:lang w:val="fr-FR"/>
        </w:rPr>
        <w:t>Documents </w:t>
      </w:r>
      <w:r w:rsidRPr="005E33C3">
        <w:rPr>
          <w:lang w:val="fr-FR"/>
        </w:rPr>
        <w:t>:</w:t>
      </w:r>
      <w:r w:rsidRPr="005E33C3">
        <w:rPr>
          <w:lang w:val="fr-FR"/>
        </w:rPr>
        <w:tab/>
      </w:r>
      <w:r w:rsidRPr="005E33C3">
        <w:rPr>
          <w:lang w:val="fr-FR"/>
        </w:rPr>
        <w:tab/>
        <w:t xml:space="preserve">ECE/TRANS/WP.15/2020/4 (Allemagne), </w:t>
      </w:r>
      <w:r w:rsidRPr="005E33C3">
        <w:rPr>
          <w:lang w:val="fr-FR"/>
        </w:rPr>
        <w:br/>
      </w:r>
      <w:r w:rsidRPr="005E33C3">
        <w:rPr>
          <w:lang w:val="fr-FR"/>
        </w:rPr>
        <w:tab/>
        <w:t>ECE/TRANS/WP.15/2021/4 (Secrétariat)</w:t>
      </w:r>
    </w:p>
    <w:p w14:paraId="32A0C2A9" w14:textId="1AD3BD4C" w:rsidR="00D779BC" w:rsidRPr="005E33C3" w:rsidRDefault="009D29CD" w:rsidP="00D779BC">
      <w:pPr>
        <w:spacing w:after="120"/>
        <w:ind w:left="1134" w:right="1134"/>
        <w:jc w:val="both"/>
        <w:rPr>
          <w:lang w:val="fr-FR"/>
        </w:rPr>
      </w:pPr>
      <w:r w:rsidRPr="005E33C3">
        <w:rPr>
          <w:lang w:val="fr-FR"/>
        </w:rPr>
        <w:t>42</w:t>
      </w:r>
      <w:r w:rsidR="00D779BC" w:rsidRPr="005E33C3">
        <w:rPr>
          <w:lang w:val="fr-FR"/>
        </w:rPr>
        <w:t>.</w:t>
      </w:r>
      <w:r w:rsidR="00D779BC" w:rsidRPr="005E33C3">
        <w:rPr>
          <w:lang w:val="fr-FR"/>
        </w:rPr>
        <w:tab/>
        <w:t>La représentante de l’Allemagne a souhaité poursuivre la discussion sur ce document à la lumière des informations sur la méthodologie et la systématique retenue pour l’attribution des codes tunnels aux marchandises concernées rassemblées par le secrétariat.</w:t>
      </w:r>
    </w:p>
    <w:p w14:paraId="5C58A090" w14:textId="6E786157" w:rsidR="00D779BC" w:rsidRPr="005E33C3" w:rsidRDefault="009D29CD" w:rsidP="00D779BC">
      <w:pPr>
        <w:spacing w:after="120"/>
        <w:ind w:left="1134" w:right="1134"/>
        <w:jc w:val="both"/>
        <w:rPr>
          <w:lang w:val="fr-FR"/>
        </w:rPr>
      </w:pPr>
      <w:r w:rsidRPr="005E33C3">
        <w:rPr>
          <w:lang w:val="fr-FR"/>
        </w:rPr>
        <w:t>43</w:t>
      </w:r>
      <w:r w:rsidR="00D779BC" w:rsidRPr="005E33C3">
        <w:rPr>
          <w:lang w:val="fr-FR"/>
        </w:rPr>
        <w:t>.</w:t>
      </w:r>
      <w:r w:rsidR="00D779BC" w:rsidRPr="005E33C3">
        <w:rPr>
          <w:lang w:val="fr-FR"/>
        </w:rPr>
        <w:tab/>
        <w:t xml:space="preserve">La proposition de l’Allemagne dans le document ECE/TRANS/WP.15/2020/4 a été adoptée (voir annexe </w:t>
      </w:r>
      <w:r w:rsidR="00151CC8" w:rsidRPr="005E33C3">
        <w:rPr>
          <w:lang w:val="fr-FR"/>
        </w:rPr>
        <w:t>I).</w:t>
      </w:r>
    </w:p>
    <w:p w14:paraId="68B7D066" w14:textId="77777777" w:rsidR="00B45B54" w:rsidRPr="005E33C3" w:rsidRDefault="00B45B54" w:rsidP="00D9090F">
      <w:pPr>
        <w:pStyle w:val="HChG"/>
        <w:rPr>
          <w:lang w:val="fr-FR"/>
        </w:rPr>
      </w:pPr>
      <w:r w:rsidRPr="005E33C3">
        <w:rPr>
          <w:lang w:val="fr-FR"/>
        </w:rPr>
        <w:tab/>
        <w:t>VIII.</w:t>
      </w:r>
      <w:r w:rsidRPr="005E33C3">
        <w:rPr>
          <w:lang w:val="fr-FR"/>
        </w:rPr>
        <w:tab/>
        <w:t xml:space="preserve">Interprétation de l’ADR (point 6 de l’ordre du jour) </w:t>
      </w:r>
    </w:p>
    <w:p w14:paraId="6EC2CD91" w14:textId="2C1C3A73" w:rsidR="00B45B54" w:rsidRPr="005E33C3" w:rsidRDefault="00B45B54" w:rsidP="00D9090F">
      <w:pPr>
        <w:pStyle w:val="H1G"/>
        <w:rPr>
          <w:lang w:val="fr-FR"/>
        </w:rPr>
      </w:pPr>
      <w:r w:rsidRPr="005E33C3">
        <w:rPr>
          <w:lang w:val="fr-FR"/>
        </w:rPr>
        <w:tab/>
      </w:r>
      <w:r w:rsidR="00D9090F" w:rsidRPr="005E33C3">
        <w:rPr>
          <w:lang w:val="fr-FR"/>
        </w:rPr>
        <w:t>A</w:t>
      </w:r>
      <w:r w:rsidRPr="005E33C3">
        <w:rPr>
          <w:lang w:val="fr-FR"/>
        </w:rPr>
        <w:t>.</w:t>
      </w:r>
      <w:r w:rsidRPr="005E33C3">
        <w:rPr>
          <w:lang w:val="fr-FR"/>
        </w:rPr>
        <w:tab/>
        <w:t>Application des prescriptions relatives à l'équipement électrique des véhicules conformément au 9.2.1.1</w:t>
      </w:r>
    </w:p>
    <w:p w14:paraId="42551ED3" w14:textId="77777777" w:rsidR="00B45B54" w:rsidRPr="005E33C3" w:rsidRDefault="00B45B54" w:rsidP="00B45B54">
      <w:pPr>
        <w:tabs>
          <w:tab w:val="left" w:pos="3402"/>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ECE/TRANS/WP.15/2021/6 (Pays-Bas et Allemagne)</w:t>
      </w:r>
    </w:p>
    <w:p w14:paraId="568C54E6" w14:textId="14CB6206" w:rsidR="00B45B54" w:rsidRPr="005E33C3" w:rsidRDefault="009D29CD" w:rsidP="00B45B54">
      <w:pPr>
        <w:spacing w:after="120"/>
        <w:ind w:left="1134" w:right="1134"/>
        <w:jc w:val="both"/>
        <w:rPr>
          <w:lang w:val="fr-FR"/>
        </w:rPr>
      </w:pPr>
      <w:r w:rsidRPr="005E33C3">
        <w:rPr>
          <w:lang w:val="fr-FR"/>
        </w:rPr>
        <w:t>44</w:t>
      </w:r>
      <w:r w:rsidR="00B45B54" w:rsidRPr="005E33C3">
        <w:rPr>
          <w:lang w:val="fr-FR"/>
        </w:rPr>
        <w:t>.</w:t>
      </w:r>
      <w:r w:rsidR="00B45B54" w:rsidRPr="005E33C3">
        <w:rPr>
          <w:lang w:val="fr-FR"/>
        </w:rPr>
        <w:tab/>
        <w:t>A la session précédente, les Pays-Bas avaient répondu aux questions de l’Allemagne. Ces deux pays ont préparé conjointement un document officiel de synthèse sur ce point.</w:t>
      </w:r>
    </w:p>
    <w:p w14:paraId="60A1E9FF" w14:textId="597C36BA" w:rsidR="00B45B54" w:rsidRPr="005E33C3" w:rsidRDefault="009D29CD" w:rsidP="00B45B54">
      <w:pPr>
        <w:spacing w:after="120"/>
        <w:ind w:left="1134" w:right="1134"/>
        <w:jc w:val="both"/>
        <w:rPr>
          <w:lang w:val="fr-FR"/>
        </w:rPr>
      </w:pPr>
      <w:r w:rsidRPr="005E33C3">
        <w:rPr>
          <w:lang w:val="fr-FR"/>
        </w:rPr>
        <w:t>45</w:t>
      </w:r>
      <w:r w:rsidR="00B45B54" w:rsidRPr="005E33C3">
        <w:rPr>
          <w:lang w:val="fr-FR"/>
        </w:rPr>
        <w:t>.</w:t>
      </w:r>
      <w:r w:rsidR="00B45B54" w:rsidRPr="005E33C3">
        <w:rPr>
          <w:lang w:val="fr-FR"/>
        </w:rPr>
        <w:tab/>
        <w:t>Concernant la première question, le Groupe de travail a repris à son compte les réponses du représentant des Pays-Bas et a demandé au secrétariat d’y faire référence sur la page relative à l’interprétation de l’ADR sur le site internet de la CEE.</w:t>
      </w:r>
    </w:p>
    <w:p w14:paraId="546F6A1B" w14:textId="0D4C6067" w:rsidR="00B45B54" w:rsidRPr="005E33C3" w:rsidRDefault="002451BB" w:rsidP="00B45B54">
      <w:pPr>
        <w:spacing w:after="120"/>
        <w:ind w:left="1134" w:right="1134"/>
        <w:jc w:val="both"/>
        <w:rPr>
          <w:lang w:val="fr-FR"/>
        </w:rPr>
      </w:pPr>
      <w:r w:rsidRPr="005E33C3">
        <w:rPr>
          <w:lang w:val="fr-FR"/>
        </w:rPr>
        <w:t>46</w:t>
      </w:r>
      <w:r w:rsidR="00B45B54" w:rsidRPr="005E33C3">
        <w:rPr>
          <w:lang w:val="fr-FR"/>
        </w:rPr>
        <w:t xml:space="preserve">. </w:t>
      </w:r>
      <w:r w:rsidR="00B45B54" w:rsidRPr="005E33C3">
        <w:rPr>
          <w:lang w:val="fr-FR"/>
        </w:rPr>
        <w:tab/>
        <w:t>Concernant la deuxième question, le Groupe de travail a souhaité avoir une proposition révisée différenciant les différents cas possibles en fonction des dates d’immatriculation et de l’éventuel agrément pour le transport de marchandises dangereuses. La représentante de l’Allemagne a indiqué qu’elle présenterait une proposition révisée à la prochaine session.</w:t>
      </w:r>
    </w:p>
    <w:p w14:paraId="51467655" w14:textId="28AD86C8" w:rsidR="00B45B54" w:rsidRPr="005E33C3" w:rsidRDefault="00B45B54" w:rsidP="00D9090F">
      <w:pPr>
        <w:pStyle w:val="H1G"/>
        <w:rPr>
          <w:lang w:val="fr-FR"/>
        </w:rPr>
      </w:pPr>
      <w:r w:rsidRPr="005E33C3">
        <w:rPr>
          <w:lang w:val="fr-FR"/>
        </w:rPr>
        <w:tab/>
      </w:r>
      <w:r w:rsidR="00D9090F" w:rsidRPr="005E33C3">
        <w:rPr>
          <w:lang w:val="fr-FR"/>
        </w:rPr>
        <w:t>B</w:t>
      </w:r>
      <w:r w:rsidRPr="005E33C3">
        <w:rPr>
          <w:lang w:val="fr-FR"/>
        </w:rPr>
        <w:t>.</w:t>
      </w:r>
      <w:r w:rsidRPr="005E33C3">
        <w:rPr>
          <w:lang w:val="fr-FR"/>
        </w:rPr>
        <w:tab/>
        <w:t xml:space="preserve">Mise en œuvre des accords multilatéraux </w:t>
      </w:r>
    </w:p>
    <w:p w14:paraId="173683A2" w14:textId="77777777" w:rsidR="00B45B54" w:rsidRPr="005E33C3" w:rsidRDefault="00B45B54" w:rsidP="00B45B54">
      <w:pPr>
        <w:tabs>
          <w:tab w:val="left" w:pos="3402"/>
        </w:tabs>
        <w:spacing w:after="120"/>
        <w:ind w:left="2268" w:right="1134" w:hanging="1134"/>
        <w:rPr>
          <w:lang w:val="fr-FR"/>
        </w:rPr>
      </w:pPr>
      <w:r w:rsidRPr="005E33C3">
        <w:rPr>
          <w:i/>
          <w:lang w:val="fr-FR"/>
        </w:rPr>
        <w:t>Document informel </w:t>
      </w:r>
      <w:r w:rsidRPr="005E33C3">
        <w:rPr>
          <w:lang w:val="fr-FR"/>
        </w:rPr>
        <w:t>:</w:t>
      </w:r>
      <w:r w:rsidRPr="005E33C3">
        <w:rPr>
          <w:lang w:val="fr-FR"/>
        </w:rPr>
        <w:tab/>
        <w:t>INF.9 (Suède)</w:t>
      </w:r>
    </w:p>
    <w:p w14:paraId="21648EC8" w14:textId="461B194C" w:rsidR="00B45B54" w:rsidRPr="005E33C3" w:rsidRDefault="002451BB" w:rsidP="00B45B54">
      <w:pPr>
        <w:spacing w:after="120"/>
        <w:ind w:left="1134" w:right="1134"/>
        <w:jc w:val="both"/>
        <w:rPr>
          <w:lang w:val="fr-FR"/>
        </w:rPr>
      </w:pPr>
      <w:r w:rsidRPr="005E33C3">
        <w:rPr>
          <w:lang w:val="fr-FR"/>
        </w:rPr>
        <w:lastRenderedPageBreak/>
        <w:t>47</w:t>
      </w:r>
      <w:r w:rsidR="00B45B54" w:rsidRPr="005E33C3">
        <w:rPr>
          <w:lang w:val="fr-FR"/>
        </w:rPr>
        <w:t xml:space="preserve">. </w:t>
      </w:r>
      <w:r w:rsidR="00B45B54" w:rsidRPr="005E33C3">
        <w:rPr>
          <w:lang w:val="fr-FR"/>
        </w:rPr>
        <w:tab/>
        <w:t>Les opinions divergeaient quant à l’interprétation des accords multilatéraux M333 et M334.</w:t>
      </w:r>
    </w:p>
    <w:p w14:paraId="29C65996" w14:textId="18A65633" w:rsidR="00B45B54" w:rsidRPr="005E33C3" w:rsidRDefault="002451BB" w:rsidP="00B45B54">
      <w:pPr>
        <w:spacing w:after="120"/>
        <w:ind w:left="1134" w:right="1134"/>
        <w:jc w:val="both"/>
        <w:rPr>
          <w:lang w:val="fr-FR"/>
        </w:rPr>
      </w:pPr>
      <w:r w:rsidRPr="005E33C3">
        <w:rPr>
          <w:lang w:val="fr-FR"/>
        </w:rPr>
        <w:t>48</w:t>
      </w:r>
      <w:r w:rsidR="00B45B54" w:rsidRPr="005E33C3">
        <w:rPr>
          <w:lang w:val="fr-FR"/>
        </w:rPr>
        <w:t>.</w:t>
      </w:r>
      <w:r w:rsidR="00B45B54" w:rsidRPr="005E33C3">
        <w:rPr>
          <w:lang w:val="fr-FR"/>
        </w:rPr>
        <w:tab/>
        <w:t>Certaines délégations considéraient qu’il n’était pas possible pour un conducteur détenant un certificat ADR émis dans un pays qui n'a pas signé l’accord M333 de continuer à transporter des marchandises dangereuses dans les pays qui ont signé cet accord, après l’expiration de la date de validité de ce certificat. De même ils considéraient qu’un conseiller à la sécurité, détenant un certificat de formation délivré dans un pays qui n'a pas signé l’accord M334, ne pouvait pas continuer à travailler pour des entreprises situées dans des pays signataires de cet accord, après l’expiration de la date de validité de ce certificat.</w:t>
      </w:r>
    </w:p>
    <w:p w14:paraId="39679B8C" w14:textId="404590FC" w:rsidR="00B45B54" w:rsidRPr="005E33C3" w:rsidRDefault="002451BB" w:rsidP="00B45B54">
      <w:pPr>
        <w:spacing w:after="120"/>
        <w:ind w:left="1134" w:right="1134"/>
        <w:jc w:val="both"/>
        <w:rPr>
          <w:lang w:val="fr-FR"/>
        </w:rPr>
      </w:pPr>
      <w:r w:rsidRPr="005E33C3">
        <w:rPr>
          <w:lang w:val="fr-FR"/>
        </w:rPr>
        <w:t>49</w:t>
      </w:r>
      <w:r w:rsidR="00B45B54" w:rsidRPr="005E33C3">
        <w:rPr>
          <w:lang w:val="fr-FR"/>
        </w:rPr>
        <w:t>.</w:t>
      </w:r>
      <w:r w:rsidR="00B45B54" w:rsidRPr="005E33C3">
        <w:rPr>
          <w:lang w:val="fr-FR"/>
        </w:rPr>
        <w:tab/>
        <w:t>Au contraire, d’autres pays ont souligné le fait que les accords M333 et M334 ne mentionnaient pas le pays de délivrance des certificats et donc qu’ils considéraient qu’un conducteur détenant un certificat ADR émis dans un pays qui n'a pas signé M333 pouvait continuer à transporter des marchandises dangereuses dans les pays qui ont signé cet accord, après l’expiration de la date de validité de ce certificat. De même ils considéraient qu’un conseiller à la sécurité détenant un certificat de formation délivré dans un pays qui n'a pas signé l’accord M334 pouvait continuer à travailler pour des entreprises situées dans des pays signataires de cet accord, après l’expiration de la date de validité de ce certificat.</w:t>
      </w:r>
    </w:p>
    <w:p w14:paraId="56C70B58" w14:textId="47D7DEB3" w:rsidR="00B45B54" w:rsidRPr="005E33C3" w:rsidRDefault="002451BB" w:rsidP="00B45B54">
      <w:pPr>
        <w:spacing w:after="120"/>
        <w:ind w:left="1134" w:right="1134"/>
        <w:jc w:val="both"/>
        <w:rPr>
          <w:lang w:val="fr-FR"/>
        </w:rPr>
      </w:pPr>
      <w:r w:rsidRPr="005E33C3">
        <w:rPr>
          <w:lang w:val="fr-FR"/>
        </w:rPr>
        <w:t>50</w:t>
      </w:r>
      <w:r w:rsidR="00B45B54" w:rsidRPr="005E33C3">
        <w:rPr>
          <w:lang w:val="fr-FR"/>
        </w:rPr>
        <w:t>.</w:t>
      </w:r>
      <w:r w:rsidR="00B45B54" w:rsidRPr="005E33C3">
        <w:rPr>
          <w:lang w:val="fr-FR"/>
        </w:rPr>
        <w:tab/>
        <w:t>Le Groupe de travail a noté ces différences d’interprétation et a précisé que si les sessions de formation et les examens restaient difficiles à organiser après le 30 septembre 2021 et que de nouveaux accords devaient être mis en place, leur rédaction devrait tenir compte de ces divergences. Le Groupe de travail a cependant souhaité vivement que cette situation exceptionnelle due à l’épidémie de COVID 19 ne perdure pas.</w:t>
      </w:r>
    </w:p>
    <w:p w14:paraId="2D0B25BB" w14:textId="50EB096E" w:rsidR="00B45B54" w:rsidRPr="005E33C3" w:rsidRDefault="00B45B54" w:rsidP="00D9090F">
      <w:pPr>
        <w:pStyle w:val="H1G"/>
        <w:rPr>
          <w:lang w:val="fr-FR"/>
        </w:rPr>
      </w:pPr>
      <w:r w:rsidRPr="005E33C3">
        <w:rPr>
          <w:lang w:val="fr-FR"/>
        </w:rPr>
        <w:tab/>
      </w:r>
      <w:r w:rsidR="00D9090F" w:rsidRPr="005E33C3">
        <w:rPr>
          <w:lang w:val="fr-FR"/>
        </w:rPr>
        <w:t>C</w:t>
      </w:r>
      <w:r w:rsidRPr="005E33C3">
        <w:rPr>
          <w:lang w:val="fr-FR"/>
        </w:rPr>
        <w:t>.</w:t>
      </w:r>
      <w:r w:rsidRPr="005E33C3">
        <w:rPr>
          <w:lang w:val="fr-FR"/>
        </w:rPr>
        <w:tab/>
        <w:t>Clarification du 5.3.2.2.1</w:t>
      </w:r>
    </w:p>
    <w:p w14:paraId="1FB34CF4" w14:textId="77777777" w:rsidR="00B45B54" w:rsidRPr="005E33C3" w:rsidRDefault="00B45B54" w:rsidP="00B45B54">
      <w:pPr>
        <w:tabs>
          <w:tab w:val="left" w:pos="3402"/>
        </w:tabs>
        <w:spacing w:after="120"/>
        <w:ind w:left="2268" w:right="1134" w:hanging="1134"/>
        <w:rPr>
          <w:lang w:val="fr-FR"/>
        </w:rPr>
      </w:pPr>
      <w:r w:rsidRPr="005E33C3">
        <w:rPr>
          <w:i/>
          <w:lang w:val="fr-FR"/>
        </w:rPr>
        <w:t>Document informel </w:t>
      </w:r>
      <w:r w:rsidRPr="005E33C3">
        <w:rPr>
          <w:lang w:val="fr-FR"/>
        </w:rPr>
        <w:t>:</w:t>
      </w:r>
      <w:r w:rsidRPr="005E33C3">
        <w:rPr>
          <w:lang w:val="fr-FR"/>
        </w:rPr>
        <w:tab/>
        <w:t>INF.13 (Royaume-Uni)</w:t>
      </w:r>
    </w:p>
    <w:p w14:paraId="3C9BF433" w14:textId="3F8759FC" w:rsidR="00B45B54" w:rsidRPr="005E33C3" w:rsidRDefault="002451BB" w:rsidP="00B45B54">
      <w:pPr>
        <w:spacing w:after="120"/>
        <w:ind w:left="1134" w:right="1134"/>
        <w:jc w:val="both"/>
        <w:rPr>
          <w:lang w:val="fr-FR"/>
        </w:rPr>
      </w:pPr>
      <w:r w:rsidRPr="005E33C3">
        <w:rPr>
          <w:lang w:val="fr-FR"/>
        </w:rPr>
        <w:t>51</w:t>
      </w:r>
      <w:r w:rsidR="00B45B54" w:rsidRPr="005E33C3">
        <w:rPr>
          <w:lang w:val="fr-FR"/>
        </w:rPr>
        <w:t>.</w:t>
      </w:r>
      <w:r w:rsidR="00B45B54" w:rsidRPr="005E33C3">
        <w:rPr>
          <w:lang w:val="fr-FR"/>
        </w:rPr>
        <w:tab/>
        <w:t xml:space="preserve">Le représentant du Royaume-Uni a noté les commentaires des délégations qui se sont prononcées. </w:t>
      </w:r>
    </w:p>
    <w:p w14:paraId="45F40DE9" w14:textId="4693F409" w:rsidR="00B45B54" w:rsidRPr="005E33C3" w:rsidRDefault="002451BB" w:rsidP="00B45B54">
      <w:pPr>
        <w:spacing w:after="120"/>
        <w:ind w:left="1134" w:right="1134"/>
        <w:jc w:val="both"/>
        <w:rPr>
          <w:lang w:val="fr-FR"/>
        </w:rPr>
      </w:pPr>
      <w:r w:rsidRPr="005E33C3">
        <w:rPr>
          <w:lang w:val="fr-FR"/>
        </w:rPr>
        <w:t>52</w:t>
      </w:r>
      <w:r w:rsidR="00B45B54" w:rsidRPr="005E33C3">
        <w:rPr>
          <w:lang w:val="fr-FR"/>
        </w:rPr>
        <w:t>.</w:t>
      </w:r>
      <w:r w:rsidR="00B45B54" w:rsidRPr="005E33C3">
        <w:rPr>
          <w:lang w:val="fr-FR"/>
        </w:rPr>
        <w:tab/>
        <w:t xml:space="preserve">Il a été rappelé que les prescriptions sur la signalisation orange avaient fait l’objet d’une harmonisation entre le RID, l’ADR et l’ADN et que des spécifications communes avaient été adoptées par la Réunion commune à sa session d’automne 2005 (voir TRANS/WP.15/AC.1/100). Le Groupe de travail a souhaité que ce point soit discuté au sein de la Réunion commune si des problèmes de mise en œuvre sont avérés. </w:t>
      </w:r>
    </w:p>
    <w:p w14:paraId="35143A1F" w14:textId="77777777" w:rsidR="00A60385" w:rsidRPr="005E33C3" w:rsidRDefault="00A60385" w:rsidP="0080755A">
      <w:pPr>
        <w:pStyle w:val="HChG"/>
        <w:rPr>
          <w:lang w:val="fr-FR"/>
        </w:rPr>
      </w:pPr>
      <w:r w:rsidRPr="005E33C3">
        <w:rPr>
          <w:lang w:val="fr-FR"/>
        </w:rPr>
        <w:tab/>
        <w:t>IX.</w:t>
      </w:r>
      <w:r w:rsidRPr="005E33C3">
        <w:rPr>
          <w:lang w:val="fr-FR"/>
        </w:rPr>
        <w:tab/>
        <w:t xml:space="preserve">Programme de travail (point 7 de l’ordre du jour) </w:t>
      </w:r>
    </w:p>
    <w:p w14:paraId="64067E71" w14:textId="3505CECB" w:rsidR="00A60385" w:rsidRPr="005E33C3" w:rsidRDefault="002451BB" w:rsidP="00A60385">
      <w:pPr>
        <w:spacing w:after="120"/>
        <w:ind w:left="1134" w:right="1134"/>
        <w:jc w:val="both"/>
        <w:rPr>
          <w:lang w:val="fr-FR"/>
        </w:rPr>
      </w:pPr>
      <w:r w:rsidRPr="005E33C3">
        <w:rPr>
          <w:lang w:val="fr-FR"/>
        </w:rPr>
        <w:t>53</w:t>
      </w:r>
      <w:r w:rsidR="00A60385" w:rsidRPr="005E33C3">
        <w:rPr>
          <w:lang w:val="fr-FR"/>
        </w:rPr>
        <w:t>.</w:t>
      </w:r>
      <w:r w:rsidR="00A60385" w:rsidRPr="005E33C3">
        <w:rPr>
          <w:lang w:val="fr-FR"/>
        </w:rPr>
        <w:tab/>
        <w:t xml:space="preserve">Les points à l'ordre du jour de la prochaine session (provisoirement prévue du 8 au 12 novembre 2021) seront : </w:t>
      </w:r>
    </w:p>
    <w:p w14:paraId="682DA451" w14:textId="77777777" w:rsidR="00A60385" w:rsidRPr="005E33C3" w:rsidRDefault="00A60385" w:rsidP="00C0768F">
      <w:pPr>
        <w:pStyle w:val="Bullet1G"/>
        <w:spacing w:after="0"/>
        <w:rPr>
          <w:lang w:val="fr-FR"/>
        </w:rPr>
      </w:pPr>
      <w:r w:rsidRPr="005E33C3">
        <w:rPr>
          <w:lang w:val="fr-FR"/>
        </w:rPr>
        <w:tab/>
        <w:t>Adoption de l’ordre du jour ;</w:t>
      </w:r>
    </w:p>
    <w:p w14:paraId="3A05AD83" w14:textId="77777777" w:rsidR="00A60385" w:rsidRPr="005E33C3" w:rsidRDefault="00A60385" w:rsidP="00C0768F">
      <w:pPr>
        <w:pStyle w:val="Bullet1G"/>
        <w:spacing w:after="0"/>
        <w:rPr>
          <w:lang w:val="fr-FR"/>
        </w:rPr>
      </w:pPr>
      <w:r w:rsidRPr="005E33C3">
        <w:rPr>
          <w:lang w:val="fr-FR"/>
        </w:rPr>
        <w:tab/>
        <w:t>Quatre-vingtième-troisième session du Comité des transports intérieurs ;</w:t>
      </w:r>
    </w:p>
    <w:p w14:paraId="06DE5E9F" w14:textId="77777777" w:rsidR="00A60385" w:rsidRPr="005E33C3" w:rsidRDefault="00A60385" w:rsidP="00C0768F">
      <w:pPr>
        <w:pStyle w:val="Bullet1G"/>
        <w:spacing w:after="0"/>
        <w:rPr>
          <w:lang w:val="fr-FR"/>
        </w:rPr>
      </w:pPr>
      <w:r w:rsidRPr="005E33C3">
        <w:rPr>
          <w:lang w:val="fr-FR"/>
        </w:rPr>
        <w:tab/>
        <w:t>État de l’Accord relatif au transport international des marchandises dangereuses par route (ADR) et questions connexes ;</w:t>
      </w:r>
    </w:p>
    <w:p w14:paraId="1BE0C00C" w14:textId="77777777" w:rsidR="00A60385" w:rsidRPr="005E33C3" w:rsidRDefault="00A60385" w:rsidP="00C0768F">
      <w:pPr>
        <w:pStyle w:val="Bullet1G"/>
        <w:spacing w:after="0"/>
        <w:rPr>
          <w:lang w:val="fr-FR"/>
        </w:rPr>
      </w:pPr>
      <w:r w:rsidRPr="005E33C3">
        <w:rPr>
          <w:lang w:val="fr-FR"/>
        </w:rPr>
        <w:tab/>
        <w:t>Travaux de la Réunion commune RID/ADR/ADN ;</w:t>
      </w:r>
    </w:p>
    <w:p w14:paraId="18344E60" w14:textId="77777777" w:rsidR="00A60385" w:rsidRPr="005E33C3" w:rsidRDefault="00A60385" w:rsidP="00C0768F">
      <w:pPr>
        <w:pStyle w:val="Bullet1G"/>
        <w:spacing w:after="0"/>
        <w:rPr>
          <w:lang w:val="fr-FR"/>
        </w:rPr>
      </w:pPr>
      <w:r w:rsidRPr="005E33C3">
        <w:rPr>
          <w:lang w:val="fr-FR"/>
        </w:rPr>
        <w:tab/>
        <w:t>Propositions d'amendement aux annexes A et B de l'ADR ;</w:t>
      </w:r>
    </w:p>
    <w:p w14:paraId="29AF6D54" w14:textId="77777777" w:rsidR="00A60385" w:rsidRPr="005E33C3" w:rsidRDefault="00A60385" w:rsidP="00C0768F">
      <w:pPr>
        <w:pStyle w:val="Bullet1G"/>
        <w:spacing w:after="0"/>
        <w:rPr>
          <w:lang w:val="fr-FR"/>
        </w:rPr>
      </w:pPr>
      <w:r w:rsidRPr="005E33C3">
        <w:rPr>
          <w:lang w:val="fr-FR"/>
        </w:rPr>
        <w:tab/>
        <w:t>Interprétation de l’ADR ;</w:t>
      </w:r>
    </w:p>
    <w:p w14:paraId="4A01E8B0" w14:textId="77777777" w:rsidR="00A60385" w:rsidRPr="005E33C3" w:rsidRDefault="00A60385" w:rsidP="00C0768F">
      <w:pPr>
        <w:pStyle w:val="Bullet1G"/>
        <w:spacing w:after="0"/>
        <w:rPr>
          <w:lang w:val="fr-FR"/>
        </w:rPr>
      </w:pPr>
      <w:r w:rsidRPr="005E33C3">
        <w:rPr>
          <w:lang w:val="fr-FR"/>
        </w:rPr>
        <w:tab/>
        <w:t>Programme de travail ;</w:t>
      </w:r>
    </w:p>
    <w:p w14:paraId="4648721E" w14:textId="77777777" w:rsidR="00A60385" w:rsidRPr="005E33C3" w:rsidRDefault="00A60385" w:rsidP="00C0768F">
      <w:pPr>
        <w:pStyle w:val="Bullet1G"/>
        <w:spacing w:after="0"/>
        <w:rPr>
          <w:lang w:val="fr-FR"/>
        </w:rPr>
      </w:pPr>
      <w:r w:rsidRPr="005E33C3">
        <w:rPr>
          <w:lang w:val="fr-FR"/>
        </w:rPr>
        <w:tab/>
        <w:t>Questions diverses ;</w:t>
      </w:r>
    </w:p>
    <w:p w14:paraId="644EBBFE" w14:textId="77777777" w:rsidR="00A60385" w:rsidRPr="005E33C3" w:rsidRDefault="00A60385" w:rsidP="00C0768F">
      <w:pPr>
        <w:pStyle w:val="Bullet1G"/>
        <w:spacing w:after="0"/>
        <w:rPr>
          <w:lang w:val="fr-FR"/>
        </w:rPr>
      </w:pPr>
      <w:r w:rsidRPr="005E33C3">
        <w:rPr>
          <w:lang w:val="fr-FR"/>
        </w:rPr>
        <w:tab/>
        <w:t>Élection du Bureau pour 2022 ;</w:t>
      </w:r>
    </w:p>
    <w:p w14:paraId="3B8EE9F9" w14:textId="77777777" w:rsidR="00A60385" w:rsidRPr="005E33C3" w:rsidRDefault="00A60385" w:rsidP="00A60385">
      <w:pPr>
        <w:pStyle w:val="Bullet1G"/>
        <w:rPr>
          <w:lang w:val="fr-FR"/>
        </w:rPr>
      </w:pPr>
      <w:r w:rsidRPr="005E33C3">
        <w:rPr>
          <w:lang w:val="fr-FR"/>
        </w:rPr>
        <w:tab/>
        <w:t>Adoption du rapport.</w:t>
      </w:r>
    </w:p>
    <w:p w14:paraId="74B2C21B" w14:textId="3ADB0D33" w:rsidR="00A60385" w:rsidRPr="005E33C3" w:rsidRDefault="002451BB" w:rsidP="00A60385">
      <w:pPr>
        <w:spacing w:after="120"/>
        <w:ind w:left="1134" w:right="1134"/>
        <w:jc w:val="both"/>
        <w:rPr>
          <w:rFonts w:eastAsiaTheme="minorHAnsi"/>
          <w:lang w:val="fr-FR" w:eastAsia="en-US"/>
        </w:rPr>
      </w:pPr>
      <w:r w:rsidRPr="005E33C3">
        <w:rPr>
          <w:rFonts w:eastAsiaTheme="minorHAnsi"/>
          <w:lang w:val="fr-FR" w:eastAsia="en-US"/>
        </w:rPr>
        <w:t>54</w:t>
      </w:r>
      <w:r w:rsidR="00A60385" w:rsidRPr="005E33C3">
        <w:rPr>
          <w:rFonts w:eastAsiaTheme="minorHAnsi"/>
          <w:lang w:val="fr-FR" w:eastAsia="en-US"/>
        </w:rPr>
        <w:t>.</w:t>
      </w:r>
      <w:r w:rsidR="00A60385" w:rsidRPr="005E33C3">
        <w:rPr>
          <w:rFonts w:eastAsiaTheme="minorHAnsi"/>
          <w:lang w:val="fr-FR" w:eastAsia="en-US"/>
        </w:rPr>
        <w:tab/>
        <w:t>La date limite pour soumettre des documents officiels pour cette session est le 16 août 2021.</w:t>
      </w:r>
    </w:p>
    <w:p w14:paraId="08CD7F0C" w14:textId="00963400" w:rsidR="00A60385" w:rsidRPr="005E33C3" w:rsidRDefault="00F079EC" w:rsidP="00A60385">
      <w:pPr>
        <w:spacing w:after="120"/>
        <w:ind w:left="1134" w:right="1134"/>
        <w:jc w:val="both"/>
        <w:rPr>
          <w:lang w:val="fr-FR"/>
        </w:rPr>
      </w:pPr>
      <w:r w:rsidRPr="005E33C3">
        <w:rPr>
          <w:rFonts w:eastAsiaTheme="minorHAnsi"/>
          <w:lang w:val="fr-FR" w:eastAsia="en-US"/>
        </w:rPr>
        <w:t>55</w:t>
      </w:r>
      <w:r w:rsidR="00A60385" w:rsidRPr="005E33C3">
        <w:rPr>
          <w:rFonts w:eastAsiaTheme="minorHAnsi"/>
          <w:lang w:val="fr-FR" w:eastAsia="en-US"/>
        </w:rPr>
        <w:t>.</w:t>
      </w:r>
      <w:r w:rsidR="00A60385" w:rsidRPr="005E33C3">
        <w:rPr>
          <w:rFonts w:eastAsiaTheme="minorHAnsi"/>
          <w:lang w:val="fr-FR" w:eastAsia="en-US"/>
        </w:rPr>
        <w:tab/>
        <w:t xml:space="preserve">Le Groupe de travail a noté qu’il s’agira de la dernière session de la période d’amendement. À cette session, le Groupe de travail examinera principalement le texte de </w:t>
      </w:r>
      <w:r w:rsidR="00A60385" w:rsidRPr="005E33C3">
        <w:rPr>
          <w:rFonts w:eastAsiaTheme="minorHAnsi"/>
          <w:lang w:val="fr-FR" w:eastAsia="en-US"/>
        </w:rPr>
        <w:lastRenderedPageBreak/>
        <w:t xml:space="preserve">tous les amendements adoptés aux sessions précédentes du Groupe de travail et de la Réunion commune. </w:t>
      </w:r>
    </w:p>
    <w:p w14:paraId="70A401AD" w14:textId="77777777" w:rsidR="006052BA" w:rsidRPr="005E33C3" w:rsidRDefault="006052BA" w:rsidP="0080755A">
      <w:pPr>
        <w:pStyle w:val="HChG"/>
        <w:rPr>
          <w:lang w:val="fr-FR"/>
        </w:rPr>
      </w:pPr>
      <w:r w:rsidRPr="005E33C3">
        <w:rPr>
          <w:lang w:val="fr-FR"/>
        </w:rPr>
        <w:tab/>
        <w:t>X.</w:t>
      </w:r>
      <w:r w:rsidRPr="005E33C3">
        <w:rPr>
          <w:lang w:val="fr-FR"/>
        </w:rPr>
        <w:tab/>
        <w:t xml:space="preserve">Questions diverses (point 8 de l’ordre du jour) </w:t>
      </w:r>
    </w:p>
    <w:p w14:paraId="5EE13C43" w14:textId="1D5588A4" w:rsidR="006052BA" w:rsidRPr="005E33C3" w:rsidRDefault="006052BA" w:rsidP="0080755A">
      <w:pPr>
        <w:pStyle w:val="H1G"/>
        <w:rPr>
          <w:lang w:val="fr-FR"/>
        </w:rPr>
      </w:pPr>
      <w:r w:rsidRPr="005E33C3">
        <w:rPr>
          <w:lang w:val="fr-FR"/>
        </w:rPr>
        <w:tab/>
        <w:t>A.</w:t>
      </w:r>
      <w:r w:rsidRPr="005E33C3">
        <w:rPr>
          <w:lang w:val="fr-FR"/>
        </w:rPr>
        <w:tab/>
        <w:t>Incohérences entre le tableau 1.10.3.1.2 pour les marchandises dangereuses à haut risque, la disposition spéciale S1 (6) du chapitre 8.5 et la sous-section 1.1.3.6</w:t>
      </w:r>
    </w:p>
    <w:p w14:paraId="01D1BE45" w14:textId="77777777" w:rsidR="006052BA" w:rsidRPr="005E33C3" w:rsidRDefault="006052BA" w:rsidP="006052BA">
      <w:pPr>
        <w:tabs>
          <w:tab w:val="left" w:pos="3000"/>
        </w:tabs>
        <w:spacing w:after="120"/>
        <w:ind w:left="2268" w:right="1134" w:hanging="1134"/>
        <w:rPr>
          <w:lang w:val="fr-FR"/>
        </w:rPr>
      </w:pPr>
      <w:r w:rsidRPr="005E33C3">
        <w:rPr>
          <w:i/>
          <w:lang w:val="fr-FR"/>
        </w:rPr>
        <w:t>Document informel </w:t>
      </w:r>
      <w:r w:rsidRPr="005E33C3">
        <w:rPr>
          <w:lang w:val="fr-FR"/>
        </w:rPr>
        <w:t>:</w:t>
      </w:r>
      <w:r w:rsidRPr="005E33C3">
        <w:rPr>
          <w:lang w:val="fr-FR"/>
        </w:rPr>
        <w:tab/>
      </w:r>
      <w:r w:rsidRPr="005E33C3">
        <w:rPr>
          <w:lang w:val="fr-FR"/>
        </w:rPr>
        <w:tab/>
        <w:t>INF.8 et add.1-2 (Suède et Norvège)</w:t>
      </w:r>
    </w:p>
    <w:p w14:paraId="667D0E11" w14:textId="7567CE99" w:rsidR="006052BA" w:rsidRPr="005E33C3" w:rsidRDefault="00F079EC" w:rsidP="006052BA">
      <w:pPr>
        <w:spacing w:after="120"/>
        <w:ind w:left="1134" w:right="1134"/>
        <w:jc w:val="both"/>
        <w:rPr>
          <w:lang w:val="fr-FR"/>
        </w:rPr>
      </w:pPr>
      <w:r w:rsidRPr="005E33C3">
        <w:rPr>
          <w:lang w:val="fr-FR"/>
        </w:rPr>
        <w:t>56</w:t>
      </w:r>
      <w:r w:rsidR="006052BA" w:rsidRPr="005E33C3">
        <w:rPr>
          <w:lang w:val="fr-FR"/>
        </w:rPr>
        <w:t>.</w:t>
      </w:r>
      <w:r w:rsidR="006052BA" w:rsidRPr="005E33C3">
        <w:rPr>
          <w:lang w:val="fr-FR"/>
        </w:rPr>
        <w:tab/>
        <w:t>Le Groupe de travail a confirmé qu’il était nécessaire de clarifier les incohérences entre le chapitre 8.5 et le 1.1.3.6 dans le cas des marchandises visées au chapitre 1.10. Le Groupe de travail a invité les participants à examiner les incohérences présentées dans les additifs 1 et 2 du document informel INF.8 et à transmettre leurs commentaires aux représentant de la Suède et de la Norvège en vue de la préparation de propositions d’amendements pour considération à la prochaine session.</w:t>
      </w:r>
    </w:p>
    <w:p w14:paraId="66919A70" w14:textId="2A6DB2D1" w:rsidR="006052BA" w:rsidRPr="005E33C3" w:rsidRDefault="00F079EC" w:rsidP="006052BA">
      <w:pPr>
        <w:spacing w:after="120"/>
        <w:ind w:left="1134" w:right="1134"/>
        <w:jc w:val="both"/>
        <w:rPr>
          <w:lang w:val="fr-FR"/>
        </w:rPr>
      </w:pPr>
      <w:r w:rsidRPr="005E33C3">
        <w:rPr>
          <w:lang w:val="fr-FR"/>
        </w:rPr>
        <w:t>57</w:t>
      </w:r>
      <w:r w:rsidR="006052BA" w:rsidRPr="005E33C3">
        <w:rPr>
          <w:lang w:val="fr-FR"/>
        </w:rPr>
        <w:t>.</w:t>
      </w:r>
      <w:r w:rsidR="006052BA" w:rsidRPr="005E33C3">
        <w:rPr>
          <w:lang w:val="fr-FR"/>
        </w:rPr>
        <w:tab/>
        <w:t xml:space="preserve">Le Groupe de travail a également confirmé que le tableau 1.10.3.1.2, Liste des marchandises dangereuses à haut risque, est le résultat de l’harmonisation de l’ADR avec le Règlement type. La liste des marchandises concernées peut être modifiée en fonction de la situation régionale ou du niveau de menace perçu à un moment donné pour un mode de transport donné. Cependant, le Groupe de travail a invité les délégations qui souhaiteraient proposer des modifications à cette liste de le faire en premier lieu au Sous-Comité d’experts du transport des marchandises dangereuses. Comme option possible, le représentant de la Norvège a proposé d’envisager de remplacer la liste du chapitre 8.5 S1 (6) par la liste des </w:t>
      </w:r>
      <w:r w:rsidR="00BE63FE" w:rsidRPr="005E33C3">
        <w:rPr>
          <w:lang w:val="fr-FR"/>
        </w:rPr>
        <w:t xml:space="preserve">marchandises à haut risque </w:t>
      </w:r>
      <w:r w:rsidR="006052BA" w:rsidRPr="005E33C3">
        <w:rPr>
          <w:lang w:val="fr-FR"/>
        </w:rPr>
        <w:t>de la classe 1 du tableau 1.10.3.1.2.</w:t>
      </w:r>
    </w:p>
    <w:p w14:paraId="172651C3" w14:textId="77777777" w:rsidR="000B1984" w:rsidRPr="005E33C3" w:rsidRDefault="000B1984" w:rsidP="0080755A">
      <w:pPr>
        <w:pStyle w:val="H1G"/>
        <w:rPr>
          <w:lang w:val="fr-FR"/>
        </w:rPr>
      </w:pPr>
      <w:r w:rsidRPr="005E33C3">
        <w:rPr>
          <w:lang w:val="fr-FR"/>
        </w:rPr>
        <w:tab/>
        <w:t>B.</w:t>
      </w:r>
      <w:r w:rsidRPr="005E33C3">
        <w:rPr>
          <w:lang w:val="fr-FR"/>
        </w:rPr>
        <w:tab/>
        <w:t>Règlement intérieur du Groupe de travail</w:t>
      </w:r>
    </w:p>
    <w:p w14:paraId="341B5379" w14:textId="77777777" w:rsidR="000B1984" w:rsidRPr="005E33C3" w:rsidRDefault="000B1984" w:rsidP="000B1984">
      <w:pPr>
        <w:tabs>
          <w:tab w:val="left" w:pos="3000"/>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ECE/TRANS/WP.15/2021/2 (Secrétariat)</w:t>
      </w:r>
    </w:p>
    <w:p w14:paraId="175E1430" w14:textId="4D71B518" w:rsidR="000B1984" w:rsidRPr="005E33C3" w:rsidRDefault="00F079EC" w:rsidP="000B1984">
      <w:pPr>
        <w:spacing w:after="120"/>
        <w:ind w:left="1134" w:right="1134"/>
        <w:jc w:val="both"/>
        <w:rPr>
          <w:i/>
          <w:iCs/>
          <w:lang w:val="fr-FR"/>
        </w:rPr>
      </w:pPr>
      <w:r w:rsidRPr="005E33C3">
        <w:rPr>
          <w:lang w:val="fr-FR"/>
        </w:rPr>
        <w:t>58</w:t>
      </w:r>
      <w:r w:rsidR="000B1984" w:rsidRPr="005E33C3">
        <w:rPr>
          <w:lang w:val="fr-FR"/>
        </w:rPr>
        <w:t>.</w:t>
      </w:r>
      <w:r w:rsidR="000B1984" w:rsidRPr="005E33C3">
        <w:rPr>
          <w:lang w:val="fr-FR"/>
        </w:rPr>
        <w:tab/>
        <w:t>Après discussion sur la base de la comparaison préparée par le secrétariat, le Groupe de travail est convenu qu'il n'était pas nécessaire de modifier son Règlement intérieur dans l'immédiat. Il pourra être utile de revoir les règles de quorum et de vote dans le futur. Les délégations qui le souhaiteraient pourront présenter des propositions de modification sur la base du Règlement intérieur du CTI.</w:t>
      </w:r>
    </w:p>
    <w:p w14:paraId="0F393701" w14:textId="77777777" w:rsidR="000B1984" w:rsidRPr="005E33C3" w:rsidRDefault="000B1984" w:rsidP="0080755A">
      <w:pPr>
        <w:pStyle w:val="H1G"/>
        <w:rPr>
          <w:lang w:val="fr-FR"/>
        </w:rPr>
      </w:pPr>
      <w:r w:rsidRPr="005E33C3">
        <w:rPr>
          <w:lang w:val="fr-FR"/>
        </w:rPr>
        <w:tab/>
        <w:t>C.</w:t>
      </w:r>
      <w:r w:rsidRPr="005E33C3">
        <w:rPr>
          <w:lang w:val="fr-FR"/>
        </w:rPr>
        <w:tab/>
        <w:t>Méthode et systèmes utilisés pour l’attribution de codes tunnels aux marchandises de la classe 7 et pour l’attribution du code « (-) »</w:t>
      </w:r>
    </w:p>
    <w:p w14:paraId="20FFD25E" w14:textId="77777777" w:rsidR="000B1984" w:rsidRPr="005E33C3" w:rsidRDefault="000B1984" w:rsidP="000B1984">
      <w:pPr>
        <w:tabs>
          <w:tab w:val="left" w:pos="3000"/>
        </w:tabs>
        <w:spacing w:after="120"/>
        <w:ind w:left="2268" w:right="1134" w:hanging="1134"/>
        <w:rPr>
          <w:lang w:val="fr-FR"/>
        </w:rPr>
      </w:pPr>
      <w:r w:rsidRPr="005E33C3">
        <w:rPr>
          <w:i/>
          <w:lang w:val="fr-FR"/>
        </w:rPr>
        <w:t>Document </w:t>
      </w:r>
      <w:r w:rsidRPr="005E33C3">
        <w:rPr>
          <w:lang w:val="fr-FR"/>
        </w:rPr>
        <w:t>:</w:t>
      </w:r>
      <w:r w:rsidRPr="005E33C3">
        <w:rPr>
          <w:lang w:val="fr-FR"/>
        </w:rPr>
        <w:tab/>
      </w:r>
      <w:r w:rsidRPr="005E33C3">
        <w:rPr>
          <w:lang w:val="fr-FR"/>
        </w:rPr>
        <w:tab/>
        <w:t>ECE/TRANS/WP.15/2021/4 (Secrétariat)</w:t>
      </w:r>
    </w:p>
    <w:p w14:paraId="1136320C" w14:textId="0AFAF007" w:rsidR="000B1984" w:rsidRPr="005E33C3" w:rsidRDefault="00F079EC" w:rsidP="000B1984">
      <w:pPr>
        <w:spacing w:after="120"/>
        <w:ind w:left="1134" w:right="1134"/>
        <w:jc w:val="both"/>
        <w:rPr>
          <w:i/>
          <w:iCs/>
          <w:lang w:val="fr-FR"/>
        </w:rPr>
      </w:pPr>
      <w:r w:rsidRPr="005E33C3">
        <w:rPr>
          <w:lang w:val="fr-FR"/>
        </w:rPr>
        <w:t>59</w:t>
      </w:r>
      <w:r w:rsidR="000B1984" w:rsidRPr="005E33C3">
        <w:rPr>
          <w:lang w:val="fr-FR"/>
        </w:rPr>
        <w:t>.</w:t>
      </w:r>
      <w:r w:rsidR="000B1984" w:rsidRPr="005E33C3">
        <w:rPr>
          <w:lang w:val="fr-FR"/>
        </w:rPr>
        <w:tab/>
        <w:t xml:space="preserve">Voir paragraphes </w:t>
      </w:r>
      <w:r w:rsidR="008C6764" w:rsidRPr="005E33C3">
        <w:rPr>
          <w:lang w:val="fr-FR"/>
        </w:rPr>
        <w:t>42</w:t>
      </w:r>
      <w:r w:rsidR="000B1984" w:rsidRPr="005E33C3">
        <w:rPr>
          <w:lang w:val="fr-FR"/>
        </w:rPr>
        <w:t xml:space="preserve"> et </w:t>
      </w:r>
      <w:r w:rsidR="008C6764" w:rsidRPr="005E33C3">
        <w:rPr>
          <w:lang w:val="fr-FR"/>
        </w:rPr>
        <w:t>43</w:t>
      </w:r>
      <w:r w:rsidR="000B1984" w:rsidRPr="005E33C3">
        <w:rPr>
          <w:lang w:val="fr-FR"/>
        </w:rPr>
        <w:t xml:space="preserve"> sous le point 5 (b) de l’ordre du jour.</w:t>
      </w:r>
    </w:p>
    <w:p w14:paraId="672ABE4A" w14:textId="644E9FC2" w:rsidR="000B1984" w:rsidRPr="005E33C3" w:rsidRDefault="000B1984" w:rsidP="0080755A">
      <w:pPr>
        <w:pStyle w:val="HChG"/>
        <w:rPr>
          <w:lang w:val="fr-FR"/>
        </w:rPr>
      </w:pPr>
      <w:r w:rsidRPr="005E33C3">
        <w:rPr>
          <w:lang w:val="fr-FR"/>
        </w:rPr>
        <w:tab/>
        <w:t>XI.</w:t>
      </w:r>
      <w:r w:rsidRPr="005E33C3">
        <w:rPr>
          <w:lang w:val="fr-FR"/>
        </w:rPr>
        <w:tab/>
        <w:t xml:space="preserve">Adoption du rapport (point </w:t>
      </w:r>
      <w:r w:rsidR="00B56C99" w:rsidRPr="005E33C3">
        <w:rPr>
          <w:lang w:val="fr-FR"/>
        </w:rPr>
        <w:t>9</w:t>
      </w:r>
      <w:r w:rsidRPr="005E33C3">
        <w:rPr>
          <w:lang w:val="fr-FR"/>
        </w:rPr>
        <w:t xml:space="preserve"> de l’ordre du jour)</w:t>
      </w:r>
    </w:p>
    <w:p w14:paraId="6DD3051B" w14:textId="57D6E2D5" w:rsidR="000B1984" w:rsidRPr="005E33C3" w:rsidRDefault="005A2896" w:rsidP="000B1984">
      <w:pPr>
        <w:spacing w:after="120"/>
        <w:ind w:left="1134" w:right="1134"/>
        <w:jc w:val="both"/>
        <w:rPr>
          <w:lang w:val="fr-FR"/>
        </w:rPr>
      </w:pPr>
      <w:r w:rsidRPr="005E33C3">
        <w:rPr>
          <w:lang w:val="fr-FR"/>
        </w:rPr>
        <w:t>60</w:t>
      </w:r>
      <w:r w:rsidR="000B1984" w:rsidRPr="005E33C3">
        <w:rPr>
          <w:lang w:val="fr-FR"/>
        </w:rPr>
        <w:t>.</w:t>
      </w:r>
      <w:r w:rsidR="000B1984" w:rsidRPr="005E33C3">
        <w:rPr>
          <w:lang w:val="fr-FR"/>
        </w:rPr>
        <w:tab/>
        <w:t>Le Groupe de travail a adopté le rapport de sa 109</w:t>
      </w:r>
      <w:r w:rsidR="000B1984" w:rsidRPr="005E33C3">
        <w:rPr>
          <w:vertAlign w:val="superscript"/>
          <w:lang w:val="fr-FR"/>
        </w:rPr>
        <w:t>e</w:t>
      </w:r>
      <w:r w:rsidR="000B1984" w:rsidRPr="005E33C3">
        <w:rPr>
          <w:lang w:val="fr-FR"/>
        </w:rPr>
        <w:t xml:space="preserve"> session et ses annexes sur la base d’un projet établi par le secrétariat.</w:t>
      </w:r>
    </w:p>
    <w:p w14:paraId="5377D00C" w14:textId="29B3D61A" w:rsidR="000B1984" w:rsidRPr="005E33C3" w:rsidRDefault="005A2896" w:rsidP="000B1984">
      <w:pPr>
        <w:spacing w:after="120"/>
        <w:ind w:left="1134" w:right="1134"/>
        <w:jc w:val="both"/>
        <w:rPr>
          <w:lang w:val="fr-FR"/>
        </w:rPr>
      </w:pPr>
      <w:r w:rsidRPr="005E33C3">
        <w:rPr>
          <w:lang w:val="fr-FR"/>
        </w:rPr>
        <w:t>61</w:t>
      </w:r>
      <w:r w:rsidR="000B1984" w:rsidRPr="005E33C3">
        <w:rPr>
          <w:lang w:val="fr-FR"/>
        </w:rPr>
        <w:t>.</w:t>
      </w:r>
      <w:r w:rsidR="000B1984" w:rsidRPr="005E33C3">
        <w:rPr>
          <w:lang w:val="fr-FR"/>
        </w:rPr>
        <w:tab/>
        <w:t xml:space="preserve">Conformément aux procédures spéciales sur la prise de décision pour les réunions formelles avec participation à distance adoptées par le Comité exécutif (ECE/EX/2020/L.12), les décisions reprises en annexe </w:t>
      </w:r>
      <w:r w:rsidR="00DE3751" w:rsidRPr="005E33C3">
        <w:rPr>
          <w:lang w:val="fr-FR"/>
        </w:rPr>
        <w:t>II</w:t>
      </w:r>
      <w:r w:rsidR="0071554E" w:rsidRPr="005E33C3">
        <w:rPr>
          <w:lang w:val="fr-FR"/>
        </w:rPr>
        <w:t>I</w:t>
      </w:r>
      <w:r w:rsidR="0025677C" w:rsidRPr="005E33C3">
        <w:rPr>
          <w:lang w:val="fr-FR"/>
        </w:rPr>
        <w:t xml:space="preserve"> </w:t>
      </w:r>
      <w:r w:rsidR="000B1984" w:rsidRPr="005E33C3">
        <w:rPr>
          <w:lang w:val="fr-FR"/>
        </w:rPr>
        <w:t>ont été publiées et notifiées à toutes les missions permanentes à Genève. Après publication, aucune objection n’a été reçue. Les décisions sont réputées adoptées.</w:t>
      </w:r>
    </w:p>
    <w:p w14:paraId="712A7183" w14:textId="78B814F4" w:rsidR="0025677C" w:rsidRPr="005E33C3" w:rsidRDefault="0025677C">
      <w:pPr>
        <w:suppressAutoHyphens w:val="0"/>
        <w:kinsoku/>
        <w:overflowPunct/>
        <w:autoSpaceDE/>
        <w:autoSpaceDN/>
        <w:adjustRightInd/>
        <w:snapToGrid/>
        <w:spacing w:after="200" w:line="276" w:lineRule="auto"/>
        <w:rPr>
          <w:lang w:val="fr-FR"/>
        </w:rPr>
      </w:pPr>
      <w:r w:rsidRPr="005E33C3">
        <w:rPr>
          <w:lang w:val="fr-FR"/>
        </w:rPr>
        <w:br w:type="page"/>
      </w:r>
    </w:p>
    <w:p w14:paraId="7AC6E357" w14:textId="3BFFC39A" w:rsidR="00DE3751" w:rsidRPr="005E33C3" w:rsidRDefault="00DE3751" w:rsidP="00DE3751">
      <w:pPr>
        <w:keepNext/>
        <w:keepLines/>
        <w:tabs>
          <w:tab w:val="right" w:pos="851"/>
        </w:tabs>
        <w:spacing w:after="240" w:line="300" w:lineRule="exact"/>
        <w:ind w:left="1134" w:right="1134" w:hanging="1134"/>
        <w:rPr>
          <w:b/>
          <w:sz w:val="28"/>
          <w:lang w:val="fr-FR"/>
        </w:rPr>
      </w:pPr>
      <w:r w:rsidRPr="005E33C3">
        <w:rPr>
          <w:b/>
          <w:sz w:val="28"/>
          <w:lang w:val="fr-FR"/>
        </w:rPr>
        <w:lastRenderedPageBreak/>
        <w:tab/>
        <w:t>Annexe I</w:t>
      </w:r>
    </w:p>
    <w:p w14:paraId="3B0C7592" w14:textId="03C21DA0" w:rsidR="00DE3751" w:rsidRPr="005E33C3" w:rsidRDefault="00DE3751" w:rsidP="00DE3751">
      <w:pPr>
        <w:pStyle w:val="HChG"/>
        <w:rPr>
          <w:lang w:val="fr-FR"/>
        </w:rPr>
      </w:pPr>
      <w:r w:rsidRPr="005E33C3">
        <w:rPr>
          <w:lang w:val="fr-FR"/>
        </w:rPr>
        <w:tab/>
      </w:r>
      <w:r w:rsidRPr="005E33C3">
        <w:rPr>
          <w:lang w:val="fr-FR"/>
        </w:rPr>
        <w:tab/>
      </w:r>
      <w:r w:rsidR="002030DB" w:rsidRPr="005E33C3">
        <w:rPr>
          <w:lang w:val="fr-FR"/>
        </w:rPr>
        <w:t xml:space="preserve">Projet d’amendements aux annexes A et B de l’ADR pour </w:t>
      </w:r>
      <w:proofErr w:type="spellStart"/>
      <w:r w:rsidR="002030DB" w:rsidRPr="005E33C3">
        <w:rPr>
          <w:lang w:val="fr-FR"/>
        </w:rPr>
        <w:t>entrée</w:t>
      </w:r>
      <w:proofErr w:type="spellEnd"/>
      <w:r w:rsidR="002030DB" w:rsidRPr="005E33C3">
        <w:rPr>
          <w:lang w:val="fr-FR"/>
        </w:rPr>
        <w:t xml:space="preserve"> en vigueur le 1er janvier 2023</w:t>
      </w:r>
    </w:p>
    <w:p w14:paraId="5858A2CC"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1.1</w:t>
      </w:r>
    </w:p>
    <w:p w14:paraId="5B6A60FF" w14:textId="77777777" w:rsidR="005E33C3" w:rsidRPr="005E33C3" w:rsidRDefault="005E33C3" w:rsidP="005E33C3">
      <w:pPr>
        <w:tabs>
          <w:tab w:val="left" w:pos="2268"/>
        </w:tabs>
        <w:spacing w:after="120"/>
        <w:ind w:left="1134" w:right="1134"/>
        <w:jc w:val="both"/>
        <w:rPr>
          <w:bCs/>
          <w:lang w:val="fr-FR"/>
        </w:rPr>
      </w:pPr>
      <w:r w:rsidRPr="005E33C3">
        <w:rPr>
          <w:bCs/>
          <w:lang w:val="fr-FR"/>
        </w:rPr>
        <w:t>1.1.3.6.2</w:t>
      </w:r>
      <w:r w:rsidRPr="005E33C3">
        <w:rPr>
          <w:bCs/>
          <w:lang w:val="fr-FR"/>
        </w:rPr>
        <w:tab/>
        <w:t>Au premier tiret, après « 0500, », insérer « 0511, ».</w:t>
      </w:r>
    </w:p>
    <w:p w14:paraId="1B17FE44"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02823233" w14:textId="77777777" w:rsidR="005E33C3" w:rsidRPr="005E33C3" w:rsidRDefault="005E33C3" w:rsidP="005E33C3">
      <w:pPr>
        <w:tabs>
          <w:tab w:val="left" w:pos="2268"/>
        </w:tabs>
        <w:spacing w:after="120"/>
        <w:ind w:left="1134" w:right="1134"/>
        <w:jc w:val="both"/>
        <w:rPr>
          <w:bCs/>
          <w:iCs/>
          <w:lang w:val="fr-FR"/>
        </w:rPr>
      </w:pPr>
      <w:r w:rsidRPr="005E33C3">
        <w:rPr>
          <w:bCs/>
          <w:iCs/>
          <w:lang w:val="fr-FR"/>
        </w:rPr>
        <w:t>1.1.4</w:t>
      </w:r>
      <w:r w:rsidRPr="005E33C3">
        <w:rPr>
          <w:bCs/>
          <w:iCs/>
          <w:lang w:val="fr-FR"/>
        </w:rPr>
        <w:tab/>
        <w:t>Ajouter une nouvelle sous-section 1.1.4.6 libellée comme suit :</w:t>
      </w:r>
    </w:p>
    <w:p w14:paraId="57CC8A8B" w14:textId="77777777" w:rsidR="005E33C3" w:rsidRPr="005E33C3" w:rsidRDefault="005E33C3" w:rsidP="005E33C3">
      <w:pPr>
        <w:spacing w:after="120"/>
        <w:ind w:left="2268" w:right="1134"/>
        <w:jc w:val="both"/>
        <w:rPr>
          <w:bCs/>
          <w:iCs/>
          <w:lang w:val="fr-FR"/>
        </w:rPr>
      </w:pPr>
      <w:r w:rsidRPr="005E33C3">
        <w:rPr>
          <w:bCs/>
          <w:iCs/>
          <w:lang w:val="fr-FR"/>
        </w:rPr>
        <w:t>« 1.1.4.6</w:t>
      </w:r>
      <w:r w:rsidRPr="005E33C3">
        <w:rPr>
          <w:bCs/>
          <w:iCs/>
          <w:lang w:val="fr-FR"/>
        </w:rPr>
        <w:tab/>
      </w:r>
      <w:r w:rsidRPr="005E33C3">
        <w:rPr>
          <w:bCs/>
          <w:i/>
          <w:iCs/>
          <w:lang w:val="fr-FR"/>
        </w:rPr>
        <w:t>(Réservé)</w:t>
      </w:r>
      <w:r w:rsidRPr="005E33C3">
        <w:rPr>
          <w:bCs/>
          <w:iCs/>
          <w:lang w:val="fr-FR"/>
        </w:rPr>
        <w:t> ».</w:t>
      </w:r>
    </w:p>
    <w:p w14:paraId="5CEBE34B"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607B9B32" w14:textId="77777777" w:rsidR="005E33C3" w:rsidRPr="005E33C3" w:rsidRDefault="005E33C3" w:rsidP="005E33C3">
      <w:pPr>
        <w:tabs>
          <w:tab w:val="left" w:pos="2268"/>
          <w:tab w:val="left" w:pos="3402"/>
        </w:tabs>
        <w:spacing w:after="120"/>
        <w:ind w:left="1134" w:right="1134"/>
        <w:jc w:val="both"/>
        <w:rPr>
          <w:lang w:val="fr-FR"/>
        </w:rPr>
      </w:pPr>
      <w:r w:rsidRPr="005E33C3">
        <w:rPr>
          <w:lang w:val="fr-FR"/>
        </w:rPr>
        <w:t>1.1.4</w:t>
      </w:r>
      <w:r w:rsidRPr="005E33C3">
        <w:rPr>
          <w:lang w:val="fr-FR"/>
        </w:rPr>
        <w:tab/>
        <w:t>Ajouter une nouvelle sous-section 1.1.4.7 libellée comme suit :</w:t>
      </w:r>
    </w:p>
    <w:p w14:paraId="00FDBD09" w14:textId="77777777" w:rsidR="005E33C3" w:rsidRPr="005E33C3" w:rsidRDefault="005E33C3" w:rsidP="005E33C3">
      <w:pPr>
        <w:tabs>
          <w:tab w:val="left" w:pos="2268"/>
          <w:tab w:val="left" w:pos="3402"/>
        </w:tabs>
        <w:spacing w:after="120"/>
        <w:ind w:left="2268" w:right="1134"/>
        <w:jc w:val="both"/>
        <w:rPr>
          <w:rFonts w:eastAsia="Calibri"/>
          <w:i/>
          <w:lang w:val="fr-FR"/>
        </w:rPr>
      </w:pPr>
      <w:r w:rsidRPr="005E33C3">
        <w:rPr>
          <w:lang w:val="fr-FR"/>
        </w:rPr>
        <w:t>« </w:t>
      </w:r>
      <w:r w:rsidRPr="005E33C3">
        <w:rPr>
          <w:b/>
          <w:lang w:val="fr-FR"/>
        </w:rPr>
        <w:t>1.1.4.7</w:t>
      </w:r>
      <w:r w:rsidRPr="005E33C3">
        <w:rPr>
          <w:b/>
          <w:lang w:val="fr-FR"/>
        </w:rPr>
        <w:tab/>
      </w:r>
      <w:r w:rsidRPr="005E33C3">
        <w:rPr>
          <w:b/>
          <w:i/>
          <w:lang w:val="fr-FR"/>
        </w:rPr>
        <w:t>Récipients à pression rechargeables autorisés par le Département des transports des États-Unis d’Amérique</w:t>
      </w:r>
      <w:bookmarkStart w:id="6" w:name="_Hlk525131534"/>
    </w:p>
    <w:p w14:paraId="2149BD04" w14:textId="77777777" w:rsidR="005E33C3" w:rsidRPr="005E33C3" w:rsidRDefault="005E33C3" w:rsidP="005E33C3">
      <w:pPr>
        <w:tabs>
          <w:tab w:val="left" w:pos="2268"/>
          <w:tab w:val="left" w:pos="3402"/>
        </w:tabs>
        <w:spacing w:after="120"/>
        <w:ind w:left="2268" w:right="1134"/>
        <w:jc w:val="both"/>
        <w:rPr>
          <w:rFonts w:eastAsia="Calibri"/>
          <w:i/>
          <w:lang w:val="fr-FR"/>
        </w:rPr>
      </w:pPr>
      <w:r w:rsidRPr="005E33C3">
        <w:rPr>
          <w:lang w:val="fr-FR"/>
        </w:rPr>
        <w:t>1.1.4.7.1</w:t>
      </w:r>
      <w:r w:rsidRPr="005E33C3">
        <w:rPr>
          <w:lang w:val="fr-FR"/>
        </w:rPr>
        <w:tab/>
      </w:r>
      <w:r w:rsidRPr="005E33C3">
        <w:rPr>
          <w:i/>
          <w:lang w:val="fr-FR"/>
        </w:rPr>
        <w:t>Importation de gaz</w:t>
      </w:r>
    </w:p>
    <w:p w14:paraId="24E50584" w14:textId="77777777" w:rsidR="005E33C3" w:rsidRPr="005E33C3" w:rsidRDefault="005E33C3" w:rsidP="005E33C3">
      <w:pPr>
        <w:tabs>
          <w:tab w:val="left" w:pos="2268"/>
          <w:tab w:val="left" w:pos="3402"/>
        </w:tabs>
        <w:spacing w:after="120"/>
        <w:ind w:left="2268" w:right="1134"/>
        <w:jc w:val="both"/>
        <w:rPr>
          <w:rFonts w:eastAsia="Calibri"/>
          <w:lang w:val="fr-FR"/>
        </w:rPr>
      </w:pPr>
      <w:r w:rsidRPr="005E33C3">
        <w:rPr>
          <w:lang w:val="fr-FR"/>
        </w:rPr>
        <w:tab/>
        <w:t>Les récipients à pression rechargeables autorisés par le Département des transports des États-Unis d’Amérique et construits conformément aux normes énoncées dans la Partie 178 (</w:t>
      </w:r>
      <w:proofErr w:type="spellStart"/>
      <w:r w:rsidRPr="005E33C3">
        <w:rPr>
          <w:lang w:val="fr-FR"/>
        </w:rPr>
        <w:t>Specifications</w:t>
      </w:r>
      <w:proofErr w:type="spellEnd"/>
      <w:r w:rsidRPr="005E33C3">
        <w:rPr>
          <w:lang w:val="fr-FR"/>
        </w:rPr>
        <w:t xml:space="preserve"> for Packagings (Spécifications relatives aux emballages)) du Titre 49 (Transportation (Transports)) du Code of </w:t>
      </w:r>
      <w:proofErr w:type="spellStart"/>
      <w:r w:rsidRPr="005E33C3">
        <w:rPr>
          <w:lang w:val="fr-FR"/>
        </w:rPr>
        <w:t>Federal</w:t>
      </w:r>
      <w:proofErr w:type="spellEnd"/>
      <w:r w:rsidRPr="005E33C3">
        <w:rPr>
          <w:lang w:val="fr-FR"/>
        </w:rPr>
        <w:t xml:space="preserve"> </w:t>
      </w:r>
      <w:proofErr w:type="spellStart"/>
      <w:r w:rsidRPr="005E33C3">
        <w:rPr>
          <w:lang w:val="fr-FR"/>
        </w:rPr>
        <w:t>Regulations</w:t>
      </w:r>
      <w:proofErr w:type="spellEnd"/>
      <w:r w:rsidRPr="005E33C3">
        <w:rPr>
          <w:lang w:val="fr-FR"/>
        </w:rPr>
        <w:t xml:space="preserve"> (recueil des règlements fédéraux), lorsqu’ils sont admis au transport dans une chaîne de transport conformément au 1.1.4.2, peuvent être transportés depuis leur emplacement d’entreposage temporaire au point final de la chaîne de transport jusqu’aux utilisateurs finaux. </w:t>
      </w:r>
      <w:bookmarkEnd w:id="6"/>
    </w:p>
    <w:p w14:paraId="01116DBD" w14:textId="77777777" w:rsidR="005E33C3" w:rsidRPr="005E33C3" w:rsidRDefault="005E33C3" w:rsidP="005E33C3">
      <w:pPr>
        <w:tabs>
          <w:tab w:val="left" w:pos="2268"/>
          <w:tab w:val="left" w:pos="3402"/>
        </w:tabs>
        <w:spacing w:after="120"/>
        <w:ind w:left="2268" w:right="1134"/>
        <w:jc w:val="both"/>
        <w:rPr>
          <w:rFonts w:eastAsia="Calibri"/>
          <w:lang w:val="fr-FR"/>
        </w:rPr>
      </w:pPr>
      <w:bookmarkStart w:id="7" w:name="_Hlk525132507"/>
      <w:r w:rsidRPr="005E33C3">
        <w:rPr>
          <w:lang w:val="fr-FR"/>
        </w:rPr>
        <w:tab/>
        <w:t>[L’</w:t>
      </w:r>
      <w:bookmarkStart w:id="8" w:name="_Hlk70423983"/>
      <w:r w:rsidRPr="005E33C3">
        <w:rPr>
          <w:lang w:val="fr-FR"/>
        </w:rPr>
        <w:t>expéditeur chargé du transport ADR</w:t>
      </w:r>
      <w:bookmarkEnd w:id="8"/>
      <w:r w:rsidRPr="005E33C3">
        <w:rPr>
          <w:lang w:val="fr-FR"/>
        </w:rPr>
        <w:t xml:space="preserve">] doit inscrire la mention suivante dans le document de transport : </w:t>
      </w:r>
    </w:p>
    <w:p w14:paraId="14ABA027" w14:textId="77777777" w:rsidR="005E33C3" w:rsidRPr="005E33C3" w:rsidRDefault="005E33C3" w:rsidP="005E33C3">
      <w:pPr>
        <w:tabs>
          <w:tab w:val="left" w:pos="2268"/>
          <w:tab w:val="left" w:pos="3402"/>
        </w:tabs>
        <w:spacing w:after="120"/>
        <w:ind w:left="2268" w:right="1134"/>
        <w:jc w:val="both"/>
        <w:rPr>
          <w:rFonts w:eastAsia="Calibri"/>
          <w:lang w:val="fr-FR"/>
        </w:rPr>
      </w:pPr>
      <w:r w:rsidRPr="005E33C3">
        <w:rPr>
          <w:lang w:val="fr-FR"/>
        </w:rPr>
        <w:t>« </w:t>
      </w:r>
      <w:r w:rsidRPr="005E33C3">
        <w:rPr>
          <w:caps/>
          <w:lang w:val="fr-FR"/>
        </w:rPr>
        <w:t xml:space="preserve">Transport conformÉment au </w:t>
      </w:r>
      <w:r w:rsidRPr="005E33C3">
        <w:rPr>
          <w:lang w:val="fr-FR"/>
        </w:rPr>
        <w:t>1.1.4.7.1 ».</w:t>
      </w:r>
    </w:p>
    <w:bookmarkEnd w:id="7"/>
    <w:p w14:paraId="172BA1A5" w14:textId="77777777" w:rsidR="005E33C3" w:rsidRPr="005E33C3" w:rsidRDefault="005E33C3" w:rsidP="005E33C3">
      <w:pPr>
        <w:tabs>
          <w:tab w:val="left" w:pos="2268"/>
          <w:tab w:val="left" w:pos="3402"/>
        </w:tabs>
        <w:spacing w:after="120"/>
        <w:ind w:left="2268" w:right="1134"/>
        <w:jc w:val="both"/>
        <w:rPr>
          <w:rFonts w:eastAsia="Calibri"/>
          <w:i/>
          <w:lang w:val="fr-FR"/>
        </w:rPr>
      </w:pPr>
      <w:r w:rsidRPr="005E33C3">
        <w:rPr>
          <w:lang w:val="fr-FR"/>
        </w:rPr>
        <w:t>1.1.4.7.2</w:t>
      </w:r>
      <w:r w:rsidRPr="005E33C3">
        <w:rPr>
          <w:lang w:val="fr-FR"/>
        </w:rPr>
        <w:tab/>
      </w:r>
      <w:r w:rsidRPr="005E33C3">
        <w:rPr>
          <w:i/>
          <w:lang w:val="fr-FR"/>
        </w:rPr>
        <w:t>Exportation de gaz et récipients à pression vides non nettoyés</w:t>
      </w:r>
    </w:p>
    <w:p w14:paraId="7FE4F760" w14:textId="77777777" w:rsidR="005E33C3" w:rsidRPr="005E33C3" w:rsidRDefault="005E33C3" w:rsidP="005E33C3">
      <w:pPr>
        <w:tabs>
          <w:tab w:val="left" w:pos="2268"/>
          <w:tab w:val="left" w:pos="3402"/>
        </w:tabs>
        <w:spacing w:after="120"/>
        <w:ind w:left="2268" w:right="1134"/>
        <w:jc w:val="both"/>
        <w:rPr>
          <w:rFonts w:eastAsia="Calibri"/>
          <w:lang w:val="fr-FR"/>
        </w:rPr>
      </w:pPr>
      <w:r w:rsidRPr="005E33C3">
        <w:rPr>
          <w:lang w:val="fr-FR"/>
        </w:rPr>
        <w:tab/>
        <w:t>Les récipients à pression rechargeables autorisés par le Département des transports des États-Unis d’Amérique et construits conformément aux normes énoncées dans la Partie 178 (</w:t>
      </w:r>
      <w:proofErr w:type="spellStart"/>
      <w:r w:rsidRPr="005E33C3">
        <w:rPr>
          <w:lang w:val="fr-FR"/>
        </w:rPr>
        <w:t>Specifications</w:t>
      </w:r>
      <w:proofErr w:type="spellEnd"/>
      <w:r w:rsidRPr="005E33C3">
        <w:rPr>
          <w:lang w:val="fr-FR"/>
        </w:rPr>
        <w:t xml:space="preserve"> for Packagings (Spécifications relatives aux emballages)) du Titre 49 (Transportation (Transports)) du Code of </w:t>
      </w:r>
      <w:proofErr w:type="spellStart"/>
      <w:r w:rsidRPr="005E33C3">
        <w:rPr>
          <w:lang w:val="fr-FR"/>
        </w:rPr>
        <w:t>Federal</w:t>
      </w:r>
      <w:proofErr w:type="spellEnd"/>
      <w:r w:rsidRPr="005E33C3">
        <w:rPr>
          <w:lang w:val="fr-FR"/>
        </w:rPr>
        <w:t xml:space="preserve"> </w:t>
      </w:r>
      <w:proofErr w:type="spellStart"/>
      <w:r w:rsidRPr="005E33C3">
        <w:rPr>
          <w:lang w:val="fr-FR"/>
        </w:rPr>
        <w:t>Regulations</w:t>
      </w:r>
      <w:proofErr w:type="spellEnd"/>
      <w:r w:rsidRPr="005E33C3">
        <w:rPr>
          <w:lang w:val="fr-FR"/>
        </w:rPr>
        <w:t xml:space="preserve"> (recueil des règlements fédéraux) ne peuvent être remplis et transportés que pour l’exportation vers des pays qui ne sont pas des Parties contractants à l’ADR et à condition de satisfaire aux dispositions ci-après : </w:t>
      </w:r>
    </w:p>
    <w:p w14:paraId="0DF3262C" w14:textId="77777777" w:rsidR="005E33C3" w:rsidRPr="005E33C3" w:rsidRDefault="005E33C3" w:rsidP="005E33C3">
      <w:pPr>
        <w:tabs>
          <w:tab w:val="left" w:pos="2268"/>
        </w:tabs>
        <w:spacing w:after="120"/>
        <w:ind w:left="3828" w:right="1134" w:hanging="426"/>
        <w:jc w:val="both"/>
        <w:rPr>
          <w:rFonts w:eastAsia="Calibri"/>
          <w:lang w:val="fr-FR"/>
        </w:rPr>
      </w:pPr>
      <w:r w:rsidRPr="005E33C3">
        <w:rPr>
          <w:lang w:val="fr-FR"/>
        </w:rPr>
        <w:t>a)</w:t>
      </w:r>
      <w:r w:rsidRPr="005E33C3">
        <w:rPr>
          <w:lang w:val="fr-FR"/>
        </w:rPr>
        <w:tab/>
        <w:t xml:space="preserve">Le remplissage des récipients à pression est réalisé conformément aux prescriptions pertinentes du Code of </w:t>
      </w:r>
      <w:proofErr w:type="spellStart"/>
      <w:r w:rsidRPr="005E33C3">
        <w:rPr>
          <w:lang w:val="fr-FR"/>
        </w:rPr>
        <w:t>Federal</w:t>
      </w:r>
      <w:proofErr w:type="spellEnd"/>
      <w:r w:rsidRPr="005E33C3">
        <w:rPr>
          <w:lang w:val="fr-FR"/>
        </w:rPr>
        <w:t xml:space="preserve"> </w:t>
      </w:r>
      <w:proofErr w:type="spellStart"/>
      <w:r w:rsidRPr="005E33C3">
        <w:rPr>
          <w:lang w:val="fr-FR"/>
        </w:rPr>
        <w:t>Regulations</w:t>
      </w:r>
      <w:proofErr w:type="spellEnd"/>
      <w:r w:rsidRPr="005E33C3">
        <w:rPr>
          <w:lang w:val="fr-FR"/>
        </w:rPr>
        <w:t xml:space="preserve"> (recueil des règlements fédéraux) des États-Unis d’Amérique ;</w:t>
      </w:r>
    </w:p>
    <w:p w14:paraId="440C290C" w14:textId="77777777" w:rsidR="005E33C3" w:rsidRPr="005E33C3" w:rsidRDefault="005E33C3" w:rsidP="005E33C3">
      <w:pPr>
        <w:tabs>
          <w:tab w:val="left" w:pos="2268"/>
        </w:tabs>
        <w:spacing w:after="120"/>
        <w:ind w:left="3828" w:right="1134" w:hanging="426"/>
        <w:jc w:val="both"/>
        <w:rPr>
          <w:rFonts w:eastAsia="Calibri"/>
          <w:lang w:val="fr-FR"/>
        </w:rPr>
      </w:pPr>
      <w:r w:rsidRPr="005E33C3">
        <w:rPr>
          <w:lang w:val="fr-FR"/>
        </w:rPr>
        <w:t>b)</w:t>
      </w:r>
      <w:r w:rsidRPr="005E33C3">
        <w:rPr>
          <w:lang w:val="fr-FR"/>
        </w:rPr>
        <w:tab/>
        <w:t>Les récipients à pression sont marqués et étiquetés conformément aux dispositions du chapitre 5.2 ;</w:t>
      </w:r>
    </w:p>
    <w:p w14:paraId="218F7AA4" w14:textId="77777777" w:rsidR="005E33C3" w:rsidRPr="005E33C3" w:rsidRDefault="005E33C3" w:rsidP="005E33C3">
      <w:pPr>
        <w:tabs>
          <w:tab w:val="left" w:pos="2268"/>
        </w:tabs>
        <w:spacing w:after="120"/>
        <w:ind w:left="3828" w:right="1134" w:hanging="426"/>
        <w:jc w:val="both"/>
        <w:rPr>
          <w:lang w:val="fr-FR"/>
        </w:rPr>
      </w:pPr>
      <w:r w:rsidRPr="005E33C3">
        <w:rPr>
          <w:lang w:val="fr-FR"/>
        </w:rPr>
        <w:t>c)</w:t>
      </w:r>
      <w:r w:rsidRPr="005E33C3">
        <w:rPr>
          <w:lang w:val="fr-FR"/>
        </w:rPr>
        <w:tab/>
      </w:r>
      <w:r w:rsidRPr="005E33C3">
        <w:rPr>
          <w:rFonts w:cs="Arial"/>
          <w:lang w:val="fr-FR"/>
        </w:rPr>
        <w:t xml:space="preserve">Les dispositions du 4.1.6.12 et du 4.1.6.13 s’appliquent aux récipients à pression. Les récipients à pression ne doivent pas être remplis après la date limite du contrôle périodique mais peuvent être transportés après cette date pour être </w:t>
      </w:r>
      <w:r w:rsidRPr="005E33C3">
        <w:rPr>
          <w:rFonts w:cs="Arial"/>
          <w:lang w:val="fr-FR"/>
        </w:rPr>
        <w:lastRenderedPageBreak/>
        <w:t>soumis à l’inspection, y compris toute opération de transport intermédiaire ;</w:t>
      </w:r>
    </w:p>
    <w:p w14:paraId="1860B1C8" w14:textId="77777777" w:rsidR="005E33C3" w:rsidRPr="005E33C3" w:rsidRDefault="005E33C3" w:rsidP="005E33C3">
      <w:pPr>
        <w:tabs>
          <w:tab w:val="left" w:pos="2268"/>
        </w:tabs>
        <w:spacing w:after="120"/>
        <w:ind w:left="3828" w:right="1134" w:hanging="426"/>
        <w:jc w:val="both"/>
        <w:rPr>
          <w:lang w:val="fr-FR"/>
        </w:rPr>
      </w:pPr>
      <w:r w:rsidRPr="005E33C3">
        <w:rPr>
          <w:lang w:val="fr-FR"/>
        </w:rPr>
        <w:t>d)</w:t>
      </w:r>
      <w:r w:rsidRPr="005E33C3">
        <w:rPr>
          <w:lang w:val="fr-FR"/>
        </w:rPr>
        <w:tab/>
        <w:t>[L’expéditeur chargé du transport ADR] inscrit la mention suivante dans le document de transport :</w:t>
      </w:r>
    </w:p>
    <w:p w14:paraId="50911514" w14:textId="77777777" w:rsidR="005E33C3" w:rsidRPr="005E33C3" w:rsidRDefault="005E33C3" w:rsidP="005E33C3">
      <w:pPr>
        <w:tabs>
          <w:tab w:val="left" w:pos="2268"/>
        </w:tabs>
        <w:spacing w:after="120"/>
        <w:ind w:left="3828" w:right="1134" w:hanging="426"/>
        <w:jc w:val="both"/>
        <w:rPr>
          <w:lang w:val="fr-FR"/>
        </w:rPr>
      </w:pPr>
      <w:r w:rsidRPr="005E33C3">
        <w:rPr>
          <w:lang w:val="fr-FR"/>
        </w:rPr>
        <w:tab/>
        <w:t>« </w:t>
      </w:r>
      <w:r w:rsidRPr="005E33C3">
        <w:rPr>
          <w:caps/>
          <w:lang w:val="fr-FR"/>
        </w:rPr>
        <w:t>Transport conformÉment au</w:t>
      </w:r>
      <w:r w:rsidRPr="005E33C3">
        <w:rPr>
          <w:lang w:val="fr-FR"/>
        </w:rPr>
        <w:t xml:space="preserve"> 1.1.4.7.2 ».</w:t>
      </w:r>
    </w:p>
    <w:p w14:paraId="68E28EC8"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568C8BC9" w14:textId="77777777" w:rsidR="005E33C3" w:rsidRPr="005E33C3" w:rsidRDefault="005E33C3" w:rsidP="005E33C3">
      <w:pPr>
        <w:tabs>
          <w:tab w:val="left" w:pos="2268"/>
          <w:tab w:val="left" w:pos="3402"/>
        </w:tabs>
        <w:spacing w:after="120"/>
        <w:ind w:left="1134" w:right="1134"/>
        <w:jc w:val="both"/>
        <w:rPr>
          <w:lang w:val="fr-FR"/>
        </w:rPr>
      </w:pPr>
      <w:r w:rsidRPr="005E33C3">
        <w:rPr>
          <w:lang w:val="fr-FR"/>
        </w:rPr>
        <w:t>1.1.5</w:t>
      </w:r>
      <w:r w:rsidRPr="005E33C3">
        <w:rPr>
          <w:lang w:val="fr-FR"/>
        </w:rPr>
        <w:tab/>
        <w:t>Ajouter le nota suivant :</w:t>
      </w:r>
    </w:p>
    <w:p w14:paraId="68DB84E5" w14:textId="77777777" w:rsidR="005E33C3" w:rsidRPr="005E33C3" w:rsidRDefault="005E33C3" w:rsidP="005E33C3">
      <w:pPr>
        <w:tabs>
          <w:tab w:val="left" w:pos="2268"/>
          <w:tab w:val="left" w:pos="3402"/>
        </w:tabs>
        <w:spacing w:after="120"/>
        <w:ind w:left="2268" w:right="1134"/>
        <w:jc w:val="both"/>
        <w:rPr>
          <w:lang w:val="fr-FR"/>
        </w:rPr>
      </w:pPr>
      <w:r w:rsidRPr="005E33C3">
        <w:rPr>
          <w:lang w:val="fr-FR"/>
        </w:rPr>
        <w:t>« </w:t>
      </w:r>
      <w:r w:rsidRPr="005E33C3">
        <w:rPr>
          <w:b/>
          <w:bCs/>
          <w:i/>
          <w:lang w:val="fr-FR"/>
        </w:rPr>
        <w:t>NOTA :</w:t>
      </w:r>
      <w:r w:rsidRPr="005E33C3">
        <w:rPr>
          <w:i/>
          <w:lang w:val="fr-FR"/>
        </w:rPr>
        <w:tab/>
        <w:t>Une norme précise comment satisfaire aux dispositions de l’ADR et peut inclure des exigences additionnelles à celles prévues dans l’ADR.</w:t>
      </w:r>
      <w:r w:rsidRPr="005E33C3">
        <w:rPr>
          <w:lang w:val="fr-FR"/>
        </w:rPr>
        <w:t> ».</w:t>
      </w:r>
    </w:p>
    <w:p w14:paraId="48862E17"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5EA30D95"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1.2</w:t>
      </w:r>
      <w:r w:rsidRPr="005E33C3">
        <w:rPr>
          <w:b/>
          <w:sz w:val="24"/>
          <w:lang w:val="fr-FR"/>
        </w:rPr>
        <w:tab/>
      </w:r>
    </w:p>
    <w:p w14:paraId="304CF62E" w14:textId="77777777" w:rsidR="005E33C3" w:rsidRPr="005E33C3" w:rsidRDefault="005E33C3" w:rsidP="005E33C3">
      <w:pPr>
        <w:tabs>
          <w:tab w:val="left" w:pos="2268"/>
        </w:tabs>
        <w:spacing w:after="120"/>
        <w:ind w:left="2268" w:right="1134" w:hanging="1134"/>
        <w:jc w:val="both"/>
        <w:rPr>
          <w:lang w:val="fr-FR"/>
        </w:rPr>
      </w:pPr>
      <w:r w:rsidRPr="005E33C3">
        <w:rPr>
          <w:lang w:val="fr-FR"/>
        </w:rPr>
        <w:t>1.2</w:t>
      </w:r>
      <w:r w:rsidRPr="005E33C3">
        <w:rPr>
          <w:lang w:val="fr-FR"/>
        </w:rPr>
        <w:tab/>
        <w:t>Modifier le titre pour lire : « </w:t>
      </w:r>
      <w:r w:rsidRPr="005E33C3">
        <w:rPr>
          <w:b/>
          <w:bCs/>
          <w:lang w:val="fr-FR"/>
        </w:rPr>
        <w:t>DÉFINITIONS, UNITÉS DE MESURE ET ABRÉVIATIONS</w:t>
      </w:r>
      <w:r w:rsidRPr="005E33C3">
        <w:rPr>
          <w:lang w:val="fr-FR"/>
        </w:rPr>
        <w:t> »</w:t>
      </w:r>
    </w:p>
    <w:p w14:paraId="138D0F84"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598F566" w14:textId="77777777" w:rsidR="005E33C3" w:rsidRPr="005E33C3" w:rsidRDefault="005E33C3" w:rsidP="005E33C3">
      <w:pPr>
        <w:tabs>
          <w:tab w:val="left" w:pos="2268"/>
        </w:tabs>
        <w:spacing w:after="120"/>
        <w:ind w:left="1134" w:right="1134"/>
        <w:jc w:val="both"/>
        <w:rPr>
          <w:lang w:val="fr-FR"/>
        </w:rPr>
      </w:pPr>
      <w:r w:rsidRPr="005E33C3">
        <w:rPr>
          <w:lang w:val="fr-FR"/>
        </w:rPr>
        <w:t>1.2.1</w:t>
      </w:r>
      <w:r w:rsidRPr="005E33C3">
        <w:rPr>
          <w:lang w:val="fr-FR"/>
        </w:rPr>
        <w:tab/>
        <w:t>Supprimer les définitions suivantes :</w:t>
      </w:r>
    </w:p>
    <w:p w14:paraId="780B179A" w14:textId="77777777" w:rsidR="005E33C3" w:rsidRPr="005E33C3" w:rsidRDefault="005E33C3" w:rsidP="005E33C3">
      <w:pPr>
        <w:tabs>
          <w:tab w:val="left" w:pos="2268"/>
        </w:tabs>
        <w:spacing w:after="120"/>
        <w:ind w:left="2268" w:right="1134"/>
        <w:jc w:val="both"/>
        <w:rPr>
          <w:lang w:val="fr-FR"/>
        </w:rPr>
      </w:pPr>
      <w:r w:rsidRPr="005E33C3">
        <w:rPr>
          <w:lang w:val="fr-FR"/>
        </w:rPr>
        <w:t>« ADN », « AIEA », « ASTM », « CEE-ONU », « CGA », « CGEM », « CIM », « CMR », « CSC », « EN (Norme) », « IMDG », « ISO (Norme) », « MEMU », « N.S.A. », « OACI », « OMI », « RID », « TDAA », « TPAA », « UIC ».</w:t>
      </w:r>
    </w:p>
    <w:p w14:paraId="5C956F12" w14:textId="77777777" w:rsidR="005E33C3" w:rsidRPr="005E33C3" w:rsidRDefault="005E33C3" w:rsidP="005E33C3">
      <w:pPr>
        <w:tabs>
          <w:tab w:val="left" w:pos="2268"/>
        </w:tabs>
        <w:spacing w:after="120"/>
        <w:ind w:left="2268" w:right="1134"/>
        <w:jc w:val="both"/>
        <w:rPr>
          <w:lang w:val="fr-FR"/>
        </w:rPr>
      </w:pPr>
      <w:r w:rsidRPr="005E33C3">
        <w:rPr>
          <w:szCs w:val="24"/>
          <w:lang w:val="fr-FR"/>
        </w:rPr>
        <w:t xml:space="preserve">Dans la définition de « Conteneur à gaz à éléments multiples (CGEM) », supprimer </w:t>
      </w:r>
      <w:r w:rsidRPr="005E33C3">
        <w:rPr>
          <w:lang w:val="fr-FR"/>
        </w:rPr>
        <w:t>« (CGEM) ».</w:t>
      </w:r>
    </w:p>
    <w:p w14:paraId="6BD2F6C1"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Gaz de pétrole liquéfié (GPL) », supprimer « (GPL) ».</w:t>
      </w:r>
    </w:p>
    <w:p w14:paraId="17513590"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Gaz naturel comprimé (GNC) », supprimer « (GNC) ».</w:t>
      </w:r>
    </w:p>
    <w:p w14:paraId="21809B13"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Gaz naturel liquéfié (GNL) », supprimer « (GNL) ».</w:t>
      </w:r>
    </w:p>
    <w:p w14:paraId="5DC9DF7F"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Grand récipient pour vrac (GRV) », supprimer « (GRV) ».</w:t>
      </w:r>
    </w:p>
    <w:p w14:paraId="249002CD"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Indice de sûreté-criticité (CSI</w:t>
      </w:r>
      <w:r w:rsidRPr="005E33C3">
        <w:rPr>
          <w:vertAlign w:val="superscript"/>
          <w:lang w:val="fr-FR"/>
        </w:rPr>
        <w:t>*</w:t>
      </w:r>
      <w:r w:rsidRPr="005E33C3">
        <w:rPr>
          <w:lang w:val="fr-FR"/>
        </w:rPr>
        <w:t>) », supprimer « (CSI</w:t>
      </w:r>
      <w:r w:rsidRPr="005E33C3">
        <w:rPr>
          <w:vertAlign w:val="superscript"/>
          <w:lang w:val="fr-FR"/>
        </w:rPr>
        <w:t>*</w:t>
      </w:r>
      <w:r w:rsidRPr="005E33C3">
        <w:rPr>
          <w:lang w:val="fr-FR"/>
        </w:rPr>
        <w:t>) ».</w:t>
      </w:r>
    </w:p>
    <w:p w14:paraId="43C82905"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Indice de transport (TI</w:t>
      </w:r>
      <w:r w:rsidRPr="005E33C3">
        <w:rPr>
          <w:vertAlign w:val="superscript"/>
          <w:lang w:val="fr-FR"/>
        </w:rPr>
        <w:t>**</w:t>
      </w:r>
      <w:r w:rsidRPr="005E33C3">
        <w:rPr>
          <w:lang w:val="fr-FR"/>
        </w:rPr>
        <w:t>) », supprimer « (TI</w:t>
      </w:r>
      <w:r w:rsidRPr="005E33C3">
        <w:rPr>
          <w:vertAlign w:val="superscript"/>
          <w:lang w:val="fr-FR"/>
        </w:rPr>
        <w:t>**</w:t>
      </w:r>
      <w:r w:rsidRPr="005E33C3">
        <w:rPr>
          <w:lang w:val="fr-FR"/>
        </w:rPr>
        <w:t>) ».</w:t>
      </w:r>
    </w:p>
    <w:p w14:paraId="70DA87A5" w14:textId="77777777" w:rsidR="005E33C3" w:rsidRPr="005E33C3" w:rsidRDefault="005E33C3" w:rsidP="005E33C3">
      <w:pPr>
        <w:tabs>
          <w:tab w:val="left" w:pos="2268"/>
        </w:tabs>
        <w:spacing w:after="120"/>
        <w:ind w:left="2268" w:right="1134"/>
        <w:jc w:val="both"/>
        <w:rPr>
          <w:lang w:val="fr-FR"/>
        </w:rPr>
      </w:pPr>
      <w:r w:rsidRPr="005E33C3">
        <w:rPr>
          <w:lang w:val="fr-FR"/>
        </w:rPr>
        <w:t>Remplacer la définition de « SGH », par la définition suivante :</w:t>
      </w:r>
    </w:p>
    <w:p w14:paraId="0A92B530" w14:textId="77777777" w:rsidR="005E33C3" w:rsidRPr="005E33C3" w:rsidRDefault="005E33C3" w:rsidP="005E33C3">
      <w:pPr>
        <w:tabs>
          <w:tab w:val="left" w:pos="2268"/>
        </w:tabs>
        <w:spacing w:after="120"/>
        <w:ind w:left="2268" w:right="1134"/>
        <w:jc w:val="both"/>
        <w:rPr>
          <w:lang w:val="fr-FR"/>
        </w:rPr>
      </w:pPr>
      <w:r w:rsidRPr="005E33C3">
        <w:rPr>
          <w:lang w:val="fr-FR"/>
        </w:rPr>
        <w:t>« </w:t>
      </w:r>
      <w:r w:rsidRPr="005E33C3">
        <w:rPr>
          <w:i/>
          <w:lang w:val="fr-FR"/>
        </w:rPr>
        <w:t>"Système Général Harmonisé de classification et d'étiquetage des produits chimiques"</w:t>
      </w:r>
      <w:r w:rsidRPr="005E33C3">
        <w:rPr>
          <w:lang w:val="fr-FR"/>
        </w:rPr>
        <w:t>, la neuvième édition révisée de la publication des Nations Unies ainsi intitulée (ST/SG/AC.10/30/Rev.9) ; ».</w:t>
      </w:r>
    </w:p>
    <w:p w14:paraId="393DA9CF"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Température de décomposition auto-accélérée (TDAA) », supprimer « (TDAA) ».</w:t>
      </w:r>
    </w:p>
    <w:p w14:paraId="0DA84CF5"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Température de polymérisation auto-accélérée (TPAA) », supprimer « (TPAA) ».</w:t>
      </w:r>
    </w:p>
    <w:p w14:paraId="0C9D15EB" w14:textId="77777777" w:rsidR="005E33C3" w:rsidRPr="005E33C3" w:rsidRDefault="005E33C3" w:rsidP="005E33C3">
      <w:pPr>
        <w:tabs>
          <w:tab w:val="left" w:pos="2268"/>
        </w:tabs>
        <w:spacing w:after="120"/>
        <w:ind w:left="2268" w:right="1134"/>
        <w:jc w:val="both"/>
        <w:rPr>
          <w:lang w:val="fr-FR"/>
        </w:rPr>
      </w:pPr>
      <w:r w:rsidRPr="005E33C3">
        <w:rPr>
          <w:lang w:val="fr-FR"/>
        </w:rPr>
        <w:t>Dans la définition de « Unité mobile de fabrication d’explosifs », supprimer « (MEMU)</w:t>
      </w:r>
      <w:r w:rsidRPr="005E33C3">
        <w:rPr>
          <w:vertAlign w:val="superscript"/>
          <w:lang w:val="fr-FR"/>
        </w:rPr>
        <w:t>*</w:t>
      </w:r>
      <w:r w:rsidRPr="005E33C3">
        <w:rPr>
          <w:lang w:val="fr-FR"/>
        </w:rPr>
        <w:t> ».</w:t>
      </w:r>
    </w:p>
    <w:p w14:paraId="015E93B8"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455A7ED" w14:textId="77777777" w:rsidR="005E33C3" w:rsidRPr="005E33C3" w:rsidRDefault="005E33C3" w:rsidP="005E33C3">
      <w:pPr>
        <w:tabs>
          <w:tab w:val="left" w:pos="2268"/>
        </w:tabs>
        <w:spacing w:after="120"/>
        <w:ind w:left="1134" w:right="1134"/>
        <w:jc w:val="both"/>
        <w:rPr>
          <w:lang w:val="fr-FR"/>
        </w:rPr>
      </w:pPr>
      <w:r w:rsidRPr="005E33C3">
        <w:rPr>
          <w:lang w:val="fr-FR"/>
        </w:rPr>
        <w:t>Ajouter une nouvelle section 1.2.3 ainsi conçue :</w:t>
      </w:r>
    </w:p>
    <w:p w14:paraId="0517FDC7" w14:textId="77777777" w:rsidR="005E33C3" w:rsidRPr="005E33C3" w:rsidRDefault="005E33C3" w:rsidP="005E33C3">
      <w:pPr>
        <w:tabs>
          <w:tab w:val="left" w:pos="2268"/>
          <w:tab w:val="left" w:pos="3402"/>
        </w:tabs>
        <w:spacing w:after="120"/>
        <w:ind w:left="2268" w:right="1134"/>
        <w:jc w:val="both"/>
        <w:rPr>
          <w:lang w:val="fr-FR"/>
        </w:rPr>
      </w:pPr>
      <w:r w:rsidRPr="005E33C3">
        <w:rPr>
          <w:lang w:val="fr-FR"/>
        </w:rPr>
        <w:lastRenderedPageBreak/>
        <w:t>« </w:t>
      </w:r>
      <w:r w:rsidRPr="005E33C3">
        <w:rPr>
          <w:b/>
          <w:bCs/>
          <w:lang w:val="fr-FR"/>
        </w:rPr>
        <w:t>1.2.3</w:t>
      </w:r>
      <w:r w:rsidRPr="005E33C3">
        <w:rPr>
          <w:b/>
          <w:bCs/>
          <w:lang w:val="fr-FR"/>
        </w:rPr>
        <w:tab/>
        <w:t>Liste d’abréviations</w:t>
      </w:r>
    </w:p>
    <w:p w14:paraId="046F6FA2" w14:textId="77777777" w:rsidR="005E33C3" w:rsidRPr="005E33C3" w:rsidRDefault="005E33C3" w:rsidP="005E33C3">
      <w:pPr>
        <w:tabs>
          <w:tab w:val="left" w:pos="2268"/>
          <w:tab w:val="left" w:pos="3402"/>
        </w:tabs>
        <w:spacing w:after="120"/>
        <w:ind w:left="2268" w:right="1134"/>
        <w:jc w:val="both"/>
        <w:rPr>
          <w:lang w:val="fr-FR"/>
        </w:rPr>
      </w:pPr>
      <w:r w:rsidRPr="005E33C3">
        <w:rPr>
          <w:lang w:val="fr-FR"/>
        </w:rPr>
        <w:tab/>
        <w:t>Dans l’ADR sont utilisés des abréviations, des acronymes et des désignations abrégées de textes réglementaires, dont la signification est la suivante :</w:t>
      </w:r>
    </w:p>
    <w:p w14:paraId="421A5BC0" w14:textId="77777777" w:rsidR="005E33C3" w:rsidRPr="005E33C3" w:rsidRDefault="005E33C3" w:rsidP="005E33C3">
      <w:pPr>
        <w:tabs>
          <w:tab w:val="left" w:pos="2268"/>
        </w:tabs>
        <w:spacing w:after="120"/>
        <w:ind w:left="2268" w:right="1134"/>
        <w:jc w:val="both"/>
        <w:rPr>
          <w:b/>
          <w:bCs/>
          <w:lang w:val="fr-FR"/>
        </w:rPr>
      </w:pPr>
      <w:r w:rsidRPr="005E33C3">
        <w:rPr>
          <w:b/>
          <w:bCs/>
          <w:lang w:val="fr-FR"/>
        </w:rPr>
        <w:t>A</w:t>
      </w:r>
    </w:p>
    <w:p w14:paraId="083EB84C"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ADN</w:t>
      </w:r>
      <w:r w:rsidRPr="005E33C3">
        <w:rPr>
          <w:iCs/>
          <w:lang w:val="fr-FR"/>
        </w:rPr>
        <w:t>”</w:t>
      </w:r>
      <w:r w:rsidRPr="005E33C3">
        <w:rPr>
          <w:lang w:val="fr-FR"/>
        </w:rPr>
        <w:t>, Accord européen relatif au transport international des marchandises dangereuses par voies de navigation intérieures ;</w:t>
      </w:r>
    </w:p>
    <w:p w14:paraId="6930E7D1"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AIEA</w:t>
      </w:r>
      <w:r w:rsidRPr="005E33C3">
        <w:rPr>
          <w:lang w:val="fr-FR"/>
        </w:rPr>
        <w:t>”, Agence internationale de l’énergie atomique (AIEA), (AIEA, P.O. Box 100, A</w:t>
      </w:r>
      <w:r w:rsidRPr="005E33C3">
        <w:rPr>
          <w:lang w:val="fr-FR"/>
        </w:rPr>
        <w:noBreakHyphen/>
        <w:t xml:space="preserve">1400 Vienne, Autriche), </w:t>
      </w:r>
      <w:hyperlink r:id="rId11" w:history="1">
        <w:r w:rsidRPr="005E33C3">
          <w:rPr>
            <w:bCs/>
            <w:color w:val="0000FF"/>
            <w:lang w:val="fr-FR"/>
          </w:rPr>
          <w:t>www.iaea.org</w:t>
        </w:r>
      </w:hyperlink>
      <w:r w:rsidRPr="005E33C3">
        <w:rPr>
          <w:lang w:val="fr-FR"/>
        </w:rPr>
        <w:t> ;</w:t>
      </w:r>
    </w:p>
    <w:p w14:paraId="143A1D36"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ASTM</w:t>
      </w:r>
      <w:r w:rsidRPr="005E33C3">
        <w:rPr>
          <w:iCs/>
          <w:lang w:val="fr-FR"/>
        </w:rPr>
        <w:t xml:space="preserve">”, </w:t>
      </w:r>
      <w:r w:rsidRPr="005E33C3">
        <w:rPr>
          <w:lang w:val="fr-FR"/>
        </w:rPr>
        <w:t xml:space="preserve">American Society for </w:t>
      </w:r>
      <w:proofErr w:type="spellStart"/>
      <w:r w:rsidRPr="005E33C3">
        <w:rPr>
          <w:lang w:val="fr-FR"/>
        </w:rPr>
        <w:t>Testing</w:t>
      </w:r>
      <w:proofErr w:type="spellEnd"/>
      <w:r w:rsidRPr="005E33C3">
        <w:rPr>
          <w:lang w:val="fr-FR"/>
        </w:rPr>
        <w:t xml:space="preserve"> and Materials (ASTM International, 100 Barr Harbor Drive, PO Box C700, West </w:t>
      </w:r>
      <w:proofErr w:type="spellStart"/>
      <w:r w:rsidRPr="005E33C3">
        <w:rPr>
          <w:lang w:val="fr-FR"/>
        </w:rPr>
        <w:t>Conshohocken</w:t>
      </w:r>
      <w:proofErr w:type="spellEnd"/>
      <w:r w:rsidRPr="005E33C3">
        <w:rPr>
          <w:lang w:val="fr-FR"/>
        </w:rPr>
        <w:t xml:space="preserve">, PA, 19428-2959, États-Unis d’Amérique), </w:t>
      </w:r>
      <w:hyperlink r:id="rId12" w:history="1">
        <w:r w:rsidRPr="005E33C3">
          <w:rPr>
            <w:bCs/>
            <w:color w:val="0000FF"/>
            <w:lang w:val="fr-FR"/>
          </w:rPr>
          <w:t>www.astm.org</w:t>
        </w:r>
      </w:hyperlink>
      <w:r w:rsidRPr="005E33C3">
        <w:rPr>
          <w:lang w:val="fr-FR"/>
        </w:rPr>
        <w:t> ;</w:t>
      </w:r>
    </w:p>
    <w:p w14:paraId="147F63C2" w14:textId="77777777" w:rsidR="005E33C3" w:rsidRPr="005E33C3" w:rsidRDefault="005E33C3" w:rsidP="005E33C3">
      <w:pPr>
        <w:tabs>
          <w:tab w:val="left" w:pos="2268"/>
        </w:tabs>
        <w:spacing w:after="120"/>
        <w:ind w:left="2268" w:right="1134"/>
        <w:jc w:val="both"/>
        <w:rPr>
          <w:b/>
          <w:bCs/>
          <w:lang w:val="fr-FR"/>
        </w:rPr>
      </w:pPr>
      <w:r w:rsidRPr="005E33C3">
        <w:rPr>
          <w:b/>
          <w:bCs/>
          <w:lang w:val="fr-FR"/>
        </w:rPr>
        <w:t>C</w:t>
      </w:r>
    </w:p>
    <w:p w14:paraId="7622B35C"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CEE-ONU</w:t>
      </w:r>
      <w:r w:rsidRPr="005E33C3">
        <w:rPr>
          <w:lang w:val="fr-FR"/>
        </w:rPr>
        <w:t xml:space="preserve">”, Commission Économique des Nations Unies pour l’Europe (CEE-ONU, Palais des Nations, 8-14 avenue de la Paix, CH-1211 Genève 10, Suisse), </w:t>
      </w:r>
      <w:hyperlink r:id="rId13" w:history="1">
        <w:r w:rsidRPr="005E33C3">
          <w:rPr>
            <w:bCs/>
            <w:color w:val="0000FF"/>
            <w:lang w:val="fr-FR"/>
          </w:rPr>
          <w:t>www.unece.org</w:t>
        </w:r>
      </w:hyperlink>
      <w:r w:rsidRPr="005E33C3">
        <w:rPr>
          <w:lang w:val="fr-FR"/>
        </w:rPr>
        <w:t> ;</w:t>
      </w:r>
    </w:p>
    <w:p w14:paraId="2C47BEDE"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CGA</w:t>
      </w:r>
      <w:r w:rsidRPr="005E33C3">
        <w:rPr>
          <w:iCs/>
          <w:lang w:val="fr-FR"/>
        </w:rPr>
        <w:t>”, “</w:t>
      </w:r>
      <w:r w:rsidRPr="005E33C3">
        <w:rPr>
          <w:lang w:val="fr-FR"/>
        </w:rPr>
        <w:t xml:space="preserve">Compressed Gas Association” (CGA, 14501 George Carter </w:t>
      </w:r>
      <w:proofErr w:type="spellStart"/>
      <w:r w:rsidRPr="005E33C3">
        <w:rPr>
          <w:lang w:val="fr-FR"/>
        </w:rPr>
        <w:t>Way</w:t>
      </w:r>
      <w:proofErr w:type="spellEnd"/>
      <w:r w:rsidRPr="005E33C3">
        <w:rPr>
          <w:lang w:val="fr-FR"/>
        </w:rPr>
        <w:t xml:space="preserve">, Suite 103, Chantilly, VA 20151, États-Unis d’Amérique), </w:t>
      </w:r>
      <w:hyperlink r:id="rId14" w:history="1">
        <w:r w:rsidRPr="005E33C3">
          <w:rPr>
            <w:bCs/>
            <w:color w:val="0000FF"/>
            <w:lang w:val="fr-FR"/>
          </w:rPr>
          <w:t>www.cganet.com</w:t>
        </w:r>
      </w:hyperlink>
      <w:r w:rsidRPr="005E33C3">
        <w:rPr>
          <w:lang w:val="fr-FR"/>
        </w:rPr>
        <w:t> ;</w:t>
      </w:r>
    </w:p>
    <w:p w14:paraId="57721A99"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
          <w:lang w:val="fr-FR"/>
        </w:rPr>
        <w:t>CGEM</w:t>
      </w:r>
      <w:r w:rsidRPr="005E33C3">
        <w:rPr>
          <w:iCs/>
          <w:lang w:val="fr-FR"/>
        </w:rPr>
        <w:t>”, “Conteneur à gaz à éléments multiples” (voir 1.2.1) ;</w:t>
      </w:r>
    </w:p>
    <w:p w14:paraId="4F733227"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CIM</w:t>
      </w:r>
      <w:r w:rsidRPr="005E33C3">
        <w:rPr>
          <w:iCs/>
          <w:lang w:val="fr-FR"/>
        </w:rPr>
        <w:t xml:space="preserve">”, </w:t>
      </w:r>
      <w:r w:rsidRPr="005E33C3">
        <w:rPr>
          <w:lang w:val="fr-FR"/>
        </w:rPr>
        <w:t>Règles uniformes concernant le contrat de transport international ferroviaire des marchandises (Appendice B à la Convention relative aux transports internationaux ferroviaires (COTIF)), telles que modifiées ;</w:t>
      </w:r>
    </w:p>
    <w:p w14:paraId="1157E274"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CMR</w:t>
      </w:r>
      <w:r w:rsidRPr="005E33C3">
        <w:rPr>
          <w:iCs/>
          <w:lang w:val="fr-FR"/>
        </w:rPr>
        <w:t>”,</w:t>
      </w:r>
      <w:r w:rsidRPr="005E33C3">
        <w:rPr>
          <w:lang w:val="fr-FR"/>
        </w:rPr>
        <w:t xml:space="preserve"> Convention relative au contrat de transport international de marchandises par route (Genève, 19 mai 1956), telle que modifiée ;</w:t>
      </w:r>
    </w:p>
    <w:p w14:paraId="73973F46"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CSC</w:t>
      </w:r>
      <w:r w:rsidRPr="005E33C3">
        <w:rPr>
          <w:iCs/>
          <w:lang w:val="fr-FR"/>
        </w:rPr>
        <w:t xml:space="preserve">”, </w:t>
      </w:r>
      <w:r w:rsidRPr="005E33C3">
        <w:rPr>
          <w:lang w:val="fr-FR"/>
        </w:rPr>
        <w:t>Convention internationale sur la sécurité des conteneurs (Genève, 1972) telle que modifiée et publiée par l’Organisation Maritime Internationale (OMI), à Londres ;</w:t>
      </w:r>
    </w:p>
    <w:p w14:paraId="0C63570B"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CSI</w:t>
      </w:r>
      <w:r w:rsidRPr="005E33C3">
        <w:rPr>
          <w:iCs/>
          <w:lang w:val="fr-FR"/>
        </w:rPr>
        <w:t>”*,</w:t>
      </w:r>
      <w:r w:rsidRPr="005E33C3">
        <w:rPr>
          <w:i/>
          <w:lang w:val="fr-FR"/>
        </w:rPr>
        <w:t xml:space="preserve"> </w:t>
      </w:r>
      <w:r w:rsidRPr="005E33C3">
        <w:rPr>
          <w:lang w:val="fr-FR"/>
        </w:rPr>
        <w:t>“Indice de sûreté-criticité” (voir 1.2.1) ;</w:t>
      </w:r>
    </w:p>
    <w:p w14:paraId="5A0F0927" w14:textId="77777777" w:rsidR="005E33C3" w:rsidRPr="005E33C3" w:rsidRDefault="005E33C3" w:rsidP="005E33C3">
      <w:pPr>
        <w:tabs>
          <w:tab w:val="left" w:pos="2268"/>
        </w:tabs>
        <w:spacing w:after="120"/>
        <w:ind w:left="2268" w:right="1134"/>
        <w:jc w:val="both"/>
        <w:rPr>
          <w:lang w:val="fr-FR"/>
        </w:rPr>
      </w:pPr>
      <w:r w:rsidRPr="005E33C3">
        <w:rPr>
          <w:lang w:val="fr-FR"/>
        </w:rPr>
        <w:t>________</w:t>
      </w:r>
    </w:p>
    <w:p w14:paraId="0DDEF3F0"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lang w:val="fr-FR"/>
        </w:rPr>
        <w:tab/>
        <w:t>L’acronyme « CSI » correspond au terme anglais « </w:t>
      </w:r>
      <w:proofErr w:type="spellStart"/>
      <w:r w:rsidRPr="005E33C3">
        <w:rPr>
          <w:lang w:val="fr-FR"/>
        </w:rPr>
        <w:t>Criticality</w:t>
      </w:r>
      <w:proofErr w:type="spellEnd"/>
      <w:r w:rsidRPr="005E33C3">
        <w:rPr>
          <w:lang w:val="fr-FR"/>
        </w:rPr>
        <w:t xml:space="preserve"> </w:t>
      </w:r>
      <w:proofErr w:type="spellStart"/>
      <w:r w:rsidRPr="005E33C3">
        <w:rPr>
          <w:lang w:val="fr-FR"/>
        </w:rPr>
        <w:t>Safety</w:t>
      </w:r>
      <w:proofErr w:type="spellEnd"/>
      <w:r w:rsidRPr="005E33C3">
        <w:rPr>
          <w:lang w:val="fr-FR"/>
        </w:rPr>
        <w:t xml:space="preserve"> Index ».</w:t>
      </w:r>
    </w:p>
    <w:p w14:paraId="3D40FEB4" w14:textId="77777777" w:rsidR="005E33C3" w:rsidRPr="005E33C3" w:rsidRDefault="005E33C3" w:rsidP="005E33C3">
      <w:pPr>
        <w:tabs>
          <w:tab w:val="left" w:pos="2268"/>
        </w:tabs>
        <w:spacing w:after="120"/>
        <w:ind w:left="2268" w:right="1134"/>
        <w:jc w:val="both"/>
        <w:rPr>
          <w:b/>
          <w:bCs/>
          <w:lang w:val="fr-FR"/>
        </w:rPr>
      </w:pPr>
      <w:r w:rsidRPr="005E33C3">
        <w:rPr>
          <w:b/>
          <w:bCs/>
          <w:lang w:val="fr-FR"/>
        </w:rPr>
        <w:t>E</w:t>
      </w:r>
    </w:p>
    <w:p w14:paraId="017801EE"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EIGA</w:t>
      </w:r>
      <w:r w:rsidRPr="005E33C3">
        <w:rPr>
          <w:iCs/>
          <w:lang w:val="fr-FR"/>
        </w:rPr>
        <w:t xml:space="preserve">”, Association européenne des gaz industriels (EIGA, </w:t>
      </w:r>
      <w:r w:rsidRPr="005E33C3">
        <w:rPr>
          <w:lang w:val="fr-FR"/>
        </w:rPr>
        <w:t xml:space="preserve">30 Avenue de l’Astronomie, B-1210 Bruxelles, Belgique), </w:t>
      </w:r>
      <w:hyperlink r:id="rId15" w:history="1">
        <w:r w:rsidRPr="005E33C3">
          <w:rPr>
            <w:bCs/>
            <w:color w:val="0000FF"/>
            <w:lang w:val="fr-FR"/>
          </w:rPr>
          <w:t>www.eiga.eu</w:t>
        </w:r>
      </w:hyperlink>
      <w:r w:rsidRPr="005E33C3">
        <w:rPr>
          <w:lang w:val="fr-FR"/>
        </w:rPr>
        <w:t> ;</w:t>
      </w:r>
    </w:p>
    <w:p w14:paraId="73EEC653"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EN</w:t>
      </w:r>
      <w:r w:rsidRPr="005E33C3">
        <w:rPr>
          <w:iCs/>
          <w:lang w:val="fr-FR"/>
        </w:rPr>
        <w:t>”</w:t>
      </w:r>
      <w:r w:rsidRPr="005E33C3">
        <w:rPr>
          <w:lang w:val="fr-FR"/>
        </w:rPr>
        <w:t xml:space="preserve"> (norme), une norme européenne publiée par le Comité européen de normalisation (CEN) (CEN, Avenue Marnix 17, B-1000 Bruxelles, Belgique), </w:t>
      </w:r>
      <w:hyperlink r:id="rId16" w:history="1">
        <w:r w:rsidRPr="005E33C3">
          <w:rPr>
            <w:bCs/>
            <w:color w:val="0000FF"/>
            <w:lang w:val="fr-FR"/>
          </w:rPr>
          <w:t>www.cen.eu</w:t>
        </w:r>
      </w:hyperlink>
      <w:r w:rsidRPr="005E33C3">
        <w:rPr>
          <w:lang w:val="fr-FR"/>
        </w:rPr>
        <w:t> ;</w:t>
      </w:r>
    </w:p>
    <w:p w14:paraId="2A3B4734" w14:textId="77777777" w:rsidR="005E33C3" w:rsidRPr="005E33C3" w:rsidRDefault="005E33C3" w:rsidP="005E33C3">
      <w:pPr>
        <w:tabs>
          <w:tab w:val="left" w:pos="2268"/>
        </w:tabs>
        <w:spacing w:after="120"/>
        <w:ind w:left="2268" w:right="1134"/>
        <w:jc w:val="both"/>
        <w:rPr>
          <w:b/>
          <w:bCs/>
          <w:lang w:val="fr-FR"/>
        </w:rPr>
      </w:pPr>
      <w:r w:rsidRPr="005E33C3">
        <w:rPr>
          <w:b/>
          <w:bCs/>
          <w:lang w:val="fr-FR"/>
        </w:rPr>
        <w:t>G</w:t>
      </w:r>
    </w:p>
    <w:p w14:paraId="3F276E3B"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GNC</w:t>
      </w:r>
      <w:r w:rsidRPr="005E33C3">
        <w:rPr>
          <w:lang w:val="fr-FR"/>
        </w:rPr>
        <w:t>”, “Gaz naturel comprimé” (voir 1.2.1) ;</w:t>
      </w:r>
    </w:p>
    <w:p w14:paraId="66BCAD31"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GNL</w:t>
      </w:r>
      <w:r w:rsidRPr="005E33C3">
        <w:rPr>
          <w:iCs/>
          <w:lang w:val="fr-FR"/>
        </w:rPr>
        <w:t>”,</w:t>
      </w:r>
      <w:r w:rsidRPr="005E33C3">
        <w:rPr>
          <w:i/>
          <w:lang w:val="fr-FR"/>
        </w:rPr>
        <w:t xml:space="preserve"> </w:t>
      </w:r>
      <w:r w:rsidRPr="005E33C3">
        <w:rPr>
          <w:lang w:val="fr-FR"/>
        </w:rPr>
        <w:t>“Gaz naturel liquéfié” (voir 1.2.1) ;</w:t>
      </w:r>
    </w:p>
    <w:p w14:paraId="6F4D0FE2"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GPL</w:t>
      </w:r>
      <w:r w:rsidRPr="005E33C3">
        <w:rPr>
          <w:iCs/>
          <w:lang w:val="fr-FR"/>
        </w:rPr>
        <w:t>”,</w:t>
      </w:r>
      <w:r w:rsidRPr="005E33C3">
        <w:rPr>
          <w:i/>
          <w:lang w:val="fr-FR"/>
        </w:rPr>
        <w:t xml:space="preserve"> </w:t>
      </w:r>
      <w:r w:rsidRPr="005E33C3">
        <w:rPr>
          <w:lang w:val="fr-FR"/>
        </w:rPr>
        <w:t>“Gaz de pétrole liquéfié” (voir 1.2.1) ;</w:t>
      </w:r>
    </w:p>
    <w:p w14:paraId="7A673E32" w14:textId="77777777" w:rsidR="005E33C3" w:rsidRPr="005E33C3" w:rsidRDefault="005E33C3" w:rsidP="005E33C3">
      <w:pPr>
        <w:tabs>
          <w:tab w:val="left" w:pos="2268"/>
        </w:tabs>
        <w:spacing w:after="120"/>
        <w:ind w:left="2268" w:right="1134"/>
        <w:jc w:val="both"/>
        <w:rPr>
          <w:iCs/>
          <w:lang w:val="fr-FR"/>
        </w:rPr>
      </w:pPr>
      <w:r w:rsidRPr="005E33C3">
        <w:rPr>
          <w:lang w:val="fr-FR"/>
        </w:rPr>
        <w:t>“</w:t>
      </w:r>
      <w:r w:rsidRPr="005E33C3">
        <w:rPr>
          <w:i/>
          <w:iCs/>
          <w:lang w:val="fr-FR"/>
        </w:rPr>
        <w:t>GRV</w:t>
      </w:r>
      <w:r w:rsidRPr="005E33C3">
        <w:rPr>
          <w:lang w:val="fr-FR"/>
        </w:rPr>
        <w:t>”,</w:t>
      </w:r>
      <w:r w:rsidRPr="005E33C3">
        <w:rPr>
          <w:iCs/>
          <w:lang w:val="fr-FR"/>
        </w:rPr>
        <w:t xml:space="preserve"> “Grand emballage pour vrac”</w:t>
      </w:r>
      <w:r w:rsidRPr="005E33C3">
        <w:rPr>
          <w:lang w:val="fr-FR"/>
        </w:rPr>
        <w:t xml:space="preserve"> (voir 1.2.1)</w:t>
      </w:r>
      <w:r w:rsidRPr="005E33C3">
        <w:rPr>
          <w:iCs/>
          <w:lang w:val="fr-FR"/>
        </w:rPr>
        <w:t> ;</w:t>
      </w:r>
    </w:p>
    <w:p w14:paraId="65C9EFFC" w14:textId="77777777" w:rsidR="005E33C3" w:rsidRPr="005E33C3" w:rsidRDefault="005E33C3" w:rsidP="005E33C3">
      <w:pPr>
        <w:tabs>
          <w:tab w:val="left" w:pos="2268"/>
        </w:tabs>
        <w:spacing w:after="120"/>
        <w:ind w:left="2268" w:right="1134"/>
        <w:jc w:val="both"/>
        <w:rPr>
          <w:b/>
          <w:bCs/>
          <w:lang w:val="fr-FR"/>
        </w:rPr>
      </w:pPr>
      <w:r w:rsidRPr="005E33C3">
        <w:rPr>
          <w:b/>
          <w:bCs/>
          <w:lang w:val="fr-FR"/>
        </w:rPr>
        <w:t>I</w:t>
      </w:r>
    </w:p>
    <w:p w14:paraId="0F087F13"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IMDG</w:t>
      </w:r>
      <w:r w:rsidRPr="005E33C3">
        <w:rPr>
          <w:iCs/>
          <w:lang w:val="fr-FR"/>
        </w:rPr>
        <w:t>”,</w:t>
      </w:r>
      <w:r w:rsidRPr="005E33C3">
        <w:rPr>
          <w:i/>
          <w:lang w:val="fr-FR"/>
        </w:rPr>
        <w:t xml:space="preserve"> </w:t>
      </w:r>
      <w:r w:rsidRPr="005E33C3">
        <w:rPr>
          <w:lang w:val="fr-FR"/>
        </w:rPr>
        <w:t>“Code IMDG” (voir 1.2.1) ;</w:t>
      </w:r>
    </w:p>
    <w:p w14:paraId="53FFBE4A" w14:textId="77777777" w:rsidR="005E33C3" w:rsidRPr="005E33C3" w:rsidRDefault="005E33C3" w:rsidP="005E33C3">
      <w:pPr>
        <w:tabs>
          <w:tab w:val="left" w:pos="2268"/>
        </w:tabs>
        <w:spacing w:after="120"/>
        <w:ind w:left="2268" w:right="1134"/>
        <w:jc w:val="both"/>
        <w:rPr>
          <w:spacing w:val="-2"/>
          <w:lang w:val="fr-FR"/>
        </w:rPr>
      </w:pPr>
      <w:r w:rsidRPr="005E33C3">
        <w:rPr>
          <w:iCs/>
          <w:spacing w:val="-2"/>
          <w:lang w:val="fr-FR"/>
        </w:rPr>
        <w:lastRenderedPageBreak/>
        <w:t>“</w:t>
      </w:r>
      <w:r w:rsidRPr="005E33C3">
        <w:rPr>
          <w:i/>
          <w:spacing w:val="-2"/>
          <w:lang w:val="fr-FR"/>
        </w:rPr>
        <w:t>ISO</w:t>
      </w:r>
      <w:r w:rsidRPr="005E33C3">
        <w:rPr>
          <w:iCs/>
          <w:spacing w:val="-2"/>
          <w:lang w:val="fr-FR"/>
        </w:rPr>
        <w:t>”</w:t>
      </w:r>
      <w:r w:rsidRPr="005E33C3">
        <w:rPr>
          <w:spacing w:val="-2"/>
          <w:lang w:val="fr-FR"/>
        </w:rPr>
        <w:t xml:space="preserve"> (norme), une norme internationale publiée par l’Organisation internationale de normalisation (ISO), (ISO − 1, rue de </w:t>
      </w:r>
      <w:proofErr w:type="spellStart"/>
      <w:r w:rsidRPr="005E33C3">
        <w:rPr>
          <w:spacing w:val="-2"/>
          <w:lang w:val="fr-FR"/>
        </w:rPr>
        <w:t>Varembé</w:t>
      </w:r>
      <w:proofErr w:type="spellEnd"/>
      <w:r w:rsidRPr="005E33C3">
        <w:rPr>
          <w:spacing w:val="-2"/>
          <w:lang w:val="fr-FR"/>
        </w:rPr>
        <w:t xml:space="preserve">. CH-1204 Genève 20, Suisse), </w:t>
      </w:r>
      <w:hyperlink r:id="rId17" w:history="1">
        <w:r w:rsidRPr="005E33C3">
          <w:rPr>
            <w:bCs/>
            <w:color w:val="0000FF"/>
            <w:spacing w:val="-2"/>
            <w:lang w:val="fr-FR"/>
          </w:rPr>
          <w:t>www.iso.org</w:t>
        </w:r>
      </w:hyperlink>
      <w:r w:rsidRPr="005E33C3">
        <w:rPr>
          <w:spacing w:val="-2"/>
          <w:lang w:val="fr-FR"/>
        </w:rPr>
        <w:t> ;</w:t>
      </w:r>
    </w:p>
    <w:p w14:paraId="1533F42D" w14:textId="77777777" w:rsidR="005E33C3" w:rsidRPr="005E33C3" w:rsidRDefault="005E33C3" w:rsidP="005E33C3">
      <w:pPr>
        <w:tabs>
          <w:tab w:val="left" w:pos="2268"/>
        </w:tabs>
        <w:spacing w:after="120"/>
        <w:ind w:left="2268" w:right="1134"/>
        <w:jc w:val="both"/>
        <w:rPr>
          <w:b/>
          <w:bCs/>
          <w:lang w:val="fr-FR"/>
        </w:rPr>
      </w:pPr>
      <w:r w:rsidRPr="005E33C3">
        <w:rPr>
          <w:b/>
          <w:bCs/>
          <w:lang w:val="fr-FR"/>
        </w:rPr>
        <w:t>L</w:t>
      </w:r>
    </w:p>
    <w:p w14:paraId="052B2D48"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LSA</w:t>
      </w:r>
      <w:r w:rsidRPr="005E33C3">
        <w:rPr>
          <w:iCs/>
          <w:lang w:val="fr-FR"/>
        </w:rPr>
        <w:t>”*</w:t>
      </w:r>
      <w:r w:rsidRPr="005E33C3">
        <w:rPr>
          <w:i/>
          <w:lang w:val="fr-FR"/>
        </w:rPr>
        <w:t xml:space="preserve"> (matière)</w:t>
      </w:r>
      <w:r w:rsidRPr="005E33C3">
        <w:rPr>
          <w:lang w:val="fr-FR"/>
        </w:rPr>
        <w:t>, matière de faible activité spécifique (voir 2.2.7.1.3) ;</w:t>
      </w:r>
    </w:p>
    <w:p w14:paraId="6474C8D8" w14:textId="77777777" w:rsidR="005E33C3" w:rsidRPr="005E33C3" w:rsidRDefault="005E33C3" w:rsidP="005E33C3">
      <w:pPr>
        <w:tabs>
          <w:tab w:val="left" w:pos="2268"/>
        </w:tabs>
        <w:spacing w:after="120"/>
        <w:ind w:left="2268" w:right="1134"/>
        <w:jc w:val="both"/>
        <w:rPr>
          <w:iCs/>
          <w:lang w:val="fr-FR"/>
        </w:rPr>
      </w:pPr>
      <w:r w:rsidRPr="005E33C3">
        <w:rPr>
          <w:lang w:val="fr-FR"/>
        </w:rPr>
        <w:t>________</w:t>
      </w:r>
    </w:p>
    <w:p w14:paraId="6F49EE51"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Cs/>
          <w:lang w:val="fr-FR"/>
        </w:rPr>
        <w:tab/>
        <w:t xml:space="preserve">L’acronyme « LSA » correspond au terme anglais « Low </w:t>
      </w:r>
      <w:proofErr w:type="spellStart"/>
      <w:r w:rsidRPr="005E33C3">
        <w:rPr>
          <w:iCs/>
          <w:lang w:val="fr-FR"/>
        </w:rPr>
        <w:t>Specific</w:t>
      </w:r>
      <w:proofErr w:type="spellEnd"/>
      <w:r w:rsidRPr="005E33C3">
        <w:rPr>
          <w:iCs/>
          <w:lang w:val="fr-FR"/>
        </w:rPr>
        <w:t xml:space="preserve"> Activity ».</w:t>
      </w:r>
    </w:p>
    <w:p w14:paraId="02489031" w14:textId="77777777" w:rsidR="005E33C3" w:rsidRPr="005E33C3" w:rsidRDefault="005E33C3" w:rsidP="005E33C3">
      <w:pPr>
        <w:tabs>
          <w:tab w:val="left" w:pos="2268"/>
        </w:tabs>
        <w:spacing w:after="120"/>
        <w:ind w:left="2268" w:right="1134"/>
        <w:jc w:val="both"/>
        <w:rPr>
          <w:b/>
          <w:bCs/>
          <w:lang w:val="fr-FR"/>
        </w:rPr>
      </w:pPr>
      <w:r w:rsidRPr="005E33C3">
        <w:rPr>
          <w:b/>
          <w:bCs/>
          <w:lang w:val="fr-FR"/>
        </w:rPr>
        <w:t>M</w:t>
      </w:r>
    </w:p>
    <w:p w14:paraId="34D05788" w14:textId="77777777" w:rsidR="005E33C3" w:rsidRPr="005E33C3" w:rsidRDefault="005E33C3" w:rsidP="005E33C3">
      <w:pPr>
        <w:tabs>
          <w:tab w:val="left" w:pos="2268"/>
        </w:tabs>
        <w:spacing w:after="120"/>
        <w:ind w:left="2268" w:right="1134"/>
        <w:jc w:val="both"/>
        <w:rPr>
          <w:lang w:val="fr-FR"/>
        </w:rPr>
      </w:pPr>
      <w:r w:rsidRPr="005E33C3">
        <w:rPr>
          <w:iCs/>
          <w:lang w:val="fr-FR"/>
        </w:rPr>
        <w:t>“</w:t>
      </w:r>
      <w:bookmarkStart w:id="9" w:name="_Hlk55897905"/>
      <w:r w:rsidRPr="005E33C3">
        <w:rPr>
          <w:i/>
          <w:lang w:val="fr-FR"/>
        </w:rPr>
        <w:t>MEMU</w:t>
      </w:r>
      <w:bookmarkEnd w:id="9"/>
      <w:r w:rsidRPr="005E33C3">
        <w:rPr>
          <w:iCs/>
          <w:lang w:val="fr-FR"/>
        </w:rPr>
        <w:t>”*,</w:t>
      </w:r>
      <w:r w:rsidRPr="005E33C3">
        <w:rPr>
          <w:lang w:val="fr-FR"/>
        </w:rPr>
        <w:t xml:space="preserve"> “Unité mobile de fabrication d’explosifs” (voir 1.2.1) ;</w:t>
      </w:r>
    </w:p>
    <w:p w14:paraId="37BACAEF" w14:textId="77777777" w:rsidR="005E33C3" w:rsidRPr="005E33C3" w:rsidRDefault="005E33C3" w:rsidP="005E33C3">
      <w:pPr>
        <w:tabs>
          <w:tab w:val="left" w:pos="2268"/>
        </w:tabs>
        <w:spacing w:after="120"/>
        <w:ind w:left="2268" w:right="1134"/>
        <w:jc w:val="both"/>
        <w:rPr>
          <w:iCs/>
          <w:lang w:val="fr-FR"/>
        </w:rPr>
      </w:pPr>
      <w:r w:rsidRPr="005E33C3">
        <w:rPr>
          <w:lang w:val="fr-FR"/>
        </w:rPr>
        <w:t>________</w:t>
      </w:r>
    </w:p>
    <w:p w14:paraId="14080B18"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Cs/>
          <w:lang w:val="fr-FR"/>
        </w:rPr>
        <w:tab/>
        <w:t xml:space="preserve">L’acronyme « MEMU » correspond au terme anglais « Mobile Explosives </w:t>
      </w:r>
      <w:proofErr w:type="spellStart"/>
      <w:r w:rsidRPr="005E33C3">
        <w:rPr>
          <w:iCs/>
          <w:lang w:val="fr-FR"/>
        </w:rPr>
        <w:t>Manufacturing</w:t>
      </w:r>
      <w:proofErr w:type="spellEnd"/>
      <w:r w:rsidRPr="005E33C3">
        <w:rPr>
          <w:iCs/>
          <w:lang w:val="fr-FR"/>
        </w:rPr>
        <w:t xml:space="preserve"> Unit ».</w:t>
      </w:r>
    </w:p>
    <w:p w14:paraId="139E4A26" w14:textId="77777777" w:rsidR="005E33C3" w:rsidRPr="005E33C3" w:rsidRDefault="005E33C3" w:rsidP="005E33C3">
      <w:pPr>
        <w:tabs>
          <w:tab w:val="left" w:pos="2268"/>
        </w:tabs>
        <w:spacing w:after="120"/>
        <w:ind w:left="2268" w:right="1134"/>
        <w:jc w:val="both"/>
        <w:rPr>
          <w:b/>
          <w:bCs/>
          <w:lang w:val="fr-FR"/>
        </w:rPr>
      </w:pPr>
      <w:r w:rsidRPr="005E33C3">
        <w:rPr>
          <w:b/>
          <w:bCs/>
          <w:lang w:val="fr-FR"/>
        </w:rPr>
        <w:t>N</w:t>
      </w:r>
    </w:p>
    <w:p w14:paraId="3A8F50A6"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N.S.A.</w:t>
      </w:r>
      <w:r w:rsidRPr="005E33C3">
        <w:rPr>
          <w:lang w:val="fr-FR"/>
        </w:rPr>
        <w:t>”, “Rubrique N.S.A.” (voir 1.2.1) ;</w:t>
      </w:r>
    </w:p>
    <w:p w14:paraId="2715B6AA" w14:textId="77777777" w:rsidR="005E33C3" w:rsidRPr="005E33C3" w:rsidRDefault="005E33C3" w:rsidP="005E33C3">
      <w:pPr>
        <w:tabs>
          <w:tab w:val="left" w:pos="2268"/>
        </w:tabs>
        <w:spacing w:after="120"/>
        <w:ind w:left="2268" w:right="1134"/>
        <w:jc w:val="both"/>
        <w:rPr>
          <w:b/>
          <w:bCs/>
          <w:lang w:val="fr-FR"/>
        </w:rPr>
      </w:pPr>
      <w:r w:rsidRPr="005E33C3">
        <w:rPr>
          <w:b/>
          <w:bCs/>
          <w:lang w:val="fr-FR"/>
        </w:rPr>
        <w:t>O</w:t>
      </w:r>
    </w:p>
    <w:p w14:paraId="070D60BE"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OACI</w:t>
      </w:r>
      <w:r w:rsidRPr="005E33C3">
        <w:rPr>
          <w:lang w:val="fr-FR"/>
        </w:rPr>
        <w:t xml:space="preserve">”, Organisation de l’aviation civile internationale (OACI, 999 </w:t>
      </w:r>
      <w:proofErr w:type="spellStart"/>
      <w:r w:rsidRPr="005E33C3">
        <w:rPr>
          <w:lang w:val="fr-FR"/>
        </w:rPr>
        <w:t>University</w:t>
      </w:r>
      <w:proofErr w:type="spellEnd"/>
      <w:r w:rsidRPr="005E33C3">
        <w:rPr>
          <w:lang w:val="fr-FR"/>
        </w:rPr>
        <w:t xml:space="preserve"> Street, Montréal, Québec H3C 5H7, Canada), </w:t>
      </w:r>
      <w:hyperlink r:id="rId18" w:history="1">
        <w:r w:rsidRPr="005E33C3">
          <w:rPr>
            <w:bCs/>
            <w:color w:val="0000FF"/>
            <w:lang w:val="fr-FR"/>
          </w:rPr>
          <w:t>www.icao.org</w:t>
        </w:r>
      </w:hyperlink>
      <w:r w:rsidRPr="005E33C3">
        <w:rPr>
          <w:lang w:val="fr-FR"/>
        </w:rPr>
        <w:t> ;</w:t>
      </w:r>
    </w:p>
    <w:p w14:paraId="2745095B" w14:textId="77777777" w:rsidR="005E33C3" w:rsidRPr="005E33C3" w:rsidRDefault="005E33C3" w:rsidP="005E33C3">
      <w:pPr>
        <w:tabs>
          <w:tab w:val="left" w:pos="2268"/>
        </w:tabs>
        <w:spacing w:after="120"/>
        <w:ind w:left="2268" w:right="1134"/>
        <w:jc w:val="both"/>
        <w:rPr>
          <w:lang w:val="fr-FR"/>
        </w:rPr>
      </w:pPr>
      <w:r w:rsidRPr="005E33C3">
        <w:rPr>
          <w:lang w:val="fr-FR"/>
        </w:rPr>
        <w:t>“</w:t>
      </w:r>
      <w:r w:rsidRPr="005E33C3">
        <w:rPr>
          <w:i/>
          <w:iCs/>
          <w:lang w:val="fr-FR"/>
        </w:rPr>
        <w:t>OMI</w:t>
      </w:r>
      <w:r w:rsidRPr="005E33C3">
        <w:rPr>
          <w:lang w:val="fr-FR"/>
        </w:rPr>
        <w:t xml:space="preserve">”, Organisation maritime internationale (OMI, 4 Albert </w:t>
      </w:r>
      <w:proofErr w:type="spellStart"/>
      <w:r w:rsidRPr="005E33C3">
        <w:rPr>
          <w:lang w:val="fr-FR"/>
        </w:rPr>
        <w:t>Embankment</w:t>
      </w:r>
      <w:proofErr w:type="spellEnd"/>
      <w:r w:rsidRPr="005E33C3">
        <w:rPr>
          <w:lang w:val="fr-FR"/>
        </w:rPr>
        <w:t xml:space="preserve">, Londres SE1 7SR, Royaume-Uni), </w:t>
      </w:r>
      <w:hyperlink r:id="rId19" w:history="1">
        <w:r w:rsidRPr="005E33C3">
          <w:rPr>
            <w:bCs/>
            <w:color w:val="0000FF"/>
            <w:lang w:val="fr-FR"/>
          </w:rPr>
          <w:t>www.imo.org</w:t>
        </w:r>
      </w:hyperlink>
      <w:r w:rsidRPr="005E33C3">
        <w:rPr>
          <w:lang w:val="fr-FR"/>
        </w:rPr>
        <w:t> ;</w:t>
      </w:r>
    </w:p>
    <w:p w14:paraId="1E84A19B" w14:textId="77777777" w:rsidR="005E33C3" w:rsidRPr="005E33C3" w:rsidRDefault="005E33C3" w:rsidP="005E33C3">
      <w:pPr>
        <w:tabs>
          <w:tab w:val="left" w:pos="2268"/>
        </w:tabs>
        <w:spacing w:after="120"/>
        <w:ind w:left="2268" w:right="1134"/>
        <w:jc w:val="both"/>
        <w:rPr>
          <w:b/>
          <w:bCs/>
          <w:lang w:val="fr-FR"/>
        </w:rPr>
      </w:pPr>
      <w:r w:rsidRPr="005E33C3">
        <w:rPr>
          <w:b/>
          <w:bCs/>
          <w:lang w:val="fr-FR"/>
        </w:rPr>
        <w:t>R</w:t>
      </w:r>
    </w:p>
    <w:p w14:paraId="61387DF7" w14:textId="77777777" w:rsidR="005E33C3" w:rsidRPr="005E33C3" w:rsidRDefault="005E33C3" w:rsidP="005E33C3">
      <w:pPr>
        <w:tabs>
          <w:tab w:val="left" w:pos="2268"/>
        </w:tabs>
        <w:spacing w:after="120"/>
        <w:ind w:left="2268" w:right="1134"/>
        <w:jc w:val="both"/>
        <w:rPr>
          <w:i/>
          <w:lang w:val="fr-FR"/>
        </w:rPr>
      </w:pPr>
      <w:r w:rsidRPr="005E33C3">
        <w:rPr>
          <w:iCs/>
          <w:lang w:val="fr-FR"/>
        </w:rPr>
        <w:t>“</w:t>
      </w:r>
      <w:r w:rsidRPr="005E33C3">
        <w:rPr>
          <w:i/>
          <w:lang w:val="fr-FR"/>
        </w:rPr>
        <w:t>RID</w:t>
      </w:r>
      <w:r w:rsidRPr="005E33C3">
        <w:rPr>
          <w:iCs/>
          <w:lang w:val="fr-FR"/>
        </w:rPr>
        <w:t>”,</w:t>
      </w:r>
      <w:r w:rsidRPr="005E33C3">
        <w:rPr>
          <w:lang w:val="fr-FR"/>
        </w:rPr>
        <w:t xml:space="preserve"> Règlement concernant le transport international ferroviaire des marchandises dangereuses, appendice C de la COTIF (Convention relative aux transports internationaux ferroviaires) ;</w:t>
      </w:r>
    </w:p>
    <w:p w14:paraId="4F455195" w14:textId="77777777" w:rsidR="005E33C3" w:rsidRPr="005E33C3" w:rsidRDefault="005E33C3" w:rsidP="005E33C3">
      <w:pPr>
        <w:tabs>
          <w:tab w:val="left" w:pos="2268"/>
        </w:tabs>
        <w:spacing w:after="120"/>
        <w:ind w:left="2268" w:right="1134"/>
        <w:jc w:val="both"/>
        <w:rPr>
          <w:b/>
          <w:bCs/>
          <w:lang w:val="fr-FR"/>
        </w:rPr>
      </w:pPr>
      <w:r w:rsidRPr="005E33C3">
        <w:rPr>
          <w:b/>
          <w:bCs/>
          <w:lang w:val="fr-FR"/>
        </w:rPr>
        <w:t>S</w:t>
      </w:r>
    </w:p>
    <w:p w14:paraId="3157ADB4"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SCO</w:t>
      </w:r>
      <w:r w:rsidRPr="005E33C3">
        <w:rPr>
          <w:iCs/>
          <w:lang w:val="fr-FR"/>
        </w:rPr>
        <w:t>”</w:t>
      </w:r>
      <w:r w:rsidRPr="005E33C3">
        <w:rPr>
          <w:lang w:val="fr-FR"/>
        </w:rPr>
        <w:t>, objet contaminé superficiellement (voir 2.2.7.1.3) ;</w:t>
      </w:r>
    </w:p>
    <w:p w14:paraId="0BAF8D70" w14:textId="77777777" w:rsidR="005E33C3" w:rsidRPr="005E33C3" w:rsidRDefault="005E33C3" w:rsidP="005E33C3">
      <w:pPr>
        <w:tabs>
          <w:tab w:val="left" w:pos="2268"/>
        </w:tabs>
        <w:spacing w:after="120"/>
        <w:ind w:left="2268" w:right="1134"/>
        <w:jc w:val="both"/>
        <w:rPr>
          <w:iCs/>
          <w:lang w:val="fr-FR"/>
        </w:rPr>
      </w:pPr>
      <w:r w:rsidRPr="005E33C3">
        <w:rPr>
          <w:lang w:val="fr-FR"/>
        </w:rPr>
        <w:t>________</w:t>
      </w:r>
    </w:p>
    <w:p w14:paraId="68D1BA42"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Cs/>
          <w:lang w:val="fr-FR"/>
        </w:rPr>
        <w:tab/>
        <w:t xml:space="preserve">L’acronyme « SCO » correspond au terme anglais « Surface </w:t>
      </w:r>
      <w:proofErr w:type="spellStart"/>
      <w:r w:rsidRPr="005E33C3">
        <w:rPr>
          <w:iCs/>
          <w:lang w:val="fr-FR"/>
        </w:rPr>
        <w:t>Contaminated</w:t>
      </w:r>
      <w:proofErr w:type="spellEnd"/>
      <w:r w:rsidRPr="005E33C3">
        <w:rPr>
          <w:iCs/>
          <w:lang w:val="fr-FR"/>
        </w:rPr>
        <w:t xml:space="preserve"> Object ».</w:t>
      </w:r>
    </w:p>
    <w:p w14:paraId="50E35523"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SGH</w:t>
      </w:r>
      <w:r w:rsidRPr="005E33C3">
        <w:rPr>
          <w:iCs/>
          <w:lang w:val="fr-FR"/>
        </w:rPr>
        <w:t>”,</w:t>
      </w:r>
      <w:r w:rsidRPr="005E33C3">
        <w:rPr>
          <w:lang w:val="fr-FR"/>
        </w:rPr>
        <w:t xml:space="preserve"> </w:t>
      </w:r>
      <w:r w:rsidRPr="005E33C3">
        <w:rPr>
          <w:iCs/>
          <w:lang w:val="fr-FR"/>
        </w:rPr>
        <w:t>“</w:t>
      </w:r>
      <w:r w:rsidRPr="005E33C3">
        <w:rPr>
          <w:lang w:val="fr-FR"/>
        </w:rPr>
        <w:t xml:space="preserve">Système Général Harmonisé de classification et d’étiquetage des </w:t>
      </w:r>
      <w:r w:rsidRPr="005E33C3">
        <w:rPr>
          <w:iCs/>
          <w:lang w:val="fr-FR"/>
        </w:rPr>
        <w:t>produits</w:t>
      </w:r>
      <w:r w:rsidRPr="005E33C3">
        <w:rPr>
          <w:lang w:val="fr-FR"/>
        </w:rPr>
        <w:t xml:space="preserve"> chimiques</w:t>
      </w:r>
      <w:r w:rsidRPr="005E33C3">
        <w:rPr>
          <w:iCs/>
          <w:lang w:val="fr-FR"/>
        </w:rPr>
        <w:t>”</w:t>
      </w:r>
      <w:r w:rsidRPr="005E33C3">
        <w:rPr>
          <w:lang w:val="fr-FR"/>
        </w:rPr>
        <w:t xml:space="preserve"> (voir 1.2.1) ;</w:t>
      </w:r>
    </w:p>
    <w:p w14:paraId="3C45ED6B" w14:textId="77777777" w:rsidR="005E33C3" w:rsidRPr="005E33C3" w:rsidRDefault="005E33C3" w:rsidP="005E33C3">
      <w:pPr>
        <w:tabs>
          <w:tab w:val="left" w:pos="2268"/>
        </w:tabs>
        <w:spacing w:after="120"/>
        <w:ind w:left="2268" w:right="1134"/>
        <w:jc w:val="both"/>
        <w:rPr>
          <w:b/>
          <w:bCs/>
          <w:lang w:val="fr-FR"/>
        </w:rPr>
      </w:pPr>
      <w:r w:rsidRPr="005E33C3">
        <w:rPr>
          <w:b/>
          <w:bCs/>
          <w:lang w:val="fr-FR"/>
        </w:rPr>
        <w:t>T</w:t>
      </w:r>
    </w:p>
    <w:p w14:paraId="61B1E335"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
          <w:lang w:val="fr-FR"/>
        </w:rPr>
        <w:t>TDAA</w:t>
      </w:r>
      <w:r w:rsidRPr="005E33C3">
        <w:rPr>
          <w:iCs/>
          <w:lang w:val="fr-FR"/>
        </w:rPr>
        <w:t xml:space="preserve">”, “Température de décomposition auto-accélérée” </w:t>
      </w:r>
      <w:r w:rsidRPr="005E33C3">
        <w:rPr>
          <w:lang w:val="fr-FR"/>
        </w:rPr>
        <w:t>(voir 1.2.1)</w:t>
      </w:r>
      <w:r w:rsidRPr="005E33C3">
        <w:rPr>
          <w:iCs/>
          <w:lang w:val="fr-FR"/>
        </w:rPr>
        <w:t> ;</w:t>
      </w:r>
    </w:p>
    <w:p w14:paraId="00665115"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
          <w:lang w:val="fr-FR"/>
        </w:rPr>
        <w:t>TI</w:t>
      </w:r>
      <w:r w:rsidRPr="005E33C3">
        <w:rPr>
          <w:iCs/>
          <w:lang w:val="fr-FR"/>
        </w:rPr>
        <w:t>”*, “Indice de transport” (voir 1.2.1) ;</w:t>
      </w:r>
    </w:p>
    <w:p w14:paraId="70414A86" w14:textId="77777777" w:rsidR="005E33C3" w:rsidRPr="005E33C3" w:rsidRDefault="005E33C3" w:rsidP="005E33C3">
      <w:pPr>
        <w:tabs>
          <w:tab w:val="left" w:pos="2268"/>
        </w:tabs>
        <w:spacing w:after="120"/>
        <w:ind w:left="2268" w:right="1134"/>
        <w:jc w:val="both"/>
        <w:rPr>
          <w:iCs/>
          <w:lang w:val="fr-FR"/>
        </w:rPr>
      </w:pPr>
      <w:r w:rsidRPr="005E33C3">
        <w:rPr>
          <w:lang w:val="fr-FR"/>
        </w:rPr>
        <w:t>________</w:t>
      </w:r>
    </w:p>
    <w:p w14:paraId="13D4E3DB"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Cs/>
          <w:lang w:val="fr-FR"/>
        </w:rPr>
        <w:tab/>
        <w:t>L’acronyme « TI » correspond au terme anglais « Transport Index ».</w:t>
      </w:r>
    </w:p>
    <w:p w14:paraId="6935FD15" w14:textId="77777777" w:rsidR="005E33C3" w:rsidRPr="005E33C3" w:rsidRDefault="005E33C3" w:rsidP="005E33C3">
      <w:pPr>
        <w:tabs>
          <w:tab w:val="left" w:pos="2268"/>
        </w:tabs>
        <w:spacing w:after="120"/>
        <w:ind w:left="2268" w:right="1134"/>
        <w:jc w:val="both"/>
        <w:rPr>
          <w:iCs/>
          <w:lang w:val="fr-FR"/>
        </w:rPr>
      </w:pPr>
      <w:r w:rsidRPr="005E33C3">
        <w:rPr>
          <w:iCs/>
          <w:lang w:val="fr-FR"/>
        </w:rPr>
        <w:t>“</w:t>
      </w:r>
      <w:r w:rsidRPr="005E33C3">
        <w:rPr>
          <w:i/>
          <w:lang w:val="fr-FR"/>
        </w:rPr>
        <w:t>TPAA</w:t>
      </w:r>
      <w:r w:rsidRPr="005E33C3">
        <w:rPr>
          <w:iCs/>
          <w:lang w:val="fr-FR"/>
        </w:rPr>
        <w:t xml:space="preserve">”, “Température de polymérisation auto-accélérée” </w:t>
      </w:r>
      <w:r w:rsidRPr="005E33C3">
        <w:rPr>
          <w:lang w:val="fr-FR"/>
        </w:rPr>
        <w:t>(voir 1.2.1)</w:t>
      </w:r>
      <w:r w:rsidRPr="005E33C3">
        <w:rPr>
          <w:iCs/>
          <w:lang w:val="fr-FR"/>
        </w:rPr>
        <w:t> ;</w:t>
      </w:r>
    </w:p>
    <w:p w14:paraId="573AF521" w14:textId="77777777" w:rsidR="005E33C3" w:rsidRPr="005E33C3" w:rsidRDefault="005E33C3" w:rsidP="005E33C3">
      <w:pPr>
        <w:tabs>
          <w:tab w:val="left" w:pos="2268"/>
        </w:tabs>
        <w:spacing w:after="120"/>
        <w:ind w:left="2268" w:right="1134"/>
        <w:jc w:val="both"/>
        <w:rPr>
          <w:b/>
          <w:bCs/>
          <w:lang w:val="fr-FR"/>
        </w:rPr>
      </w:pPr>
      <w:r w:rsidRPr="005E33C3">
        <w:rPr>
          <w:b/>
          <w:bCs/>
          <w:lang w:val="fr-FR"/>
        </w:rPr>
        <w:t>U</w:t>
      </w:r>
    </w:p>
    <w:p w14:paraId="0BDADF6A" w14:textId="77777777" w:rsidR="005E33C3" w:rsidRPr="005E33C3" w:rsidRDefault="005E33C3" w:rsidP="005E33C3">
      <w:pPr>
        <w:tabs>
          <w:tab w:val="left" w:pos="2268"/>
        </w:tabs>
        <w:spacing w:after="120"/>
        <w:ind w:left="2268" w:right="1134"/>
        <w:jc w:val="both"/>
        <w:rPr>
          <w:lang w:val="fr-FR"/>
        </w:rPr>
      </w:pPr>
      <w:r w:rsidRPr="005E33C3">
        <w:rPr>
          <w:iCs/>
          <w:lang w:val="fr-FR"/>
        </w:rPr>
        <w:t>“</w:t>
      </w:r>
      <w:r w:rsidRPr="005E33C3">
        <w:rPr>
          <w:i/>
          <w:lang w:val="fr-FR"/>
        </w:rPr>
        <w:t>UIC</w:t>
      </w:r>
      <w:r w:rsidRPr="005E33C3">
        <w:rPr>
          <w:iCs/>
          <w:lang w:val="fr-FR"/>
        </w:rPr>
        <w:t>”</w:t>
      </w:r>
      <w:r w:rsidRPr="005E33C3">
        <w:rPr>
          <w:lang w:val="fr-FR"/>
        </w:rPr>
        <w:t xml:space="preserve">, Union Internationale des Chemins de Fer (UIC, 16 rue Jean Rey, F-75015 Paris, France), </w:t>
      </w:r>
      <w:hyperlink r:id="rId20" w:history="1">
        <w:r w:rsidRPr="005E33C3">
          <w:rPr>
            <w:bCs/>
            <w:color w:val="0000FF"/>
            <w:lang w:val="fr-FR"/>
          </w:rPr>
          <w:t>www.uic.org</w:t>
        </w:r>
      </w:hyperlink>
      <w:r w:rsidRPr="005E33C3">
        <w:rPr>
          <w:lang w:val="fr-FR"/>
        </w:rPr>
        <w:t> ; »</w:t>
      </w:r>
    </w:p>
    <w:p w14:paraId="66B9929D"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783A7835"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lastRenderedPageBreak/>
        <w:tab/>
      </w:r>
      <w:r w:rsidRPr="005E33C3">
        <w:rPr>
          <w:b/>
          <w:sz w:val="24"/>
          <w:lang w:val="fr-FR"/>
        </w:rPr>
        <w:tab/>
        <w:t>Chapitre 1.6</w:t>
      </w:r>
    </w:p>
    <w:p w14:paraId="76228E06" w14:textId="77777777" w:rsidR="005E33C3" w:rsidRPr="005E33C3" w:rsidRDefault="005E33C3" w:rsidP="005E33C3">
      <w:pPr>
        <w:tabs>
          <w:tab w:val="left" w:pos="2268"/>
        </w:tabs>
        <w:spacing w:after="120"/>
        <w:ind w:left="1134" w:right="1134"/>
        <w:jc w:val="both"/>
        <w:rPr>
          <w:lang w:val="fr-FR"/>
        </w:rPr>
      </w:pPr>
      <w:r w:rsidRPr="005E33C3">
        <w:rPr>
          <w:lang w:val="fr-FR"/>
        </w:rPr>
        <w:t>[1.6.4</w:t>
      </w:r>
      <w:r w:rsidRPr="005E33C3">
        <w:rPr>
          <w:lang w:val="fr-FR"/>
        </w:rPr>
        <w:tab/>
        <w:t>Ajouter la nouvelle mesure transitoire suivante :</w:t>
      </w:r>
    </w:p>
    <w:p w14:paraId="26AF774A" w14:textId="77777777" w:rsidR="005E33C3" w:rsidRPr="005E33C3" w:rsidRDefault="005E33C3" w:rsidP="005E33C3">
      <w:pPr>
        <w:tabs>
          <w:tab w:val="left" w:pos="2268"/>
        </w:tabs>
        <w:spacing w:after="120"/>
        <w:ind w:left="2268" w:right="1134"/>
        <w:jc w:val="both"/>
        <w:rPr>
          <w:lang w:val="fr-FR"/>
        </w:rPr>
      </w:pPr>
      <w:r w:rsidRPr="005E33C3">
        <w:rPr>
          <w:lang w:val="fr-FR"/>
        </w:rPr>
        <w:t>« 1.6.4.56</w:t>
      </w:r>
      <w:r w:rsidRPr="005E33C3">
        <w:rPr>
          <w:lang w:val="fr-FR"/>
        </w:rPr>
        <w:tab/>
        <w:t>Les conteneurs-citernes construits avant le 1er juillet 2023 conformément aux prescriptions applicables jusqu’au 31 décembre 2022, mais qui ne sont pas conformes aux prescriptions du 6.8.2.2.4, deuxième paragraphe, applicables à partir du 1er janvier 2023 pourront encore être utilisés. ».]</w:t>
      </w:r>
    </w:p>
    <w:p w14:paraId="34801625"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30DE4F20"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1.8</w:t>
      </w:r>
    </w:p>
    <w:p w14:paraId="5B8E559E" w14:textId="77777777" w:rsidR="005E33C3" w:rsidRPr="005E33C3" w:rsidRDefault="005E33C3" w:rsidP="005E33C3">
      <w:pPr>
        <w:spacing w:after="120"/>
        <w:ind w:left="2268" w:right="1134" w:hanging="1134"/>
        <w:jc w:val="both"/>
        <w:rPr>
          <w:lang w:val="fr-FR"/>
        </w:rPr>
      </w:pPr>
      <w:r w:rsidRPr="005E33C3">
        <w:rPr>
          <w:lang w:val="fr-FR"/>
        </w:rPr>
        <w:t>1.8.5.4</w:t>
      </w:r>
      <w:r w:rsidRPr="005E33C3">
        <w:rPr>
          <w:lang w:val="fr-FR"/>
        </w:rPr>
        <w:tab/>
        <w:t>À la troisième page du « Modèle de rapport sur des événements survenus pendant le transport de marchandises dangereuses », dans la case réservée à la note (3), ajouter en fin de liste le nouveau numéro suivant « 17 MEMU ».</w:t>
      </w:r>
    </w:p>
    <w:p w14:paraId="7E7763D0" w14:textId="77777777" w:rsidR="005E33C3" w:rsidRPr="005E33C3" w:rsidRDefault="005E33C3" w:rsidP="005E33C3">
      <w:pPr>
        <w:spacing w:after="120"/>
        <w:ind w:left="1134" w:right="1134"/>
        <w:jc w:val="both"/>
        <w:rPr>
          <w:i/>
          <w:lang w:val="fr-FR"/>
        </w:rPr>
      </w:pPr>
      <w:r w:rsidRPr="005E33C3">
        <w:rPr>
          <w:i/>
          <w:lang w:val="fr-FR"/>
        </w:rPr>
        <w:t>(</w:t>
      </w:r>
      <w:r w:rsidRPr="005E33C3">
        <w:rPr>
          <w:i/>
          <w:iCs/>
          <w:lang w:val="fr-FR" w:eastAsia="en-GB"/>
        </w:rPr>
        <w:t xml:space="preserve">Document de référence </w:t>
      </w:r>
      <w:r w:rsidRPr="005E33C3">
        <w:rPr>
          <w:i/>
          <w:lang w:val="fr-FR"/>
        </w:rPr>
        <w:t>: ECE/TRANS/WP.15/2021/1)</w:t>
      </w:r>
    </w:p>
    <w:p w14:paraId="453D2576"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1.9</w:t>
      </w:r>
    </w:p>
    <w:p w14:paraId="55D3064B" w14:textId="77777777" w:rsidR="005E33C3" w:rsidRPr="005E33C3" w:rsidRDefault="005E33C3" w:rsidP="005E33C3">
      <w:pPr>
        <w:spacing w:after="120"/>
        <w:ind w:left="2268" w:right="1134" w:hanging="1134"/>
        <w:jc w:val="both"/>
        <w:rPr>
          <w:lang w:val="fr-FR"/>
        </w:rPr>
      </w:pPr>
      <w:r w:rsidRPr="005E33C3">
        <w:rPr>
          <w:lang w:val="fr-FR"/>
        </w:rPr>
        <w:t>1.9.4</w:t>
      </w:r>
      <w:r w:rsidRPr="005E33C3">
        <w:rPr>
          <w:lang w:val="fr-FR"/>
        </w:rPr>
        <w:tab/>
        <w:t>Après la référence à la note de bas de page 1, ajouter une référence une nouvelle note de bas de page 2 ainsi conçue :</w:t>
      </w:r>
    </w:p>
    <w:p w14:paraId="1BA550B4" w14:textId="456D2D14" w:rsidR="005E33C3" w:rsidRPr="005E33C3" w:rsidRDefault="005E33C3" w:rsidP="005E33C3">
      <w:pPr>
        <w:spacing w:after="120"/>
        <w:ind w:left="2268" w:right="1134"/>
        <w:jc w:val="both"/>
        <w:rPr>
          <w:lang w:val="fr-FR"/>
        </w:rPr>
      </w:pPr>
      <w:r w:rsidRPr="005E33C3">
        <w:rPr>
          <w:lang w:val="fr-FR"/>
        </w:rPr>
        <w:t xml:space="preserve">« </w:t>
      </w:r>
      <w:r w:rsidRPr="005E33C3">
        <w:rPr>
          <w:b/>
          <w:bCs/>
          <w:vertAlign w:val="superscript"/>
          <w:lang w:val="fr-FR"/>
        </w:rPr>
        <w:t>2</w:t>
      </w:r>
      <w:r w:rsidRPr="005E33C3">
        <w:rPr>
          <w:lang w:val="fr-FR"/>
        </w:rPr>
        <w:tab/>
      </w:r>
      <w:r w:rsidRPr="005E33C3">
        <w:rPr>
          <w:i/>
          <w:iCs/>
          <w:lang w:val="fr-FR"/>
        </w:rPr>
        <w:t>Des lignes directrices multimodales (</w:t>
      </w:r>
      <w:proofErr w:type="spellStart"/>
      <w:r w:rsidRPr="005E33C3">
        <w:rPr>
          <w:i/>
          <w:iCs/>
          <w:lang w:val="fr-FR"/>
        </w:rPr>
        <w:t>Inland</w:t>
      </w:r>
      <w:proofErr w:type="spellEnd"/>
      <w:r w:rsidRPr="005E33C3">
        <w:rPr>
          <w:i/>
          <w:iCs/>
          <w:lang w:val="fr-FR"/>
        </w:rPr>
        <w:t xml:space="preserve"> TDG Risk Management Framework) peuvent être consultées sur le site Internet de la Direction générale de la mobilité et des transports de la Commission européenne (https://ec.europa.eu/transport/themes/dangerous_good/risk_management_framework_en). </w:t>
      </w:r>
      <w:r w:rsidRPr="005E33C3">
        <w:rPr>
          <w:lang w:val="fr-FR"/>
        </w:rPr>
        <w:t>».</w:t>
      </w:r>
    </w:p>
    <w:p w14:paraId="3015BA9F" w14:textId="77777777" w:rsidR="005E33C3" w:rsidRPr="005E33C3" w:rsidRDefault="005E33C3" w:rsidP="005E33C3">
      <w:pPr>
        <w:spacing w:after="120"/>
        <w:ind w:left="1134" w:right="1134"/>
        <w:jc w:val="both"/>
        <w:rPr>
          <w:i/>
          <w:lang w:val="fr-FR"/>
        </w:rPr>
      </w:pPr>
      <w:r w:rsidRPr="005E33C3">
        <w:rPr>
          <w:i/>
          <w:lang w:val="fr-FR"/>
        </w:rPr>
        <w:t>(</w:t>
      </w:r>
      <w:r w:rsidRPr="005E33C3">
        <w:rPr>
          <w:i/>
          <w:iCs/>
          <w:lang w:val="fr-FR" w:eastAsia="en-GB"/>
        </w:rPr>
        <w:t xml:space="preserve">Document de référence </w:t>
      </w:r>
      <w:r w:rsidRPr="005E33C3">
        <w:rPr>
          <w:i/>
          <w:lang w:val="fr-FR"/>
        </w:rPr>
        <w:t>: ECE/TRANS/WP.15/AC.1/158, Annexe II, tel que modifié)</w:t>
      </w:r>
    </w:p>
    <w:p w14:paraId="4CA52633"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1.10</w:t>
      </w:r>
    </w:p>
    <w:p w14:paraId="76B75475" w14:textId="77777777" w:rsidR="005E33C3" w:rsidRPr="005E33C3" w:rsidRDefault="005E33C3" w:rsidP="005E33C3">
      <w:pPr>
        <w:tabs>
          <w:tab w:val="left" w:pos="2268"/>
        </w:tabs>
        <w:spacing w:after="120"/>
        <w:ind w:left="1134" w:right="1134"/>
        <w:jc w:val="both"/>
        <w:rPr>
          <w:bCs/>
          <w:lang w:val="fr-FR"/>
        </w:rPr>
      </w:pPr>
      <w:r w:rsidRPr="005E33C3">
        <w:rPr>
          <w:bCs/>
          <w:lang w:val="fr-FR"/>
        </w:rPr>
        <w:t>1.10.4</w:t>
      </w:r>
      <w:r w:rsidRPr="005E33C3">
        <w:rPr>
          <w:bCs/>
          <w:lang w:val="fr-FR"/>
        </w:rPr>
        <w:tab/>
        <w:t>Dans la première phrase, après « 0500, », insérer « 0511, ».</w:t>
      </w:r>
    </w:p>
    <w:p w14:paraId="722FF5DA"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34F79505"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3.2, tableau A</w:t>
      </w:r>
    </w:p>
    <w:p w14:paraId="191CBF27" w14:textId="77777777" w:rsidR="005E33C3" w:rsidRPr="005E33C3" w:rsidRDefault="005E33C3" w:rsidP="005E33C3">
      <w:pPr>
        <w:spacing w:after="120"/>
        <w:ind w:left="2268" w:right="1134" w:hanging="1134"/>
        <w:jc w:val="both"/>
        <w:rPr>
          <w:lang w:val="fr-FR"/>
        </w:rPr>
      </w:pPr>
      <w:r w:rsidRPr="005E33C3">
        <w:rPr>
          <w:lang w:val="fr-FR"/>
        </w:rPr>
        <w:t>Pour le No ONU 2426, dans la colonne (2), modifier le nom et la description pour lire « NITRATE D'AMMONIUM LIQUIDE, solution chaude concentrée ».</w:t>
      </w:r>
    </w:p>
    <w:p w14:paraId="5571DB09" w14:textId="77777777" w:rsidR="005E33C3" w:rsidRPr="005E33C3" w:rsidRDefault="005E33C3" w:rsidP="005E33C3">
      <w:pPr>
        <w:spacing w:after="120"/>
        <w:ind w:left="1134" w:right="1134"/>
        <w:jc w:val="both"/>
        <w:rPr>
          <w:i/>
          <w:lang w:val="fr-FR"/>
        </w:rPr>
      </w:pPr>
      <w:r w:rsidRPr="005E33C3">
        <w:rPr>
          <w:i/>
          <w:lang w:val="fr-FR"/>
        </w:rPr>
        <w:t>(Documents de référence : ECE/TRANS/WP.15/AC.1/160, Annexe II et document informel INF.11)</w:t>
      </w:r>
    </w:p>
    <w:p w14:paraId="0BECBA78" w14:textId="4D1DCEEB" w:rsidR="005E33C3" w:rsidRPr="005E33C3" w:rsidRDefault="005E33C3" w:rsidP="005E33C3">
      <w:pPr>
        <w:spacing w:after="120"/>
        <w:ind w:left="2268" w:right="1134" w:hanging="1134"/>
        <w:jc w:val="both"/>
        <w:rPr>
          <w:lang w:val="fr-FR"/>
        </w:rPr>
      </w:pPr>
      <w:r w:rsidRPr="005E33C3">
        <w:rPr>
          <w:lang w:val="fr-FR"/>
        </w:rPr>
        <w:t>Pour les Nos ONU 2908 à 2911, dans la colonne (15), remplacer la mention qui figure pour le code de restriction en tunnels par « (−) ».</w:t>
      </w:r>
    </w:p>
    <w:p w14:paraId="13BA4B0A" w14:textId="77777777" w:rsidR="005E33C3" w:rsidRPr="005E33C3" w:rsidRDefault="005E33C3" w:rsidP="005E33C3">
      <w:pPr>
        <w:spacing w:after="120"/>
        <w:ind w:left="1134" w:right="1134"/>
        <w:jc w:val="both"/>
        <w:rPr>
          <w:i/>
          <w:lang w:val="fr-FR"/>
        </w:rPr>
      </w:pPr>
      <w:r w:rsidRPr="005E33C3">
        <w:rPr>
          <w:i/>
          <w:lang w:val="fr-FR"/>
        </w:rPr>
        <w:t>(</w:t>
      </w:r>
      <w:r w:rsidRPr="005E33C3">
        <w:rPr>
          <w:i/>
          <w:iCs/>
          <w:lang w:val="fr-FR" w:eastAsia="en-GB"/>
        </w:rPr>
        <w:t xml:space="preserve">Document de référence </w:t>
      </w:r>
      <w:r w:rsidRPr="005E33C3">
        <w:rPr>
          <w:i/>
          <w:lang w:val="fr-FR"/>
        </w:rPr>
        <w:t>: ECE/TRANS/WP.15/2020/4)</w:t>
      </w:r>
    </w:p>
    <w:p w14:paraId="6CDD7002" w14:textId="77777777" w:rsidR="005E33C3" w:rsidRPr="005E33C3" w:rsidRDefault="005E33C3" w:rsidP="005E33C3">
      <w:pPr>
        <w:spacing w:after="120"/>
        <w:ind w:left="2268" w:right="1134" w:hanging="1134"/>
        <w:jc w:val="both"/>
        <w:rPr>
          <w:bCs/>
          <w:lang w:val="fr-FR"/>
        </w:rPr>
      </w:pPr>
      <w:r w:rsidRPr="005E33C3">
        <w:rPr>
          <w:bCs/>
          <w:lang w:val="fr-FR"/>
        </w:rPr>
        <w:t>Pour les Nos ONU auxquels la disposition spéciale 386 est affectée dans la colonne (6), insérer « 676 » dans la colonne (6). Cette modification concerne les Nos ONU 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et 3534.</w:t>
      </w:r>
    </w:p>
    <w:p w14:paraId="061EF178" w14:textId="77777777" w:rsidR="005E33C3" w:rsidRPr="005E33C3" w:rsidRDefault="005E33C3" w:rsidP="005E33C3">
      <w:pPr>
        <w:spacing w:after="120"/>
        <w:ind w:left="1134" w:right="1134"/>
        <w:jc w:val="both"/>
        <w:rPr>
          <w:bCs/>
          <w:i/>
          <w:iCs/>
          <w:lang w:val="fr-FR"/>
        </w:rPr>
      </w:pPr>
      <w:r w:rsidRPr="005E33C3">
        <w:rPr>
          <w:bCs/>
          <w:i/>
          <w:iCs/>
          <w:lang w:val="fr-FR"/>
        </w:rPr>
        <w:lastRenderedPageBreak/>
        <w:t>(Documents de référence : ECE/TRANS/WP.15/AC.1/160, Annexe II et document informel INF.11)</w:t>
      </w:r>
    </w:p>
    <w:p w14:paraId="6C223C11"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3.2, tableau B</w:t>
      </w:r>
    </w:p>
    <w:p w14:paraId="78675035" w14:textId="77777777" w:rsidR="005E33C3" w:rsidRPr="005E33C3" w:rsidRDefault="005E33C3" w:rsidP="005E33C3">
      <w:pPr>
        <w:spacing w:after="120"/>
        <w:ind w:left="1134" w:right="1133"/>
        <w:jc w:val="both"/>
        <w:rPr>
          <w:bCs/>
          <w:lang w:val="fr-FR"/>
        </w:rPr>
      </w:pPr>
      <w:r w:rsidRPr="005E33C3">
        <w:rPr>
          <w:bCs/>
          <w:lang w:val="fr-FR"/>
        </w:rPr>
        <w:t>Pour la rubrique « NITRATE D'AMMONIUM LIQUIDE, solution chaude concentrée à plus de 80% mais à 93% au maximum », dans la colonne (1), supprimer « à plus de 80% mais à 93% au maximum ».</w:t>
      </w:r>
    </w:p>
    <w:p w14:paraId="57BA36B3"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1DD15B47"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3.3</w:t>
      </w:r>
    </w:p>
    <w:p w14:paraId="03A77C00" w14:textId="77777777" w:rsidR="005E33C3" w:rsidRPr="005E33C3" w:rsidRDefault="005E33C3" w:rsidP="005E33C3">
      <w:pPr>
        <w:tabs>
          <w:tab w:val="left" w:pos="2268"/>
        </w:tabs>
        <w:spacing w:after="120"/>
        <w:ind w:left="2268" w:right="1134" w:hanging="1134"/>
        <w:jc w:val="both"/>
        <w:rPr>
          <w:lang w:val="fr-FR"/>
        </w:rPr>
      </w:pPr>
      <w:r w:rsidRPr="005E33C3">
        <w:rPr>
          <w:lang w:val="fr-FR"/>
        </w:rPr>
        <w:t>Disposition spéciale (DS) 327</w:t>
      </w:r>
      <w:r w:rsidRPr="005E33C3">
        <w:rPr>
          <w:lang w:val="fr-FR"/>
        </w:rPr>
        <w:tab/>
        <w:t>Dans la première phrase, remplacer « 5.4.1.1.3 » par « 5.4.1.1.3.1 ».</w:t>
      </w:r>
    </w:p>
    <w:p w14:paraId="4B4CD13C"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5D03BE57" w14:textId="77777777" w:rsidR="005E33C3" w:rsidRPr="005E33C3" w:rsidRDefault="005E33C3" w:rsidP="005E33C3">
      <w:pPr>
        <w:tabs>
          <w:tab w:val="left" w:pos="2268"/>
        </w:tabs>
        <w:spacing w:after="120"/>
        <w:ind w:left="1134" w:right="1134"/>
        <w:jc w:val="both"/>
        <w:rPr>
          <w:lang w:val="fr-FR"/>
        </w:rPr>
      </w:pPr>
      <w:r w:rsidRPr="005E33C3">
        <w:rPr>
          <w:lang w:val="fr-FR"/>
        </w:rPr>
        <w:t>DS 363</w:t>
      </w:r>
      <w:r w:rsidRPr="005E33C3">
        <w:rPr>
          <w:lang w:val="fr-FR"/>
        </w:rPr>
        <w:tab/>
        <w:t>À la fin de l’alinéa j), ajouter le nouveau nota suivant :</w:t>
      </w:r>
    </w:p>
    <w:p w14:paraId="73A9FDBF" w14:textId="41E933F1" w:rsidR="005E33C3" w:rsidRPr="005E33C3" w:rsidRDefault="005E33C3" w:rsidP="005E33C3">
      <w:pPr>
        <w:tabs>
          <w:tab w:val="left" w:pos="2268"/>
        </w:tabs>
        <w:spacing w:after="120"/>
        <w:ind w:left="2268" w:right="1134"/>
        <w:jc w:val="both"/>
        <w:rPr>
          <w:lang w:val="fr-FR"/>
        </w:rPr>
      </w:pPr>
      <w:r w:rsidRPr="005E33C3">
        <w:rPr>
          <w:lang w:val="fr-FR"/>
        </w:rPr>
        <w:t>« </w:t>
      </w:r>
      <w:r w:rsidRPr="005E33C3">
        <w:rPr>
          <w:b/>
          <w:bCs/>
          <w:i/>
          <w:iCs/>
          <w:lang w:val="fr-FR"/>
        </w:rPr>
        <w:t>NOTA :</w:t>
      </w:r>
      <w:r w:rsidRPr="005E33C3">
        <w:rPr>
          <w:i/>
          <w:iCs/>
          <w:lang w:val="fr-FR"/>
        </w:rPr>
        <w:tab/>
        <w:t>L’étiquetage et le placardage conformes aux présentes dispositions des moteurs et machines de capacité supérieures à 450 l mais contenant une quantité de combustible liquide ne dépassant pas 60 l sont autorisés.</w:t>
      </w:r>
      <w:r w:rsidRPr="005E33C3">
        <w:rPr>
          <w:lang w:val="fr-FR"/>
        </w:rPr>
        <w:t> ».</w:t>
      </w:r>
    </w:p>
    <w:p w14:paraId="5B78890A"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3A2E19D4" w14:textId="77777777" w:rsidR="005E33C3" w:rsidRPr="005E33C3" w:rsidRDefault="005E33C3" w:rsidP="005E33C3">
      <w:pPr>
        <w:tabs>
          <w:tab w:val="left" w:pos="2268"/>
        </w:tabs>
        <w:spacing w:after="120"/>
        <w:ind w:left="1134" w:right="1134"/>
        <w:jc w:val="both"/>
        <w:rPr>
          <w:lang w:val="fr-FR"/>
        </w:rPr>
      </w:pPr>
      <w:r w:rsidRPr="005E33C3">
        <w:rPr>
          <w:lang w:val="fr-FR"/>
        </w:rPr>
        <w:t>DS 593</w:t>
      </w:r>
      <w:r w:rsidRPr="005E33C3">
        <w:rPr>
          <w:lang w:val="fr-FR"/>
        </w:rPr>
        <w:tab/>
        <w:t>Modifier comme suit :</w:t>
      </w:r>
    </w:p>
    <w:p w14:paraId="15A1A1A6" w14:textId="3ADC16A5" w:rsidR="005E33C3" w:rsidRPr="005E33C3" w:rsidRDefault="005E33C3" w:rsidP="005E33C3">
      <w:pPr>
        <w:tabs>
          <w:tab w:val="left" w:pos="2268"/>
        </w:tabs>
        <w:spacing w:after="120"/>
        <w:ind w:left="2268" w:right="1134"/>
        <w:jc w:val="both"/>
        <w:rPr>
          <w:lang w:val="fr-FR"/>
        </w:rPr>
      </w:pPr>
      <w:r w:rsidRPr="005E33C3">
        <w:rPr>
          <w:lang w:val="fr-FR"/>
        </w:rPr>
        <w:t>« Ce gaz, lorsqu’il est utilisé pour refroidir des marchandises ne répondant aux critères d’aucune classe, par exemple des échantillons médicaux ou biologiques, et qu’il est contenu dans des récipients à double parois qui satisfont aux dispositions de l’instruction d’emballage P203 6), applicables aux récipients cryogéniques ouverts, du 4.1.4.1, n’est pas soumis aux prescriptions de l’ADR excepté tel qu’indiqué au 5.5.3. ».</w:t>
      </w:r>
    </w:p>
    <w:p w14:paraId="74C329A7"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7E21EF63" w14:textId="77777777" w:rsidR="005E33C3" w:rsidRPr="005E33C3" w:rsidRDefault="005E33C3" w:rsidP="005E33C3">
      <w:pPr>
        <w:tabs>
          <w:tab w:val="left" w:pos="2268"/>
        </w:tabs>
        <w:spacing w:after="120"/>
        <w:ind w:left="1134" w:right="1134"/>
        <w:jc w:val="both"/>
        <w:rPr>
          <w:lang w:val="fr-FR"/>
        </w:rPr>
      </w:pPr>
      <w:r w:rsidRPr="005E33C3">
        <w:rPr>
          <w:lang w:val="fr-FR"/>
        </w:rPr>
        <w:t>DS 644</w:t>
      </w:r>
      <w:r w:rsidRPr="005E33C3">
        <w:rPr>
          <w:lang w:val="fr-FR"/>
        </w:rPr>
        <w:tab/>
        <w:t>Insérer le nouveau deuxième tiret suivant :</w:t>
      </w:r>
    </w:p>
    <w:p w14:paraId="76E9B5C1" w14:textId="77777777" w:rsidR="005E33C3" w:rsidRPr="005E33C3" w:rsidRDefault="005E33C3" w:rsidP="005E33C3">
      <w:pPr>
        <w:tabs>
          <w:tab w:val="left" w:pos="2268"/>
        </w:tabs>
        <w:spacing w:after="120"/>
        <w:ind w:left="2268" w:right="1134"/>
        <w:jc w:val="both"/>
        <w:rPr>
          <w:lang w:val="fr-FR"/>
        </w:rPr>
      </w:pPr>
      <w:r w:rsidRPr="005E33C3">
        <w:rPr>
          <w:lang w:val="fr-FR"/>
        </w:rPr>
        <w:t>« -</w:t>
      </w:r>
      <w:r w:rsidRPr="005E33C3">
        <w:rPr>
          <w:lang w:val="fr-FR"/>
        </w:rPr>
        <w:tab/>
        <w:t>La solution ne contienne pas plus de 93 % de nitrate d’ammonium. ».</w:t>
      </w:r>
    </w:p>
    <w:p w14:paraId="7EEE92A3"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17C7C37" w14:textId="77777777" w:rsidR="005E33C3" w:rsidRPr="005E33C3" w:rsidRDefault="005E33C3" w:rsidP="005E33C3">
      <w:pPr>
        <w:tabs>
          <w:tab w:val="left" w:pos="2268"/>
        </w:tabs>
        <w:spacing w:after="120"/>
        <w:ind w:left="1134" w:right="1134"/>
        <w:jc w:val="both"/>
        <w:rPr>
          <w:lang w:val="fr-FR"/>
        </w:rPr>
      </w:pPr>
      <w:r w:rsidRPr="005E33C3">
        <w:rPr>
          <w:lang w:val="fr-FR"/>
        </w:rPr>
        <w:t>DS 650</w:t>
      </w:r>
      <w:r w:rsidRPr="005E33C3">
        <w:rPr>
          <w:lang w:val="fr-FR"/>
        </w:rPr>
        <w:tab/>
        <w:t>Dans l’alinéa e), remplacer « 5.4.1.1.3 » par « 5.4.1.1.3.1 ».</w:t>
      </w:r>
    </w:p>
    <w:p w14:paraId="3FB60D57"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462AA7C2" w14:textId="77777777" w:rsidR="005E33C3" w:rsidRPr="005E33C3" w:rsidRDefault="005E33C3" w:rsidP="005E33C3">
      <w:pPr>
        <w:tabs>
          <w:tab w:val="left" w:pos="2268"/>
        </w:tabs>
        <w:spacing w:after="120"/>
        <w:ind w:left="1134" w:right="1134"/>
        <w:jc w:val="both"/>
        <w:rPr>
          <w:lang w:val="fr-FR"/>
        </w:rPr>
      </w:pPr>
      <w:r w:rsidRPr="005E33C3">
        <w:rPr>
          <w:lang w:val="fr-FR"/>
        </w:rPr>
        <w:t>DS 654</w:t>
      </w:r>
      <w:r w:rsidRPr="005E33C3">
        <w:rPr>
          <w:lang w:val="fr-FR"/>
        </w:rPr>
        <w:tab/>
        <w:t>Dans la première phrase, remplacer « 5.4.1.1.3 » par « 5.4.1.1.3.1 ».</w:t>
      </w:r>
    </w:p>
    <w:p w14:paraId="6D729F8E"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616001DF" w14:textId="285D8292" w:rsidR="005E33C3" w:rsidRPr="005E33C3" w:rsidRDefault="005E33C3" w:rsidP="005E33C3">
      <w:pPr>
        <w:tabs>
          <w:tab w:val="left" w:pos="2268"/>
        </w:tabs>
        <w:spacing w:after="120"/>
        <w:ind w:left="1134" w:right="1134"/>
        <w:jc w:val="both"/>
        <w:rPr>
          <w:lang w:val="fr-FR"/>
        </w:rPr>
      </w:pPr>
      <w:r w:rsidRPr="005E33C3">
        <w:rPr>
          <w:lang w:val="fr-FR"/>
        </w:rPr>
        <w:t>Ajouter la nouvelle disposition spéciale suivante :</w:t>
      </w:r>
    </w:p>
    <w:p w14:paraId="3B34A872" w14:textId="77777777" w:rsidR="005E33C3" w:rsidRPr="005E33C3" w:rsidRDefault="005E33C3" w:rsidP="005E33C3">
      <w:pPr>
        <w:tabs>
          <w:tab w:val="left" w:pos="2268"/>
        </w:tabs>
        <w:spacing w:after="120"/>
        <w:ind w:left="2268" w:right="1134"/>
        <w:jc w:val="both"/>
        <w:rPr>
          <w:lang w:val="fr-FR"/>
        </w:rPr>
      </w:pPr>
      <w:r w:rsidRPr="005E33C3">
        <w:rPr>
          <w:lang w:val="fr-FR"/>
        </w:rPr>
        <w:t>« 676</w:t>
      </w:r>
      <w:r w:rsidRPr="005E33C3">
        <w:rPr>
          <w:lang w:val="fr-FR"/>
        </w:rPr>
        <w:tab/>
        <w:t>Pour le transport de colis contenant des matières qui polymérisent, il n’est pas nécessaire d’appliquer les prescriptions de la disposition spéciale 386 conjointement avec celles des 7.1.7.3, 7.1.7.4, 5.4.1.1.15 et 5.4.1.2.3.1, lorsque ces matières sont transportées en vue de leur élimination ou de leur recyclage, pour autant que les conditions suivantes soient remplies :</w:t>
      </w:r>
    </w:p>
    <w:p w14:paraId="6E2EEE7C" w14:textId="77777777" w:rsidR="005E33C3" w:rsidRPr="005E33C3" w:rsidRDefault="005E33C3" w:rsidP="005E33C3">
      <w:pPr>
        <w:tabs>
          <w:tab w:val="left" w:pos="2268"/>
        </w:tabs>
        <w:spacing w:after="120"/>
        <w:ind w:left="3402" w:right="1134" w:hanging="425"/>
        <w:jc w:val="both"/>
        <w:rPr>
          <w:lang w:val="fr-FR"/>
        </w:rPr>
      </w:pPr>
      <w:r w:rsidRPr="005E33C3">
        <w:rPr>
          <w:lang w:val="fr-FR"/>
        </w:rPr>
        <w:lastRenderedPageBreak/>
        <w:t>a)</w:t>
      </w:r>
      <w:r w:rsidRPr="005E33C3">
        <w:rPr>
          <w:lang w:val="fr-FR"/>
        </w:rPr>
        <w:tab/>
        <w:t>Avant le chargement, un examen a montré qu’il n’y a pas d’écart significatif entre la température extérieure du colis et la température ambiante ;</w:t>
      </w:r>
    </w:p>
    <w:p w14:paraId="197FF96B" w14:textId="77777777" w:rsidR="005E33C3" w:rsidRPr="005E33C3" w:rsidRDefault="005E33C3" w:rsidP="005E33C3">
      <w:pPr>
        <w:tabs>
          <w:tab w:val="left" w:pos="2268"/>
        </w:tabs>
        <w:spacing w:after="120"/>
        <w:ind w:left="3402" w:right="1134" w:hanging="425"/>
        <w:jc w:val="both"/>
        <w:rPr>
          <w:lang w:val="fr-FR"/>
        </w:rPr>
      </w:pPr>
      <w:r w:rsidRPr="005E33C3">
        <w:rPr>
          <w:lang w:val="fr-FR"/>
        </w:rPr>
        <w:t>b)</w:t>
      </w:r>
      <w:r w:rsidRPr="005E33C3">
        <w:rPr>
          <w:lang w:val="fr-FR"/>
        </w:rPr>
        <w:tab/>
        <w:t>Le transport a lieu dans un délai maximum de 24 heures à compter de cet examen ;</w:t>
      </w:r>
    </w:p>
    <w:p w14:paraId="5D9046C6" w14:textId="77777777" w:rsidR="005E33C3" w:rsidRPr="005E33C3" w:rsidRDefault="005E33C3" w:rsidP="005E33C3">
      <w:pPr>
        <w:tabs>
          <w:tab w:val="left" w:pos="2268"/>
        </w:tabs>
        <w:spacing w:after="120"/>
        <w:ind w:left="3402" w:right="1134" w:hanging="425"/>
        <w:jc w:val="both"/>
        <w:rPr>
          <w:lang w:val="fr-FR"/>
        </w:rPr>
      </w:pPr>
      <w:r w:rsidRPr="005E33C3">
        <w:rPr>
          <w:lang w:val="fr-FR"/>
        </w:rPr>
        <w:t>c)</w:t>
      </w:r>
      <w:r w:rsidRPr="005E33C3">
        <w:rPr>
          <w:lang w:val="fr-FR"/>
        </w:rPr>
        <w:tab/>
        <w:t>Les colis sont protégés de la lumière du soleil directe et des effets d’autres sources de chaleur (par exemple, d’autres colis transportés au-delà de la température ambiante) pendant le transport ;</w:t>
      </w:r>
    </w:p>
    <w:p w14:paraId="02F81005" w14:textId="77777777" w:rsidR="005E33C3" w:rsidRPr="005E33C3" w:rsidRDefault="005E33C3" w:rsidP="005E33C3">
      <w:pPr>
        <w:tabs>
          <w:tab w:val="left" w:pos="2268"/>
        </w:tabs>
        <w:spacing w:after="120"/>
        <w:ind w:left="3402" w:right="1134" w:hanging="425"/>
        <w:jc w:val="both"/>
        <w:rPr>
          <w:lang w:val="fr-FR"/>
        </w:rPr>
      </w:pPr>
      <w:r w:rsidRPr="005E33C3">
        <w:rPr>
          <w:lang w:val="fr-FR"/>
        </w:rPr>
        <w:t>d)</w:t>
      </w:r>
      <w:r w:rsidRPr="005E33C3">
        <w:rPr>
          <w:lang w:val="fr-FR"/>
        </w:rPr>
        <w:tab/>
        <w:t>Pendant le transport, la température ambiante est inférieure à 45 °C ;</w:t>
      </w:r>
    </w:p>
    <w:p w14:paraId="018B4D7D" w14:textId="77777777" w:rsidR="005E33C3" w:rsidRPr="005E33C3" w:rsidRDefault="005E33C3" w:rsidP="005E33C3">
      <w:pPr>
        <w:tabs>
          <w:tab w:val="left" w:pos="2268"/>
        </w:tabs>
        <w:spacing w:after="120"/>
        <w:ind w:left="3402" w:right="1134" w:hanging="425"/>
        <w:jc w:val="both"/>
        <w:rPr>
          <w:lang w:val="fr-FR"/>
        </w:rPr>
      </w:pPr>
      <w:r w:rsidRPr="005E33C3">
        <w:rPr>
          <w:lang w:val="fr-FR"/>
        </w:rPr>
        <w:t>e)</w:t>
      </w:r>
      <w:r w:rsidRPr="005E33C3">
        <w:rPr>
          <w:lang w:val="fr-FR"/>
        </w:rPr>
        <w:tab/>
        <w:t>Les véhicules et les conteneurs sont correctement ventilés ;</w:t>
      </w:r>
    </w:p>
    <w:p w14:paraId="58285455" w14:textId="77777777" w:rsidR="005E33C3" w:rsidRPr="005E33C3" w:rsidRDefault="005E33C3" w:rsidP="005E33C3">
      <w:pPr>
        <w:tabs>
          <w:tab w:val="left" w:pos="2268"/>
        </w:tabs>
        <w:spacing w:after="120"/>
        <w:ind w:left="3402" w:right="1134" w:hanging="425"/>
        <w:jc w:val="both"/>
        <w:rPr>
          <w:lang w:val="fr-FR"/>
        </w:rPr>
      </w:pPr>
      <w:r w:rsidRPr="005E33C3">
        <w:rPr>
          <w:lang w:val="fr-FR"/>
        </w:rPr>
        <w:t>f)</w:t>
      </w:r>
      <w:r w:rsidRPr="005E33C3">
        <w:rPr>
          <w:lang w:val="fr-FR"/>
        </w:rPr>
        <w:tab/>
        <w:t>Les matières sont transportées dans des emballages d’une capacité maximale de 1 000 litres.</w:t>
      </w:r>
    </w:p>
    <w:p w14:paraId="1E3819E4" w14:textId="77777777" w:rsidR="005E33C3" w:rsidRPr="005E33C3" w:rsidRDefault="005E33C3" w:rsidP="005E33C3">
      <w:pPr>
        <w:tabs>
          <w:tab w:val="left" w:pos="2268"/>
        </w:tabs>
        <w:spacing w:after="120"/>
        <w:ind w:left="2268" w:right="1134"/>
        <w:jc w:val="both"/>
        <w:rPr>
          <w:lang w:val="fr-FR"/>
        </w:rPr>
      </w:pPr>
      <w:r w:rsidRPr="005E33C3">
        <w:rPr>
          <w:lang w:val="fr-FR"/>
        </w:rPr>
        <w:tab/>
        <w:t>Au cours de l’évaluation des matières devant être transportées suivant les prescriptions de cette disposition spéciale, des mesures supplémentaires visant à prévenir les dangers liés à la polymérisation peuvent être envisagées, par exemple l’ajout d’inhibiteurs. ».</w:t>
      </w:r>
    </w:p>
    <w:p w14:paraId="6945FE77"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3D4015BD"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4.1</w:t>
      </w:r>
    </w:p>
    <w:p w14:paraId="5E8ECCD3" w14:textId="77777777" w:rsidR="005E33C3" w:rsidRPr="005E33C3" w:rsidRDefault="005E33C3" w:rsidP="005E33C3">
      <w:pPr>
        <w:tabs>
          <w:tab w:val="left" w:pos="2268"/>
        </w:tabs>
        <w:spacing w:after="120"/>
        <w:ind w:left="1134" w:right="1134"/>
        <w:jc w:val="both"/>
        <w:rPr>
          <w:lang w:val="fr-FR"/>
        </w:rPr>
      </w:pPr>
      <w:r w:rsidRPr="005E33C3">
        <w:rPr>
          <w:lang w:val="fr-FR"/>
        </w:rPr>
        <w:t>4.1.6.8</w:t>
      </w:r>
      <w:r w:rsidRPr="005E33C3">
        <w:rPr>
          <w:lang w:val="fr-FR"/>
        </w:rPr>
        <w:tab/>
        <w:t>Modifier les alinéas b) et c) pour lire comme suit :</w:t>
      </w:r>
    </w:p>
    <w:p w14:paraId="27549A56" w14:textId="77777777" w:rsidR="005E33C3" w:rsidRPr="005E33C3" w:rsidRDefault="005E33C3" w:rsidP="005E33C3">
      <w:pPr>
        <w:spacing w:after="120"/>
        <w:ind w:left="2835" w:right="1134" w:hanging="567"/>
        <w:jc w:val="both"/>
        <w:rPr>
          <w:lang w:val="fr-FR"/>
        </w:rPr>
      </w:pPr>
      <w:r w:rsidRPr="005E33C3">
        <w:rPr>
          <w:lang w:val="fr-FR"/>
        </w:rPr>
        <w:t>« </w:t>
      </w:r>
      <w:proofErr w:type="gramStart"/>
      <w:r w:rsidRPr="005E33C3">
        <w:rPr>
          <w:lang w:val="fr-FR"/>
        </w:rPr>
        <w:t>b</w:t>
      </w:r>
      <w:proofErr w:type="gramEnd"/>
      <w:r w:rsidRPr="005E33C3">
        <w:rPr>
          <w:lang w:val="fr-FR"/>
        </w:rPr>
        <w:t>)</w:t>
      </w:r>
      <w:r w:rsidRPr="005E33C3">
        <w:rPr>
          <w:lang w:val="fr-FR"/>
        </w:rPr>
        <w:tab/>
        <w:t>Les robinets sont protégés par des chapeaux fermés ou ouverts. Les chapeaux fermés doivent être munis d’évents de section suffisante pour évacuer les gaz en cas de fuite aux robinets ; ».</w:t>
      </w:r>
    </w:p>
    <w:p w14:paraId="73B1AD5B" w14:textId="77777777" w:rsidR="005E33C3" w:rsidRPr="005E33C3" w:rsidRDefault="005E33C3" w:rsidP="005E33C3">
      <w:pPr>
        <w:spacing w:after="120"/>
        <w:ind w:left="2835" w:right="1134" w:hanging="567"/>
        <w:jc w:val="both"/>
        <w:rPr>
          <w:lang w:val="fr-FR"/>
        </w:rPr>
      </w:pPr>
      <w:r w:rsidRPr="005E33C3">
        <w:rPr>
          <w:lang w:val="fr-FR"/>
        </w:rPr>
        <w:t>c)</w:t>
      </w:r>
      <w:r w:rsidRPr="005E33C3">
        <w:rPr>
          <w:lang w:val="fr-FR"/>
        </w:rPr>
        <w:tab/>
        <w:t>Les robinets sont protégés par des collerettes ou par des dispositifs de protection inamovibles ; ».</w:t>
      </w:r>
    </w:p>
    <w:p w14:paraId="02546D48"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7BF101F3" w14:textId="77777777" w:rsidR="005E33C3" w:rsidRPr="005E33C3" w:rsidRDefault="005E33C3" w:rsidP="005E33C3">
      <w:pPr>
        <w:tabs>
          <w:tab w:val="left" w:pos="2268"/>
        </w:tabs>
        <w:spacing w:after="120"/>
        <w:ind w:left="2268" w:right="1134" w:hanging="1134"/>
        <w:jc w:val="both"/>
        <w:rPr>
          <w:lang w:val="fr-FR"/>
        </w:rPr>
      </w:pPr>
      <w:r w:rsidRPr="005E33C3">
        <w:rPr>
          <w:lang w:val="fr-FR"/>
        </w:rPr>
        <w:t>4.1.6.15</w:t>
      </w:r>
      <w:r w:rsidRPr="005E33C3">
        <w:rPr>
          <w:lang w:val="fr-FR"/>
        </w:rPr>
        <w:tab/>
        <w:t>Dans ECE/TRANS/WP.15/251, annexe I, remplacer le Tableau 1 par le tableau suivant :</w:t>
      </w:r>
    </w:p>
    <w:p w14:paraId="67E4BA38" w14:textId="77777777" w:rsidR="005E33C3" w:rsidRPr="005E33C3" w:rsidRDefault="005E33C3" w:rsidP="005E33C3">
      <w:pPr>
        <w:tabs>
          <w:tab w:val="left" w:pos="2268"/>
        </w:tabs>
        <w:spacing w:after="120"/>
        <w:ind w:left="1134" w:right="1134"/>
        <w:jc w:val="both"/>
        <w:rPr>
          <w:lang w:val="fr-FR"/>
        </w:rPr>
      </w:pPr>
      <w:r w:rsidRPr="005E33C3">
        <w:rPr>
          <w:lang w:val="fr-FR"/>
        </w:rPr>
        <w:t>« Tableau 1 : Normes pour les récipients à pression « UN » et « non UN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2693"/>
        <w:gridCol w:w="4399"/>
      </w:tblGrid>
      <w:tr w:rsidR="005E33C3" w:rsidRPr="005E33C3" w14:paraId="15D93D42" w14:textId="77777777" w:rsidTr="003D2F4B">
        <w:tc>
          <w:tcPr>
            <w:tcW w:w="1413" w:type="dxa"/>
            <w:tcBorders>
              <w:top w:val="single" w:sz="4" w:space="0" w:color="auto"/>
              <w:left w:val="single" w:sz="4" w:space="0" w:color="auto"/>
              <w:bottom w:val="single" w:sz="4" w:space="0" w:color="auto"/>
              <w:right w:val="single" w:sz="4" w:space="0" w:color="auto"/>
            </w:tcBorders>
            <w:vAlign w:val="bottom"/>
            <w:hideMark/>
          </w:tcPr>
          <w:p w14:paraId="4CC8D953"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Paragraphes applicables </w:t>
            </w:r>
          </w:p>
        </w:tc>
        <w:tc>
          <w:tcPr>
            <w:tcW w:w="2693" w:type="dxa"/>
            <w:tcBorders>
              <w:top w:val="single" w:sz="4" w:space="0" w:color="auto"/>
              <w:left w:val="single" w:sz="4" w:space="0" w:color="auto"/>
              <w:bottom w:val="single" w:sz="4" w:space="0" w:color="auto"/>
              <w:right w:val="single" w:sz="4" w:space="0" w:color="auto"/>
            </w:tcBorders>
            <w:vAlign w:val="bottom"/>
            <w:hideMark/>
          </w:tcPr>
          <w:p w14:paraId="50461CF8"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Référence</w:t>
            </w:r>
          </w:p>
        </w:tc>
        <w:tc>
          <w:tcPr>
            <w:tcW w:w="4399" w:type="dxa"/>
            <w:tcBorders>
              <w:top w:val="single" w:sz="4" w:space="0" w:color="auto"/>
              <w:left w:val="single" w:sz="4" w:space="0" w:color="auto"/>
              <w:bottom w:val="single" w:sz="4" w:space="0" w:color="auto"/>
              <w:right w:val="single" w:sz="4" w:space="0" w:color="auto"/>
            </w:tcBorders>
            <w:vAlign w:val="bottom"/>
            <w:hideMark/>
          </w:tcPr>
          <w:p w14:paraId="2CD22B70"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Titre du document</w:t>
            </w:r>
          </w:p>
        </w:tc>
      </w:tr>
      <w:tr w:rsidR="005E33C3" w:rsidRPr="005E33C3" w14:paraId="02A02AE2" w14:textId="77777777" w:rsidTr="003D2F4B">
        <w:tc>
          <w:tcPr>
            <w:tcW w:w="1413" w:type="dxa"/>
            <w:vMerge w:val="restart"/>
            <w:tcBorders>
              <w:top w:val="single" w:sz="4" w:space="0" w:color="auto"/>
              <w:left w:val="single" w:sz="4" w:space="0" w:color="auto"/>
              <w:bottom w:val="single" w:sz="4" w:space="0" w:color="auto"/>
              <w:right w:val="single" w:sz="4" w:space="0" w:color="auto"/>
            </w:tcBorders>
            <w:hideMark/>
          </w:tcPr>
          <w:p w14:paraId="4A0FD116"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4.1.6.2</w:t>
            </w:r>
          </w:p>
        </w:tc>
        <w:tc>
          <w:tcPr>
            <w:tcW w:w="2693" w:type="dxa"/>
            <w:tcBorders>
              <w:top w:val="single" w:sz="4" w:space="0" w:color="auto"/>
              <w:left w:val="single" w:sz="4" w:space="0" w:color="auto"/>
              <w:bottom w:val="single" w:sz="4" w:space="0" w:color="auto"/>
              <w:right w:val="single" w:sz="4" w:space="0" w:color="auto"/>
            </w:tcBorders>
            <w:hideMark/>
          </w:tcPr>
          <w:p w14:paraId="5BD5171A"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EN ISO 11114-</w:t>
            </w:r>
            <w:proofErr w:type="gramStart"/>
            <w:r w:rsidRPr="005E33C3">
              <w:rPr>
                <w:rFonts w:eastAsia="DengXian"/>
                <w:bCs/>
                <w:lang w:val="fr-FR"/>
              </w:rPr>
              <w:t>1:</w:t>
            </w:r>
            <w:proofErr w:type="gramEnd"/>
            <w:r w:rsidRPr="005E33C3">
              <w:rPr>
                <w:rFonts w:eastAsia="DengXian"/>
                <w:bCs/>
                <w:lang w:val="fr-FR"/>
              </w:rPr>
              <w:t>2020</w:t>
            </w:r>
          </w:p>
        </w:tc>
        <w:tc>
          <w:tcPr>
            <w:tcW w:w="4399" w:type="dxa"/>
            <w:tcBorders>
              <w:top w:val="single" w:sz="4" w:space="0" w:color="auto"/>
              <w:left w:val="single" w:sz="4" w:space="0" w:color="auto"/>
              <w:bottom w:val="single" w:sz="4" w:space="0" w:color="auto"/>
              <w:right w:val="single" w:sz="4" w:space="0" w:color="auto"/>
            </w:tcBorders>
            <w:hideMark/>
          </w:tcPr>
          <w:p w14:paraId="18E41FAF"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 xml:space="preserve">Bouteilles à gaz − Compatibilité des matériaux des bouteilles et des robinets avec les contenus gazeux − Partie 1 : Matériaux métalliques </w:t>
            </w:r>
          </w:p>
        </w:tc>
      </w:tr>
      <w:tr w:rsidR="005E33C3" w:rsidRPr="005E33C3" w14:paraId="32A93026"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5599DD51"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ACC55A2"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EN ISO 11114-</w:t>
            </w:r>
            <w:proofErr w:type="gramStart"/>
            <w:r w:rsidRPr="005E33C3">
              <w:rPr>
                <w:rFonts w:eastAsia="DengXian"/>
                <w:bCs/>
                <w:lang w:val="fr-FR"/>
              </w:rPr>
              <w:t>2:</w:t>
            </w:r>
            <w:proofErr w:type="gramEnd"/>
            <w:r w:rsidRPr="005E33C3">
              <w:rPr>
                <w:rFonts w:eastAsia="DengXian"/>
                <w:bCs/>
                <w:lang w:val="fr-FR"/>
              </w:rPr>
              <w:t>2013</w:t>
            </w:r>
          </w:p>
        </w:tc>
        <w:tc>
          <w:tcPr>
            <w:tcW w:w="4399" w:type="dxa"/>
            <w:tcBorders>
              <w:top w:val="single" w:sz="4" w:space="0" w:color="auto"/>
              <w:left w:val="single" w:sz="4" w:space="0" w:color="auto"/>
              <w:bottom w:val="single" w:sz="4" w:space="0" w:color="auto"/>
              <w:right w:val="single" w:sz="4" w:space="0" w:color="auto"/>
            </w:tcBorders>
            <w:hideMark/>
          </w:tcPr>
          <w:p w14:paraId="5BFDCCDD"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Bouteilles à gaz − Compatibilité des matériaux des bouteilles et des robinets avec les contenus gazeux − Partie 2 : Matériaux non métalliques</w:t>
            </w:r>
          </w:p>
        </w:tc>
      </w:tr>
      <w:tr w:rsidR="005E33C3" w:rsidRPr="005E33C3" w14:paraId="467140D4" w14:textId="77777777" w:rsidTr="003D2F4B">
        <w:tc>
          <w:tcPr>
            <w:tcW w:w="1413" w:type="dxa"/>
            <w:tcBorders>
              <w:top w:val="single" w:sz="4" w:space="0" w:color="auto"/>
              <w:left w:val="single" w:sz="4" w:space="0" w:color="auto"/>
              <w:bottom w:val="single" w:sz="4" w:space="0" w:color="auto"/>
              <w:right w:val="single" w:sz="4" w:space="0" w:color="auto"/>
            </w:tcBorders>
            <w:hideMark/>
          </w:tcPr>
          <w:p w14:paraId="1FA8F0EE"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4.1.6.4</w:t>
            </w:r>
          </w:p>
        </w:tc>
        <w:tc>
          <w:tcPr>
            <w:tcW w:w="2693" w:type="dxa"/>
            <w:tcBorders>
              <w:top w:val="single" w:sz="4" w:space="0" w:color="auto"/>
              <w:left w:val="single" w:sz="4" w:space="0" w:color="auto"/>
              <w:bottom w:val="single" w:sz="4" w:space="0" w:color="auto"/>
              <w:right w:val="single" w:sz="4" w:space="0" w:color="auto"/>
            </w:tcBorders>
            <w:hideMark/>
          </w:tcPr>
          <w:p w14:paraId="2F2FAD1C"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ISO </w:t>
            </w:r>
            <w:proofErr w:type="gramStart"/>
            <w:r w:rsidRPr="005E33C3">
              <w:rPr>
                <w:rFonts w:eastAsia="DengXian"/>
                <w:bCs/>
                <w:lang w:val="fr-FR"/>
              </w:rPr>
              <w:t>11621:</w:t>
            </w:r>
            <w:proofErr w:type="gramEnd"/>
            <w:r w:rsidRPr="005E33C3">
              <w:rPr>
                <w:rFonts w:eastAsia="DengXian"/>
                <w:bCs/>
                <w:lang w:val="fr-FR"/>
              </w:rPr>
              <w:t xml:space="preserve">1997 </w:t>
            </w:r>
            <w:r w:rsidRPr="005E33C3">
              <w:rPr>
                <w:rFonts w:eastAsia="DengXian"/>
                <w:bCs/>
                <w:lang w:val="fr-FR"/>
              </w:rPr>
              <w:br/>
              <w:t>ou EN ISO 11621:2005</w:t>
            </w:r>
          </w:p>
        </w:tc>
        <w:tc>
          <w:tcPr>
            <w:tcW w:w="4399" w:type="dxa"/>
            <w:tcBorders>
              <w:top w:val="single" w:sz="4" w:space="0" w:color="auto"/>
              <w:left w:val="single" w:sz="4" w:space="0" w:color="auto"/>
              <w:bottom w:val="single" w:sz="4" w:space="0" w:color="auto"/>
              <w:right w:val="single" w:sz="4" w:space="0" w:color="auto"/>
            </w:tcBorders>
            <w:hideMark/>
          </w:tcPr>
          <w:p w14:paraId="5310CC0F"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Bouteilles à gaz − Mode opératoire pour le changement de service de gaz</w:t>
            </w:r>
          </w:p>
        </w:tc>
      </w:tr>
      <w:tr w:rsidR="005E33C3" w:rsidRPr="005E33C3" w14:paraId="788BF0B0" w14:textId="77777777" w:rsidTr="003D2F4B">
        <w:tc>
          <w:tcPr>
            <w:tcW w:w="1413" w:type="dxa"/>
            <w:vMerge w:val="restart"/>
            <w:tcBorders>
              <w:top w:val="single" w:sz="4" w:space="0" w:color="auto"/>
              <w:left w:val="single" w:sz="4" w:space="0" w:color="auto"/>
              <w:bottom w:val="single" w:sz="4" w:space="0" w:color="auto"/>
              <w:right w:val="single" w:sz="4" w:space="0" w:color="auto"/>
            </w:tcBorders>
            <w:hideMark/>
          </w:tcPr>
          <w:p w14:paraId="01D0D5A5"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4.1.6.8 Robinets munis d’une </w:t>
            </w:r>
            <w:r w:rsidRPr="005E33C3">
              <w:rPr>
                <w:rFonts w:eastAsia="DengXian"/>
                <w:bCs/>
                <w:lang w:val="fr-FR"/>
              </w:rPr>
              <w:lastRenderedPageBreak/>
              <w:t>protection intégrée</w:t>
            </w:r>
          </w:p>
        </w:tc>
        <w:tc>
          <w:tcPr>
            <w:tcW w:w="2693" w:type="dxa"/>
            <w:tcBorders>
              <w:top w:val="single" w:sz="4" w:space="0" w:color="auto"/>
              <w:left w:val="single" w:sz="4" w:space="0" w:color="auto"/>
              <w:bottom w:val="single" w:sz="4" w:space="0" w:color="auto"/>
              <w:right w:val="single" w:sz="4" w:space="0" w:color="auto"/>
            </w:tcBorders>
            <w:hideMark/>
          </w:tcPr>
          <w:p w14:paraId="43A0B923"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lastRenderedPageBreak/>
              <w:t xml:space="preserve">Article 4.6.2 de </w:t>
            </w:r>
            <w:r w:rsidRPr="005E33C3">
              <w:rPr>
                <w:rFonts w:eastAsia="DengXian"/>
                <w:bCs/>
                <w:lang w:val="fr-FR"/>
              </w:rPr>
              <w:br/>
              <w:t xml:space="preserve">EN ISO </w:t>
            </w:r>
            <w:proofErr w:type="gramStart"/>
            <w:r w:rsidRPr="005E33C3">
              <w:rPr>
                <w:rFonts w:eastAsia="DengXian"/>
                <w:bCs/>
                <w:lang w:val="fr-FR"/>
              </w:rPr>
              <w:t>10297:</w:t>
            </w:r>
            <w:proofErr w:type="gramEnd"/>
            <w:r w:rsidRPr="005E33C3">
              <w:rPr>
                <w:rFonts w:eastAsia="DengXian"/>
                <w:bCs/>
                <w:lang w:val="fr-FR"/>
              </w:rPr>
              <w:t>2006 ou</w:t>
            </w:r>
          </w:p>
          <w:p w14:paraId="07EB5547"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5.5.2 de </w:t>
            </w:r>
            <w:r w:rsidRPr="005E33C3">
              <w:rPr>
                <w:rFonts w:eastAsia="DengXian"/>
                <w:bCs/>
                <w:lang w:val="fr-FR"/>
              </w:rPr>
              <w:br/>
              <w:t xml:space="preserve">EN ISO </w:t>
            </w:r>
            <w:proofErr w:type="gramStart"/>
            <w:r w:rsidRPr="005E33C3">
              <w:rPr>
                <w:rFonts w:eastAsia="DengXian"/>
                <w:bCs/>
                <w:lang w:val="fr-FR"/>
              </w:rPr>
              <w:t>10297:</w:t>
            </w:r>
            <w:proofErr w:type="gramEnd"/>
            <w:r w:rsidRPr="005E33C3">
              <w:rPr>
                <w:rFonts w:eastAsia="DengXian"/>
                <w:bCs/>
                <w:lang w:val="fr-FR"/>
              </w:rPr>
              <w:t>2014 ou</w:t>
            </w:r>
          </w:p>
          <w:p w14:paraId="6A333BF0"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lastRenderedPageBreak/>
              <w:t xml:space="preserve">Article 5.5.2 de </w:t>
            </w:r>
            <w:r w:rsidRPr="005E33C3">
              <w:rPr>
                <w:rFonts w:eastAsia="DengXian"/>
                <w:bCs/>
                <w:lang w:val="fr-FR"/>
              </w:rPr>
              <w:br/>
              <w:t xml:space="preserve">EN ISO </w:t>
            </w:r>
            <w:proofErr w:type="gramStart"/>
            <w:r w:rsidRPr="005E33C3">
              <w:rPr>
                <w:rFonts w:eastAsia="DengXian"/>
                <w:bCs/>
                <w:lang w:val="fr-FR"/>
              </w:rPr>
              <w:t>10297:</w:t>
            </w:r>
            <w:proofErr w:type="gramEnd"/>
            <w:r w:rsidRPr="005E33C3">
              <w:rPr>
                <w:rFonts w:eastAsia="DengXian"/>
                <w:bCs/>
                <w:lang w:val="fr-FR"/>
              </w:rPr>
              <w:t>2014 + A1:2017</w:t>
            </w:r>
          </w:p>
        </w:tc>
        <w:tc>
          <w:tcPr>
            <w:tcW w:w="4399" w:type="dxa"/>
            <w:tcBorders>
              <w:top w:val="single" w:sz="4" w:space="0" w:color="auto"/>
              <w:left w:val="single" w:sz="4" w:space="0" w:color="auto"/>
              <w:bottom w:val="single" w:sz="4" w:space="0" w:color="auto"/>
              <w:right w:val="single" w:sz="4" w:space="0" w:color="auto"/>
            </w:tcBorders>
            <w:hideMark/>
          </w:tcPr>
          <w:p w14:paraId="4A8F5A67"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lastRenderedPageBreak/>
              <w:t>Bouteilles à gaz − Robinets de bouteilles − Spécifications et essais de type</w:t>
            </w:r>
          </w:p>
        </w:tc>
      </w:tr>
      <w:tr w:rsidR="005E33C3" w:rsidRPr="005E33C3" w14:paraId="5DA3C871"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2B9D96E3"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7B23B2F"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5.3.8 de </w:t>
            </w:r>
            <w:r w:rsidRPr="005E33C3">
              <w:rPr>
                <w:rFonts w:eastAsia="DengXian"/>
                <w:bCs/>
                <w:lang w:val="fr-FR"/>
              </w:rPr>
              <w:br/>
              <w:t xml:space="preserve">EN </w:t>
            </w:r>
            <w:proofErr w:type="gramStart"/>
            <w:r w:rsidRPr="005E33C3">
              <w:rPr>
                <w:rFonts w:eastAsia="DengXian"/>
                <w:bCs/>
                <w:lang w:val="fr-FR"/>
              </w:rPr>
              <w:t>13152:</w:t>
            </w:r>
            <w:proofErr w:type="gramEnd"/>
            <w:r w:rsidRPr="005E33C3">
              <w:rPr>
                <w:rFonts w:eastAsia="DengXian"/>
                <w:bCs/>
                <w:lang w:val="fr-FR"/>
              </w:rPr>
              <w:t>2001 + A1:2003</w:t>
            </w:r>
          </w:p>
        </w:tc>
        <w:tc>
          <w:tcPr>
            <w:tcW w:w="4399" w:type="dxa"/>
            <w:tcBorders>
              <w:top w:val="single" w:sz="4" w:space="0" w:color="auto"/>
              <w:left w:val="single" w:sz="4" w:space="0" w:color="auto"/>
              <w:bottom w:val="single" w:sz="4" w:space="0" w:color="auto"/>
              <w:right w:val="single" w:sz="4" w:space="0" w:color="auto"/>
            </w:tcBorders>
            <w:hideMark/>
          </w:tcPr>
          <w:p w14:paraId="6B95672B"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Spécifications et essais pour valves de bouteilles de gaz de pétrole liquéfié (GPL) − Fermeture automatique</w:t>
            </w:r>
          </w:p>
        </w:tc>
      </w:tr>
      <w:tr w:rsidR="005E33C3" w:rsidRPr="005E33C3" w14:paraId="4541B789"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6F4D7F93"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B241328"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5.3.7 de </w:t>
            </w:r>
            <w:r w:rsidRPr="005E33C3">
              <w:rPr>
                <w:rFonts w:eastAsia="DengXian"/>
                <w:bCs/>
                <w:lang w:val="fr-FR"/>
              </w:rPr>
              <w:br/>
              <w:t xml:space="preserve">EN </w:t>
            </w:r>
            <w:proofErr w:type="gramStart"/>
            <w:r w:rsidRPr="005E33C3">
              <w:rPr>
                <w:rFonts w:eastAsia="DengXian"/>
                <w:bCs/>
                <w:lang w:val="fr-FR"/>
              </w:rPr>
              <w:t>13153:</w:t>
            </w:r>
            <w:proofErr w:type="gramEnd"/>
            <w:r w:rsidRPr="005E33C3">
              <w:rPr>
                <w:rFonts w:eastAsia="DengXian"/>
                <w:bCs/>
                <w:lang w:val="fr-FR"/>
              </w:rPr>
              <w:t>2001 + A1:2003</w:t>
            </w:r>
          </w:p>
        </w:tc>
        <w:tc>
          <w:tcPr>
            <w:tcW w:w="4399" w:type="dxa"/>
            <w:tcBorders>
              <w:top w:val="single" w:sz="4" w:space="0" w:color="auto"/>
              <w:left w:val="single" w:sz="4" w:space="0" w:color="auto"/>
              <w:bottom w:val="single" w:sz="4" w:space="0" w:color="auto"/>
              <w:right w:val="single" w:sz="4" w:space="0" w:color="auto"/>
            </w:tcBorders>
            <w:hideMark/>
          </w:tcPr>
          <w:p w14:paraId="01FF969D"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Spécifications et essais pour valves de bouteilles de gaz de pétrole liquéfié (GPL) − Fermeture manuelle</w:t>
            </w:r>
          </w:p>
        </w:tc>
      </w:tr>
      <w:tr w:rsidR="005E33C3" w:rsidRPr="005E33C3" w14:paraId="3210C2C0"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052AECF3"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5AD0D927"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5.9 de </w:t>
            </w:r>
            <w:r w:rsidRPr="005E33C3">
              <w:rPr>
                <w:rFonts w:eastAsia="DengXian"/>
                <w:bCs/>
                <w:lang w:val="fr-FR"/>
              </w:rPr>
              <w:br/>
              <w:t xml:space="preserve">EN ISO </w:t>
            </w:r>
            <w:proofErr w:type="gramStart"/>
            <w:r w:rsidRPr="005E33C3">
              <w:rPr>
                <w:rFonts w:eastAsia="DengXian"/>
                <w:bCs/>
                <w:lang w:val="fr-FR"/>
              </w:rPr>
              <w:t>14245:</w:t>
            </w:r>
            <w:proofErr w:type="gramEnd"/>
            <w:r w:rsidRPr="005E33C3">
              <w:rPr>
                <w:rFonts w:eastAsia="DengXian"/>
                <w:bCs/>
                <w:lang w:val="fr-FR"/>
              </w:rPr>
              <w:t>2010 ou</w:t>
            </w:r>
          </w:p>
          <w:p w14:paraId="192793D3"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5.9 de </w:t>
            </w:r>
            <w:r w:rsidRPr="005E33C3">
              <w:rPr>
                <w:rFonts w:eastAsia="DengXian"/>
                <w:bCs/>
                <w:lang w:val="fr-FR"/>
              </w:rPr>
              <w:br/>
              <w:t xml:space="preserve">EN ISO </w:t>
            </w:r>
            <w:proofErr w:type="gramStart"/>
            <w:r w:rsidRPr="005E33C3">
              <w:rPr>
                <w:rFonts w:eastAsia="DengXian"/>
                <w:bCs/>
                <w:lang w:val="fr-FR"/>
              </w:rPr>
              <w:t>14245:</w:t>
            </w:r>
            <w:proofErr w:type="gramEnd"/>
            <w:r w:rsidRPr="005E33C3">
              <w:rPr>
                <w:rFonts w:eastAsia="DengXian"/>
                <w:bCs/>
                <w:lang w:val="fr-FR"/>
              </w:rPr>
              <w:t>2019</w:t>
            </w:r>
          </w:p>
        </w:tc>
        <w:tc>
          <w:tcPr>
            <w:tcW w:w="4399" w:type="dxa"/>
            <w:tcBorders>
              <w:top w:val="single" w:sz="4" w:space="0" w:color="auto"/>
              <w:left w:val="single" w:sz="4" w:space="0" w:color="auto"/>
              <w:bottom w:val="single" w:sz="4" w:space="0" w:color="auto"/>
              <w:right w:val="single" w:sz="4" w:space="0" w:color="auto"/>
            </w:tcBorders>
            <w:hideMark/>
          </w:tcPr>
          <w:p w14:paraId="1E5EB349"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Bouteilles à gaz − Spécifications et essais pour valves de bouteilles de GPL − Fermeture automatique</w:t>
            </w:r>
          </w:p>
        </w:tc>
      </w:tr>
      <w:tr w:rsidR="005E33C3" w:rsidRPr="005E33C3" w14:paraId="1350606C"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480C0150"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0F9B316F"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5.10 de </w:t>
            </w:r>
            <w:r w:rsidRPr="005E33C3">
              <w:rPr>
                <w:rFonts w:eastAsia="DengXian"/>
                <w:bCs/>
                <w:lang w:val="fr-FR"/>
              </w:rPr>
              <w:br/>
              <w:t xml:space="preserve">EN ISO </w:t>
            </w:r>
            <w:proofErr w:type="gramStart"/>
            <w:r w:rsidRPr="005E33C3">
              <w:rPr>
                <w:rFonts w:eastAsia="DengXian"/>
                <w:bCs/>
                <w:lang w:val="fr-FR"/>
              </w:rPr>
              <w:t>15995:</w:t>
            </w:r>
            <w:proofErr w:type="gramEnd"/>
            <w:r w:rsidRPr="005E33C3">
              <w:rPr>
                <w:rFonts w:eastAsia="DengXian"/>
                <w:bCs/>
                <w:lang w:val="fr-FR"/>
              </w:rPr>
              <w:t>2010 ou</w:t>
            </w:r>
          </w:p>
          <w:p w14:paraId="4FC41ADB"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5.10 de </w:t>
            </w:r>
            <w:r w:rsidRPr="005E33C3">
              <w:rPr>
                <w:rFonts w:eastAsia="DengXian"/>
                <w:bCs/>
                <w:lang w:val="fr-FR"/>
              </w:rPr>
              <w:br/>
              <w:t xml:space="preserve">EN ISO </w:t>
            </w:r>
            <w:proofErr w:type="gramStart"/>
            <w:r w:rsidRPr="005E33C3">
              <w:rPr>
                <w:rFonts w:eastAsia="DengXian"/>
                <w:bCs/>
                <w:lang w:val="fr-FR"/>
              </w:rPr>
              <w:t>15995:</w:t>
            </w:r>
            <w:proofErr w:type="gramEnd"/>
            <w:r w:rsidRPr="005E33C3">
              <w:rPr>
                <w:rFonts w:eastAsia="DengXian"/>
                <w:bCs/>
                <w:lang w:val="fr-FR"/>
              </w:rPr>
              <w:t>2019</w:t>
            </w:r>
          </w:p>
        </w:tc>
        <w:tc>
          <w:tcPr>
            <w:tcW w:w="4399" w:type="dxa"/>
            <w:tcBorders>
              <w:top w:val="single" w:sz="4" w:space="0" w:color="auto"/>
              <w:left w:val="single" w:sz="4" w:space="0" w:color="auto"/>
              <w:bottom w:val="single" w:sz="4" w:space="0" w:color="auto"/>
              <w:right w:val="single" w:sz="4" w:space="0" w:color="auto"/>
            </w:tcBorders>
            <w:hideMark/>
          </w:tcPr>
          <w:p w14:paraId="314731DB"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Bouteilles à gaz − Spécifications et essais pour valves de bouteilles de GPL − Fermeture manuelle</w:t>
            </w:r>
          </w:p>
        </w:tc>
      </w:tr>
      <w:tr w:rsidR="005E33C3" w:rsidRPr="005E33C3" w14:paraId="4C2A6DE4"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0D8FDC1D"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62FC05F2"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 xml:space="preserve">Article 5.4.2 de </w:t>
            </w:r>
            <w:r w:rsidRPr="005E33C3">
              <w:rPr>
                <w:rFonts w:eastAsia="DengXian"/>
                <w:bCs/>
                <w:lang w:val="fr-FR"/>
              </w:rPr>
              <w:br/>
              <w:t xml:space="preserve">EN ISO </w:t>
            </w:r>
            <w:proofErr w:type="gramStart"/>
            <w:r w:rsidRPr="005E33C3">
              <w:rPr>
                <w:rFonts w:eastAsia="DengXian"/>
                <w:bCs/>
                <w:lang w:val="fr-FR"/>
              </w:rPr>
              <w:t>17879:</w:t>
            </w:r>
            <w:proofErr w:type="gramEnd"/>
            <w:r w:rsidRPr="005E33C3">
              <w:rPr>
                <w:rFonts w:eastAsia="DengXian"/>
                <w:bCs/>
                <w:lang w:val="fr-FR"/>
              </w:rPr>
              <w:t>2017</w:t>
            </w:r>
          </w:p>
        </w:tc>
        <w:tc>
          <w:tcPr>
            <w:tcW w:w="4399" w:type="dxa"/>
            <w:tcBorders>
              <w:top w:val="single" w:sz="4" w:space="0" w:color="auto"/>
              <w:left w:val="single" w:sz="4" w:space="0" w:color="auto"/>
              <w:bottom w:val="single" w:sz="4" w:space="0" w:color="auto"/>
              <w:right w:val="single" w:sz="4" w:space="0" w:color="auto"/>
            </w:tcBorders>
            <w:hideMark/>
          </w:tcPr>
          <w:p w14:paraId="797D04B4"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Bouteilles à gaz − Robinets de bouteilles équipés de clapets auto-obturants − Spécifications et essais de type</w:t>
            </w:r>
          </w:p>
        </w:tc>
      </w:tr>
      <w:tr w:rsidR="005E33C3" w:rsidRPr="005E33C3" w14:paraId="47FAE981"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12C6B174"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6B9258A6" w14:textId="77777777" w:rsidR="005E33C3" w:rsidRPr="005E33C3" w:rsidRDefault="005E33C3" w:rsidP="005E33C3">
            <w:pPr>
              <w:spacing w:before="60" w:after="60" w:line="240" w:lineRule="auto"/>
              <w:ind w:left="57" w:right="57"/>
              <w:rPr>
                <w:rFonts w:eastAsia="DengXian"/>
                <w:bCs/>
                <w:iCs/>
                <w:lang w:val="fr-FR"/>
              </w:rPr>
            </w:pPr>
            <w:r w:rsidRPr="005E33C3">
              <w:rPr>
                <w:rFonts w:eastAsia="DengXian"/>
                <w:bCs/>
                <w:iCs/>
                <w:lang w:val="fr-FR"/>
              </w:rPr>
              <w:t>Article 7.4 de</w:t>
            </w:r>
            <w:r w:rsidRPr="005E33C3">
              <w:rPr>
                <w:rFonts w:eastAsia="DengXian"/>
                <w:bCs/>
                <w:iCs/>
                <w:lang w:val="fr-FR"/>
              </w:rPr>
              <w:br/>
              <w:t>EN </w:t>
            </w:r>
            <w:proofErr w:type="gramStart"/>
            <w:r w:rsidRPr="005E33C3">
              <w:rPr>
                <w:rFonts w:eastAsia="DengXian"/>
                <w:bCs/>
                <w:iCs/>
                <w:lang w:val="fr-FR"/>
              </w:rPr>
              <w:t>12205:</w:t>
            </w:r>
            <w:proofErr w:type="gramEnd"/>
            <w:r w:rsidRPr="005E33C3">
              <w:rPr>
                <w:rFonts w:eastAsia="DengXian"/>
                <w:bCs/>
                <w:iCs/>
                <w:lang w:val="fr-FR"/>
              </w:rPr>
              <w:t>2001 ou</w:t>
            </w:r>
          </w:p>
          <w:p w14:paraId="685FCA45" w14:textId="77777777" w:rsidR="005E33C3" w:rsidRPr="005E33C3" w:rsidRDefault="005E33C3" w:rsidP="005E33C3">
            <w:pPr>
              <w:spacing w:before="60" w:after="60" w:line="240" w:lineRule="auto"/>
              <w:ind w:left="57" w:right="57"/>
              <w:rPr>
                <w:rFonts w:eastAsia="DengXian"/>
                <w:bCs/>
                <w:iCs/>
                <w:lang w:val="fr-FR"/>
              </w:rPr>
            </w:pPr>
            <w:r w:rsidRPr="005E33C3">
              <w:rPr>
                <w:rFonts w:eastAsia="DengXian"/>
                <w:bCs/>
                <w:iCs/>
                <w:lang w:val="fr-FR"/>
              </w:rPr>
              <w:t xml:space="preserve">Article 9.2.5 de </w:t>
            </w:r>
            <w:r w:rsidRPr="005E33C3">
              <w:rPr>
                <w:rFonts w:eastAsia="DengXian"/>
                <w:bCs/>
                <w:iCs/>
                <w:lang w:val="fr-FR"/>
              </w:rPr>
              <w:br/>
              <w:t xml:space="preserve">EN ISO </w:t>
            </w:r>
            <w:proofErr w:type="gramStart"/>
            <w:r w:rsidRPr="005E33C3">
              <w:rPr>
                <w:rFonts w:eastAsia="DengXian"/>
                <w:bCs/>
                <w:iCs/>
                <w:lang w:val="fr-FR"/>
              </w:rPr>
              <w:t>11118:</w:t>
            </w:r>
            <w:proofErr w:type="gramEnd"/>
            <w:r w:rsidRPr="005E33C3">
              <w:rPr>
                <w:rFonts w:eastAsia="DengXian"/>
                <w:bCs/>
                <w:iCs/>
                <w:lang w:val="fr-FR"/>
              </w:rPr>
              <w:t>2015 ou</w:t>
            </w:r>
          </w:p>
          <w:p w14:paraId="3DDF9D8C" w14:textId="77777777" w:rsidR="005E33C3" w:rsidRPr="005E33C3" w:rsidRDefault="005E33C3" w:rsidP="005E33C3">
            <w:pPr>
              <w:spacing w:before="60" w:after="60" w:line="240" w:lineRule="auto"/>
              <w:ind w:left="57" w:right="57"/>
              <w:rPr>
                <w:rFonts w:eastAsia="DengXian"/>
                <w:bCs/>
                <w:lang w:val="fr-FR"/>
              </w:rPr>
            </w:pPr>
            <w:r w:rsidRPr="005E33C3">
              <w:rPr>
                <w:rFonts w:eastAsia="DengXian"/>
                <w:bCs/>
                <w:iCs/>
                <w:lang w:val="fr-FR"/>
              </w:rPr>
              <w:t xml:space="preserve">Article 9.2.5 de </w:t>
            </w:r>
            <w:r w:rsidRPr="005E33C3">
              <w:rPr>
                <w:rFonts w:eastAsia="DengXian"/>
                <w:bCs/>
                <w:iCs/>
                <w:lang w:val="fr-FR"/>
              </w:rPr>
              <w:br/>
              <w:t xml:space="preserve">EN ISO </w:t>
            </w:r>
            <w:proofErr w:type="gramStart"/>
            <w:r w:rsidRPr="005E33C3">
              <w:rPr>
                <w:rFonts w:eastAsia="DengXian"/>
                <w:bCs/>
                <w:iCs/>
                <w:lang w:val="fr-FR"/>
              </w:rPr>
              <w:t>11118:</w:t>
            </w:r>
            <w:proofErr w:type="gramEnd"/>
            <w:r w:rsidRPr="005E33C3">
              <w:rPr>
                <w:rFonts w:eastAsia="DengXian"/>
                <w:bCs/>
                <w:iCs/>
                <w:lang w:val="fr-FR"/>
              </w:rPr>
              <w:t>2015 + A1:2020</w:t>
            </w:r>
          </w:p>
        </w:tc>
        <w:tc>
          <w:tcPr>
            <w:tcW w:w="4399" w:type="dxa"/>
            <w:tcBorders>
              <w:top w:val="single" w:sz="4" w:space="0" w:color="auto"/>
              <w:left w:val="single" w:sz="4" w:space="0" w:color="auto"/>
              <w:bottom w:val="single" w:sz="4" w:space="0" w:color="auto"/>
              <w:right w:val="single" w:sz="4" w:space="0" w:color="auto"/>
            </w:tcBorders>
            <w:hideMark/>
          </w:tcPr>
          <w:p w14:paraId="46ABCD97" w14:textId="77777777" w:rsidR="005E33C3" w:rsidRPr="005E33C3" w:rsidRDefault="005E33C3" w:rsidP="005E33C3">
            <w:pPr>
              <w:spacing w:before="60" w:after="60"/>
              <w:ind w:left="57" w:right="57"/>
              <w:rPr>
                <w:rFonts w:eastAsia="DengXian"/>
                <w:bCs/>
                <w:lang w:val="fr-FR"/>
              </w:rPr>
            </w:pPr>
            <w:r w:rsidRPr="005E33C3">
              <w:rPr>
                <w:rFonts w:eastAsia="DengXian"/>
                <w:bCs/>
                <w:iCs/>
                <w:lang w:val="fr-FR"/>
              </w:rPr>
              <w:t xml:space="preserve">Bouteilles à gaz − Bouteilles à gaz métalliques non rechargeables − Spécifications et méthodes d’essai </w:t>
            </w:r>
          </w:p>
        </w:tc>
      </w:tr>
      <w:tr w:rsidR="005E33C3" w:rsidRPr="005E33C3" w14:paraId="561256B4" w14:textId="77777777" w:rsidTr="003D2F4B">
        <w:tc>
          <w:tcPr>
            <w:tcW w:w="1413" w:type="dxa"/>
            <w:vMerge w:val="restart"/>
            <w:tcBorders>
              <w:top w:val="single" w:sz="4" w:space="0" w:color="auto"/>
              <w:left w:val="single" w:sz="4" w:space="0" w:color="auto"/>
              <w:bottom w:val="single" w:sz="4" w:space="0" w:color="auto"/>
              <w:right w:val="single" w:sz="4" w:space="0" w:color="auto"/>
            </w:tcBorders>
            <w:hideMark/>
          </w:tcPr>
          <w:p w14:paraId="7FDCD6EC"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4.1.6.8 b)</w:t>
            </w:r>
          </w:p>
        </w:tc>
        <w:tc>
          <w:tcPr>
            <w:tcW w:w="2693" w:type="dxa"/>
            <w:tcBorders>
              <w:top w:val="single" w:sz="4" w:space="0" w:color="auto"/>
              <w:left w:val="single" w:sz="4" w:space="0" w:color="auto"/>
              <w:bottom w:val="single" w:sz="4" w:space="0" w:color="auto"/>
              <w:right w:val="single" w:sz="4" w:space="0" w:color="auto"/>
            </w:tcBorders>
            <w:hideMark/>
          </w:tcPr>
          <w:p w14:paraId="562E0C80" w14:textId="77777777" w:rsidR="005E33C3" w:rsidRPr="005E33C3" w:rsidRDefault="005E33C3" w:rsidP="005E33C3">
            <w:pPr>
              <w:spacing w:before="60" w:after="60"/>
              <w:ind w:left="57" w:right="57"/>
              <w:rPr>
                <w:rFonts w:eastAsia="DengXian"/>
                <w:bCs/>
                <w:iCs/>
                <w:lang w:val="fr-FR"/>
              </w:rPr>
            </w:pPr>
            <w:r w:rsidRPr="005E33C3">
              <w:rPr>
                <w:rFonts w:eastAsia="DengXian"/>
                <w:bCs/>
                <w:iCs/>
                <w:lang w:val="fr-FR"/>
              </w:rPr>
              <w:t xml:space="preserve">ISO </w:t>
            </w:r>
            <w:proofErr w:type="gramStart"/>
            <w:r w:rsidRPr="005E33C3">
              <w:rPr>
                <w:rFonts w:eastAsia="DengXian"/>
                <w:bCs/>
                <w:iCs/>
                <w:lang w:val="fr-FR"/>
              </w:rPr>
              <w:t>11117:</w:t>
            </w:r>
            <w:proofErr w:type="gramEnd"/>
            <w:r w:rsidRPr="005E33C3">
              <w:rPr>
                <w:rFonts w:eastAsia="DengXian"/>
                <w:bCs/>
                <w:iCs/>
                <w:lang w:val="fr-FR"/>
              </w:rPr>
              <w:t xml:space="preserve">1998 ou </w:t>
            </w:r>
            <w:r w:rsidRPr="005E33C3">
              <w:rPr>
                <w:rFonts w:eastAsia="DengXian"/>
                <w:bCs/>
                <w:iCs/>
                <w:lang w:val="fr-FR"/>
              </w:rPr>
              <w:br/>
              <w:t xml:space="preserve">EN ISO 11117:2008 + Cor 1:2009 ou </w:t>
            </w:r>
            <w:r w:rsidRPr="005E33C3">
              <w:rPr>
                <w:rFonts w:eastAsia="DengXian"/>
                <w:bCs/>
                <w:iCs/>
                <w:lang w:val="fr-FR"/>
              </w:rPr>
              <w:br/>
              <w:t>EN ISO 11117:2019</w:t>
            </w:r>
          </w:p>
        </w:tc>
        <w:tc>
          <w:tcPr>
            <w:tcW w:w="4399" w:type="dxa"/>
            <w:tcBorders>
              <w:top w:val="single" w:sz="4" w:space="0" w:color="auto"/>
              <w:left w:val="single" w:sz="4" w:space="0" w:color="auto"/>
              <w:bottom w:val="single" w:sz="4" w:space="0" w:color="auto"/>
              <w:right w:val="single" w:sz="4" w:space="0" w:color="auto"/>
            </w:tcBorders>
            <w:hideMark/>
          </w:tcPr>
          <w:p w14:paraId="3FA27293" w14:textId="77777777" w:rsidR="005E33C3" w:rsidRPr="005E33C3" w:rsidRDefault="005E33C3" w:rsidP="005E33C3">
            <w:pPr>
              <w:spacing w:before="60" w:after="60"/>
              <w:ind w:left="57" w:right="57"/>
              <w:rPr>
                <w:rFonts w:eastAsia="DengXian"/>
                <w:bCs/>
                <w:iCs/>
                <w:lang w:val="fr-FR"/>
              </w:rPr>
            </w:pPr>
            <w:r w:rsidRPr="005E33C3">
              <w:rPr>
                <w:rFonts w:eastAsia="DengXian"/>
                <w:bCs/>
                <w:iCs/>
                <w:lang w:val="fr-FR"/>
              </w:rPr>
              <w:t>Bouteilles à gaz − Chapeaux fermés et chapeaux ouverts de protection des robinets − Conception, construction et essais</w:t>
            </w:r>
          </w:p>
        </w:tc>
      </w:tr>
      <w:tr w:rsidR="005E33C3" w:rsidRPr="005E33C3" w14:paraId="0E6A65C6" w14:textId="77777777" w:rsidTr="003D2F4B">
        <w:tc>
          <w:tcPr>
            <w:tcW w:w="1413" w:type="dxa"/>
            <w:vMerge/>
            <w:tcBorders>
              <w:top w:val="single" w:sz="4" w:space="0" w:color="auto"/>
              <w:left w:val="single" w:sz="4" w:space="0" w:color="auto"/>
              <w:bottom w:val="single" w:sz="4" w:space="0" w:color="auto"/>
              <w:right w:val="single" w:sz="4" w:space="0" w:color="auto"/>
            </w:tcBorders>
            <w:vAlign w:val="center"/>
            <w:hideMark/>
          </w:tcPr>
          <w:p w14:paraId="18952769" w14:textId="77777777" w:rsidR="005E33C3" w:rsidRPr="005E33C3" w:rsidRDefault="005E33C3" w:rsidP="005E33C3">
            <w:pPr>
              <w:suppressAutoHyphens w:val="0"/>
              <w:kinsoku/>
              <w:overflowPunct/>
              <w:autoSpaceDE/>
              <w:autoSpaceDN/>
              <w:adjustRightInd/>
              <w:snapToGrid/>
              <w:spacing w:line="276" w:lineRule="auto"/>
              <w:rPr>
                <w:rFonts w:eastAsia="DengXian"/>
                <w:bCs/>
                <w:lang w:val="fr-FR"/>
              </w:rPr>
            </w:pPr>
          </w:p>
        </w:tc>
        <w:tc>
          <w:tcPr>
            <w:tcW w:w="2693" w:type="dxa"/>
            <w:tcBorders>
              <w:top w:val="single" w:sz="4" w:space="0" w:color="auto"/>
              <w:left w:val="single" w:sz="4" w:space="0" w:color="auto"/>
              <w:bottom w:val="single" w:sz="4" w:space="0" w:color="auto"/>
              <w:right w:val="single" w:sz="4" w:space="0" w:color="auto"/>
            </w:tcBorders>
            <w:hideMark/>
          </w:tcPr>
          <w:p w14:paraId="2D15AFD4" w14:textId="77777777" w:rsidR="005E33C3" w:rsidRPr="005E33C3" w:rsidRDefault="005E33C3" w:rsidP="005E33C3">
            <w:pPr>
              <w:spacing w:before="60" w:after="60"/>
              <w:ind w:left="57" w:right="57"/>
              <w:rPr>
                <w:rFonts w:eastAsia="DengXian"/>
                <w:bCs/>
                <w:iCs/>
                <w:lang w:val="fr-FR"/>
              </w:rPr>
            </w:pPr>
            <w:r w:rsidRPr="005E33C3">
              <w:rPr>
                <w:rFonts w:eastAsia="DengXian"/>
                <w:bCs/>
                <w:iCs/>
                <w:lang w:val="fr-FR"/>
              </w:rPr>
              <w:t xml:space="preserve">EN </w:t>
            </w:r>
            <w:proofErr w:type="gramStart"/>
            <w:r w:rsidRPr="005E33C3">
              <w:rPr>
                <w:rFonts w:eastAsia="DengXian"/>
                <w:bCs/>
                <w:iCs/>
                <w:lang w:val="fr-FR"/>
              </w:rPr>
              <w:t>962:</w:t>
            </w:r>
            <w:proofErr w:type="gramEnd"/>
            <w:r w:rsidRPr="005E33C3">
              <w:rPr>
                <w:rFonts w:eastAsia="DengXian"/>
                <w:bCs/>
                <w:iCs/>
                <w:lang w:val="fr-FR"/>
              </w:rPr>
              <w:t>1996 +A2:2000</w:t>
            </w:r>
          </w:p>
        </w:tc>
        <w:tc>
          <w:tcPr>
            <w:tcW w:w="4399" w:type="dxa"/>
            <w:tcBorders>
              <w:top w:val="single" w:sz="4" w:space="0" w:color="auto"/>
              <w:left w:val="single" w:sz="4" w:space="0" w:color="auto"/>
              <w:bottom w:val="single" w:sz="4" w:space="0" w:color="auto"/>
              <w:right w:val="single" w:sz="4" w:space="0" w:color="auto"/>
            </w:tcBorders>
            <w:hideMark/>
          </w:tcPr>
          <w:p w14:paraId="340712D6" w14:textId="77777777" w:rsidR="005E33C3" w:rsidRPr="005E33C3" w:rsidRDefault="005E33C3" w:rsidP="005E33C3">
            <w:pPr>
              <w:spacing w:before="60" w:after="60"/>
              <w:ind w:left="57" w:right="57"/>
              <w:rPr>
                <w:rFonts w:eastAsia="DengXian"/>
                <w:bCs/>
                <w:iCs/>
                <w:spacing w:val="-2"/>
                <w:lang w:val="fr-FR"/>
              </w:rPr>
            </w:pPr>
            <w:r w:rsidRPr="005E33C3">
              <w:rPr>
                <w:rFonts w:eastAsia="DengXian"/>
                <w:bCs/>
                <w:iCs/>
                <w:spacing w:val="-2"/>
                <w:lang w:val="fr-FR"/>
              </w:rPr>
              <w:t>Bouteilles à gaz transportables − Chapeaux fermés et chapeaux ouverts de protection des robinets de bouteilles à gaz industriels et médicaux − Conception, construction et essais</w:t>
            </w:r>
          </w:p>
        </w:tc>
      </w:tr>
      <w:tr w:rsidR="005E33C3" w:rsidRPr="005E33C3" w14:paraId="7806D4B9" w14:textId="77777777" w:rsidTr="003D2F4B">
        <w:tc>
          <w:tcPr>
            <w:tcW w:w="1413" w:type="dxa"/>
            <w:tcBorders>
              <w:top w:val="single" w:sz="4" w:space="0" w:color="auto"/>
              <w:left w:val="single" w:sz="4" w:space="0" w:color="auto"/>
              <w:bottom w:val="single" w:sz="4" w:space="0" w:color="auto"/>
              <w:right w:val="single" w:sz="4" w:space="0" w:color="auto"/>
            </w:tcBorders>
            <w:hideMark/>
          </w:tcPr>
          <w:p w14:paraId="22CF2217"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4.1.6.8 c)</w:t>
            </w:r>
          </w:p>
        </w:tc>
        <w:tc>
          <w:tcPr>
            <w:tcW w:w="7092" w:type="dxa"/>
            <w:gridSpan w:val="2"/>
            <w:tcBorders>
              <w:top w:val="single" w:sz="4" w:space="0" w:color="auto"/>
              <w:left w:val="single" w:sz="4" w:space="0" w:color="auto"/>
              <w:bottom w:val="single" w:sz="4" w:space="0" w:color="auto"/>
              <w:right w:val="single" w:sz="4" w:space="0" w:color="auto"/>
            </w:tcBorders>
            <w:hideMark/>
          </w:tcPr>
          <w:p w14:paraId="7F5B98EE" w14:textId="77777777" w:rsidR="005E33C3" w:rsidRPr="005E33C3" w:rsidRDefault="005E33C3" w:rsidP="005E33C3">
            <w:pPr>
              <w:spacing w:before="60" w:after="60"/>
              <w:ind w:left="57" w:right="57"/>
              <w:rPr>
                <w:rFonts w:eastAsia="DengXian"/>
                <w:bCs/>
                <w:iCs/>
                <w:lang w:val="fr-FR"/>
              </w:rPr>
            </w:pPr>
            <w:r w:rsidRPr="005E33C3">
              <w:rPr>
                <w:rFonts w:eastAsia="DengXian"/>
                <w:bCs/>
                <w:iCs/>
                <w:lang w:val="fr-FR"/>
              </w:rPr>
              <w:t xml:space="preserve">Les prescriptions pour les collerettes et les dispositifs de protection inamovibles servant à protéger le robinet conformément au 4.1.6.8 c) sont indiquées dans les normes applicables de conception de l’enveloppe des récipients à pression (voir 6.2.2.3 pour les récipients à pression « UN » et 6.2.4.1 pour les récipients à pression </w:t>
            </w:r>
            <w:r w:rsidRPr="005E33C3">
              <w:rPr>
                <w:rFonts w:eastAsia="DengXian"/>
                <w:bCs/>
                <w:lang w:val="fr-FR"/>
              </w:rPr>
              <w:t>« non UN »</w:t>
            </w:r>
            <w:r w:rsidRPr="005E33C3">
              <w:rPr>
                <w:rFonts w:eastAsia="DengXian"/>
                <w:bCs/>
                <w:iCs/>
                <w:lang w:val="fr-FR"/>
              </w:rPr>
              <w:t>).</w:t>
            </w:r>
          </w:p>
        </w:tc>
      </w:tr>
      <w:tr w:rsidR="005E33C3" w:rsidRPr="005E33C3" w14:paraId="335D2F5D" w14:textId="77777777" w:rsidTr="003D2F4B">
        <w:tc>
          <w:tcPr>
            <w:tcW w:w="1413" w:type="dxa"/>
            <w:tcBorders>
              <w:top w:val="single" w:sz="4" w:space="0" w:color="auto"/>
              <w:left w:val="single" w:sz="4" w:space="0" w:color="auto"/>
              <w:bottom w:val="single" w:sz="4" w:space="0" w:color="auto"/>
              <w:right w:val="single" w:sz="4" w:space="0" w:color="auto"/>
            </w:tcBorders>
            <w:hideMark/>
          </w:tcPr>
          <w:p w14:paraId="391BBD8F"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4.1.6.8 b) et c)</w:t>
            </w:r>
          </w:p>
        </w:tc>
        <w:tc>
          <w:tcPr>
            <w:tcW w:w="2693" w:type="dxa"/>
            <w:tcBorders>
              <w:top w:val="single" w:sz="4" w:space="0" w:color="auto"/>
              <w:left w:val="single" w:sz="4" w:space="0" w:color="auto"/>
              <w:bottom w:val="single" w:sz="4" w:space="0" w:color="auto"/>
              <w:right w:val="single" w:sz="4" w:space="0" w:color="auto"/>
            </w:tcBorders>
            <w:hideMark/>
          </w:tcPr>
          <w:p w14:paraId="7843F6A1"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ISO </w:t>
            </w:r>
            <w:proofErr w:type="gramStart"/>
            <w:r w:rsidRPr="005E33C3">
              <w:rPr>
                <w:rFonts w:eastAsia="DengXian"/>
                <w:bCs/>
                <w:lang w:val="fr-FR"/>
              </w:rPr>
              <w:t>16111:</w:t>
            </w:r>
            <w:proofErr w:type="gramEnd"/>
            <w:r w:rsidRPr="005E33C3">
              <w:rPr>
                <w:rFonts w:eastAsia="DengXian"/>
                <w:bCs/>
                <w:lang w:val="fr-FR"/>
              </w:rPr>
              <w:t>2008 ou</w:t>
            </w:r>
          </w:p>
          <w:p w14:paraId="62597CF7" w14:textId="77777777" w:rsidR="005E33C3" w:rsidRPr="005E33C3" w:rsidRDefault="005E33C3" w:rsidP="005E33C3">
            <w:pPr>
              <w:spacing w:before="60" w:after="60"/>
              <w:ind w:left="57" w:right="57"/>
              <w:rPr>
                <w:rFonts w:eastAsia="DengXian"/>
                <w:bCs/>
                <w:lang w:val="fr-FR"/>
              </w:rPr>
            </w:pPr>
            <w:r w:rsidRPr="005E33C3">
              <w:rPr>
                <w:rFonts w:eastAsia="DengXian"/>
                <w:bCs/>
                <w:lang w:val="fr-FR"/>
              </w:rPr>
              <w:t>ISO </w:t>
            </w:r>
            <w:proofErr w:type="gramStart"/>
            <w:r w:rsidRPr="005E33C3">
              <w:rPr>
                <w:rFonts w:eastAsia="DengXian"/>
                <w:bCs/>
                <w:lang w:val="fr-FR"/>
              </w:rPr>
              <w:t>16111:</w:t>
            </w:r>
            <w:proofErr w:type="gramEnd"/>
            <w:r w:rsidRPr="005E33C3">
              <w:rPr>
                <w:rFonts w:eastAsia="DengXian"/>
                <w:bCs/>
                <w:lang w:val="fr-FR"/>
              </w:rPr>
              <w:t>2018</w:t>
            </w:r>
          </w:p>
        </w:tc>
        <w:tc>
          <w:tcPr>
            <w:tcW w:w="4399" w:type="dxa"/>
            <w:tcBorders>
              <w:top w:val="single" w:sz="4" w:space="0" w:color="auto"/>
              <w:left w:val="single" w:sz="4" w:space="0" w:color="auto"/>
              <w:bottom w:val="single" w:sz="4" w:space="0" w:color="auto"/>
              <w:right w:val="single" w:sz="4" w:space="0" w:color="auto"/>
            </w:tcBorders>
            <w:hideMark/>
          </w:tcPr>
          <w:p w14:paraId="1E1C00F3" w14:textId="77777777" w:rsidR="005E33C3" w:rsidRPr="005E33C3" w:rsidRDefault="005E33C3" w:rsidP="005E33C3">
            <w:pPr>
              <w:spacing w:before="60" w:after="60"/>
              <w:ind w:left="57" w:right="57"/>
              <w:rPr>
                <w:rFonts w:eastAsia="DengXian"/>
                <w:bCs/>
                <w:u w:val="single"/>
                <w:lang w:val="fr-FR"/>
              </w:rPr>
            </w:pPr>
            <w:r w:rsidRPr="005E33C3">
              <w:rPr>
                <w:rFonts w:eastAsia="DengXian"/>
                <w:bCs/>
                <w:lang w:val="fr-FR"/>
              </w:rPr>
              <w:t>Appareils de stockage de gaz transportables − Hydrogène absorbé dans un hydrure métallique réversible</w:t>
            </w:r>
          </w:p>
        </w:tc>
      </w:tr>
    </w:tbl>
    <w:p w14:paraId="18EEC865" w14:textId="77777777" w:rsidR="005E33C3" w:rsidRPr="005E33C3" w:rsidRDefault="005E33C3" w:rsidP="005E33C3">
      <w:pPr>
        <w:spacing w:after="120"/>
        <w:ind w:left="1134" w:right="282"/>
        <w:jc w:val="both"/>
        <w:rPr>
          <w:bCs/>
          <w:iCs/>
          <w:lang w:val="fr-FR"/>
        </w:rPr>
      </w:pPr>
      <w:r w:rsidRPr="005E33C3">
        <w:rPr>
          <w:bCs/>
          <w:lang w:val="fr-FR"/>
        </w:rPr>
        <w:t> ».</w:t>
      </w:r>
    </w:p>
    <w:p w14:paraId="1B8A9AB8"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F5E3805" w14:textId="77777777" w:rsidR="005E33C3" w:rsidRPr="005E33C3" w:rsidRDefault="005E33C3" w:rsidP="005E33C3">
      <w:pPr>
        <w:spacing w:after="120"/>
        <w:ind w:left="1134" w:right="1134"/>
        <w:jc w:val="both"/>
        <w:rPr>
          <w:bCs/>
          <w:i/>
          <w:iCs/>
          <w:lang w:val="fr-FR"/>
        </w:rPr>
      </w:pPr>
      <w:r w:rsidRPr="005E33C3">
        <w:rPr>
          <w:bCs/>
          <w:i/>
          <w:iCs/>
          <w:lang w:val="fr-FR"/>
        </w:rPr>
        <w:t>(Remplace le tableau 1 du 4.1.6.15 dans ECE/TRANS/WP.15/251, Annexe I)</w:t>
      </w:r>
    </w:p>
    <w:p w14:paraId="4C97F3FA"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4.3</w:t>
      </w:r>
    </w:p>
    <w:p w14:paraId="7C77A7B1" w14:textId="77777777" w:rsidR="005E33C3" w:rsidRPr="005E33C3" w:rsidRDefault="005E33C3" w:rsidP="005E33C3">
      <w:pPr>
        <w:spacing w:after="120"/>
        <w:ind w:left="2268" w:right="1134" w:hanging="1134"/>
        <w:jc w:val="both"/>
        <w:rPr>
          <w:lang w:val="fr-FR"/>
        </w:rPr>
      </w:pPr>
      <w:r w:rsidRPr="005E33C3">
        <w:rPr>
          <w:lang w:val="fr-FR"/>
        </w:rPr>
        <w:t>4.3.4.1.3</w:t>
      </w:r>
      <w:r w:rsidRPr="005E33C3">
        <w:rPr>
          <w:lang w:val="fr-FR"/>
        </w:rPr>
        <w:tab/>
        <w:t>Dans le tableau, sous « Classe 5.1 », pour le No ONU 2426, modifier le nom et la description pour lire comme suit : « NITRATE D'AMMONIUM LIQUIDE, solution chaude concentrée ».</w:t>
      </w:r>
    </w:p>
    <w:p w14:paraId="15692465" w14:textId="77777777" w:rsidR="005E33C3" w:rsidRPr="005E33C3" w:rsidRDefault="005E33C3" w:rsidP="005E33C3">
      <w:pPr>
        <w:spacing w:after="120"/>
        <w:ind w:left="1134" w:right="1134"/>
        <w:jc w:val="both"/>
        <w:rPr>
          <w:bCs/>
          <w:i/>
          <w:iCs/>
          <w:lang w:val="fr-FR"/>
        </w:rPr>
      </w:pPr>
      <w:r w:rsidRPr="005E33C3">
        <w:rPr>
          <w:bCs/>
          <w:i/>
          <w:iCs/>
          <w:lang w:val="fr-FR"/>
        </w:rPr>
        <w:lastRenderedPageBreak/>
        <w:t>(Documents de référence : ECE/TRANS/WP.15/AC.1/160, Annexe II et document informel INF.11)</w:t>
      </w:r>
    </w:p>
    <w:p w14:paraId="7DA5EA2A"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5.4</w:t>
      </w:r>
    </w:p>
    <w:p w14:paraId="6115454B" w14:textId="77777777" w:rsidR="005E33C3" w:rsidRPr="005E33C3" w:rsidRDefault="005E33C3" w:rsidP="005E33C3">
      <w:pPr>
        <w:spacing w:after="120"/>
        <w:ind w:left="2268" w:right="1134" w:hanging="1134"/>
        <w:jc w:val="both"/>
        <w:rPr>
          <w:bCs/>
          <w:lang w:val="fr-FR"/>
        </w:rPr>
      </w:pPr>
      <w:r w:rsidRPr="005E33C3">
        <w:rPr>
          <w:bCs/>
          <w:lang w:val="fr-FR"/>
        </w:rPr>
        <w:t>5.4.1.1.3</w:t>
      </w:r>
      <w:r w:rsidRPr="005E33C3">
        <w:rPr>
          <w:bCs/>
          <w:lang w:val="fr-FR"/>
        </w:rPr>
        <w:tab/>
        <w:t>Renuméroter en tant que 5.4.1.1.3.1.</w:t>
      </w:r>
    </w:p>
    <w:p w14:paraId="081027CA"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6ED3262E" w14:textId="2666F195" w:rsidR="005E33C3" w:rsidRPr="005E33C3" w:rsidRDefault="005E33C3" w:rsidP="005E33C3">
      <w:pPr>
        <w:spacing w:after="120"/>
        <w:ind w:left="2268" w:right="1134" w:hanging="1134"/>
        <w:jc w:val="both"/>
        <w:rPr>
          <w:bCs/>
          <w:iCs/>
          <w:lang w:val="fr-FR"/>
        </w:rPr>
      </w:pPr>
      <w:r w:rsidRPr="005E33C3">
        <w:rPr>
          <w:bCs/>
          <w:iCs/>
          <w:lang w:val="fr-FR"/>
        </w:rPr>
        <w:t xml:space="preserve">Insérer le nouveau 5.4.1.1.3.2 </w:t>
      </w:r>
      <w:proofErr w:type="gramStart"/>
      <w:r w:rsidRPr="005E33C3">
        <w:rPr>
          <w:bCs/>
          <w:iCs/>
          <w:lang w:val="fr-FR"/>
        </w:rPr>
        <w:t>suivant</w:t>
      </w:r>
      <w:proofErr w:type="gramEnd"/>
      <w:r w:rsidRPr="005E33C3">
        <w:rPr>
          <w:bCs/>
          <w:iCs/>
          <w:lang w:val="fr-FR"/>
        </w:rPr>
        <w:t> :</w:t>
      </w:r>
    </w:p>
    <w:p w14:paraId="356C9C96" w14:textId="77777777" w:rsidR="005E33C3" w:rsidRPr="005E33C3" w:rsidRDefault="005E33C3" w:rsidP="005E33C3">
      <w:pPr>
        <w:spacing w:after="120"/>
        <w:ind w:left="3402" w:right="1133" w:hanging="1134"/>
        <w:jc w:val="both"/>
        <w:rPr>
          <w:bCs/>
          <w:iCs/>
          <w:lang w:val="fr-FR"/>
        </w:rPr>
      </w:pPr>
      <w:r w:rsidRPr="005E33C3">
        <w:rPr>
          <w:bCs/>
          <w:iCs/>
          <w:lang w:val="fr-FR"/>
        </w:rPr>
        <w:t>« 5.4.1.1.3.2</w:t>
      </w:r>
      <w:r w:rsidRPr="005E33C3">
        <w:rPr>
          <w:bCs/>
          <w:iCs/>
          <w:lang w:val="fr-FR"/>
        </w:rPr>
        <w:tab/>
        <w:t>S’il est impossible de mesurer la quantité exacte de déchets transportés sur le lieu de chargement, la quantité visée au 5.4.1.1.1 f) peut être estimée dans les cas suivants selon les conditions suivantes :</w:t>
      </w:r>
    </w:p>
    <w:p w14:paraId="22BFF34C" w14:textId="77777777" w:rsidR="005E33C3" w:rsidRPr="005E33C3" w:rsidRDefault="005E33C3" w:rsidP="005E33C3">
      <w:pPr>
        <w:spacing w:after="120"/>
        <w:ind w:left="3828" w:right="1133" w:hanging="426"/>
        <w:jc w:val="both"/>
        <w:rPr>
          <w:bCs/>
          <w:iCs/>
          <w:lang w:val="fr-FR"/>
        </w:rPr>
      </w:pPr>
      <w:r w:rsidRPr="005E33C3">
        <w:rPr>
          <w:bCs/>
          <w:iCs/>
          <w:lang w:val="fr-FR"/>
        </w:rPr>
        <w:t>(a)</w:t>
      </w:r>
      <w:r w:rsidRPr="005E33C3">
        <w:rPr>
          <w:bCs/>
          <w:iCs/>
          <w:lang w:val="fr-FR"/>
        </w:rPr>
        <w:tab/>
        <w:t>Pour les emballages, une liste des emballages précisant leur type et leur volume nominal est ajoutée au document de transport ;</w:t>
      </w:r>
    </w:p>
    <w:p w14:paraId="38E5650E" w14:textId="77777777" w:rsidR="005E33C3" w:rsidRPr="005E33C3" w:rsidRDefault="005E33C3" w:rsidP="005E33C3">
      <w:pPr>
        <w:spacing w:after="120"/>
        <w:ind w:left="3828" w:right="1133" w:hanging="426"/>
        <w:jc w:val="both"/>
        <w:rPr>
          <w:bCs/>
          <w:iCs/>
          <w:lang w:val="fr-FR"/>
        </w:rPr>
      </w:pPr>
      <w:r w:rsidRPr="005E33C3">
        <w:rPr>
          <w:bCs/>
          <w:iCs/>
          <w:lang w:val="fr-FR"/>
        </w:rPr>
        <w:t>(b)</w:t>
      </w:r>
      <w:r w:rsidRPr="005E33C3">
        <w:rPr>
          <w:bCs/>
          <w:iCs/>
          <w:lang w:val="fr-FR"/>
        </w:rPr>
        <w:tab/>
        <w:t>Pour les conteneurs, l’estimation se base sur leur volume nominal et les autres informations disponibles, par exemple le type de déchets, la densité moyenne, le taux de remplissage ;</w:t>
      </w:r>
    </w:p>
    <w:p w14:paraId="536297A3" w14:textId="77777777" w:rsidR="005E33C3" w:rsidRPr="005E33C3" w:rsidRDefault="005E33C3" w:rsidP="005E33C3">
      <w:pPr>
        <w:spacing w:after="120"/>
        <w:ind w:left="3828" w:right="1133" w:hanging="426"/>
        <w:jc w:val="both"/>
        <w:rPr>
          <w:bCs/>
          <w:iCs/>
          <w:lang w:val="fr-FR"/>
        </w:rPr>
      </w:pPr>
      <w:r w:rsidRPr="005E33C3">
        <w:rPr>
          <w:bCs/>
          <w:iCs/>
          <w:lang w:val="fr-FR"/>
        </w:rPr>
        <w:t>(c)</w:t>
      </w:r>
      <w:r w:rsidRPr="005E33C3">
        <w:rPr>
          <w:bCs/>
          <w:iCs/>
          <w:lang w:val="fr-FR"/>
        </w:rPr>
        <w:tab/>
        <w:t>Pour les citernes à déchets opérant sous vide, l’estimation est justifiée, par exemple au moyen d’une estimation fournie par l’expéditeur ou par les équipements du véhicule.</w:t>
      </w:r>
    </w:p>
    <w:p w14:paraId="086021FC" w14:textId="77777777" w:rsidR="005E33C3" w:rsidRPr="005E33C3" w:rsidRDefault="005E33C3" w:rsidP="005E33C3">
      <w:pPr>
        <w:spacing w:after="120"/>
        <w:ind w:left="3828" w:right="1133" w:hanging="426"/>
        <w:jc w:val="both"/>
        <w:rPr>
          <w:bCs/>
          <w:iCs/>
          <w:lang w:val="fr-FR"/>
        </w:rPr>
      </w:pPr>
      <w:r w:rsidRPr="005E33C3">
        <w:rPr>
          <w:bCs/>
          <w:iCs/>
          <w:lang w:val="fr-FR"/>
        </w:rPr>
        <w:t>Une telle estimation de la quantité n’est pas autorisée pour :</w:t>
      </w:r>
    </w:p>
    <w:p w14:paraId="6B0464E3" w14:textId="77777777" w:rsidR="005E33C3" w:rsidRPr="005E33C3" w:rsidRDefault="005E33C3" w:rsidP="005E33C3">
      <w:pPr>
        <w:spacing w:after="120"/>
        <w:ind w:left="3828" w:right="1133" w:hanging="426"/>
        <w:jc w:val="both"/>
        <w:rPr>
          <w:bCs/>
          <w:iCs/>
          <w:lang w:val="fr-FR"/>
        </w:rPr>
      </w:pPr>
      <w:r w:rsidRPr="005E33C3">
        <w:rPr>
          <w:bCs/>
          <w:iCs/>
          <w:lang w:val="fr-FR"/>
        </w:rPr>
        <w:t>-</w:t>
      </w:r>
      <w:r w:rsidRPr="005E33C3">
        <w:rPr>
          <w:bCs/>
          <w:iCs/>
          <w:lang w:val="fr-FR"/>
        </w:rPr>
        <w:tab/>
        <w:t>Les exemptions pour lesquelles la quantité exacte est essentielle (par exemple 1.1.3.6) ;</w:t>
      </w:r>
    </w:p>
    <w:p w14:paraId="229F35FA" w14:textId="77777777" w:rsidR="005E33C3" w:rsidRPr="005E33C3" w:rsidRDefault="005E33C3" w:rsidP="005E33C3">
      <w:pPr>
        <w:spacing w:after="120"/>
        <w:ind w:left="3828" w:right="1133" w:hanging="426"/>
        <w:jc w:val="both"/>
        <w:rPr>
          <w:bCs/>
          <w:iCs/>
          <w:lang w:val="fr-FR"/>
        </w:rPr>
      </w:pPr>
      <w:r w:rsidRPr="005E33C3">
        <w:rPr>
          <w:bCs/>
          <w:iCs/>
          <w:lang w:val="fr-FR"/>
        </w:rPr>
        <w:t>-</w:t>
      </w:r>
      <w:r w:rsidRPr="005E33C3">
        <w:rPr>
          <w:bCs/>
          <w:iCs/>
          <w:lang w:val="fr-FR"/>
        </w:rPr>
        <w:tab/>
        <w:t>Les déchets contenant les matières visées au 2.1.3.5.3 ou les matières de la classe 4.3 ;</w:t>
      </w:r>
    </w:p>
    <w:p w14:paraId="50E685AC" w14:textId="77777777" w:rsidR="005E33C3" w:rsidRPr="005E33C3" w:rsidRDefault="005E33C3" w:rsidP="005E33C3">
      <w:pPr>
        <w:spacing w:after="120"/>
        <w:ind w:left="3828" w:right="1133" w:hanging="426"/>
        <w:jc w:val="both"/>
        <w:rPr>
          <w:bCs/>
          <w:iCs/>
          <w:lang w:val="fr-FR"/>
        </w:rPr>
      </w:pPr>
      <w:r w:rsidRPr="005E33C3">
        <w:rPr>
          <w:bCs/>
          <w:iCs/>
          <w:lang w:val="fr-FR"/>
        </w:rPr>
        <w:t>-</w:t>
      </w:r>
      <w:r w:rsidRPr="005E33C3">
        <w:rPr>
          <w:bCs/>
          <w:iCs/>
          <w:lang w:val="fr-FR"/>
        </w:rPr>
        <w:tab/>
        <w:t>Les citernes autres que les citernes à déchets opérant sous vide.</w:t>
      </w:r>
    </w:p>
    <w:p w14:paraId="36A2E6C2" w14:textId="77777777" w:rsidR="005E33C3" w:rsidRPr="005E33C3" w:rsidRDefault="005E33C3" w:rsidP="005E33C3">
      <w:pPr>
        <w:spacing w:after="120"/>
        <w:ind w:left="3828" w:right="1133" w:hanging="426"/>
        <w:jc w:val="both"/>
        <w:rPr>
          <w:bCs/>
          <w:iCs/>
          <w:lang w:val="fr-FR"/>
        </w:rPr>
      </w:pPr>
      <w:r w:rsidRPr="005E33C3">
        <w:rPr>
          <w:bCs/>
          <w:iCs/>
          <w:lang w:val="fr-FR"/>
        </w:rPr>
        <w:t>[Le document de transport doit porter la mention suivante :</w:t>
      </w:r>
    </w:p>
    <w:p w14:paraId="227B8110" w14:textId="77777777" w:rsidR="005E33C3" w:rsidRPr="005E33C3" w:rsidRDefault="005E33C3" w:rsidP="005E33C3">
      <w:pPr>
        <w:spacing w:after="120"/>
        <w:ind w:left="3402" w:right="1133"/>
        <w:jc w:val="both"/>
        <w:rPr>
          <w:bCs/>
          <w:iCs/>
          <w:lang w:val="fr-FR"/>
        </w:rPr>
      </w:pPr>
      <w:r w:rsidRPr="005E33C3">
        <w:rPr>
          <w:bCs/>
          <w:iCs/>
          <w:lang w:val="fr-FR"/>
        </w:rPr>
        <w:t>« QUANTITÉ ESTIMÉE CONFORMÉMENT AU 5.4.1.1.3.2 ».] ».</w:t>
      </w:r>
    </w:p>
    <w:p w14:paraId="7712FB75"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E459DA2" w14:textId="77777777" w:rsidR="005E33C3" w:rsidRPr="005E33C3" w:rsidRDefault="005E33C3" w:rsidP="005E33C3">
      <w:pPr>
        <w:spacing w:after="120"/>
        <w:ind w:left="2268" w:right="1134" w:hanging="1134"/>
        <w:jc w:val="both"/>
        <w:rPr>
          <w:lang w:val="fr-FR"/>
        </w:rPr>
      </w:pPr>
      <w:r w:rsidRPr="005E33C3">
        <w:rPr>
          <w:lang w:val="fr-FR"/>
        </w:rPr>
        <w:t>5.4.2</w:t>
      </w:r>
      <w:r w:rsidRPr="005E33C3">
        <w:rPr>
          <w:lang w:val="fr-FR"/>
        </w:rPr>
        <w:tab/>
        <w:t>Dans le premier paragraphe, à la fin, remplacer « avec le document de transport » par « au transporteur maritime par les responsables de l’empotage du conteneur. ».</w:t>
      </w:r>
    </w:p>
    <w:p w14:paraId="548858E8" w14:textId="67E3BD27" w:rsidR="005E33C3" w:rsidRPr="005E33C3" w:rsidRDefault="005E33C3" w:rsidP="005E33C3">
      <w:pPr>
        <w:spacing w:after="120"/>
        <w:ind w:left="2268" w:right="1134" w:hanging="1134"/>
        <w:jc w:val="both"/>
        <w:rPr>
          <w:lang w:val="fr-FR"/>
        </w:rPr>
      </w:pPr>
      <w:r w:rsidRPr="005E33C3">
        <w:rPr>
          <w:lang w:val="fr-FR"/>
        </w:rPr>
        <w:tab/>
        <w:t>Dans la première phrase du deuxième paragraphe, après « Un document unique », insérer « (voir par exemple 5.4.5) ». À la fin de la première phrase du deuxième paragraphe, supprimer « ; dans le cas contraire, ces documents doivent être attachés ».</w:t>
      </w:r>
    </w:p>
    <w:p w14:paraId="0DC79D77" w14:textId="77777777" w:rsidR="005E33C3" w:rsidRPr="005E33C3" w:rsidRDefault="005E33C3" w:rsidP="005E33C3">
      <w:pPr>
        <w:spacing w:after="120"/>
        <w:ind w:left="2268" w:right="1134" w:hanging="1134"/>
        <w:jc w:val="both"/>
        <w:rPr>
          <w:lang w:val="fr-FR"/>
        </w:rPr>
      </w:pPr>
      <w:r w:rsidRPr="005E33C3">
        <w:rPr>
          <w:lang w:val="fr-FR"/>
        </w:rPr>
        <w:tab/>
        <w:t>Dans la deuxième phrase du deuxième paragraphe, remplacer « doit remplir » par « remplit ».</w:t>
      </w:r>
    </w:p>
    <w:p w14:paraId="3DF0A843" w14:textId="77777777" w:rsidR="005E33C3" w:rsidRPr="005E33C3" w:rsidRDefault="005E33C3" w:rsidP="005E33C3">
      <w:pPr>
        <w:spacing w:after="120"/>
        <w:ind w:left="2268" w:right="1134" w:hanging="1134"/>
        <w:jc w:val="both"/>
        <w:rPr>
          <w:lang w:val="fr-FR"/>
        </w:rPr>
      </w:pPr>
      <w:r w:rsidRPr="005E33C3">
        <w:rPr>
          <w:lang w:val="fr-FR"/>
        </w:rPr>
        <w:tab/>
        <w:t>Supprimer le nota figurant après le deuxième paragraphe.</w:t>
      </w:r>
    </w:p>
    <w:p w14:paraId="5473D77F" w14:textId="77777777" w:rsidR="005E33C3" w:rsidRPr="005E33C3" w:rsidRDefault="005E33C3" w:rsidP="005E33C3">
      <w:pPr>
        <w:spacing w:after="120"/>
        <w:ind w:left="2268" w:right="1134" w:hanging="1134"/>
        <w:jc w:val="both"/>
        <w:rPr>
          <w:lang w:val="fr-FR"/>
        </w:rPr>
      </w:pPr>
      <w:r w:rsidRPr="005E33C3">
        <w:rPr>
          <w:lang w:val="fr-FR"/>
        </w:rPr>
        <w:tab/>
        <w:t xml:space="preserve">Dans le dernier paragraphe, remplacer </w:t>
      </w:r>
      <w:proofErr w:type="gramStart"/>
      <w:r w:rsidRPr="005E33C3">
        <w:rPr>
          <w:lang w:val="fr-FR"/>
        </w:rPr>
        <w:t>« peut être</w:t>
      </w:r>
      <w:proofErr w:type="gramEnd"/>
      <w:r w:rsidRPr="005E33C3">
        <w:rPr>
          <w:lang w:val="fr-FR"/>
        </w:rPr>
        <w:t xml:space="preserve"> fourni » par « peut également être fourni ».</w:t>
      </w:r>
    </w:p>
    <w:p w14:paraId="7B1F1613" w14:textId="77777777" w:rsidR="005E33C3" w:rsidRPr="005E33C3" w:rsidRDefault="005E33C3" w:rsidP="005E33C3">
      <w:pPr>
        <w:spacing w:after="120"/>
        <w:ind w:left="1134" w:right="1134"/>
        <w:jc w:val="both"/>
        <w:rPr>
          <w:bCs/>
          <w:i/>
          <w:iCs/>
          <w:lang w:val="fr-FR"/>
        </w:rPr>
      </w:pPr>
      <w:r w:rsidRPr="005E33C3">
        <w:rPr>
          <w:bCs/>
          <w:i/>
          <w:iCs/>
          <w:lang w:val="fr-FR"/>
        </w:rPr>
        <w:lastRenderedPageBreak/>
        <w:t>(Documents de référence : ECE/TRANS/WP.15/AC.1/160, Annexe II et document informel INF.11)</w:t>
      </w:r>
    </w:p>
    <w:p w14:paraId="729EC92A"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6.2</w:t>
      </w:r>
    </w:p>
    <w:p w14:paraId="5098509C" w14:textId="77777777" w:rsidR="005E33C3" w:rsidRPr="005E33C3" w:rsidRDefault="005E33C3" w:rsidP="005E33C3">
      <w:pPr>
        <w:spacing w:after="120"/>
        <w:ind w:left="2268" w:right="1134" w:hanging="1134"/>
        <w:jc w:val="both"/>
        <w:rPr>
          <w:lang w:val="fr-FR"/>
        </w:rPr>
      </w:pPr>
      <w:r w:rsidRPr="005E33C3">
        <w:rPr>
          <w:lang w:val="fr-FR"/>
        </w:rPr>
        <w:t>6.2.3.1.5</w:t>
      </w:r>
      <w:r w:rsidRPr="005E33C3">
        <w:rPr>
          <w:lang w:val="fr-FR"/>
        </w:rPr>
        <w:tab/>
        <w:t>Modifier pour lire comme suit :</w:t>
      </w:r>
    </w:p>
    <w:p w14:paraId="7E59505A" w14:textId="77777777" w:rsidR="005E33C3" w:rsidRPr="005E33C3" w:rsidRDefault="005E33C3" w:rsidP="005E33C3">
      <w:pPr>
        <w:spacing w:after="120"/>
        <w:ind w:left="2268" w:right="1134" w:hanging="1134"/>
        <w:jc w:val="both"/>
        <w:rPr>
          <w:lang w:val="fr-FR"/>
        </w:rPr>
      </w:pPr>
      <w:r w:rsidRPr="005E33C3">
        <w:rPr>
          <w:lang w:val="fr-FR"/>
        </w:rPr>
        <w:tab/>
        <w:t>« 6.2.3.1.5</w:t>
      </w:r>
      <w:r w:rsidRPr="005E33C3">
        <w:rPr>
          <w:lang w:val="fr-FR"/>
        </w:rPr>
        <w:tab/>
        <w:t>Les bouteilles d’acétylène ne peuvent être munies de bouchons fusibles ou d’autres dispositifs de décompression. ».</w:t>
      </w:r>
    </w:p>
    <w:p w14:paraId="436C8B2D"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36240834" w14:textId="77777777" w:rsidR="005E33C3" w:rsidRPr="005E33C3" w:rsidRDefault="005E33C3" w:rsidP="005E33C3">
      <w:pPr>
        <w:spacing w:after="120"/>
        <w:ind w:left="2268" w:right="1134" w:hanging="1134"/>
        <w:jc w:val="both"/>
        <w:rPr>
          <w:lang w:val="fr-FR"/>
        </w:rPr>
      </w:pPr>
      <w:r w:rsidRPr="005E33C3">
        <w:rPr>
          <w:lang w:val="fr-FR"/>
        </w:rPr>
        <w:t>6.2.4.1</w:t>
      </w:r>
      <w:r w:rsidRPr="005E33C3">
        <w:rPr>
          <w:lang w:val="fr-FR"/>
        </w:rPr>
        <w:tab/>
        <w:t>Dans le tableau, sous « pour la conception et la fabrication » :</w:t>
      </w:r>
    </w:p>
    <w:p w14:paraId="1F5B77FA"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ISO </w:t>
      </w:r>
      <w:proofErr w:type="gramStart"/>
      <w:r w:rsidRPr="005E33C3">
        <w:rPr>
          <w:lang w:val="fr-FR"/>
        </w:rPr>
        <w:t>7866:</w:t>
      </w:r>
      <w:proofErr w:type="gramEnd"/>
      <w:r w:rsidRPr="005E33C3">
        <w:rPr>
          <w:lang w:val="fr-FR"/>
        </w:rPr>
        <w:t>2012 + AC:2014 », dans la colonne (4), remplacer « Jusqu’à nouvel ordre » par « Entre le 1er janvier 2015 et le 31 décembre 2024 ».</w:t>
      </w:r>
    </w:p>
    <w:p w14:paraId="5FF086FC" w14:textId="24AA1ED3" w:rsidR="005E33C3" w:rsidRPr="005E33C3" w:rsidRDefault="005E33C3" w:rsidP="005E33C3">
      <w:pPr>
        <w:spacing w:after="120"/>
        <w:ind w:left="2268" w:right="1134" w:hanging="1134"/>
        <w:jc w:val="both"/>
        <w:rPr>
          <w:lang w:val="fr-FR"/>
        </w:rPr>
      </w:pPr>
      <w:r w:rsidRPr="005E33C3">
        <w:rPr>
          <w:lang w:val="fr-FR"/>
        </w:rPr>
        <w:tab/>
        <w:t xml:space="preserve">Après la ligne pour la norme « EN ISO </w:t>
      </w:r>
      <w:proofErr w:type="gramStart"/>
      <w:r w:rsidRPr="005E33C3">
        <w:rPr>
          <w:lang w:val="fr-FR"/>
        </w:rPr>
        <w:t>7866:</w:t>
      </w:r>
      <w:proofErr w:type="gramEnd"/>
      <w:r w:rsidRPr="005E33C3">
        <w:rPr>
          <w:lang w:val="fr-FR"/>
        </w:rPr>
        <w:t>2012 + AC:2014 », ajouter la nouvelle ligne suivante :</w:t>
      </w:r>
    </w:p>
    <w:tbl>
      <w:tblPr>
        <w:tblW w:w="822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03"/>
        <w:gridCol w:w="1152"/>
        <w:gridCol w:w="956"/>
        <w:gridCol w:w="725"/>
      </w:tblGrid>
      <w:tr w:rsidR="005E33C3" w:rsidRPr="005E33C3" w14:paraId="1ADA6809" w14:textId="77777777" w:rsidTr="005E33C3">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9774B16" w14:textId="2D6D599F" w:rsidR="005E33C3" w:rsidRPr="005E33C3" w:rsidRDefault="005E33C3" w:rsidP="005E33C3">
            <w:pPr>
              <w:widowControl w:val="0"/>
              <w:ind w:right="282"/>
              <w:jc w:val="center"/>
              <w:rPr>
                <w:rFonts w:eastAsia="DengXian"/>
                <w:bCs/>
                <w:lang w:val="fr-FR"/>
              </w:rPr>
            </w:pPr>
            <w:r w:rsidRPr="005E33C3">
              <w:rPr>
                <w:rFonts w:eastAsia="DengXian"/>
                <w:bCs/>
                <w:lang w:val="fr-FR"/>
              </w:rPr>
              <w:t>1)</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0886727" w14:textId="571401DA" w:rsidR="005E33C3" w:rsidRPr="005E33C3" w:rsidRDefault="005E33C3" w:rsidP="005E33C3">
            <w:pPr>
              <w:widowControl w:val="0"/>
              <w:ind w:right="282"/>
              <w:jc w:val="center"/>
              <w:rPr>
                <w:rFonts w:eastAsia="DengXian"/>
                <w:bCs/>
                <w:lang w:val="fr-FR"/>
              </w:rPr>
            </w:pPr>
            <w:r w:rsidRPr="005E33C3">
              <w:rPr>
                <w:rFonts w:eastAsia="DengXian"/>
                <w:bCs/>
                <w:lang w:val="fr-FR"/>
              </w:rPr>
              <w:t>2)</w:t>
            </w:r>
          </w:p>
        </w:tc>
        <w:tc>
          <w:tcPr>
            <w:tcW w:w="11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EA2D0A" w14:textId="3597E0E9" w:rsidR="005E33C3" w:rsidRPr="005E33C3" w:rsidRDefault="005E33C3" w:rsidP="005E33C3">
            <w:pPr>
              <w:widowControl w:val="0"/>
              <w:ind w:right="282"/>
              <w:jc w:val="center"/>
              <w:rPr>
                <w:rFonts w:eastAsia="DengXian"/>
                <w:bCs/>
                <w:lang w:val="fr-FR"/>
              </w:rPr>
            </w:pPr>
            <w:r w:rsidRPr="005E33C3">
              <w:rPr>
                <w:rFonts w:eastAsia="DengXian"/>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1CECBBA" w14:textId="1E9C26E2" w:rsidR="005E33C3" w:rsidRPr="005E33C3" w:rsidRDefault="005E33C3" w:rsidP="005E33C3">
            <w:pPr>
              <w:widowControl w:val="0"/>
              <w:ind w:right="282"/>
              <w:jc w:val="center"/>
              <w:rPr>
                <w:rFonts w:eastAsia="DengXian"/>
                <w:bCs/>
                <w:lang w:val="fr-FR"/>
              </w:rPr>
            </w:pPr>
            <w:r w:rsidRPr="005E33C3">
              <w:rPr>
                <w:rFonts w:eastAsia="DengXian"/>
                <w:bCs/>
                <w:lang w:val="fr-FR"/>
              </w:rPr>
              <w:t>4)</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56A520C" w14:textId="678C7694" w:rsidR="005E33C3" w:rsidRPr="005E33C3" w:rsidRDefault="005E33C3" w:rsidP="005E33C3">
            <w:pPr>
              <w:widowControl w:val="0"/>
              <w:jc w:val="center"/>
              <w:rPr>
                <w:rFonts w:eastAsia="DengXian"/>
                <w:bCs/>
                <w:lang w:val="fr-FR"/>
              </w:rPr>
            </w:pPr>
            <w:r w:rsidRPr="005E33C3">
              <w:rPr>
                <w:rFonts w:eastAsia="DengXian"/>
                <w:bCs/>
                <w:lang w:val="fr-FR"/>
              </w:rPr>
              <w:t>5)</w:t>
            </w:r>
          </w:p>
        </w:tc>
      </w:tr>
      <w:tr w:rsidR="005E33C3" w:rsidRPr="005E33C3" w14:paraId="3B43E627" w14:textId="77777777" w:rsidTr="005E33C3">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D5D44C" w14:textId="77777777" w:rsidR="005E33C3" w:rsidRPr="005E33C3" w:rsidRDefault="005E33C3" w:rsidP="005E33C3">
            <w:pPr>
              <w:widowControl w:val="0"/>
              <w:ind w:left="141" w:right="282"/>
              <w:rPr>
                <w:rFonts w:eastAsia="DengXian"/>
                <w:bCs/>
                <w:lang w:val="fr-FR"/>
              </w:rPr>
            </w:pPr>
            <w:r w:rsidRPr="005E33C3">
              <w:rPr>
                <w:rFonts w:eastAsia="DengXian"/>
                <w:bCs/>
                <w:lang w:val="fr-FR"/>
              </w:rPr>
              <w:t xml:space="preserve">EN ISO </w:t>
            </w:r>
            <w:proofErr w:type="gramStart"/>
            <w:r w:rsidRPr="005E33C3">
              <w:rPr>
                <w:rFonts w:eastAsia="DengXian"/>
                <w:bCs/>
                <w:lang w:val="fr-FR"/>
              </w:rPr>
              <w:t>7866:</w:t>
            </w:r>
            <w:proofErr w:type="gramEnd"/>
            <w:r w:rsidRPr="005E33C3">
              <w:rPr>
                <w:rFonts w:eastAsia="DengXian"/>
                <w:bCs/>
                <w:lang w:val="fr-FR"/>
              </w:rPr>
              <w:t>2012 + A1:2020</w:t>
            </w:r>
          </w:p>
        </w:tc>
        <w:tc>
          <w:tcPr>
            <w:tcW w:w="34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3E35D5" w14:textId="77777777" w:rsidR="005E33C3" w:rsidRPr="005E33C3" w:rsidRDefault="005E33C3" w:rsidP="005E33C3">
            <w:pPr>
              <w:widowControl w:val="0"/>
              <w:ind w:left="142" w:right="282"/>
              <w:rPr>
                <w:rFonts w:eastAsia="DengXian"/>
                <w:bCs/>
                <w:lang w:val="fr-FR"/>
              </w:rPr>
            </w:pPr>
            <w:r w:rsidRPr="005E33C3">
              <w:rPr>
                <w:rFonts w:eastAsia="DengXian"/>
                <w:bCs/>
                <w:lang w:val="fr-FR"/>
              </w:rPr>
              <w:t>Bouteilles à gaz - Bouteilles à gaz sans soudure en alliage d’aluminium destinées à être rechargées - Conception, construction et essais</w:t>
            </w:r>
          </w:p>
        </w:tc>
        <w:tc>
          <w:tcPr>
            <w:tcW w:w="11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A41E7E" w14:textId="77777777" w:rsidR="005E33C3" w:rsidRPr="005E33C3" w:rsidRDefault="005E33C3" w:rsidP="005E33C3">
            <w:pPr>
              <w:widowControl w:val="0"/>
              <w:ind w:left="6" w:right="282"/>
              <w:rPr>
                <w:rFonts w:eastAsia="DengXian"/>
                <w:bCs/>
                <w:lang w:val="fr-FR"/>
              </w:rPr>
            </w:pPr>
            <w:r w:rsidRPr="005E33C3">
              <w:rPr>
                <w:rFonts w:eastAsia="DengXian"/>
                <w:bCs/>
                <w:lang w:val="fr-FR"/>
              </w:rPr>
              <w:t>6.2.3.1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32BA31" w14:textId="77777777" w:rsidR="005E33C3" w:rsidRPr="005E33C3" w:rsidRDefault="005E33C3" w:rsidP="005E33C3">
            <w:pPr>
              <w:widowControl w:val="0"/>
              <w:ind w:right="123"/>
              <w:jc w:val="center"/>
              <w:rPr>
                <w:rFonts w:eastAsia="DengXian"/>
                <w:bCs/>
                <w:lang w:val="fr-FR"/>
              </w:rPr>
            </w:pPr>
            <w:r w:rsidRPr="005E33C3">
              <w:rPr>
                <w:rFonts w:eastAsia="DengXian"/>
                <w:bCs/>
                <w:lang w:val="fr-FR"/>
              </w:rPr>
              <w:t>Jusqu’à nouvel ordre</w:t>
            </w:r>
          </w:p>
        </w:tc>
        <w:tc>
          <w:tcPr>
            <w:tcW w:w="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1DAB5E" w14:textId="77777777" w:rsidR="005E33C3" w:rsidRPr="005E33C3" w:rsidRDefault="005E33C3" w:rsidP="005E33C3">
            <w:pPr>
              <w:widowControl w:val="0"/>
              <w:ind w:right="282"/>
              <w:rPr>
                <w:rFonts w:eastAsia="DengXian"/>
                <w:bCs/>
                <w:lang w:val="fr-FR"/>
              </w:rPr>
            </w:pPr>
          </w:p>
        </w:tc>
      </w:tr>
    </w:tbl>
    <w:p w14:paraId="7930AC1B" w14:textId="77777777" w:rsidR="005E33C3" w:rsidRPr="005E33C3" w:rsidRDefault="005E33C3" w:rsidP="005E33C3">
      <w:pPr>
        <w:spacing w:before="120" w:after="120"/>
        <w:ind w:left="2268" w:right="1134" w:hanging="1134"/>
        <w:jc w:val="both"/>
        <w:rPr>
          <w:lang w:val="fr-FR"/>
        </w:rPr>
      </w:pPr>
      <w:r w:rsidRPr="005E33C3">
        <w:rPr>
          <w:lang w:val="fr-FR"/>
        </w:rPr>
        <w:tab/>
        <w:t xml:space="preserve">[Pour la norme « EN </w:t>
      </w:r>
      <w:proofErr w:type="gramStart"/>
      <w:r w:rsidRPr="005E33C3">
        <w:rPr>
          <w:lang w:val="fr-FR"/>
        </w:rPr>
        <w:t>12245:</w:t>
      </w:r>
      <w:proofErr w:type="gramEnd"/>
      <w:r w:rsidRPr="005E33C3">
        <w:rPr>
          <w:lang w:val="fr-FR"/>
        </w:rPr>
        <w:t>2002 », dans la colonne (2), insérer le nota suivant :</w:t>
      </w:r>
    </w:p>
    <w:p w14:paraId="5B477008" w14:textId="77777777" w:rsidR="005E33C3" w:rsidRPr="005E33C3" w:rsidRDefault="005E33C3" w:rsidP="005E33C3">
      <w:pPr>
        <w:spacing w:after="120"/>
        <w:ind w:left="2268" w:right="1134" w:hanging="1134"/>
        <w:jc w:val="both"/>
        <w:rPr>
          <w:lang w:val="fr-FR"/>
        </w:rPr>
      </w:pPr>
      <w:r w:rsidRPr="005E33C3">
        <w:rPr>
          <w:lang w:val="fr-FR"/>
        </w:rPr>
        <w:tab/>
        <w:t>« </w:t>
      </w:r>
      <w:r w:rsidRPr="005E33C3">
        <w:rPr>
          <w:b/>
          <w:bCs/>
          <w:i/>
          <w:iCs/>
          <w:lang w:val="fr-FR"/>
        </w:rPr>
        <w:t>NOTA :</w:t>
      </w:r>
      <w:r w:rsidRPr="005E33C3">
        <w:rPr>
          <w:i/>
          <w:iCs/>
          <w:lang w:val="fr-FR"/>
        </w:rPr>
        <w:tab/>
        <w:t>Cette norme ne doit pas être utilisée pour les gaz classés comme GPL.</w:t>
      </w:r>
      <w:r w:rsidRPr="005E33C3">
        <w:rPr>
          <w:lang w:val="fr-FR"/>
        </w:rPr>
        <w:t> ».</w:t>
      </w:r>
    </w:p>
    <w:p w14:paraId="5EA1D638"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w:t>
      </w:r>
      <w:proofErr w:type="gramStart"/>
      <w:r w:rsidRPr="005E33C3">
        <w:rPr>
          <w:lang w:val="fr-FR"/>
        </w:rPr>
        <w:t>12245:</w:t>
      </w:r>
      <w:proofErr w:type="gramEnd"/>
      <w:r w:rsidRPr="005E33C3">
        <w:rPr>
          <w:lang w:val="fr-FR"/>
        </w:rPr>
        <w:t>2002 », dans la colonne (5), insérer « 31 décembre 2023, pour les bouteilles pour GPL. ».</w:t>
      </w:r>
    </w:p>
    <w:p w14:paraId="01A41118"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w:t>
      </w:r>
      <w:proofErr w:type="gramStart"/>
      <w:r w:rsidRPr="005E33C3">
        <w:rPr>
          <w:lang w:val="fr-FR"/>
        </w:rPr>
        <w:t>12245:</w:t>
      </w:r>
      <w:proofErr w:type="gramEnd"/>
      <w:r w:rsidRPr="005E33C3">
        <w:rPr>
          <w:lang w:val="fr-FR"/>
        </w:rPr>
        <w:t>2009 + A1:2011 », dans la colonne (2), numéroter le nota existant en tant que nota 1 et insérer le nouveau nota 2 suivant :</w:t>
      </w:r>
    </w:p>
    <w:p w14:paraId="0E3064AB" w14:textId="77777777" w:rsidR="005E33C3" w:rsidRPr="005E33C3" w:rsidRDefault="005E33C3" w:rsidP="005E33C3">
      <w:pPr>
        <w:spacing w:after="120"/>
        <w:ind w:left="2268" w:right="1134" w:hanging="1134"/>
        <w:jc w:val="both"/>
        <w:rPr>
          <w:lang w:val="fr-FR"/>
        </w:rPr>
      </w:pPr>
      <w:r w:rsidRPr="005E33C3">
        <w:rPr>
          <w:lang w:val="fr-FR"/>
        </w:rPr>
        <w:tab/>
        <w:t>« </w:t>
      </w:r>
      <w:r w:rsidRPr="005E33C3">
        <w:rPr>
          <w:b/>
          <w:bCs/>
          <w:i/>
          <w:iCs/>
          <w:lang w:val="fr-FR"/>
        </w:rPr>
        <w:t>NOTA 2 :</w:t>
      </w:r>
      <w:r w:rsidRPr="005E33C3">
        <w:rPr>
          <w:i/>
          <w:iCs/>
          <w:lang w:val="fr-FR"/>
        </w:rPr>
        <w:tab/>
        <w:t>Cette norme ne doit pas être utilisée pour les gaz classés comme GPL.</w:t>
      </w:r>
      <w:r w:rsidRPr="005E33C3">
        <w:rPr>
          <w:lang w:val="fr-FR"/>
        </w:rPr>
        <w:t> ».</w:t>
      </w:r>
    </w:p>
    <w:p w14:paraId="7192A845"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w:t>
      </w:r>
      <w:proofErr w:type="gramStart"/>
      <w:r w:rsidRPr="005E33C3">
        <w:rPr>
          <w:lang w:val="fr-FR"/>
        </w:rPr>
        <w:t>12245:</w:t>
      </w:r>
      <w:proofErr w:type="gramEnd"/>
      <w:r w:rsidRPr="005E33C3">
        <w:rPr>
          <w:lang w:val="fr-FR"/>
        </w:rPr>
        <w:t>2009 + A1:2011 », dans la colonne (5), insérer « 31 décembre 2023, pour les bouteilles pour GPL. ».]</w:t>
      </w:r>
    </w:p>
    <w:p w14:paraId="224E5498"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ISO </w:t>
      </w:r>
      <w:proofErr w:type="gramStart"/>
      <w:r w:rsidRPr="005E33C3">
        <w:rPr>
          <w:lang w:val="fr-FR"/>
        </w:rPr>
        <w:t>11118:</w:t>
      </w:r>
      <w:proofErr w:type="gramEnd"/>
      <w:r w:rsidRPr="005E33C3">
        <w:rPr>
          <w:lang w:val="fr-FR"/>
        </w:rPr>
        <w:t>2015 », dans la colonne (4), remplacer « Jusqu’à nouvel ordre » par « Entre le 1er janvier 2017 et le 31 décembre 2024 ».</w:t>
      </w:r>
    </w:p>
    <w:p w14:paraId="2D00A970" w14:textId="2BBF0FF1" w:rsidR="005E33C3" w:rsidRPr="005E33C3" w:rsidRDefault="005E33C3" w:rsidP="005E33C3">
      <w:pPr>
        <w:spacing w:after="120"/>
        <w:ind w:left="2268" w:right="1134" w:hanging="1134"/>
        <w:jc w:val="both"/>
        <w:rPr>
          <w:lang w:val="fr-FR"/>
        </w:rPr>
      </w:pPr>
      <w:r w:rsidRPr="005E33C3">
        <w:rPr>
          <w:lang w:val="fr-FR"/>
        </w:rPr>
        <w:tab/>
        <w:t xml:space="preserve">Après la ligne pour la norme « EN ISO </w:t>
      </w:r>
      <w:proofErr w:type="gramStart"/>
      <w:r w:rsidRPr="005E33C3">
        <w:rPr>
          <w:lang w:val="fr-FR"/>
        </w:rPr>
        <w:t>11118:</w:t>
      </w:r>
      <w:proofErr w:type="gramEnd"/>
      <w:r w:rsidRPr="005E33C3">
        <w:rPr>
          <w:lang w:val="fr-FR"/>
        </w:rPr>
        <w:t>2015 », ajouter la nouvelle ligne suivante :</w:t>
      </w:r>
    </w:p>
    <w:tbl>
      <w:tblPr>
        <w:tblW w:w="816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544"/>
        <w:gridCol w:w="1012"/>
        <w:gridCol w:w="956"/>
        <w:gridCol w:w="664"/>
      </w:tblGrid>
      <w:tr w:rsidR="005E33C3" w:rsidRPr="005E33C3" w14:paraId="3C958003" w14:textId="77777777" w:rsidTr="003D2F4B">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D70F9E5" w14:textId="5BD3546F" w:rsidR="005E33C3" w:rsidRPr="005E33C3" w:rsidRDefault="005E33C3" w:rsidP="005E33C3">
            <w:pPr>
              <w:widowControl w:val="0"/>
              <w:ind w:right="282"/>
              <w:jc w:val="center"/>
              <w:rPr>
                <w:rFonts w:eastAsia="DengXian"/>
                <w:bCs/>
                <w:lang w:val="fr-FR"/>
              </w:rPr>
            </w:pPr>
            <w:r w:rsidRPr="005E33C3">
              <w:rPr>
                <w:rFonts w:eastAsia="DengXian"/>
                <w:bCs/>
                <w:lang w:val="fr-FR"/>
              </w:rPr>
              <w:t>1)</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2F6F41" w14:textId="555B15E4" w:rsidR="005E33C3" w:rsidRPr="005E33C3" w:rsidRDefault="005E33C3" w:rsidP="005E33C3">
            <w:pPr>
              <w:widowControl w:val="0"/>
              <w:ind w:right="282"/>
              <w:jc w:val="center"/>
              <w:rPr>
                <w:rFonts w:eastAsia="DengXian"/>
                <w:bCs/>
                <w:lang w:val="fr-FR"/>
              </w:rPr>
            </w:pPr>
            <w:r w:rsidRPr="005E33C3">
              <w:rPr>
                <w:rFonts w:eastAsia="DengXian"/>
                <w:bCs/>
                <w:lang w:val="fr-FR"/>
              </w:rPr>
              <w:t>2)</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0CBD8C5" w14:textId="2263B76D" w:rsidR="005E33C3" w:rsidRPr="005E33C3" w:rsidRDefault="005E33C3" w:rsidP="005E33C3">
            <w:pPr>
              <w:widowControl w:val="0"/>
              <w:ind w:right="282"/>
              <w:jc w:val="center"/>
              <w:rPr>
                <w:rFonts w:eastAsia="DengXian"/>
                <w:bCs/>
                <w:lang w:val="fr-FR"/>
              </w:rPr>
            </w:pPr>
            <w:r w:rsidRPr="005E33C3">
              <w:rPr>
                <w:rFonts w:eastAsia="DengXian"/>
                <w:bCs/>
                <w:lang w:val="fr-FR"/>
              </w:rPr>
              <w:t>3)</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747D456" w14:textId="6680A424" w:rsidR="005E33C3" w:rsidRPr="005E33C3" w:rsidRDefault="005E33C3" w:rsidP="005E33C3">
            <w:pPr>
              <w:widowControl w:val="0"/>
              <w:ind w:right="115"/>
              <w:jc w:val="center"/>
              <w:rPr>
                <w:rFonts w:eastAsia="DengXian"/>
                <w:bCs/>
                <w:lang w:val="fr-FR"/>
              </w:rPr>
            </w:pPr>
            <w:r w:rsidRPr="005E33C3">
              <w:rPr>
                <w:rFonts w:eastAsia="DengXian"/>
                <w:bCs/>
                <w:lang w:val="fr-FR"/>
              </w:rPr>
              <w:t>4)</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9A9A7C2" w14:textId="7025E738" w:rsidR="005E33C3" w:rsidRPr="005E33C3" w:rsidRDefault="005E33C3" w:rsidP="005E33C3">
            <w:pPr>
              <w:widowControl w:val="0"/>
              <w:jc w:val="center"/>
              <w:rPr>
                <w:rFonts w:eastAsia="DengXian"/>
                <w:bCs/>
                <w:lang w:val="fr-FR"/>
              </w:rPr>
            </w:pPr>
            <w:r w:rsidRPr="005E33C3">
              <w:rPr>
                <w:rFonts w:eastAsia="DengXian"/>
                <w:bCs/>
                <w:lang w:val="fr-FR"/>
              </w:rPr>
              <w:t>5)</w:t>
            </w:r>
          </w:p>
        </w:tc>
      </w:tr>
      <w:tr w:rsidR="005E33C3" w:rsidRPr="005E33C3" w14:paraId="44402F1F" w14:textId="77777777" w:rsidTr="003D2F4B">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E5CD851" w14:textId="77777777" w:rsidR="005E33C3" w:rsidRPr="005E33C3" w:rsidRDefault="005E33C3" w:rsidP="005E33C3">
            <w:pPr>
              <w:widowControl w:val="0"/>
              <w:ind w:right="282"/>
              <w:rPr>
                <w:rFonts w:eastAsia="DengXian"/>
                <w:bCs/>
                <w:lang w:val="fr-FR"/>
              </w:rPr>
            </w:pPr>
            <w:r w:rsidRPr="005E33C3">
              <w:rPr>
                <w:rFonts w:eastAsia="DengXian"/>
                <w:bCs/>
                <w:lang w:val="fr-FR"/>
              </w:rPr>
              <w:t xml:space="preserve">EN ISO </w:t>
            </w:r>
            <w:proofErr w:type="gramStart"/>
            <w:r w:rsidRPr="005E33C3">
              <w:rPr>
                <w:rFonts w:eastAsia="DengXian"/>
                <w:bCs/>
                <w:lang w:val="fr-FR"/>
              </w:rPr>
              <w:t>11118:</w:t>
            </w:r>
            <w:proofErr w:type="gramEnd"/>
            <w:r w:rsidRPr="005E33C3">
              <w:rPr>
                <w:rFonts w:eastAsia="DengXian"/>
                <w:bCs/>
                <w:lang w:val="fr-FR"/>
              </w:rPr>
              <w:t>2015 + A1:2020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AE38479" w14:textId="77777777" w:rsidR="005E33C3" w:rsidRPr="005E33C3" w:rsidRDefault="005E33C3" w:rsidP="005E33C3">
            <w:pPr>
              <w:widowControl w:val="0"/>
              <w:ind w:right="282"/>
              <w:rPr>
                <w:rFonts w:eastAsia="DengXian"/>
                <w:bCs/>
                <w:lang w:val="fr-FR"/>
              </w:rPr>
            </w:pPr>
            <w:r w:rsidRPr="005E33C3">
              <w:rPr>
                <w:rFonts w:eastAsia="DengXian"/>
                <w:bCs/>
                <w:lang w:val="fr-FR"/>
              </w:rPr>
              <w:t>Bouteilles à gaz - Bouteilles à gaz métalliques non rechargeables - Spécifications et méthodes d'essai</w:t>
            </w:r>
          </w:p>
        </w:tc>
        <w:tc>
          <w:tcPr>
            <w:tcW w:w="10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5E091F" w14:textId="77777777" w:rsidR="005E33C3" w:rsidRPr="005E33C3" w:rsidRDefault="005E33C3" w:rsidP="005E33C3">
            <w:pPr>
              <w:widowControl w:val="0"/>
              <w:ind w:right="282"/>
              <w:rPr>
                <w:rFonts w:eastAsia="DengXian"/>
                <w:bCs/>
                <w:lang w:val="fr-FR"/>
              </w:rPr>
            </w:pPr>
            <w:r w:rsidRPr="005E33C3">
              <w:rPr>
                <w:rFonts w:eastAsia="DengXian"/>
                <w:bCs/>
                <w:lang w:val="fr-FR"/>
              </w:rPr>
              <w:t>6.2.3.1, 6.2.3.3 et 6.2.3.4</w:t>
            </w:r>
          </w:p>
        </w:tc>
        <w:tc>
          <w:tcPr>
            <w:tcW w:w="9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90CB11" w14:textId="77777777" w:rsidR="005E33C3" w:rsidRPr="005E33C3" w:rsidRDefault="005E33C3" w:rsidP="005E33C3">
            <w:pPr>
              <w:widowControl w:val="0"/>
              <w:ind w:right="-19"/>
              <w:jc w:val="center"/>
              <w:rPr>
                <w:rFonts w:eastAsia="DengXian"/>
                <w:bCs/>
                <w:lang w:val="fr-FR"/>
              </w:rPr>
            </w:pPr>
            <w:r w:rsidRPr="005E33C3">
              <w:rPr>
                <w:rFonts w:eastAsia="DengXian"/>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4CB3F17" w14:textId="77777777" w:rsidR="005E33C3" w:rsidRPr="005E33C3" w:rsidRDefault="005E33C3" w:rsidP="005E33C3">
            <w:pPr>
              <w:widowControl w:val="0"/>
              <w:ind w:right="282"/>
              <w:rPr>
                <w:rFonts w:eastAsia="DengXian"/>
                <w:bCs/>
                <w:lang w:val="fr-FR"/>
              </w:rPr>
            </w:pPr>
          </w:p>
        </w:tc>
      </w:tr>
    </w:tbl>
    <w:p w14:paraId="11191B3F" w14:textId="77777777" w:rsidR="005E33C3" w:rsidRPr="005E33C3" w:rsidRDefault="005E33C3" w:rsidP="005E33C3">
      <w:pPr>
        <w:spacing w:before="120" w:after="120"/>
        <w:ind w:left="2268" w:right="1134" w:hanging="1134"/>
        <w:jc w:val="both"/>
        <w:rPr>
          <w:lang w:val="fr-FR"/>
        </w:rPr>
      </w:pPr>
      <w:r w:rsidRPr="005E33C3">
        <w:rPr>
          <w:lang w:val="fr-FR"/>
        </w:rPr>
        <w:tab/>
        <w:t xml:space="preserve">Pour la norme « EN </w:t>
      </w:r>
      <w:proofErr w:type="gramStart"/>
      <w:r w:rsidRPr="005E33C3">
        <w:rPr>
          <w:lang w:val="fr-FR"/>
        </w:rPr>
        <w:t>14427:</w:t>
      </w:r>
      <w:proofErr w:type="gramEnd"/>
      <w:r w:rsidRPr="005E33C3">
        <w:rPr>
          <w:lang w:val="fr-FR"/>
        </w:rPr>
        <w:t>2004 + A1 :2005 », dans la colonne (5), insérer « 31 décembre 2023, pour les bouteilles sans liner constituées de deux pièces assemblées. ».</w:t>
      </w:r>
    </w:p>
    <w:p w14:paraId="0B36E761" w14:textId="77777777" w:rsidR="005E33C3" w:rsidRPr="005E33C3" w:rsidRDefault="005E33C3" w:rsidP="005E33C3">
      <w:pPr>
        <w:spacing w:after="120"/>
        <w:ind w:left="2268" w:right="1134" w:hanging="1134"/>
        <w:jc w:val="both"/>
        <w:rPr>
          <w:lang w:val="fr-FR"/>
        </w:rPr>
      </w:pPr>
      <w:r w:rsidRPr="005E33C3">
        <w:rPr>
          <w:lang w:val="fr-FR"/>
        </w:rPr>
        <w:tab/>
        <w:t xml:space="preserve">Pour la norme « EN </w:t>
      </w:r>
      <w:proofErr w:type="gramStart"/>
      <w:r w:rsidRPr="005E33C3">
        <w:rPr>
          <w:lang w:val="fr-FR"/>
        </w:rPr>
        <w:t>14427:</w:t>
      </w:r>
      <w:proofErr w:type="gramEnd"/>
      <w:r w:rsidRPr="005E33C3">
        <w:rPr>
          <w:lang w:val="fr-FR"/>
        </w:rPr>
        <w:t>2014 », dans la colonne (2), insérer le nota suivant :</w:t>
      </w:r>
    </w:p>
    <w:p w14:paraId="54571D26" w14:textId="77777777" w:rsidR="005E33C3" w:rsidRPr="005E33C3" w:rsidRDefault="005E33C3" w:rsidP="005E33C3">
      <w:pPr>
        <w:spacing w:after="120"/>
        <w:ind w:left="2268" w:right="1134" w:hanging="1134"/>
        <w:jc w:val="both"/>
        <w:rPr>
          <w:lang w:val="fr-FR"/>
        </w:rPr>
      </w:pPr>
      <w:r w:rsidRPr="005E33C3">
        <w:rPr>
          <w:lang w:val="fr-FR"/>
        </w:rPr>
        <w:tab/>
        <w:t>« </w:t>
      </w:r>
      <w:r w:rsidRPr="005E33C3">
        <w:rPr>
          <w:b/>
          <w:bCs/>
          <w:i/>
          <w:iCs/>
          <w:lang w:val="fr-FR"/>
        </w:rPr>
        <w:t>NOTA :</w:t>
      </w:r>
      <w:r w:rsidRPr="005E33C3">
        <w:rPr>
          <w:i/>
          <w:iCs/>
          <w:lang w:val="fr-FR"/>
        </w:rPr>
        <w:tab/>
        <w:t>Cette norme ne doit pas être utilisée pour les bouteilles sans liner constituées de deux pièces assemblées.</w:t>
      </w:r>
      <w:r w:rsidRPr="005E33C3">
        <w:rPr>
          <w:lang w:val="fr-FR"/>
        </w:rPr>
        <w:t> ».</w:t>
      </w:r>
    </w:p>
    <w:p w14:paraId="2D061B64" w14:textId="77777777" w:rsidR="005E33C3" w:rsidRPr="005E33C3" w:rsidRDefault="005E33C3" w:rsidP="005E33C3">
      <w:pPr>
        <w:spacing w:after="120"/>
        <w:ind w:left="2268" w:right="1134" w:hanging="1134"/>
        <w:jc w:val="both"/>
        <w:rPr>
          <w:lang w:val="fr-FR"/>
        </w:rPr>
      </w:pPr>
      <w:r w:rsidRPr="005E33C3">
        <w:rPr>
          <w:lang w:val="fr-FR"/>
        </w:rPr>
        <w:lastRenderedPageBreak/>
        <w:tab/>
        <w:t xml:space="preserve">Pour la norme « EN </w:t>
      </w:r>
      <w:proofErr w:type="gramStart"/>
      <w:r w:rsidRPr="005E33C3">
        <w:rPr>
          <w:lang w:val="fr-FR"/>
        </w:rPr>
        <w:t>14427:</w:t>
      </w:r>
      <w:proofErr w:type="gramEnd"/>
      <w:r w:rsidRPr="005E33C3">
        <w:rPr>
          <w:lang w:val="fr-FR"/>
        </w:rPr>
        <w:t>2014 », dans la colonne (5), insérer « 31 décembre 2023, pour les bouteilles sans liner constituées de deux pièces assemblées. ».</w:t>
      </w:r>
    </w:p>
    <w:p w14:paraId="5E5583F9"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603FBD12" w14:textId="6C35A8F0" w:rsidR="005E33C3" w:rsidRPr="005E33C3" w:rsidRDefault="005E33C3" w:rsidP="005E33C3">
      <w:pPr>
        <w:spacing w:after="120"/>
        <w:ind w:left="2268" w:right="1134" w:hanging="1134"/>
        <w:jc w:val="both"/>
        <w:rPr>
          <w:lang w:val="fr-FR"/>
        </w:rPr>
      </w:pPr>
      <w:r w:rsidRPr="005E33C3">
        <w:rPr>
          <w:lang w:val="fr-FR"/>
        </w:rPr>
        <w:t>6.2.5.4.2</w:t>
      </w:r>
      <w:r w:rsidRPr="005E33C3">
        <w:rPr>
          <w:lang w:val="fr-FR"/>
        </w:rPr>
        <w:tab/>
        <w:t xml:space="preserve">À la fin de la phrase, remplacer « EN </w:t>
      </w:r>
      <w:proofErr w:type="gramStart"/>
      <w:r w:rsidRPr="005E33C3">
        <w:rPr>
          <w:lang w:val="fr-FR"/>
        </w:rPr>
        <w:t>1975:</w:t>
      </w:r>
      <w:proofErr w:type="gramEnd"/>
      <w:r w:rsidRPr="005E33C3">
        <w:rPr>
          <w:lang w:val="fr-FR"/>
        </w:rPr>
        <w:t>1999 + A1:2003 » par : « EN ISO 7866:2012 + A1:2020».</w:t>
      </w:r>
    </w:p>
    <w:p w14:paraId="0845439E"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643FC356" w14:textId="77777777" w:rsidR="005E33C3" w:rsidRPr="005E33C3" w:rsidRDefault="005E33C3" w:rsidP="005E33C3">
      <w:pPr>
        <w:spacing w:after="120"/>
        <w:ind w:left="1134" w:right="1134"/>
        <w:jc w:val="both"/>
        <w:rPr>
          <w:bCs/>
          <w:i/>
          <w:iCs/>
          <w:lang w:val="fr-FR"/>
        </w:rPr>
      </w:pPr>
      <w:r w:rsidRPr="005E33C3">
        <w:rPr>
          <w:bCs/>
          <w:i/>
          <w:iCs/>
          <w:lang w:val="fr-FR"/>
        </w:rPr>
        <w:t>(Remplace l’amendement dans ECE/TRANS/WP.15/251, Annexe I)</w:t>
      </w:r>
    </w:p>
    <w:p w14:paraId="7D35AA42"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6.8</w:t>
      </w:r>
    </w:p>
    <w:p w14:paraId="0ED19506" w14:textId="77777777" w:rsidR="005E33C3" w:rsidRPr="005E33C3" w:rsidRDefault="005E33C3" w:rsidP="005E33C3">
      <w:pPr>
        <w:spacing w:after="120"/>
        <w:ind w:left="2268" w:right="1134" w:hanging="1134"/>
        <w:jc w:val="both"/>
        <w:rPr>
          <w:lang w:val="fr-FR"/>
        </w:rPr>
      </w:pPr>
      <w:r w:rsidRPr="005E33C3">
        <w:rPr>
          <w:lang w:val="fr-FR"/>
        </w:rPr>
        <w:t>6.8.2.1.23</w:t>
      </w:r>
      <w:r w:rsidRPr="005E33C3">
        <w:rPr>
          <w:lang w:val="fr-FR"/>
        </w:rPr>
        <w:tab/>
        <w:t>Déplacer la dernière phrase du premier paragraphe à la fin du deuxième paragraphe.</w:t>
      </w:r>
    </w:p>
    <w:p w14:paraId="194EC227" w14:textId="77777777" w:rsidR="005E33C3" w:rsidRPr="005E33C3" w:rsidRDefault="005E33C3" w:rsidP="005E33C3">
      <w:pPr>
        <w:spacing w:after="120"/>
        <w:ind w:left="2268" w:right="1134" w:hanging="1134"/>
        <w:jc w:val="both"/>
        <w:rPr>
          <w:lang w:val="fr-FR"/>
        </w:rPr>
      </w:pPr>
      <w:r w:rsidRPr="005E33C3">
        <w:rPr>
          <w:lang w:val="fr-FR"/>
        </w:rPr>
        <w:tab/>
        <w:t>Avant le dernier paragraphe, ajouter le nouveau paragraphe suivant :</w:t>
      </w:r>
    </w:p>
    <w:p w14:paraId="7D7B03C4" w14:textId="619F0322" w:rsidR="005E33C3" w:rsidRPr="005E33C3" w:rsidRDefault="005E33C3" w:rsidP="005E33C3">
      <w:pPr>
        <w:spacing w:after="120"/>
        <w:ind w:left="2268" w:right="1134" w:hanging="1134"/>
        <w:jc w:val="both"/>
        <w:rPr>
          <w:lang w:val="fr-FR"/>
        </w:rPr>
      </w:pPr>
      <w:r w:rsidRPr="005E33C3">
        <w:rPr>
          <w:lang w:val="fr-FR"/>
        </w:rPr>
        <w:tab/>
        <w:t>« Les soudures réalisées au cours de réparations ou de modifications sont évaluées comme indiqué ci-dessus et conformément aux contrôles non destructifs spécifiés dans les normes pertinentes telles que référencées au 6.8.2.6.2. ».</w:t>
      </w:r>
    </w:p>
    <w:p w14:paraId="734C7FD8"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58D1753B" w14:textId="77777777" w:rsidR="005E33C3" w:rsidRPr="005E33C3" w:rsidRDefault="005E33C3" w:rsidP="005E33C3">
      <w:pPr>
        <w:spacing w:after="120"/>
        <w:ind w:left="2268" w:right="1134" w:hanging="1134"/>
        <w:jc w:val="both"/>
        <w:rPr>
          <w:lang w:val="fr-FR"/>
        </w:rPr>
      </w:pPr>
      <w:r w:rsidRPr="005E33C3">
        <w:rPr>
          <w:lang w:val="fr-FR"/>
        </w:rPr>
        <w:t>6.8.2.2.2</w:t>
      </w:r>
      <w:r w:rsidRPr="005E33C3">
        <w:rPr>
          <w:lang w:val="fr-FR"/>
        </w:rPr>
        <w:tab/>
        <w:t>À la fin du septième paragraphe, après « sans ambiguïté », ajouter une référence à la note de bas de page 9 libellée comme suit :</w:t>
      </w:r>
    </w:p>
    <w:p w14:paraId="768B4AB2" w14:textId="2C482A9C" w:rsidR="005E33C3" w:rsidRPr="005E33C3" w:rsidRDefault="005E33C3" w:rsidP="005E33C3">
      <w:pPr>
        <w:spacing w:after="120"/>
        <w:ind w:left="2268" w:right="1134" w:hanging="1134"/>
        <w:jc w:val="both"/>
        <w:rPr>
          <w:lang w:val="fr-FR"/>
        </w:rPr>
      </w:pPr>
      <w:r w:rsidRPr="005E33C3">
        <w:rPr>
          <w:lang w:val="fr-FR"/>
        </w:rPr>
        <w:tab/>
        <w:t>« </w:t>
      </w:r>
      <w:r w:rsidRPr="005E33C3">
        <w:rPr>
          <w:b/>
          <w:bCs/>
          <w:vertAlign w:val="superscript"/>
          <w:lang w:val="fr-FR"/>
        </w:rPr>
        <w:t>9</w:t>
      </w:r>
      <w:r w:rsidRPr="005E33C3">
        <w:rPr>
          <w:lang w:val="fr-FR"/>
        </w:rPr>
        <w:tab/>
      </w:r>
      <w:r w:rsidRPr="005E33C3">
        <w:rPr>
          <w:i/>
          <w:iCs/>
          <w:lang w:val="fr-FR"/>
        </w:rPr>
        <w:t>Le mode de fonctionnement des raccords secs est la fermeture automatique. Par conséquent, un indicateur d’ouverture/fermeture n’est pas nécessaire. Ce type de fermeture ne peut être utilisé que comme deuxième ou troisième fermeture.</w:t>
      </w:r>
      <w:r w:rsidRPr="005E33C3">
        <w:rPr>
          <w:lang w:val="fr-FR"/>
        </w:rPr>
        <w:t> ».</w:t>
      </w:r>
    </w:p>
    <w:p w14:paraId="58BD8EF1"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7B218C30" w14:textId="77777777" w:rsidR="005E33C3" w:rsidRPr="005E33C3" w:rsidRDefault="005E33C3" w:rsidP="005E33C3">
      <w:pPr>
        <w:spacing w:after="120"/>
        <w:ind w:left="2268" w:right="1134" w:hanging="1134"/>
        <w:jc w:val="both"/>
        <w:rPr>
          <w:lang w:val="fr-FR"/>
        </w:rPr>
      </w:pPr>
      <w:r w:rsidRPr="005E33C3">
        <w:rPr>
          <w:lang w:val="fr-FR"/>
        </w:rPr>
        <w:t>6.8.2.2.4</w:t>
      </w:r>
      <w:r w:rsidRPr="005E33C3">
        <w:rPr>
          <w:lang w:val="fr-FR"/>
        </w:rPr>
        <w:tab/>
        <w:t>Après la première phrase, dans la colonne de droite, insérer le nouveau paragraphe suivant :</w:t>
      </w:r>
    </w:p>
    <w:tbl>
      <w:tblPr>
        <w:tblStyle w:val="TableGrid1"/>
        <w:tblW w:w="0" w:type="auto"/>
        <w:tblInd w:w="1134" w:type="dxa"/>
        <w:tblLook w:val="04A0" w:firstRow="1" w:lastRow="0" w:firstColumn="1" w:lastColumn="0" w:noHBand="0" w:noVBand="1"/>
      </w:tblPr>
      <w:tblGrid>
        <w:gridCol w:w="3828"/>
        <w:gridCol w:w="3543"/>
      </w:tblGrid>
      <w:tr w:rsidR="005E33C3" w:rsidRPr="005E33C3" w14:paraId="78F7DB0C" w14:textId="77777777" w:rsidTr="003D2F4B">
        <w:tc>
          <w:tcPr>
            <w:tcW w:w="3828" w:type="dxa"/>
            <w:tcBorders>
              <w:top w:val="nil"/>
              <w:left w:val="nil"/>
              <w:bottom w:val="nil"/>
            </w:tcBorders>
          </w:tcPr>
          <w:p w14:paraId="510C0912" w14:textId="77777777" w:rsidR="005E33C3" w:rsidRPr="005E33C3" w:rsidRDefault="005E33C3" w:rsidP="005E33C3">
            <w:pPr>
              <w:spacing w:after="120"/>
              <w:ind w:right="1134"/>
              <w:jc w:val="both"/>
              <w:rPr>
                <w:bCs/>
                <w:lang w:val="fr-FR"/>
              </w:rPr>
            </w:pPr>
          </w:p>
        </w:tc>
        <w:tc>
          <w:tcPr>
            <w:tcW w:w="3543" w:type="dxa"/>
            <w:tcBorders>
              <w:top w:val="nil"/>
              <w:bottom w:val="nil"/>
              <w:right w:val="nil"/>
            </w:tcBorders>
          </w:tcPr>
          <w:p w14:paraId="55C4C64A" w14:textId="679774CB" w:rsidR="005E33C3" w:rsidRPr="005E33C3" w:rsidRDefault="005E33C3" w:rsidP="005E33C3">
            <w:pPr>
              <w:spacing w:after="120"/>
              <w:ind w:left="84" w:right="274"/>
              <w:jc w:val="both"/>
              <w:rPr>
                <w:bCs/>
                <w:lang w:val="fr-FR"/>
              </w:rPr>
            </w:pPr>
            <w:r w:rsidRPr="005E33C3">
              <w:rPr>
                <w:bCs/>
                <w:color w:val="000000"/>
                <w:lang w:val="fr-FR" w:eastAsia="fr-FR"/>
              </w:rPr>
              <w:t>[« Pour les conteneurs-citernes d’une capacité de [plus de 40 000 litres / 36 000 kg de masse brute],</w:t>
            </w:r>
            <w:r w:rsidRPr="005E33C3">
              <w:rPr>
                <w:bCs/>
                <w:lang w:val="fr-FR"/>
              </w:rPr>
              <w:t xml:space="preserve"> </w:t>
            </w:r>
            <w:r w:rsidRPr="005E33C3">
              <w:rPr>
                <w:bCs/>
                <w:color w:val="000000"/>
                <w:lang w:val="fr-FR" w:eastAsia="fr-FR"/>
              </w:rPr>
              <w:t>destinés au transport [de matières à l’état liquide] / [liquides], qui ne sont pas partagés en sections d’une capacité maximales de 7 500 litres au moyen de cloisons ou de brise-flots, ces ouvertures doivent être munies de fermetures conçues pour une pression d'épreuve d'au moins 0,4 MPa (4 </w:t>
            </w:r>
            <w:proofErr w:type="gramStart"/>
            <w:r w:rsidRPr="005E33C3">
              <w:rPr>
                <w:bCs/>
                <w:color w:val="000000"/>
                <w:lang w:val="fr-FR" w:eastAsia="fr-FR"/>
              </w:rPr>
              <w:t>bar</w:t>
            </w:r>
            <w:proofErr w:type="gramEnd"/>
            <w:r w:rsidRPr="005E33C3">
              <w:rPr>
                <w:bCs/>
                <w:color w:val="000000"/>
                <w:lang w:val="fr-FR" w:eastAsia="fr-FR"/>
              </w:rPr>
              <w:t>). Les couvercles de dôme articulés pour ces conteneurs-citernes ayant une pression d'épreuve supérieure à 0,6 MPa (6 </w:t>
            </w:r>
            <w:proofErr w:type="gramStart"/>
            <w:r w:rsidRPr="005E33C3">
              <w:rPr>
                <w:bCs/>
                <w:color w:val="000000"/>
                <w:lang w:val="fr-FR" w:eastAsia="fr-FR"/>
              </w:rPr>
              <w:t>bar</w:t>
            </w:r>
            <w:proofErr w:type="gramEnd"/>
            <w:r w:rsidRPr="005E33C3">
              <w:rPr>
                <w:bCs/>
                <w:color w:val="000000"/>
                <w:lang w:val="fr-FR" w:eastAsia="fr-FR"/>
              </w:rPr>
              <w:t>) ne sont pas autorisés. ».]</w:t>
            </w:r>
          </w:p>
        </w:tc>
      </w:tr>
    </w:tbl>
    <w:p w14:paraId="579B5737"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7D6DBC8F" w14:textId="77777777" w:rsidR="005E33C3" w:rsidRPr="005E33C3" w:rsidRDefault="005E33C3" w:rsidP="005E33C3">
      <w:pPr>
        <w:spacing w:after="120"/>
        <w:ind w:left="2268" w:right="1134" w:hanging="1134"/>
        <w:jc w:val="both"/>
        <w:rPr>
          <w:lang w:val="fr-FR"/>
        </w:rPr>
      </w:pPr>
      <w:r w:rsidRPr="005E33C3">
        <w:rPr>
          <w:lang w:val="fr-FR"/>
        </w:rPr>
        <w:t>6.8.2.4.3</w:t>
      </w:r>
      <w:r w:rsidRPr="005E33C3">
        <w:rPr>
          <w:lang w:val="fr-FR"/>
        </w:rPr>
        <w:tab/>
        <w:t>Au premier paragraphe, dans la première phrase, remplacer « tous les » par « au plus tard ».</w:t>
      </w:r>
    </w:p>
    <w:p w14:paraId="75E7A325" w14:textId="77777777" w:rsidR="005E33C3" w:rsidRPr="005E33C3" w:rsidRDefault="005E33C3" w:rsidP="005E33C3">
      <w:pPr>
        <w:spacing w:after="120"/>
        <w:ind w:left="2268" w:right="1134" w:hanging="1134"/>
        <w:jc w:val="both"/>
        <w:rPr>
          <w:lang w:val="fr-FR"/>
        </w:rPr>
      </w:pPr>
      <w:r w:rsidRPr="005E33C3">
        <w:rPr>
          <w:lang w:val="fr-FR"/>
        </w:rPr>
        <w:lastRenderedPageBreak/>
        <w:tab/>
        <w:t>Au troisième paragraphe, remplacer « la date prévue » par « la date spécifiée » et remplacer « cette date » par « cette date anticipée ».</w:t>
      </w:r>
    </w:p>
    <w:p w14:paraId="526AC38B"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7AC607FB" w14:textId="6D7E5121" w:rsidR="005E33C3" w:rsidRPr="005E33C3" w:rsidRDefault="005E33C3" w:rsidP="005E33C3">
      <w:pPr>
        <w:spacing w:after="120"/>
        <w:ind w:left="2268" w:right="1134" w:hanging="1134"/>
        <w:jc w:val="both"/>
        <w:rPr>
          <w:lang w:val="fr-FR"/>
        </w:rPr>
      </w:pPr>
      <w:r w:rsidRPr="005E33C3">
        <w:rPr>
          <w:lang w:val="fr-FR"/>
        </w:rPr>
        <w:t>[6.8.2.6.2</w:t>
      </w:r>
      <w:r w:rsidRPr="005E33C3">
        <w:rPr>
          <w:lang w:val="fr-FR"/>
        </w:rPr>
        <w:tab/>
        <w:t>Dans le tableau, pour la norme « EN </w:t>
      </w:r>
      <w:proofErr w:type="gramStart"/>
      <w:r w:rsidRPr="005E33C3">
        <w:rPr>
          <w:lang w:val="fr-FR"/>
        </w:rPr>
        <w:t>12972:</w:t>
      </w:r>
      <w:proofErr w:type="gramEnd"/>
      <w:r w:rsidRPr="005E33C3">
        <w:rPr>
          <w:lang w:val="fr-FR"/>
        </w:rPr>
        <w:t>2018 », dans la colonne (3), avant « 6.8.2.4 », ajouter « 6.8.2.1.23 ».]</w:t>
      </w:r>
    </w:p>
    <w:p w14:paraId="1A2D1D26"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DB82DE0" w14:textId="01BEA2AC" w:rsidR="005E33C3" w:rsidRPr="005E33C3" w:rsidRDefault="005E33C3" w:rsidP="005E33C3">
      <w:pPr>
        <w:spacing w:after="120"/>
        <w:ind w:left="2268" w:right="1134" w:hanging="1134"/>
        <w:jc w:val="both"/>
        <w:rPr>
          <w:lang w:val="fr-FR"/>
        </w:rPr>
      </w:pPr>
      <w:r w:rsidRPr="005E33C3">
        <w:rPr>
          <w:lang w:val="fr-FR"/>
        </w:rPr>
        <w:t>6.8.3.4.6</w:t>
      </w:r>
      <w:r w:rsidRPr="005E33C3">
        <w:rPr>
          <w:lang w:val="fr-FR"/>
        </w:rPr>
        <w:tab/>
        <w:t>Modifier comme suit :</w:t>
      </w:r>
    </w:p>
    <w:p w14:paraId="0DC4C903" w14:textId="77777777" w:rsidR="005E33C3" w:rsidRPr="005E33C3" w:rsidRDefault="005E33C3" w:rsidP="005E33C3">
      <w:pPr>
        <w:spacing w:after="120"/>
        <w:ind w:left="2268" w:right="1134" w:hanging="1134"/>
        <w:jc w:val="both"/>
        <w:rPr>
          <w:lang w:val="fr-FR"/>
        </w:rPr>
      </w:pPr>
      <w:r w:rsidRPr="005E33C3">
        <w:rPr>
          <w:lang w:val="fr-FR"/>
        </w:rPr>
        <w:tab/>
        <w:t>« 6.8.3.4.6</w:t>
      </w:r>
      <w:r w:rsidRPr="005E33C3">
        <w:rPr>
          <w:lang w:val="fr-FR"/>
        </w:rPr>
        <w:tab/>
        <w:t>Pour les citernes destinées au transport des gaz liquéfiés réfrigérés :</w:t>
      </w:r>
    </w:p>
    <w:p w14:paraId="51603B60" w14:textId="77777777" w:rsidR="005E33C3" w:rsidRPr="005E33C3" w:rsidRDefault="005E33C3" w:rsidP="005E33C3">
      <w:pPr>
        <w:spacing w:after="120"/>
        <w:ind w:left="3969" w:right="1134" w:hanging="369"/>
        <w:jc w:val="both"/>
        <w:rPr>
          <w:lang w:val="fr-FR"/>
        </w:rPr>
      </w:pPr>
      <w:r w:rsidRPr="005E33C3">
        <w:rPr>
          <w:lang w:val="fr-FR"/>
        </w:rPr>
        <w:t>a)</w:t>
      </w:r>
      <w:r w:rsidRPr="005E33C3">
        <w:rPr>
          <w:lang w:val="fr-FR"/>
        </w:rPr>
        <w:tab/>
        <w:t>Par dérogation aux prescriptions du 6.8.2.4.2, les contrôles périodiques doivent être effectués</w:t>
      </w:r>
    </w:p>
    <w:tbl>
      <w:tblPr>
        <w:tblStyle w:val="TableGrid1"/>
        <w:tblW w:w="4819" w:type="dxa"/>
        <w:tblInd w:w="3828" w:type="dxa"/>
        <w:tblLook w:val="04A0" w:firstRow="1" w:lastRow="0" w:firstColumn="1" w:lastColumn="0" w:noHBand="0" w:noVBand="1"/>
      </w:tblPr>
      <w:tblGrid>
        <w:gridCol w:w="2268"/>
        <w:gridCol w:w="2551"/>
      </w:tblGrid>
      <w:tr w:rsidR="005E33C3" w:rsidRPr="005E33C3" w14:paraId="7B807836" w14:textId="77777777" w:rsidTr="003D2F4B">
        <w:tc>
          <w:tcPr>
            <w:tcW w:w="2268" w:type="dxa"/>
            <w:tcBorders>
              <w:top w:val="nil"/>
              <w:left w:val="nil"/>
              <w:bottom w:val="nil"/>
            </w:tcBorders>
          </w:tcPr>
          <w:p w14:paraId="73D2B00F" w14:textId="77777777" w:rsidR="005E33C3" w:rsidRPr="005E33C3" w:rsidRDefault="005E33C3" w:rsidP="005E33C3">
            <w:pPr>
              <w:spacing w:after="120"/>
              <w:ind w:left="133" w:right="282"/>
              <w:jc w:val="both"/>
              <w:rPr>
                <w:bCs/>
                <w:iCs/>
                <w:lang w:val="fr-FR"/>
              </w:rPr>
            </w:pPr>
            <w:proofErr w:type="gramStart"/>
            <w:r w:rsidRPr="005E33C3">
              <w:rPr>
                <w:bCs/>
                <w:iCs/>
                <w:lang w:val="fr-FR"/>
              </w:rPr>
              <w:t>au</w:t>
            </w:r>
            <w:proofErr w:type="gramEnd"/>
            <w:r w:rsidRPr="005E33C3">
              <w:rPr>
                <w:bCs/>
                <w:iCs/>
                <w:lang w:val="fr-FR"/>
              </w:rPr>
              <w:t xml:space="preserve"> plus tard six ans</w:t>
            </w:r>
          </w:p>
        </w:tc>
        <w:tc>
          <w:tcPr>
            <w:tcW w:w="2551" w:type="dxa"/>
            <w:tcBorders>
              <w:top w:val="nil"/>
              <w:bottom w:val="nil"/>
              <w:right w:val="nil"/>
            </w:tcBorders>
          </w:tcPr>
          <w:p w14:paraId="74B915A6" w14:textId="77777777" w:rsidR="005E33C3" w:rsidRPr="005E33C3" w:rsidRDefault="005E33C3" w:rsidP="005E33C3">
            <w:pPr>
              <w:spacing w:after="120"/>
              <w:ind w:left="194" w:right="282"/>
              <w:jc w:val="both"/>
              <w:rPr>
                <w:bCs/>
                <w:iCs/>
                <w:lang w:val="fr-FR"/>
              </w:rPr>
            </w:pPr>
            <w:proofErr w:type="gramStart"/>
            <w:r w:rsidRPr="005E33C3">
              <w:rPr>
                <w:bCs/>
                <w:iCs/>
                <w:lang w:val="fr-FR"/>
              </w:rPr>
              <w:t>au</w:t>
            </w:r>
            <w:proofErr w:type="gramEnd"/>
            <w:r w:rsidRPr="005E33C3">
              <w:rPr>
                <w:bCs/>
                <w:iCs/>
                <w:lang w:val="fr-FR"/>
              </w:rPr>
              <w:t xml:space="preserve"> plus tard huit ans</w:t>
            </w:r>
          </w:p>
        </w:tc>
      </w:tr>
    </w:tbl>
    <w:p w14:paraId="0A90BA03" w14:textId="77777777" w:rsidR="005E33C3" w:rsidRPr="005E33C3" w:rsidRDefault="005E33C3" w:rsidP="005E33C3">
      <w:pPr>
        <w:spacing w:after="120"/>
        <w:ind w:left="3969" w:right="1134" w:hanging="369"/>
        <w:jc w:val="both"/>
        <w:rPr>
          <w:lang w:val="fr-FR"/>
        </w:rPr>
      </w:pPr>
      <w:r w:rsidRPr="005E33C3">
        <w:rPr>
          <w:lang w:val="fr-FR"/>
        </w:rPr>
        <w:tab/>
      </w:r>
      <w:proofErr w:type="gramStart"/>
      <w:r w:rsidRPr="005E33C3">
        <w:rPr>
          <w:lang w:val="fr-FR"/>
        </w:rPr>
        <w:t>après</w:t>
      </w:r>
      <w:proofErr w:type="gramEnd"/>
      <w:r w:rsidRPr="005E33C3">
        <w:rPr>
          <w:lang w:val="fr-FR"/>
        </w:rPr>
        <w:t xml:space="preserve"> le contrôle initial et ensuite, au plus tard tous les douze ans.</w:t>
      </w:r>
    </w:p>
    <w:p w14:paraId="6D3CCB72" w14:textId="09734B92" w:rsidR="005E33C3" w:rsidRPr="005E33C3" w:rsidRDefault="005E33C3" w:rsidP="005E33C3">
      <w:pPr>
        <w:spacing w:after="120"/>
        <w:ind w:left="3969" w:right="1134" w:hanging="369"/>
        <w:jc w:val="both"/>
        <w:rPr>
          <w:lang w:val="fr-FR"/>
        </w:rPr>
      </w:pPr>
      <w:r w:rsidRPr="005E33C3">
        <w:rPr>
          <w:lang w:val="fr-FR"/>
        </w:rPr>
        <w:t>b)</w:t>
      </w:r>
      <w:r w:rsidRPr="005E33C3">
        <w:rPr>
          <w:lang w:val="fr-FR"/>
        </w:rPr>
        <w:tab/>
        <w:t>Par dérogation aux prescriptions du 6.8.2.4.3, les contrôles intermédiaires doivent être effectués au plus tard six ans après chaque contrôle périodique. »</w:t>
      </w:r>
    </w:p>
    <w:p w14:paraId="5055C3C2"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0543C053" w14:textId="77777777" w:rsidR="005E33C3" w:rsidRPr="005E33C3" w:rsidRDefault="005E33C3" w:rsidP="005E33C3">
      <w:pPr>
        <w:spacing w:after="120"/>
        <w:ind w:left="1134" w:right="1134"/>
        <w:jc w:val="both"/>
        <w:rPr>
          <w:bCs/>
          <w:i/>
          <w:iCs/>
          <w:lang w:val="fr-FR"/>
        </w:rPr>
      </w:pPr>
      <w:r w:rsidRPr="005E33C3">
        <w:rPr>
          <w:bCs/>
          <w:i/>
          <w:iCs/>
          <w:lang w:val="fr-FR"/>
        </w:rPr>
        <w:t>(Remplace l’amendement dans ECE/TRANS/WP.15/251, Annexe I)</w:t>
      </w:r>
    </w:p>
    <w:p w14:paraId="12AA28D9" w14:textId="6CD71504" w:rsidR="005E33C3" w:rsidRPr="005E33C3" w:rsidRDefault="005E33C3" w:rsidP="005E33C3">
      <w:pPr>
        <w:spacing w:after="120"/>
        <w:ind w:left="2268" w:right="1134" w:hanging="1134"/>
        <w:jc w:val="both"/>
        <w:rPr>
          <w:lang w:val="fr-FR"/>
        </w:rPr>
      </w:pPr>
      <w:r w:rsidRPr="005E33C3">
        <w:rPr>
          <w:lang w:val="fr-FR"/>
        </w:rPr>
        <w:t>6.8.4 d), TT3</w:t>
      </w:r>
      <w:r w:rsidRPr="005E33C3">
        <w:rPr>
          <w:lang w:val="fr-FR"/>
        </w:rPr>
        <w:tab/>
        <w:t>Modifier pour lire comme suit :</w:t>
      </w:r>
    </w:p>
    <w:p w14:paraId="24EDCC13" w14:textId="77777777" w:rsidR="005E33C3" w:rsidRPr="005E33C3" w:rsidRDefault="005E33C3" w:rsidP="005E33C3">
      <w:pPr>
        <w:spacing w:after="120"/>
        <w:ind w:left="2268" w:right="1134" w:hanging="1134"/>
        <w:jc w:val="both"/>
        <w:rPr>
          <w:lang w:val="fr-FR"/>
        </w:rPr>
      </w:pPr>
      <w:r w:rsidRPr="005E33C3">
        <w:rPr>
          <w:lang w:val="fr-FR"/>
        </w:rPr>
        <w:tab/>
        <w:t>« TT3</w:t>
      </w:r>
      <w:r w:rsidRPr="005E33C3">
        <w:rPr>
          <w:lang w:val="fr-FR"/>
        </w:rPr>
        <w:tab/>
        <w:t>Par dérogation aux prescriptions du 6.8.2.4.2, les contrôles périodiques doivent être effectués au plus tard tous les huit ans et comprennent en outre un contrôle des épaisseurs au moyen d'instruments appropriés. Pour ces citernes, l'épreuve d'étanchéité et la vérification prévues au 6.8.2.4.3 doivent être effectués au plus tard tous les quatre ans. ».</w:t>
      </w:r>
    </w:p>
    <w:p w14:paraId="51BAB411"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029ACEBD" w14:textId="77777777" w:rsidR="005E33C3" w:rsidRPr="005E33C3" w:rsidRDefault="005E33C3" w:rsidP="005E33C3">
      <w:pPr>
        <w:spacing w:after="120"/>
        <w:ind w:left="2268" w:right="1134" w:hanging="1134"/>
        <w:jc w:val="both"/>
        <w:rPr>
          <w:lang w:val="fr-FR"/>
        </w:rPr>
      </w:pPr>
      <w:r w:rsidRPr="005E33C3">
        <w:rPr>
          <w:lang w:val="fr-FR"/>
        </w:rPr>
        <w:t>6.8.4 d), TT5</w:t>
      </w:r>
      <w:r w:rsidRPr="005E33C3">
        <w:rPr>
          <w:lang w:val="fr-FR"/>
        </w:rPr>
        <w:tab/>
        <w:t>Remplacer « doivent avoir lieu » par « doivent être effectués ».</w:t>
      </w:r>
    </w:p>
    <w:p w14:paraId="07F9E4FB"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18D22D22" w14:textId="77777777" w:rsidR="005E33C3" w:rsidRPr="005E33C3" w:rsidRDefault="005E33C3" w:rsidP="005E33C3">
      <w:pPr>
        <w:spacing w:after="120"/>
        <w:ind w:left="2268" w:right="1134" w:hanging="1134"/>
        <w:jc w:val="both"/>
        <w:rPr>
          <w:lang w:val="fr-FR"/>
        </w:rPr>
      </w:pPr>
      <w:r w:rsidRPr="005E33C3">
        <w:rPr>
          <w:lang w:val="fr-FR"/>
        </w:rPr>
        <w:t>6.8.4 d), TT6</w:t>
      </w:r>
      <w:r w:rsidRPr="005E33C3">
        <w:rPr>
          <w:lang w:val="fr-FR"/>
        </w:rPr>
        <w:tab/>
        <w:t>Remplacer « doit avoir lieu » par « doit être effectué ».</w:t>
      </w:r>
    </w:p>
    <w:p w14:paraId="521A2172"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4F81F488" w14:textId="77777777" w:rsidR="005E33C3" w:rsidRPr="005E33C3" w:rsidRDefault="005E33C3" w:rsidP="005E33C3">
      <w:pPr>
        <w:spacing w:after="120"/>
        <w:ind w:left="2268" w:right="1134" w:hanging="1134"/>
        <w:jc w:val="both"/>
        <w:rPr>
          <w:lang w:val="fr-FR"/>
        </w:rPr>
      </w:pPr>
      <w:r w:rsidRPr="005E33C3">
        <w:rPr>
          <w:lang w:val="fr-FR"/>
        </w:rPr>
        <w:t>6.8.4 d), TT10</w:t>
      </w:r>
      <w:r w:rsidRPr="005E33C3">
        <w:rPr>
          <w:lang w:val="fr-FR"/>
        </w:rPr>
        <w:tab/>
        <w:t>Remplacer « doivent avoir lieu » par « doivent être effectués ».</w:t>
      </w:r>
    </w:p>
    <w:p w14:paraId="478EECF5"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51254DE4" w14:textId="77777777" w:rsidR="005E33C3" w:rsidRPr="005E33C3" w:rsidRDefault="005E33C3" w:rsidP="005E33C3">
      <w:pPr>
        <w:spacing w:after="120"/>
        <w:ind w:left="2268" w:right="1134" w:hanging="1134"/>
        <w:jc w:val="both"/>
        <w:rPr>
          <w:lang w:val="fr-FR"/>
        </w:rPr>
      </w:pPr>
      <w:r w:rsidRPr="005E33C3">
        <w:rPr>
          <w:lang w:val="fr-FR"/>
        </w:rPr>
        <w:t>6.8.4 d), TT11</w:t>
      </w:r>
      <w:r w:rsidRPr="005E33C3">
        <w:rPr>
          <w:lang w:val="fr-FR"/>
        </w:rPr>
        <w:tab/>
        <w:t>Dans l’énumération des normes après la deuxième phrase :</w:t>
      </w:r>
    </w:p>
    <w:p w14:paraId="1F2A0A55" w14:textId="77777777" w:rsidR="005E33C3" w:rsidRPr="005E33C3" w:rsidRDefault="005E33C3" w:rsidP="005E33C3">
      <w:pPr>
        <w:spacing w:after="120"/>
        <w:ind w:left="2268" w:right="1134" w:hanging="1134"/>
        <w:jc w:val="both"/>
        <w:rPr>
          <w:lang w:val="fr-FR"/>
        </w:rPr>
      </w:pPr>
      <w:r w:rsidRPr="005E33C3">
        <w:rPr>
          <w:lang w:val="fr-FR"/>
        </w:rPr>
        <w:tab/>
        <w:t xml:space="preserve">Remplacer « EN ISO </w:t>
      </w:r>
      <w:proofErr w:type="gramStart"/>
      <w:r w:rsidRPr="005E33C3">
        <w:rPr>
          <w:lang w:val="fr-FR"/>
        </w:rPr>
        <w:t>17640:</w:t>
      </w:r>
      <w:proofErr w:type="gramEnd"/>
      <w:r w:rsidRPr="005E33C3">
        <w:rPr>
          <w:lang w:val="fr-FR"/>
        </w:rPr>
        <w:t>2010 » par « EN ISO 17640:2018 ».</w:t>
      </w:r>
    </w:p>
    <w:p w14:paraId="2ADB24F0" w14:textId="77777777" w:rsidR="005E33C3" w:rsidRPr="005E33C3" w:rsidRDefault="005E33C3" w:rsidP="005E33C3">
      <w:pPr>
        <w:spacing w:after="120"/>
        <w:ind w:left="2268" w:right="1134" w:hanging="1134"/>
        <w:jc w:val="both"/>
        <w:rPr>
          <w:lang w:val="fr-FR"/>
        </w:rPr>
      </w:pPr>
      <w:r w:rsidRPr="005E33C3">
        <w:rPr>
          <w:lang w:val="fr-FR"/>
        </w:rPr>
        <w:tab/>
        <w:t xml:space="preserve">Remplacer « EN ISO </w:t>
      </w:r>
      <w:proofErr w:type="gramStart"/>
      <w:r w:rsidRPr="005E33C3">
        <w:rPr>
          <w:lang w:val="fr-FR"/>
        </w:rPr>
        <w:t>17638:</w:t>
      </w:r>
      <w:proofErr w:type="gramEnd"/>
      <w:r w:rsidRPr="005E33C3">
        <w:rPr>
          <w:lang w:val="fr-FR"/>
        </w:rPr>
        <w:t>2009 » par « EN ISO 17638:2016 ».</w:t>
      </w:r>
    </w:p>
    <w:p w14:paraId="3424DEA9" w14:textId="77777777" w:rsidR="005E33C3" w:rsidRPr="005E33C3" w:rsidRDefault="005E33C3" w:rsidP="005E33C3">
      <w:pPr>
        <w:spacing w:after="120"/>
        <w:ind w:left="2268" w:right="1134" w:hanging="1134"/>
        <w:jc w:val="both"/>
        <w:rPr>
          <w:lang w:val="fr-FR"/>
        </w:rPr>
      </w:pPr>
      <w:r w:rsidRPr="005E33C3">
        <w:rPr>
          <w:lang w:val="fr-FR"/>
        </w:rPr>
        <w:tab/>
        <w:t xml:space="preserve">Remplacer « EN ISO </w:t>
      </w:r>
      <w:proofErr w:type="gramStart"/>
      <w:r w:rsidRPr="005E33C3">
        <w:rPr>
          <w:lang w:val="fr-FR"/>
        </w:rPr>
        <w:t>23278:</w:t>
      </w:r>
      <w:proofErr w:type="gramEnd"/>
      <w:r w:rsidRPr="005E33C3">
        <w:rPr>
          <w:lang w:val="fr-FR"/>
        </w:rPr>
        <w:t xml:space="preserve">2009 (Contrôle par magnétoscopie des soudures. Niveaux d’acceptation) » par « EN ISO </w:t>
      </w:r>
      <w:proofErr w:type="gramStart"/>
      <w:r w:rsidRPr="005E33C3">
        <w:rPr>
          <w:lang w:val="fr-FR"/>
        </w:rPr>
        <w:t>23278:</w:t>
      </w:r>
      <w:proofErr w:type="gramEnd"/>
      <w:r w:rsidRPr="005E33C3">
        <w:rPr>
          <w:lang w:val="fr-FR"/>
        </w:rPr>
        <w:t>2015 (Contrôle non destructif des assemblages soudés - Contrôle par magnétoscopie - Niveaux d’acceptation) ».</w:t>
      </w:r>
    </w:p>
    <w:p w14:paraId="057EBA36" w14:textId="77777777" w:rsidR="005E33C3" w:rsidRPr="005E33C3" w:rsidRDefault="005E33C3" w:rsidP="005E33C3">
      <w:pPr>
        <w:spacing w:after="120"/>
        <w:ind w:left="2268" w:right="1134" w:hanging="1134"/>
        <w:jc w:val="both"/>
        <w:rPr>
          <w:lang w:val="fr-FR"/>
        </w:rPr>
      </w:pPr>
      <w:r w:rsidRPr="005E33C3">
        <w:rPr>
          <w:lang w:val="fr-FR"/>
        </w:rPr>
        <w:tab/>
        <w:t xml:space="preserve">Remplacer « EN </w:t>
      </w:r>
      <w:proofErr w:type="gramStart"/>
      <w:r w:rsidRPr="005E33C3">
        <w:rPr>
          <w:lang w:val="fr-FR"/>
        </w:rPr>
        <w:t>1711:</w:t>
      </w:r>
      <w:proofErr w:type="gramEnd"/>
      <w:r w:rsidRPr="005E33C3">
        <w:rPr>
          <w:lang w:val="fr-FR"/>
        </w:rPr>
        <w:t>2000 » par « EN ISO 17643:2015 ».</w:t>
      </w:r>
    </w:p>
    <w:p w14:paraId="69BA61A9" w14:textId="77777777" w:rsidR="005E33C3" w:rsidRPr="005E33C3" w:rsidRDefault="005E33C3" w:rsidP="005E33C3">
      <w:pPr>
        <w:spacing w:after="120"/>
        <w:ind w:left="2268" w:right="1134" w:hanging="1134"/>
        <w:jc w:val="both"/>
        <w:rPr>
          <w:lang w:val="fr-FR"/>
        </w:rPr>
      </w:pPr>
      <w:r w:rsidRPr="005E33C3">
        <w:rPr>
          <w:lang w:val="fr-FR"/>
        </w:rPr>
        <w:lastRenderedPageBreak/>
        <w:tab/>
        <w:t xml:space="preserve">Remplacer « EN </w:t>
      </w:r>
      <w:proofErr w:type="gramStart"/>
      <w:r w:rsidRPr="005E33C3">
        <w:rPr>
          <w:lang w:val="fr-FR"/>
        </w:rPr>
        <w:t>14127:</w:t>
      </w:r>
      <w:proofErr w:type="gramEnd"/>
      <w:r w:rsidRPr="005E33C3">
        <w:rPr>
          <w:lang w:val="fr-FR"/>
        </w:rPr>
        <w:t>2011 − Essais non destructifs − Mesure de l’épaisseur par ultrasons. » par « EN ISO 16809:2019 − Essais non destructifs − Mesurage de l’épaisseur par ultrasons. ».</w:t>
      </w:r>
    </w:p>
    <w:p w14:paraId="2E418B81" w14:textId="77777777" w:rsidR="005E33C3" w:rsidRPr="005E33C3" w:rsidRDefault="005E33C3" w:rsidP="005E33C3">
      <w:pPr>
        <w:spacing w:after="120"/>
        <w:ind w:left="2268" w:right="1134" w:hanging="1134"/>
        <w:jc w:val="both"/>
        <w:rPr>
          <w:lang w:val="fr-FR"/>
        </w:rPr>
      </w:pPr>
      <w:r w:rsidRPr="005E33C3">
        <w:rPr>
          <w:lang w:val="fr-FR"/>
        </w:rPr>
        <w:tab/>
        <w:t xml:space="preserve">Dans le paragraphe figurant sous le tableau, remplacer « EN ISO </w:t>
      </w:r>
      <w:proofErr w:type="gramStart"/>
      <w:r w:rsidRPr="005E33C3">
        <w:rPr>
          <w:lang w:val="fr-FR"/>
        </w:rPr>
        <w:t>23278:</w:t>
      </w:r>
      <w:proofErr w:type="gramEnd"/>
      <w:r w:rsidRPr="005E33C3">
        <w:rPr>
          <w:lang w:val="fr-FR"/>
        </w:rPr>
        <w:t xml:space="preserve">2009 (Contrôle par magnétoscopie des soudures. Niveaux d’acceptation) » par « EN ISO </w:t>
      </w:r>
      <w:proofErr w:type="gramStart"/>
      <w:r w:rsidRPr="005E33C3">
        <w:rPr>
          <w:lang w:val="fr-FR"/>
        </w:rPr>
        <w:t>23278:</w:t>
      </w:r>
      <w:proofErr w:type="gramEnd"/>
      <w:r w:rsidRPr="005E33C3">
        <w:rPr>
          <w:lang w:val="fr-FR"/>
        </w:rPr>
        <w:t>2015 (Contrôle non destructif des assemblages soudés - Contrôle par magnétoscopie - Niveaux d’acceptation) ».</w:t>
      </w:r>
      <w:r w:rsidRPr="005E33C3" w:rsidDel="006762D3">
        <w:rPr>
          <w:lang w:val="fr-FR"/>
        </w:rPr>
        <w:t xml:space="preserve"> </w:t>
      </w:r>
    </w:p>
    <w:p w14:paraId="2391980D"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382E971"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3" w:hanging="1134"/>
        <w:rPr>
          <w:b/>
          <w:sz w:val="24"/>
          <w:lang w:val="fr-FR"/>
        </w:rPr>
      </w:pPr>
      <w:r w:rsidRPr="005E33C3">
        <w:rPr>
          <w:b/>
          <w:bCs/>
          <w:sz w:val="24"/>
          <w:lang w:val="fr-FR"/>
        </w:rPr>
        <w:tab/>
      </w:r>
      <w:r w:rsidRPr="005E33C3">
        <w:rPr>
          <w:b/>
          <w:bCs/>
          <w:sz w:val="24"/>
          <w:lang w:val="fr-FR"/>
        </w:rPr>
        <w:tab/>
      </w:r>
      <w:r w:rsidRPr="005E33C3">
        <w:rPr>
          <w:b/>
          <w:sz w:val="24"/>
          <w:lang w:val="fr-FR"/>
        </w:rPr>
        <w:t>Chapitre 6.10</w:t>
      </w:r>
    </w:p>
    <w:p w14:paraId="704248CC" w14:textId="714680DE" w:rsidR="005E33C3" w:rsidRPr="005E33C3" w:rsidRDefault="005E33C3" w:rsidP="005E33C3">
      <w:pPr>
        <w:spacing w:after="120"/>
        <w:ind w:left="2268" w:right="1134" w:hanging="1134"/>
        <w:jc w:val="both"/>
        <w:rPr>
          <w:lang w:val="fr-FR"/>
        </w:rPr>
      </w:pPr>
      <w:r w:rsidRPr="005E33C3">
        <w:rPr>
          <w:lang w:val="fr-FR"/>
        </w:rPr>
        <w:t>6.10.4</w:t>
      </w:r>
      <w:r w:rsidRPr="005E33C3">
        <w:rPr>
          <w:lang w:val="fr-FR"/>
        </w:rPr>
        <w:tab/>
        <w:t>[L’amendement dans la version anglaise ne s’applique pas au texte français.]</w:t>
      </w:r>
    </w:p>
    <w:p w14:paraId="39EFB584"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3C136916"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3" w:hanging="1134"/>
        <w:rPr>
          <w:b/>
          <w:sz w:val="24"/>
          <w:lang w:val="fr-FR"/>
        </w:rPr>
      </w:pPr>
      <w:r w:rsidRPr="005E33C3">
        <w:rPr>
          <w:b/>
          <w:sz w:val="24"/>
          <w:lang w:val="fr-FR"/>
        </w:rPr>
        <w:tab/>
      </w:r>
      <w:r w:rsidRPr="005E33C3">
        <w:rPr>
          <w:b/>
          <w:sz w:val="24"/>
          <w:lang w:val="fr-FR"/>
        </w:rPr>
        <w:tab/>
        <w:t>Chapitre 6.12</w:t>
      </w:r>
    </w:p>
    <w:p w14:paraId="4FB34C8E" w14:textId="77777777" w:rsidR="005E33C3" w:rsidRPr="005E33C3" w:rsidRDefault="005E33C3" w:rsidP="005E33C3">
      <w:pPr>
        <w:spacing w:after="120"/>
        <w:ind w:left="2268" w:right="1134" w:hanging="1134"/>
        <w:jc w:val="both"/>
        <w:rPr>
          <w:lang w:val="fr-FR"/>
        </w:rPr>
      </w:pPr>
      <w:r w:rsidRPr="005E33C3">
        <w:rPr>
          <w:lang w:val="fr-FR"/>
        </w:rPr>
        <w:t>6.12.3.2.6</w:t>
      </w:r>
      <w:r w:rsidRPr="005E33C3">
        <w:rPr>
          <w:lang w:val="fr-FR"/>
        </w:rPr>
        <w:tab/>
        <w:t>Dans la dernière phrase, remplacer « au moins tous les trois ans » par « au plus tard tous les trois ans ».</w:t>
      </w:r>
    </w:p>
    <w:p w14:paraId="2C8CBC14"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2E181299"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7.4</w:t>
      </w:r>
    </w:p>
    <w:p w14:paraId="6C8E4E6C" w14:textId="38CAB0EC" w:rsidR="005E33C3" w:rsidRPr="005E33C3" w:rsidRDefault="005E33C3" w:rsidP="005E33C3">
      <w:pPr>
        <w:spacing w:after="120"/>
        <w:ind w:left="2268" w:right="1134" w:hanging="1134"/>
        <w:jc w:val="both"/>
        <w:rPr>
          <w:lang w:val="fr-FR"/>
        </w:rPr>
      </w:pPr>
      <w:r w:rsidRPr="005E33C3">
        <w:rPr>
          <w:lang w:val="fr-FR"/>
        </w:rPr>
        <w:t>7.4.1</w:t>
      </w:r>
      <w:r w:rsidRPr="005E33C3">
        <w:rPr>
          <w:lang w:val="fr-FR"/>
        </w:rPr>
        <w:tab/>
        <w:t>Modifier la première phrase comme suit : « Une marchandise dangereuse ne peut être transportée en citernes que lorsqu’une instruction de transport en citernes mobiles est indiquée dans la colonne (10) ou un code-citerne est indiqué dans la colonne (12) du tableau A du chapitre 3.2 ou lorsqu’une autorité compétente a délivré une autorisation dans les conditions précisées au 6.7.1.3. ».</w:t>
      </w:r>
    </w:p>
    <w:p w14:paraId="2A637315"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 tel que modifié)</w:t>
      </w:r>
    </w:p>
    <w:p w14:paraId="4442AB32"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8.1</w:t>
      </w:r>
    </w:p>
    <w:p w14:paraId="4CAE6A57" w14:textId="77777777" w:rsidR="005E33C3" w:rsidRPr="005E33C3" w:rsidRDefault="005E33C3" w:rsidP="005E33C3">
      <w:pPr>
        <w:spacing w:after="120"/>
        <w:ind w:left="2268" w:right="1134" w:hanging="1134"/>
        <w:jc w:val="both"/>
        <w:rPr>
          <w:lang w:val="fr-FR"/>
        </w:rPr>
      </w:pPr>
      <w:r w:rsidRPr="005E33C3">
        <w:rPr>
          <w:lang w:val="fr-FR"/>
        </w:rPr>
        <w:t>8.1.2.1</w:t>
      </w:r>
      <w:r w:rsidRPr="005E33C3">
        <w:rPr>
          <w:lang w:val="fr-FR"/>
        </w:rPr>
        <w:tab/>
        <w:t>À l’alinéa a), supprimer « et, le cas échéant, le "certificat d’empotage du conteneur ou du véhicule" ».</w:t>
      </w:r>
    </w:p>
    <w:p w14:paraId="5A3268E4" w14:textId="77777777" w:rsidR="005E33C3" w:rsidRPr="005E33C3" w:rsidRDefault="005E33C3" w:rsidP="005E33C3">
      <w:pPr>
        <w:spacing w:after="120"/>
        <w:ind w:left="1134" w:right="1134"/>
        <w:jc w:val="both"/>
        <w:rPr>
          <w:bCs/>
          <w:i/>
          <w:iCs/>
          <w:lang w:val="fr-FR"/>
        </w:rPr>
      </w:pPr>
      <w:r w:rsidRPr="005E33C3">
        <w:rPr>
          <w:bCs/>
          <w:i/>
          <w:iCs/>
          <w:lang w:val="fr-FR"/>
        </w:rPr>
        <w:t>(Documents de référence : ECE/TRANS/WP.15/AC.1/160, Annexe II et document informel INF.11)</w:t>
      </w:r>
    </w:p>
    <w:p w14:paraId="5AEED223" w14:textId="77777777" w:rsidR="005E33C3" w:rsidRPr="005E33C3" w:rsidRDefault="005E33C3" w:rsidP="005E33C3">
      <w:pPr>
        <w:keepNext/>
        <w:keepLines/>
        <w:numPr>
          <w:ilvl w:val="0"/>
          <w:numId w:val="1"/>
        </w:numPr>
        <w:tabs>
          <w:tab w:val="clear" w:pos="1701"/>
          <w:tab w:val="right" w:pos="851"/>
        </w:tabs>
        <w:spacing w:before="360" w:after="240" w:line="270" w:lineRule="exact"/>
        <w:ind w:left="1134" w:right="1134" w:hanging="1134"/>
        <w:rPr>
          <w:b/>
          <w:sz w:val="24"/>
          <w:lang w:val="fr-FR"/>
        </w:rPr>
      </w:pPr>
      <w:r w:rsidRPr="005E33C3">
        <w:rPr>
          <w:b/>
          <w:sz w:val="24"/>
          <w:lang w:val="fr-FR"/>
        </w:rPr>
        <w:tab/>
      </w:r>
      <w:r w:rsidRPr="005E33C3">
        <w:rPr>
          <w:b/>
          <w:sz w:val="24"/>
          <w:lang w:val="fr-FR"/>
        </w:rPr>
        <w:tab/>
        <w:t>Chapitre 8.5</w:t>
      </w:r>
    </w:p>
    <w:p w14:paraId="1700645B" w14:textId="77777777" w:rsidR="005E33C3" w:rsidRPr="005E33C3" w:rsidRDefault="005E33C3" w:rsidP="005E33C3">
      <w:pPr>
        <w:keepNext/>
        <w:spacing w:after="120"/>
        <w:ind w:left="2268" w:right="1134" w:hanging="1134"/>
        <w:jc w:val="both"/>
        <w:rPr>
          <w:lang w:val="fr-FR"/>
        </w:rPr>
      </w:pPr>
      <w:r w:rsidRPr="005E33C3">
        <w:rPr>
          <w:lang w:val="fr-FR"/>
        </w:rPr>
        <w:t>S1 (6)</w:t>
      </w:r>
      <w:r w:rsidRPr="005E33C3">
        <w:rPr>
          <w:lang w:val="fr-FR"/>
        </w:rPr>
        <w:tab/>
        <w:t xml:space="preserve">Dans la liste du premier paragraphe remplacer « et 0500 » par </w:t>
      </w:r>
      <w:proofErr w:type="gramStart"/>
      <w:r w:rsidRPr="005E33C3">
        <w:rPr>
          <w:lang w:val="fr-FR"/>
        </w:rPr>
        <w:t>« ,</w:t>
      </w:r>
      <w:proofErr w:type="gramEnd"/>
      <w:r w:rsidRPr="005E33C3">
        <w:rPr>
          <w:lang w:val="fr-FR"/>
        </w:rPr>
        <w:t xml:space="preserve"> 0500, 0512 et 0513 ».</w:t>
      </w:r>
    </w:p>
    <w:p w14:paraId="0516B028" w14:textId="77777777" w:rsidR="005E33C3" w:rsidRPr="005E33C3" w:rsidRDefault="005E33C3" w:rsidP="005E33C3">
      <w:pPr>
        <w:spacing w:after="120"/>
        <w:ind w:left="1134" w:right="1134"/>
        <w:jc w:val="both"/>
        <w:rPr>
          <w:i/>
          <w:lang w:val="fr-FR"/>
        </w:rPr>
      </w:pPr>
      <w:r w:rsidRPr="005E33C3">
        <w:rPr>
          <w:i/>
          <w:lang w:val="fr-FR"/>
        </w:rPr>
        <w:t>(</w:t>
      </w:r>
      <w:r w:rsidRPr="005E33C3">
        <w:rPr>
          <w:i/>
          <w:iCs/>
          <w:lang w:val="fr-FR" w:eastAsia="en-GB"/>
        </w:rPr>
        <w:t xml:space="preserve">Document de référence </w:t>
      </w:r>
      <w:r w:rsidRPr="005E33C3">
        <w:rPr>
          <w:i/>
          <w:lang w:val="fr-FR"/>
        </w:rPr>
        <w:t>: ECE/TRANS/WP.15/2021/3)</w:t>
      </w:r>
    </w:p>
    <w:p w14:paraId="491BB086" w14:textId="77777777" w:rsidR="002030DB" w:rsidRPr="005E33C3" w:rsidRDefault="002030DB">
      <w:pPr>
        <w:suppressAutoHyphens w:val="0"/>
        <w:kinsoku/>
        <w:overflowPunct/>
        <w:autoSpaceDE/>
        <w:autoSpaceDN/>
        <w:adjustRightInd/>
        <w:snapToGrid/>
        <w:spacing w:after="200" w:line="276" w:lineRule="auto"/>
        <w:rPr>
          <w:lang w:val="fr-FR"/>
        </w:rPr>
      </w:pPr>
      <w:r w:rsidRPr="005E33C3">
        <w:rPr>
          <w:lang w:val="fr-FR"/>
        </w:rPr>
        <w:br w:type="page"/>
      </w:r>
    </w:p>
    <w:p w14:paraId="0B114614" w14:textId="77777777" w:rsidR="002030DB" w:rsidRPr="005E33C3" w:rsidRDefault="002030DB">
      <w:pPr>
        <w:suppressAutoHyphens w:val="0"/>
        <w:kinsoku/>
        <w:overflowPunct/>
        <w:autoSpaceDE/>
        <w:autoSpaceDN/>
        <w:adjustRightInd/>
        <w:snapToGrid/>
        <w:spacing w:after="200" w:line="276" w:lineRule="auto"/>
        <w:rPr>
          <w:b/>
          <w:sz w:val="28"/>
          <w:lang w:val="fr-FR"/>
        </w:rPr>
      </w:pPr>
      <w:r w:rsidRPr="005E33C3">
        <w:rPr>
          <w:b/>
          <w:sz w:val="28"/>
          <w:lang w:val="fr-FR"/>
        </w:rPr>
        <w:lastRenderedPageBreak/>
        <w:t>Annexe II</w:t>
      </w:r>
    </w:p>
    <w:p w14:paraId="596AA088" w14:textId="309EC5FD" w:rsidR="002030DB" w:rsidRPr="005E33C3" w:rsidRDefault="002030DB" w:rsidP="002030DB">
      <w:pPr>
        <w:pStyle w:val="HChG"/>
        <w:rPr>
          <w:lang w:val="fr-FR"/>
        </w:rPr>
      </w:pPr>
      <w:r w:rsidRPr="005E33C3">
        <w:rPr>
          <w:lang w:val="fr-FR"/>
        </w:rPr>
        <w:tab/>
      </w:r>
      <w:r w:rsidRPr="005E33C3">
        <w:rPr>
          <w:lang w:val="fr-FR"/>
        </w:rPr>
        <w:tab/>
      </w:r>
      <w:r w:rsidR="0071554E" w:rsidRPr="005E33C3">
        <w:rPr>
          <w:lang w:val="fr-FR"/>
        </w:rPr>
        <w:t>Corrections à la version anglaise de l’ADR 2021</w:t>
      </w:r>
    </w:p>
    <w:p w14:paraId="2369AB21" w14:textId="77777777" w:rsidR="00F805F9" w:rsidRPr="00F805F9" w:rsidRDefault="00F805F9" w:rsidP="00F805F9">
      <w:pPr>
        <w:spacing w:after="120"/>
        <w:ind w:left="1134" w:right="1134"/>
        <w:jc w:val="both"/>
        <w:rPr>
          <w:lang w:val="fr-FR"/>
        </w:rPr>
      </w:pPr>
      <w:r w:rsidRPr="00F805F9">
        <w:rPr>
          <w:lang w:val="fr-FR"/>
        </w:rPr>
        <w:t>Les corrections s’appliquent à la version anglaise uniquement.</w:t>
      </w:r>
    </w:p>
    <w:p w14:paraId="42E8DF2F" w14:textId="5C92E969" w:rsidR="00DE3751" w:rsidRPr="005E33C3" w:rsidRDefault="00DE3751">
      <w:pPr>
        <w:suppressAutoHyphens w:val="0"/>
        <w:kinsoku/>
        <w:overflowPunct/>
        <w:autoSpaceDE/>
        <w:autoSpaceDN/>
        <w:adjustRightInd/>
        <w:snapToGrid/>
        <w:spacing w:after="200" w:line="276" w:lineRule="auto"/>
        <w:rPr>
          <w:b/>
          <w:sz w:val="28"/>
          <w:lang w:val="fr-FR"/>
        </w:rPr>
      </w:pPr>
      <w:r w:rsidRPr="005E33C3">
        <w:rPr>
          <w:b/>
          <w:sz w:val="28"/>
          <w:lang w:val="fr-FR"/>
        </w:rPr>
        <w:br w:type="page"/>
      </w:r>
    </w:p>
    <w:p w14:paraId="1DC436FA" w14:textId="6002F0D5" w:rsidR="00827F40" w:rsidRPr="005E33C3" w:rsidRDefault="00827F40" w:rsidP="00827F40">
      <w:pPr>
        <w:keepNext/>
        <w:keepLines/>
        <w:tabs>
          <w:tab w:val="right" w:pos="851"/>
        </w:tabs>
        <w:spacing w:after="240" w:line="300" w:lineRule="exact"/>
        <w:ind w:left="1134" w:right="1134" w:hanging="1134"/>
        <w:rPr>
          <w:b/>
          <w:sz w:val="28"/>
          <w:lang w:val="fr-FR"/>
        </w:rPr>
      </w:pPr>
      <w:r w:rsidRPr="005E33C3">
        <w:rPr>
          <w:b/>
          <w:sz w:val="28"/>
          <w:lang w:val="fr-FR"/>
        </w:rPr>
        <w:lastRenderedPageBreak/>
        <w:t>Annexe II</w:t>
      </w:r>
      <w:r w:rsidR="0071554E" w:rsidRPr="005E33C3">
        <w:rPr>
          <w:b/>
          <w:sz w:val="28"/>
          <w:lang w:val="fr-FR"/>
        </w:rPr>
        <w:t>I</w:t>
      </w:r>
    </w:p>
    <w:p w14:paraId="0B7DCDB2" w14:textId="77777777" w:rsidR="00827F40" w:rsidRPr="005E33C3" w:rsidRDefault="00827F40" w:rsidP="00827F40">
      <w:pPr>
        <w:pStyle w:val="HChG"/>
        <w:rPr>
          <w:lang w:val="fr-FR"/>
        </w:rPr>
      </w:pPr>
      <w:r w:rsidRPr="005E33C3">
        <w:rPr>
          <w:lang w:val="fr-FR"/>
        </w:rPr>
        <w:tab/>
      </w:r>
      <w:r w:rsidRPr="005E33C3">
        <w:rPr>
          <w:lang w:val="fr-FR"/>
        </w:rPr>
        <w:tab/>
        <w:t>Liste de décisions</w:t>
      </w:r>
    </w:p>
    <w:p w14:paraId="587E34D4" w14:textId="175C865A" w:rsidR="00F36566" w:rsidRPr="005E33C3" w:rsidRDefault="00F36566" w:rsidP="00F36566">
      <w:pPr>
        <w:pStyle w:val="SingleTxtG"/>
        <w:rPr>
          <w:lang w:val="fr-FR"/>
        </w:rPr>
      </w:pPr>
      <w:r w:rsidRPr="005E33C3">
        <w:rPr>
          <w:lang w:val="fr-FR"/>
        </w:rPr>
        <w:t xml:space="preserve">Décision 1 : Le Groupe de travail a entériné l’amendement au 1.9.4 </w:t>
      </w:r>
      <w:proofErr w:type="gramStart"/>
      <w:r w:rsidRPr="005E33C3">
        <w:rPr>
          <w:lang w:val="fr-FR"/>
        </w:rPr>
        <w:t>adopté</w:t>
      </w:r>
      <w:proofErr w:type="gramEnd"/>
      <w:r w:rsidRPr="005E33C3">
        <w:rPr>
          <w:lang w:val="fr-FR"/>
        </w:rPr>
        <w:t xml:space="preserve"> par la Réunion commune à sa session d’automne 2020 (ECE/TRANS/WP.15/AC.1/158, annexe II).</w:t>
      </w:r>
    </w:p>
    <w:p w14:paraId="290A1D0A" w14:textId="7A6EEB71" w:rsidR="00350A56" w:rsidRPr="005E33C3" w:rsidRDefault="00350A56" w:rsidP="00350A56">
      <w:pPr>
        <w:pStyle w:val="SingleTxtG"/>
        <w:rPr>
          <w:lang w:val="fr-FR"/>
        </w:rPr>
      </w:pPr>
      <w:r w:rsidRPr="005E33C3">
        <w:rPr>
          <w:lang w:val="fr-FR"/>
        </w:rPr>
        <w:t>Décision 2 : Le Groupe de travail a entériné le projet d’amendement adopté par la Réunion commune à sa session de printemps 2021 tel que repris dans le document informel INF.11 disponible en Anglais, Français et Russe.</w:t>
      </w:r>
    </w:p>
    <w:p w14:paraId="27352A51" w14:textId="6C95D3CF" w:rsidR="00654083" w:rsidRPr="005E33C3" w:rsidRDefault="00654083" w:rsidP="00654083">
      <w:pPr>
        <w:spacing w:after="120"/>
        <w:ind w:left="1134" w:right="1134"/>
        <w:jc w:val="both"/>
        <w:rPr>
          <w:lang w:val="fr-FR"/>
        </w:rPr>
      </w:pPr>
      <w:r w:rsidRPr="005E33C3">
        <w:rPr>
          <w:lang w:val="fr-FR"/>
        </w:rPr>
        <w:t>Décision 3 : Le Groupe de travail a adopté la proposition figurant dans le document ECE/TRANS/WP.15/2021/1.</w:t>
      </w:r>
    </w:p>
    <w:p w14:paraId="15B0F872" w14:textId="4950F611" w:rsidR="00554F60" w:rsidRPr="005E33C3" w:rsidRDefault="00554F60" w:rsidP="00554F60">
      <w:pPr>
        <w:spacing w:after="120"/>
        <w:ind w:left="1134" w:right="1134"/>
        <w:jc w:val="both"/>
        <w:rPr>
          <w:lang w:val="fr-FR"/>
        </w:rPr>
      </w:pPr>
      <w:r w:rsidRPr="005E33C3">
        <w:rPr>
          <w:lang w:val="fr-FR"/>
        </w:rPr>
        <w:t>Décision 4 : Le Groupe de travail a adopté la proposition figurant dans le document ECE/TRANS/WP.15/2021/3.</w:t>
      </w:r>
    </w:p>
    <w:p w14:paraId="20509D2E" w14:textId="1B79A24A" w:rsidR="002627FC" w:rsidRPr="005E33C3" w:rsidRDefault="002627FC" w:rsidP="002627FC">
      <w:pPr>
        <w:spacing w:after="120"/>
        <w:ind w:left="1134" w:right="1134"/>
        <w:jc w:val="both"/>
        <w:rPr>
          <w:lang w:val="fr-FR"/>
        </w:rPr>
      </w:pPr>
      <w:r w:rsidRPr="005E33C3">
        <w:rPr>
          <w:lang w:val="fr-FR"/>
        </w:rPr>
        <w:t>Décision 5 : Le Groupe de travail a confirmé les interprétations proposées aux paragraphes 8, 9, 12 et 14 du document ECE/TRANS/WP.15/2021/5.</w:t>
      </w:r>
    </w:p>
    <w:p w14:paraId="3EBF7837" w14:textId="38060CE5" w:rsidR="00465DDD" w:rsidRPr="005E33C3" w:rsidRDefault="00465DDD" w:rsidP="00465DDD">
      <w:pPr>
        <w:spacing w:after="120"/>
        <w:ind w:left="1134" w:right="1134"/>
        <w:jc w:val="both"/>
        <w:rPr>
          <w:lang w:val="fr-FR"/>
        </w:rPr>
      </w:pPr>
      <w:r w:rsidRPr="005E33C3">
        <w:rPr>
          <w:lang w:val="fr-FR"/>
        </w:rPr>
        <w:t>Décision 6 : Le Groupe de travail a confirmé que le terme « autorité compétente » dans la sous-section 9.1.2.1 faisait référence à l’autorité compétente du pays d’immatriculation.</w:t>
      </w:r>
    </w:p>
    <w:p w14:paraId="0860D4F1" w14:textId="641CA4D8" w:rsidR="00337423" w:rsidRPr="005E33C3" w:rsidRDefault="00337423" w:rsidP="00337423">
      <w:pPr>
        <w:spacing w:after="120"/>
        <w:ind w:left="1134" w:right="1134"/>
        <w:jc w:val="both"/>
        <w:rPr>
          <w:lang w:val="fr-FR"/>
        </w:rPr>
      </w:pPr>
      <w:r w:rsidRPr="005E33C3">
        <w:rPr>
          <w:lang w:val="fr-FR"/>
        </w:rPr>
        <w:t>Décision 7 : Le Groupe de travail a adopté la proposition figurant dans le document ECE/TRANS/WP.15/2020/4.</w:t>
      </w:r>
    </w:p>
    <w:p w14:paraId="38ACFB09" w14:textId="246CFF5E" w:rsidR="00C92114" w:rsidRPr="005E33C3" w:rsidRDefault="00C92114" w:rsidP="00C92114">
      <w:pPr>
        <w:pStyle w:val="SingleTxtG"/>
        <w:rPr>
          <w:lang w:val="fr-FR"/>
        </w:rPr>
      </w:pPr>
      <w:r w:rsidRPr="005E33C3">
        <w:rPr>
          <w:lang w:val="fr-FR"/>
        </w:rPr>
        <w:t>Décision 8</w:t>
      </w:r>
      <w:r w:rsidR="00B208FE" w:rsidRPr="005E33C3">
        <w:rPr>
          <w:lang w:val="fr-FR"/>
        </w:rPr>
        <w:t> </w:t>
      </w:r>
      <w:r w:rsidRPr="005E33C3">
        <w:rPr>
          <w:lang w:val="fr-FR"/>
        </w:rPr>
        <w:t xml:space="preserve">: Le Groupe de travail a approuvé l’interprétation donnée par le représentant des Pays-Bas aux paragraphes 3 à 5 du document ECE/TRANS/WP.15/2021/6 et a prié le secrétariat d’établir un lien </w:t>
      </w:r>
      <w:r w:rsidR="002A7E73" w:rsidRPr="005E33C3">
        <w:rPr>
          <w:lang w:val="fr-FR"/>
        </w:rPr>
        <w:t xml:space="preserve">à ces paragraphes </w:t>
      </w:r>
      <w:r w:rsidRPr="005E33C3">
        <w:rPr>
          <w:lang w:val="fr-FR"/>
        </w:rPr>
        <w:t>sur la page sur l’interprétation de l’ADR sur le site Web de la CEE.</w:t>
      </w:r>
    </w:p>
    <w:p w14:paraId="5DF4B333" w14:textId="2459CF0D" w:rsidR="00C46351" w:rsidRPr="005E33C3" w:rsidRDefault="007B3127" w:rsidP="007B3127">
      <w:pPr>
        <w:spacing w:before="240"/>
        <w:jc w:val="center"/>
        <w:rPr>
          <w:u w:val="single"/>
          <w:lang w:val="fr-FR"/>
        </w:rPr>
      </w:pPr>
      <w:r w:rsidRPr="005E33C3">
        <w:rPr>
          <w:u w:val="single"/>
          <w:lang w:val="fr-FR"/>
        </w:rPr>
        <w:tab/>
      </w:r>
      <w:r w:rsidRPr="005E33C3">
        <w:rPr>
          <w:u w:val="single"/>
          <w:lang w:val="fr-FR"/>
        </w:rPr>
        <w:tab/>
      </w:r>
      <w:r w:rsidRPr="005E33C3">
        <w:rPr>
          <w:u w:val="single"/>
          <w:lang w:val="fr-FR"/>
        </w:rPr>
        <w:tab/>
      </w:r>
    </w:p>
    <w:sectPr w:rsidR="00C46351" w:rsidRPr="005E33C3" w:rsidSect="00406C55">
      <w:headerReference w:type="even" r:id="rId21"/>
      <w:headerReference w:type="default" r:id="rId22"/>
      <w:footerReference w:type="even" r:id="rId23"/>
      <w:footerReference w:type="default" r:id="rId24"/>
      <w:footerReference w:type="first" r:id="rId2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180A" w14:textId="77777777" w:rsidR="009C7014" w:rsidRDefault="009C7014" w:rsidP="00F95C08">
      <w:pPr>
        <w:spacing w:line="240" w:lineRule="auto"/>
      </w:pPr>
    </w:p>
  </w:endnote>
  <w:endnote w:type="continuationSeparator" w:id="0">
    <w:p w14:paraId="2BDF4E44" w14:textId="77777777" w:rsidR="009C7014" w:rsidRPr="00AC3823" w:rsidRDefault="009C7014" w:rsidP="00AC3823">
      <w:pPr>
        <w:pStyle w:val="Footer"/>
      </w:pPr>
    </w:p>
  </w:endnote>
  <w:endnote w:type="continuationNotice" w:id="1">
    <w:p w14:paraId="5D5F97C1" w14:textId="77777777" w:rsidR="009C7014" w:rsidRDefault="009C7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BC18" w14:textId="77777777" w:rsidR="00406C55" w:rsidRPr="00406C55" w:rsidRDefault="00406C55" w:rsidP="00406C55">
    <w:pPr>
      <w:pStyle w:val="Footer"/>
      <w:tabs>
        <w:tab w:val="right" w:pos="9638"/>
      </w:tabs>
      <w:rPr>
        <w:sz w:val="18"/>
      </w:rPr>
    </w:pPr>
    <w:r w:rsidRPr="00406C55">
      <w:rPr>
        <w:b/>
        <w:sz w:val="18"/>
      </w:rPr>
      <w:fldChar w:fldCharType="begin"/>
    </w:r>
    <w:r w:rsidRPr="00406C55">
      <w:rPr>
        <w:b/>
        <w:sz w:val="18"/>
      </w:rPr>
      <w:instrText xml:space="preserve"> PAGE  \* MERGEFORMAT </w:instrText>
    </w:r>
    <w:r w:rsidRPr="00406C55">
      <w:rPr>
        <w:b/>
        <w:sz w:val="18"/>
      </w:rPr>
      <w:fldChar w:fldCharType="separate"/>
    </w:r>
    <w:r w:rsidRPr="00406C55">
      <w:rPr>
        <w:b/>
        <w:noProof/>
        <w:sz w:val="18"/>
      </w:rPr>
      <w:t>2</w:t>
    </w:r>
    <w:r w:rsidRPr="00406C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9127" w14:textId="77777777" w:rsidR="00406C55" w:rsidRPr="00406C55" w:rsidRDefault="00406C55" w:rsidP="00406C55">
    <w:pPr>
      <w:pStyle w:val="Footer"/>
      <w:tabs>
        <w:tab w:val="right" w:pos="9638"/>
      </w:tabs>
      <w:rPr>
        <w:b/>
        <w:sz w:val="18"/>
      </w:rPr>
    </w:pPr>
    <w:r>
      <w:tab/>
    </w:r>
    <w:r w:rsidRPr="00406C55">
      <w:rPr>
        <w:b/>
        <w:sz w:val="18"/>
      </w:rPr>
      <w:fldChar w:fldCharType="begin"/>
    </w:r>
    <w:r w:rsidRPr="00406C55">
      <w:rPr>
        <w:b/>
        <w:sz w:val="18"/>
      </w:rPr>
      <w:instrText xml:space="preserve"> PAGE  \* MERGEFORMAT </w:instrText>
    </w:r>
    <w:r w:rsidRPr="00406C55">
      <w:rPr>
        <w:b/>
        <w:sz w:val="18"/>
      </w:rPr>
      <w:fldChar w:fldCharType="separate"/>
    </w:r>
    <w:r w:rsidRPr="00406C55">
      <w:rPr>
        <w:b/>
        <w:noProof/>
        <w:sz w:val="18"/>
      </w:rPr>
      <w:t>3</w:t>
    </w:r>
    <w:r w:rsidRPr="00406C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5B5FB" w14:textId="77777777" w:rsidR="000D3EE9" w:rsidRPr="00406C55" w:rsidRDefault="000942EE"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3B9819E7" wp14:editId="552689AF">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C6D3A" w14:textId="77777777" w:rsidR="009C7014" w:rsidRPr="00AC3823" w:rsidRDefault="009C7014" w:rsidP="00AC3823">
      <w:pPr>
        <w:pStyle w:val="Footer"/>
        <w:tabs>
          <w:tab w:val="right" w:pos="2155"/>
        </w:tabs>
        <w:spacing w:after="80" w:line="240" w:lineRule="atLeast"/>
        <w:ind w:left="680"/>
        <w:rPr>
          <w:u w:val="single"/>
        </w:rPr>
      </w:pPr>
      <w:r>
        <w:rPr>
          <w:u w:val="single"/>
        </w:rPr>
        <w:tab/>
      </w:r>
    </w:p>
  </w:footnote>
  <w:footnote w:type="continuationSeparator" w:id="0">
    <w:p w14:paraId="46F6218B" w14:textId="77777777" w:rsidR="009C7014" w:rsidRPr="00AC3823" w:rsidRDefault="009C7014" w:rsidP="00AC3823">
      <w:pPr>
        <w:pStyle w:val="Footer"/>
        <w:tabs>
          <w:tab w:val="right" w:pos="2155"/>
        </w:tabs>
        <w:spacing w:after="80" w:line="240" w:lineRule="atLeast"/>
        <w:ind w:left="680"/>
        <w:rPr>
          <w:u w:val="single"/>
        </w:rPr>
      </w:pPr>
      <w:r>
        <w:rPr>
          <w:u w:val="single"/>
        </w:rPr>
        <w:tab/>
      </w:r>
    </w:p>
  </w:footnote>
  <w:footnote w:type="continuationNotice" w:id="1">
    <w:p w14:paraId="04C39D07" w14:textId="77777777" w:rsidR="009C7014" w:rsidRPr="00AC3823" w:rsidRDefault="009C701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5CF8F" w14:textId="13E8631B" w:rsidR="00406C55" w:rsidRPr="00406C55" w:rsidRDefault="009C7014">
    <w:pPr>
      <w:pStyle w:val="Header"/>
    </w:pPr>
    <w:r>
      <w:fldChar w:fldCharType="begin"/>
    </w:r>
    <w:r>
      <w:instrText xml:space="preserve"> TITLE  \* MERGEFORMAT </w:instrText>
    </w:r>
    <w:r>
      <w:fldChar w:fldCharType="separate"/>
    </w:r>
    <w:r w:rsidR="00CB4B7E">
      <w:t>ECE/TRANS/WP.15/253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255" w14:textId="7E55A632" w:rsidR="00406C55" w:rsidRPr="00406C55" w:rsidRDefault="009C7014" w:rsidP="00406C55">
    <w:pPr>
      <w:pStyle w:val="Header"/>
      <w:jc w:val="right"/>
    </w:pPr>
    <w:r>
      <w:fldChar w:fldCharType="begin"/>
    </w:r>
    <w:r>
      <w:instrText xml:space="preserve"> TITLE  \* MERGEFORMAT </w:instrText>
    </w:r>
    <w:r>
      <w:fldChar w:fldCharType="separate"/>
    </w:r>
    <w:r w:rsidR="00CB4B7E">
      <w:t>ECE/TRANS/WP.15/253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D35EB0"/>
    <w:multiLevelType w:val="hybridMultilevel"/>
    <w:tmpl w:val="907EC758"/>
    <w:lvl w:ilvl="0" w:tplc="08090017">
      <w:start w:val="1"/>
      <w:numFmt w:val="lowerLetter"/>
      <w:lvlText w:val="%1)"/>
      <w:lvlJc w:val="left"/>
      <w:pPr>
        <w:ind w:left="1891" w:hanging="360"/>
      </w:p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06C55"/>
    <w:rsid w:val="0001207F"/>
    <w:rsid w:val="00017F94"/>
    <w:rsid w:val="00023842"/>
    <w:rsid w:val="00026EC1"/>
    <w:rsid w:val="000334F9"/>
    <w:rsid w:val="00037E3B"/>
    <w:rsid w:val="0004639C"/>
    <w:rsid w:val="00056D7B"/>
    <w:rsid w:val="0007796D"/>
    <w:rsid w:val="0009157B"/>
    <w:rsid w:val="000942EE"/>
    <w:rsid w:val="000A52BF"/>
    <w:rsid w:val="000A5DAC"/>
    <w:rsid w:val="000B1984"/>
    <w:rsid w:val="000B2121"/>
    <w:rsid w:val="000B7790"/>
    <w:rsid w:val="000D3EE9"/>
    <w:rsid w:val="000D62F3"/>
    <w:rsid w:val="00111F2F"/>
    <w:rsid w:val="00120E5D"/>
    <w:rsid w:val="00123B3F"/>
    <w:rsid w:val="00127413"/>
    <w:rsid w:val="001433FD"/>
    <w:rsid w:val="0014365E"/>
    <w:rsid w:val="00150C87"/>
    <w:rsid w:val="00150DA1"/>
    <w:rsid w:val="00151CC8"/>
    <w:rsid w:val="001541D3"/>
    <w:rsid w:val="00156B77"/>
    <w:rsid w:val="00176178"/>
    <w:rsid w:val="00177140"/>
    <w:rsid w:val="001A06C1"/>
    <w:rsid w:val="001C3D58"/>
    <w:rsid w:val="001D400F"/>
    <w:rsid w:val="001D6E9A"/>
    <w:rsid w:val="001F525A"/>
    <w:rsid w:val="001F7525"/>
    <w:rsid w:val="002030DB"/>
    <w:rsid w:val="0020361C"/>
    <w:rsid w:val="00223272"/>
    <w:rsid w:val="00240333"/>
    <w:rsid w:val="002451BB"/>
    <w:rsid w:val="0024779E"/>
    <w:rsid w:val="0025677C"/>
    <w:rsid w:val="002627FC"/>
    <w:rsid w:val="00266C83"/>
    <w:rsid w:val="002832AC"/>
    <w:rsid w:val="002A0530"/>
    <w:rsid w:val="002A7E73"/>
    <w:rsid w:val="002C0976"/>
    <w:rsid w:val="002D7C93"/>
    <w:rsid w:val="002F7A2B"/>
    <w:rsid w:val="003027E3"/>
    <w:rsid w:val="00315C5C"/>
    <w:rsid w:val="00337423"/>
    <w:rsid w:val="00350A56"/>
    <w:rsid w:val="00365971"/>
    <w:rsid w:val="0037241C"/>
    <w:rsid w:val="003819FF"/>
    <w:rsid w:val="00392B03"/>
    <w:rsid w:val="00394D25"/>
    <w:rsid w:val="003D5640"/>
    <w:rsid w:val="003E6778"/>
    <w:rsid w:val="00406C55"/>
    <w:rsid w:val="00441C3B"/>
    <w:rsid w:val="00446B0A"/>
    <w:rsid w:val="00446FE5"/>
    <w:rsid w:val="00452396"/>
    <w:rsid w:val="00465DDD"/>
    <w:rsid w:val="00471288"/>
    <w:rsid w:val="00484C64"/>
    <w:rsid w:val="004916B7"/>
    <w:rsid w:val="00495A65"/>
    <w:rsid w:val="0049687C"/>
    <w:rsid w:val="004B503E"/>
    <w:rsid w:val="004E468C"/>
    <w:rsid w:val="004E5080"/>
    <w:rsid w:val="00525FEE"/>
    <w:rsid w:val="005316B0"/>
    <w:rsid w:val="005505B7"/>
    <w:rsid w:val="00554F60"/>
    <w:rsid w:val="00565D9A"/>
    <w:rsid w:val="00573BE5"/>
    <w:rsid w:val="005811E4"/>
    <w:rsid w:val="00586E6E"/>
    <w:rsid w:val="00586ED3"/>
    <w:rsid w:val="00596AA9"/>
    <w:rsid w:val="005A2896"/>
    <w:rsid w:val="005B4D0F"/>
    <w:rsid w:val="005D13F0"/>
    <w:rsid w:val="005E33C3"/>
    <w:rsid w:val="006052BA"/>
    <w:rsid w:val="00654083"/>
    <w:rsid w:val="0066410F"/>
    <w:rsid w:val="006C2DED"/>
    <w:rsid w:val="006D69EB"/>
    <w:rsid w:val="006E585A"/>
    <w:rsid w:val="006F5D72"/>
    <w:rsid w:val="00703D0F"/>
    <w:rsid w:val="00706363"/>
    <w:rsid w:val="0071554E"/>
    <w:rsid w:val="007158BB"/>
    <w:rsid w:val="0071601D"/>
    <w:rsid w:val="00746A90"/>
    <w:rsid w:val="0075410D"/>
    <w:rsid w:val="00772E66"/>
    <w:rsid w:val="007757AE"/>
    <w:rsid w:val="007846B5"/>
    <w:rsid w:val="007A62E6"/>
    <w:rsid w:val="007B3127"/>
    <w:rsid w:val="00800EF6"/>
    <w:rsid w:val="0080684C"/>
    <w:rsid w:val="00806E91"/>
    <w:rsid w:val="0080755A"/>
    <w:rsid w:val="00816D66"/>
    <w:rsid w:val="008204DA"/>
    <w:rsid w:val="00827F40"/>
    <w:rsid w:val="00831E97"/>
    <w:rsid w:val="008535AD"/>
    <w:rsid w:val="00853B4E"/>
    <w:rsid w:val="00871C75"/>
    <w:rsid w:val="00873CD9"/>
    <w:rsid w:val="008767E8"/>
    <w:rsid w:val="008776DC"/>
    <w:rsid w:val="00883605"/>
    <w:rsid w:val="008A596A"/>
    <w:rsid w:val="008C6764"/>
    <w:rsid w:val="008D5E67"/>
    <w:rsid w:val="008E6043"/>
    <w:rsid w:val="0091519B"/>
    <w:rsid w:val="00941B32"/>
    <w:rsid w:val="00943A15"/>
    <w:rsid w:val="00946EA7"/>
    <w:rsid w:val="00961E7B"/>
    <w:rsid w:val="009705C8"/>
    <w:rsid w:val="00986631"/>
    <w:rsid w:val="009907F9"/>
    <w:rsid w:val="009A1915"/>
    <w:rsid w:val="009B2EB6"/>
    <w:rsid w:val="009C1CF4"/>
    <w:rsid w:val="009C7014"/>
    <w:rsid w:val="009D29CD"/>
    <w:rsid w:val="009F02C9"/>
    <w:rsid w:val="00A00DBD"/>
    <w:rsid w:val="00A05847"/>
    <w:rsid w:val="00A27D7D"/>
    <w:rsid w:val="00A30353"/>
    <w:rsid w:val="00A4019C"/>
    <w:rsid w:val="00A571A3"/>
    <w:rsid w:val="00A60385"/>
    <w:rsid w:val="00A62D91"/>
    <w:rsid w:val="00A7271F"/>
    <w:rsid w:val="00A90D54"/>
    <w:rsid w:val="00A97118"/>
    <w:rsid w:val="00AA113A"/>
    <w:rsid w:val="00AB0AC0"/>
    <w:rsid w:val="00AB6CE6"/>
    <w:rsid w:val="00AC0EF8"/>
    <w:rsid w:val="00AC3823"/>
    <w:rsid w:val="00AE323C"/>
    <w:rsid w:val="00AF774C"/>
    <w:rsid w:val="00B00181"/>
    <w:rsid w:val="00B00B0D"/>
    <w:rsid w:val="00B17F47"/>
    <w:rsid w:val="00B208FE"/>
    <w:rsid w:val="00B34041"/>
    <w:rsid w:val="00B40927"/>
    <w:rsid w:val="00B419CD"/>
    <w:rsid w:val="00B45B54"/>
    <w:rsid w:val="00B46729"/>
    <w:rsid w:val="00B46B35"/>
    <w:rsid w:val="00B50E25"/>
    <w:rsid w:val="00B56C99"/>
    <w:rsid w:val="00B64918"/>
    <w:rsid w:val="00B765F7"/>
    <w:rsid w:val="00B969A9"/>
    <w:rsid w:val="00BA0CA9"/>
    <w:rsid w:val="00BA29B9"/>
    <w:rsid w:val="00BB6CAD"/>
    <w:rsid w:val="00BE63FE"/>
    <w:rsid w:val="00BF5A30"/>
    <w:rsid w:val="00BF6312"/>
    <w:rsid w:val="00C0206C"/>
    <w:rsid w:val="00C02897"/>
    <w:rsid w:val="00C060AA"/>
    <w:rsid w:val="00C06F9B"/>
    <w:rsid w:val="00C0768F"/>
    <w:rsid w:val="00C1626B"/>
    <w:rsid w:val="00C46351"/>
    <w:rsid w:val="00C62BFE"/>
    <w:rsid w:val="00C66A47"/>
    <w:rsid w:val="00C70A59"/>
    <w:rsid w:val="00C7616F"/>
    <w:rsid w:val="00C77B85"/>
    <w:rsid w:val="00C92114"/>
    <w:rsid w:val="00C96490"/>
    <w:rsid w:val="00CB16B5"/>
    <w:rsid w:val="00CB4B7E"/>
    <w:rsid w:val="00CC7DB6"/>
    <w:rsid w:val="00CE0608"/>
    <w:rsid w:val="00CE7424"/>
    <w:rsid w:val="00D3439C"/>
    <w:rsid w:val="00D44CF3"/>
    <w:rsid w:val="00D46C8C"/>
    <w:rsid w:val="00D751D1"/>
    <w:rsid w:val="00D779BC"/>
    <w:rsid w:val="00D9090F"/>
    <w:rsid w:val="00D92A6F"/>
    <w:rsid w:val="00DB1831"/>
    <w:rsid w:val="00DC0FBC"/>
    <w:rsid w:val="00DD3BFD"/>
    <w:rsid w:val="00DE239D"/>
    <w:rsid w:val="00DE3751"/>
    <w:rsid w:val="00DE3FFF"/>
    <w:rsid w:val="00DF431C"/>
    <w:rsid w:val="00DF6678"/>
    <w:rsid w:val="00E428C8"/>
    <w:rsid w:val="00E5164C"/>
    <w:rsid w:val="00E66394"/>
    <w:rsid w:val="00E75006"/>
    <w:rsid w:val="00E7645D"/>
    <w:rsid w:val="00ED5B52"/>
    <w:rsid w:val="00EE1927"/>
    <w:rsid w:val="00EF2E22"/>
    <w:rsid w:val="00EF42FE"/>
    <w:rsid w:val="00F0592C"/>
    <w:rsid w:val="00F06ED4"/>
    <w:rsid w:val="00F079EC"/>
    <w:rsid w:val="00F21BB6"/>
    <w:rsid w:val="00F36566"/>
    <w:rsid w:val="00F43289"/>
    <w:rsid w:val="00F660DF"/>
    <w:rsid w:val="00F75549"/>
    <w:rsid w:val="00F805F9"/>
    <w:rsid w:val="00F95C08"/>
    <w:rsid w:val="00FD1581"/>
    <w:rsid w:val="00FE1FF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E573"/>
  <w15:docId w15:val="{BF915E4E-B927-42F0-8888-ADC16D1D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B969A9"/>
    <w:rPr>
      <w:sz w:val="16"/>
      <w:szCs w:val="16"/>
    </w:rPr>
  </w:style>
  <w:style w:type="paragraph" w:styleId="CommentText">
    <w:name w:val="annotation text"/>
    <w:basedOn w:val="Normal"/>
    <w:link w:val="CommentTextChar"/>
    <w:uiPriority w:val="99"/>
    <w:semiHidden/>
    <w:unhideWhenUsed/>
    <w:rsid w:val="00B969A9"/>
    <w:pPr>
      <w:spacing w:line="240" w:lineRule="auto"/>
    </w:pPr>
  </w:style>
  <w:style w:type="character" w:customStyle="1" w:styleId="CommentTextChar">
    <w:name w:val="Comment Text Char"/>
    <w:basedOn w:val="DefaultParagraphFont"/>
    <w:link w:val="CommentText"/>
    <w:uiPriority w:val="99"/>
    <w:semiHidden/>
    <w:rsid w:val="00B969A9"/>
  </w:style>
  <w:style w:type="paragraph" w:styleId="CommentSubject">
    <w:name w:val="annotation subject"/>
    <w:basedOn w:val="CommentText"/>
    <w:next w:val="CommentText"/>
    <w:link w:val="CommentSubjectChar"/>
    <w:uiPriority w:val="99"/>
    <w:semiHidden/>
    <w:unhideWhenUsed/>
    <w:rsid w:val="00B969A9"/>
    <w:rPr>
      <w:b/>
      <w:bCs/>
    </w:rPr>
  </w:style>
  <w:style w:type="character" w:customStyle="1" w:styleId="CommentSubjectChar">
    <w:name w:val="Comment Subject Char"/>
    <w:basedOn w:val="CommentTextChar"/>
    <w:link w:val="CommentSubject"/>
    <w:uiPriority w:val="99"/>
    <w:semiHidden/>
    <w:rsid w:val="00B969A9"/>
    <w:rPr>
      <w:b/>
      <w:bCs/>
    </w:rPr>
  </w:style>
  <w:style w:type="table" w:customStyle="1" w:styleId="TableGrid1">
    <w:name w:val="Table Grid1"/>
    <w:basedOn w:val="TableNormal"/>
    <w:next w:val="TableGrid"/>
    <w:rsid w:val="005E33C3"/>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ce.org" TargetMode="External"/><Relationship Id="rId18" Type="http://schemas.openxmlformats.org/officeDocument/2006/relationships/hyperlink" Target="http://www.ica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stm.org" TargetMode="External"/><Relationship Id="rId17" Type="http://schemas.openxmlformats.org/officeDocument/2006/relationships/hyperlink" Target="http://www.iso.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en.eu" TargetMode="External"/><Relationship Id="rId20"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ea.org"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eiga.eu"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i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ganet.com"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5C270-42BD-42FD-92B7-99E909C6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A12E3-6F66-4C78-947D-0BBF132DB5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A8374-4740-44BC-B162-0E051B5312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TRANS_WP1_24_F.dotm</Template>
  <TotalTime>149</TotalTime>
  <Pages>25</Pages>
  <Words>9106</Words>
  <Characters>51909</Characters>
  <Application>Microsoft Office Word</Application>
  <DocSecurity>0</DocSecurity>
  <Lines>432</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ECE/TRANS/WP.15/253</dc:title>
  <dc:subject>FINAL</dc:subject>
  <dc:creator>Editorial</dc:creator>
  <cp:keywords/>
  <dc:description/>
  <cp:lastModifiedBy>Laurence Berthet</cp:lastModifiedBy>
  <cp:revision>141</cp:revision>
  <cp:lastPrinted>2021-05-26T12:45:00Z</cp:lastPrinted>
  <dcterms:created xsi:type="dcterms:W3CDTF">2021-05-18T11:57:00Z</dcterms:created>
  <dcterms:modified xsi:type="dcterms:W3CDTF">2021-05-26T12:46:00Z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