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E629" w14:textId="77777777" w:rsidR="00817C04" w:rsidRPr="005A7129" w:rsidRDefault="00817C04" w:rsidP="00817C04">
      <w:pPr>
        <w:kinsoku/>
        <w:overflowPunct/>
        <w:autoSpaceDE/>
        <w:autoSpaceDN/>
        <w:adjustRightInd/>
        <w:snapToGrid/>
        <w:spacing w:before="120"/>
        <w:rPr>
          <w:rFonts w:ascii="Times New Roman" w:eastAsia="Calibri" w:hAnsi="Times New Roman" w:cs="Arial"/>
          <w:b/>
          <w:color w:val="000000"/>
          <w:sz w:val="28"/>
          <w:szCs w:val="28"/>
          <w:lang w:val="ru-RU" w:eastAsia="en-US"/>
        </w:rPr>
      </w:pPr>
      <w:r w:rsidRPr="005A7129">
        <w:rPr>
          <w:rFonts w:ascii="Times New Roman" w:eastAsia="Calibri" w:hAnsi="Times New Roman" w:cs="Arial"/>
          <w:b/>
          <w:color w:val="000000"/>
          <w:sz w:val="28"/>
          <w:szCs w:val="28"/>
          <w:lang w:val="ru-RU" w:eastAsia="en-US"/>
        </w:rPr>
        <w:t>Европейская экономическая комиссия</w:t>
      </w:r>
    </w:p>
    <w:p w14:paraId="12AA60FB" w14:textId="77777777" w:rsidR="00817C04" w:rsidRPr="005A7129" w:rsidRDefault="00817C04" w:rsidP="00817C04">
      <w:pPr>
        <w:kinsoku/>
        <w:overflowPunct/>
        <w:autoSpaceDE/>
        <w:autoSpaceDN/>
        <w:adjustRightInd/>
        <w:snapToGrid/>
        <w:spacing w:before="120"/>
        <w:rPr>
          <w:rFonts w:ascii="Times New Roman" w:eastAsia="Calibri" w:hAnsi="Times New Roman" w:cs="Arial"/>
          <w:color w:val="000000"/>
          <w:sz w:val="28"/>
          <w:szCs w:val="28"/>
          <w:lang w:val="ru-RU" w:eastAsia="en-US"/>
        </w:rPr>
      </w:pPr>
      <w:r w:rsidRPr="005A7129">
        <w:rPr>
          <w:rFonts w:ascii="Times New Roman" w:eastAsia="Calibri" w:hAnsi="Times New Roman" w:cs="Arial"/>
          <w:color w:val="000000"/>
          <w:sz w:val="28"/>
          <w:szCs w:val="28"/>
          <w:lang w:val="ru-RU" w:eastAsia="en-US"/>
        </w:rPr>
        <w:t>Комитет по внутреннему транспорту</w:t>
      </w:r>
    </w:p>
    <w:p w14:paraId="2D57257F" w14:textId="116A6422" w:rsidR="00817C04" w:rsidRPr="005A7129" w:rsidRDefault="00817C04" w:rsidP="00817C04">
      <w:pPr>
        <w:kinsoku/>
        <w:overflowPunct/>
        <w:autoSpaceDE/>
        <w:autoSpaceDN/>
        <w:adjustRightInd/>
        <w:snapToGrid/>
        <w:spacing w:before="120"/>
        <w:rPr>
          <w:rFonts w:ascii="Times New Roman" w:eastAsia="Calibri" w:hAnsi="Times New Roman" w:cs="Arial"/>
          <w:b/>
          <w:color w:val="000000"/>
          <w:sz w:val="24"/>
          <w:szCs w:val="24"/>
          <w:lang w:val="ru-RU" w:eastAsia="en-US"/>
        </w:rPr>
      </w:pPr>
      <w:r w:rsidRPr="005A7129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>Рабочая группа по перевозкам опасных грузов</w:t>
      </w:r>
      <w:r w:rsidRPr="005A7129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</w:p>
    <w:p w14:paraId="7610D14F" w14:textId="46E17482" w:rsidR="00265622" w:rsidRPr="005A7129" w:rsidRDefault="00265622" w:rsidP="00265622">
      <w:pPr>
        <w:kinsoku/>
        <w:overflowPunct/>
        <w:autoSpaceDE/>
        <w:autoSpaceDN/>
        <w:adjustRightInd/>
        <w:snapToGrid/>
        <w:spacing w:before="120"/>
        <w:rPr>
          <w:rFonts w:ascii="Times New Roman" w:eastAsia="SimSun" w:hAnsi="Times New Roman" w:cs="Arial"/>
          <w:b/>
          <w:sz w:val="20"/>
          <w:lang w:val="ru-RU" w:eastAsia="en-US"/>
        </w:rPr>
      </w:pPr>
      <w:r w:rsidRPr="005A7129">
        <w:rPr>
          <w:rFonts w:ascii="Times New Roman" w:eastAsia="Calibri" w:hAnsi="Times New Roman" w:cs="Arial"/>
          <w:b/>
          <w:bCs/>
          <w:sz w:val="20"/>
          <w:lang w:val="ru-RU" w:eastAsia="en-US"/>
        </w:rPr>
        <w:t>Сто девятая сессия</w:t>
      </w:r>
      <w:r w:rsidRPr="005A7129">
        <w:rPr>
          <w:rFonts w:ascii="Times New Roman" w:eastAsia="Calibri" w:hAnsi="Times New Roman" w:cs="Arial"/>
          <w:sz w:val="20"/>
          <w:lang w:val="ru-RU" w:eastAsia="en-US"/>
        </w:rPr>
        <w:t xml:space="preserve"> </w:t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  <w:t>2</w:t>
      </w:r>
      <w:r w:rsidR="00762516">
        <w:rPr>
          <w:rFonts w:ascii="Times New Roman" w:eastAsia="Calibri" w:hAnsi="Times New Roman" w:cs="Arial"/>
          <w:b/>
          <w:bCs/>
          <w:color w:val="000000"/>
          <w:sz w:val="20"/>
          <w:lang w:val="fr-CH" w:eastAsia="en-US"/>
        </w:rPr>
        <w:t>8</w:t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 xml:space="preserve"> </w:t>
      </w:r>
      <w:r w:rsidR="00872E1A"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 xml:space="preserve">апреля </w:t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>202</w:t>
      </w:r>
      <w:r w:rsidR="00872E1A"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>1</w:t>
      </w: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 xml:space="preserve"> г.</w:t>
      </w:r>
    </w:p>
    <w:p w14:paraId="7E3AAB3F" w14:textId="77777777" w:rsidR="00265622" w:rsidRPr="005A7129" w:rsidRDefault="00265622" w:rsidP="00265622">
      <w:pPr>
        <w:kinsoku/>
        <w:overflowPunct/>
        <w:autoSpaceDE/>
        <w:autoSpaceDN/>
        <w:adjustRightInd/>
        <w:snapToGrid/>
        <w:rPr>
          <w:rFonts w:ascii="Times New Roman" w:eastAsia="SimSun" w:hAnsi="Times New Roman" w:cs="Arial"/>
          <w:sz w:val="20"/>
          <w:lang w:val="ru-RU" w:eastAsia="en-US"/>
        </w:rPr>
      </w:pPr>
      <w:r w:rsidRPr="005A7129">
        <w:rPr>
          <w:rFonts w:ascii="Times New Roman" w:eastAsia="Calibri" w:hAnsi="Times New Roman" w:cs="Arial"/>
          <w:sz w:val="20"/>
          <w:lang w:val="ru-RU" w:eastAsia="en-US"/>
        </w:rPr>
        <w:t>Женева, 3–7 мая 2021 года</w:t>
      </w:r>
    </w:p>
    <w:p w14:paraId="72C588B0" w14:textId="5317D66B" w:rsidR="00817C04" w:rsidRPr="005A7129" w:rsidRDefault="00817C04" w:rsidP="00817C04">
      <w:pPr>
        <w:kinsoku/>
        <w:overflowPunct/>
        <w:autoSpaceDE/>
        <w:autoSpaceDN/>
        <w:adjustRightInd/>
        <w:snapToGrid/>
        <w:rPr>
          <w:rFonts w:ascii="Times New Roman" w:eastAsia="Calibri" w:hAnsi="Times New Roman" w:cs="Arial"/>
          <w:color w:val="000000"/>
          <w:sz w:val="20"/>
          <w:lang w:val="ru-RU" w:eastAsia="en-US"/>
        </w:rPr>
      </w:pPr>
      <w:r w:rsidRPr="005A7129">
        <w:rPr>
          <w:rFonts w:ascii="Times New Roman" w:eastAsia="Calibri" w:hAnsi="Times New Roman" w:cs="Arial"/>
          <w:color w:val="000000"/>
          <w:sz w:val="20"/>
          <w:lang w:val="ru-RU" w:eastAsia="en-US"/>
        </w:rPr>
        <w:t>Пункт 4 предварительной повестки дня</w:t>
      </w:r>
    </w:p>
    <w:p w14:paraId="1F19C4B2" w14:textId="22BAAE32" w:rsidR="00817C04" w:rsidRPr="005A7129" w:rsidRDefault="00BC17DF" w:rsidP="00817C04">
      <w:pPr>
        <w:kinsoku/>
        <w:overflowPunct/>
        <w:autoSpaceDE/>
        <w:autoSpaceDN/>
        <w:adjustRightInd/>
        <w:snapToGrid/>
        <w:rPr>
          <w:rFonts w:ascii="Times New Roman" w:eastAsia="Calibri" w:hAnsi="Times New Roman" w:cs="Arial"/>
          <w:b/>
          <w:color w:val="000000"/>
          <w:sz w:val="20"/>
          <w:lang w:val="ru-RU" w:eastAsia="en-US"/>
        </w:rPr>
      </w:pPr>
      <w:r w:rsidRPr="005A7129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>Работа Совместного совещания МПОГ/ДОПОГ/ВОПОГ</w:t>
      </w:r>
    </w:p>
    <w:p w14:paraId="4D43AE5F" w14:textId="1C73473F" w:rsidR="001A5103" w:rsidRPr="005A7129" w:rsidRDefault="001A5103" w:rsidP="001A5103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  <w:tab/>
      </w:r>
      <w:r w:rsidR="00BB6218" w:rsidRPr="005A7129"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  <w:t>Проект поправок к МПОГ, ДОПОГ и ВОПОГ для вступления в силу 1 января 2023 года</w:t>
      </w:r>
    </w:p>
    <w:p w14:paraId="38855E1C" w14:textId="40E43BED" w:rsidR="001A5103" w:rsidRPr="005A7129" w:rsidRDefault="001A5103" w:rsidP="001A5103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  <w:tab/>
      </w:r>
      <w:r w:rsidR="00DC67F4" w:rsidRPr="005A7129"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  <w:t>Записка секретариата</w:t>
      </w:r>
    </w:p>
    <w:p w14:paraId="3F4CC1A7" w14:textId="6A50075D" w:rsidR="000168F4" w:rsidRPr="005A7129" w:rsidRDefault="00F378FF" w:rsidP="000168F4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fr-FR"/>
        </w:rPr>
        <w:t>Справочный документ</w:t>
      </w:r>
      <w:r w:rsidR="000168F4"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fr-FR"/>
        </w:rPr>
        <w:t>: ECE/TRANS/WP.15/AC.1/</w:t>
      </w:r>
      <w:r w:rsidR="0098035E"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fr-FR"/>
        </w:rPr>
        <w:t>160</w:t>
      </w:r>
    </w:p>
    <w:p w14:paraId="6ECE6936" w14:textId="77777777" w:rsidR="00C425EF" w:rsidRPr="005A7129" w:rsidRDefault="00C425EF" w:rsidP="00C425EF">
      <w:pPr>
        <w:widowControl w:val="0"/>
        <w:tabs>
          <w:tab w:val="right" w:pos="851"/>
        </w:tabs>
        <w:suppressAutoHyphens w:val="0"/>
        <w:kinsoku/>
        <w:overflowPunct/>
        <w:autoSpaceDE/>
        <w:autoSpaceDN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1.1</w:t>
      </w:r>
    </w:p>
    <w:p w14:paraId="4B095650" w14:textId="6A663F7E" w:rsidR="00C425EF" w:rsidRPr="005A7129" w:rsidRDefault="00C425EF" w:rsidP="00C425EF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1.1.3.6.2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В первом подпункте, начинающемся с тире, после «0500,» добавить «0511,».</w:t>
      </w:r>
    </w:p>
    <w:p w14:paraId="2B37C14A" w14:textId="16B07AAF" w:rsidR="00530DE8" w:rsidRPr="005A7129" w:rsidRDefault="00530DE8" w:rsidP="00530DE8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1.1.4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Включить новый подраздел 1.1.4.</w:t>
      </w:r>
      <w:r w:rsidR="00E3185F"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6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 xml:space="preserve"> следующего содержания:</w:t>
      </w:r>
    </w:p>
    <w:p w14:paraId="0B5F523C" w14:textId="2405EE0C" w:rsidR="00E3185F" w:rsidRPr="005A7129" w:rsidRDefault="00E3185F" w:rsidP="00530DE8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«1.1.4.6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</w:r>
      <w:r w:rsidR="00694537"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fr-FR"/>
        </w:rPr>
        <w:t>(Зарезервирован)</w:t>
      </w:r>
      <w:r w:rsidR="00694537"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»</w:t>
      </w:r>
    </w:p>
    <w:p w14:paraId="742A68EA" w14:textId="4C6B1F31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1.1.4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Включить новый подраздел 1.1.4.7 следующего содержания:</w:t>
      </w:r>
    </w:p>
    <w:p w14:paraId="1A07C2A9" w14:textId="77777777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«1.1.4.7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Сосуды под давлением многоразового использования, разрешенные Министерством транспорта Соединенных Штатов Америки</w:t>
      </w:r>
    </w:p>
    <w:p w14:paraId="36C3855E" w14:textId="77777777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1.1.4.7.1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Импорт газов</w:t>
      </w:r>
    </w:p>
    <w:p w14:paraId="05E034EE" w14:textId="77777777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 xml:space="preserve">Сосуды под давлением многоразового использования, разрешенные Министерством транспорта Соединенных Штатов Америки и изготовленные и испытанные в соответствии со стандартами, перечисленными в части 178 “Спецификации для тары” раздела 49 “Транспорт” Свода федеральных нормативных актов, допущенные к перевозке в транспортной цепи в соответствии с подразделом 1.1.4.2, могут перевозиться от места временного складирования в конечном пункте транспортной цепи до конечного пользователя. </w:t>
      </w:r>
    </w:p>
    <w:p w14:paraId="055B3068" w14:textId="0695D4C8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Грузоотправитель, оформляющий перевозку согласно ДОПОГ, делает в транспортном документе следующую запись:</w:t>
      </w:r>
    </w:p>
    <w:p w14:paraId="165CC420" w14:textId="77777777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“ПЕРЕВОЗКА В СООТВЕТСТВИИ С ПУНКТОМ 1.1.4.7.1”.</w:t>
      </w:r>
    </w:p>
    <w:p w14:paraId="7FDCB7E5" w14:textId="77777777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1.1.4.7.2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Экспорт газов и порожних неочищенных сосудов под давлением</w:t>
      </w:r>
    </w:p>
    <w:p w14:paraId="5187B5D7" w14:textId="3D10A771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Сосуды под давлением многоразового использования, разрешенные Министерством транспорта Соединенных Штатов Америки и изготовленные в соответствии со стандартами, перечисленными в части 178 “Спецификации для тары” раздела 49 “Транспорт” Свода федеральных нормативных актов, могут наполняться и перевозиться только с целью экспорта в страны, не являющиеся Договаривающимися сторонами ДОПОГ, при выполнении следующих условий:</w:t>
      </w:r>
    </w:p>
    <w:p w14:paraId="5E57D770" w14:textId="77777777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a)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наполнение сосуда под давлением осуществляется согласно соответствующим требованиям Свода федеральных нормативных актов Соединенных Штатов Америки;</w:t>
      </w:r>
    </w:p>
    <w:p w14:paraId="6AF0D7D3" w14:textId="42F46906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b)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сосуды под давлением маркируются и снабжаются знаками опасности в соответствии с требованиями главы 5.2;</w:t>
      </w:r>
    </w:p>
    <w:p w14:paraId="3494A853" w14:textId="77777777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lastRenderedPageBreak/>
        <w:t>с)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к сосудам под давлением применяются положения пунктов 4.1.6.12 и 4.1.6.13. Сосуды под давлением не должны наполняться после наступления срока их периодической проверки, но могут перевозиться после истечения предельного срока в целях проведения проверки, включая промежуточные перевозки;</w:t>
      </w:r>
    </w:p>
    <w:p w14:paraId="460A3691" w14:textId="356DF641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d)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грузоотправитель, оформляющий перевозку согласно ДОПОГ, делает в транспортном документе следующую запись:</w:t>
      </w:r>
    </w:p>
    <w:p w14:paraId="6F9EC546" w14:textId="10DC3E48" w:rsidR="0071737A" w:rsidRPr="005A7129" w:rsidRDefault="0071737A" w:rsidP="0071737A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ab/>
        <w:t>“ПЕРЕВОЗКА В СООТВЕТСТВИИ С ПУНКТОМ 1.1.4.7.2”.».</w:t>
      </w:r>
    </w:p>
    <w:p w14:paraId="702571F1" w14:textId="77777777" w:rsidR="00862B49" w:rsidRPr="005A7129" w:rsidRDefault="00862B49" w:rsidP="00862B49">
      <w:pPr>
        <w:kinsoku/>
        <w:overflowPunct/>
        <w:autoSpaceDE/>
        <w:autoSpaceDN/>
        <w:adjustRightInd/>
        <w:spacing w:before="120" w:after="120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1.1.5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Добавить примечание следующего содержания:</w:t>
      </w:r>
    </w:p>
    <w:p w14:paraId="67911087" w14:textId="05D2C9CD" w:rsidR="00862B49" w:rsidRPr="005A7129" w:rsidRDefault="00862B49" w:rsidP="0006198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</w:t>
      </w:r>
      <w:r w:rsidRPr="005A71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en-US"/>
        </w:rPr>
        <w:t>Примечание: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ab/>
        <w:t>Стандарт содержит подробную информацию о том, как выполнять положения ДОПОГ, и может включать требования в дополнение к тем, которые изложены в ДОПОГ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».</w:t>
      </w:r>
    </w:p>
    <w:p w14:paraId="4334040D" w14:textId="029482DC" w:rsidR="00862B49" w:rsidRPr="005A7129" w:rsidRDefault="00862B49" w:rsidP="00862B49">
      <w:pPr>
        <w:kinsoku/>
        <w:overflowPunct/>
        <w:autoSpaceDE/>
        <w:autoSpaceDN/>
        <w:adjustRightInd/>
        <w:snapToGrid/>
        <w:ind w:lef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4A448331" w14:textId="77777777" w:rsidR="00060935" w:rsidRPr="005A7129" w:rsidRDefault="00060935" w:rsidP="00060935">
      <w:pPr>
        <w:spacing w:before="120" w:after="120" w:line="240" w:lineRule="auto"/>
        <w:ind w:left="1134" w:right="1133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Глава 1.2</w:t>
      </w:r>
    </w:p>
    <w:p w14:paraId="4169D993" w14:textId="77777777" w:rsidR="00060935" w:rsidRPr="005A7129" w:rsidRDefault="00060935" w:rsidP="00060935">
      <w:pPr>
        <w:spacing w:before="120" w:after="120" w:line="240" w:lineRule="auto"/>
        <w:ind w:left="1134" w:right="113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1.2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Изменить заголовок следующим образом:</w:t>
      </w:r>
    </w:p>
    <w:p w14:paraId="14CCB006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 w:line="240" w:lineRule="auto"/>
        <w:ind w:left="2836" w:hanging="1135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"Определения, единицы измерения и сокращения".</w:t>
      </w:r>
    </w:p>
    <w:p w14:paraId="3A8914A1" w14:textId="77777777" w:rsidR="00060935" w:rsidRPr="005A7129" w:rsidRDefault="00060935" w:rsidP="00060935">
      <w:pPr>
        <w:spacing w:before="120" w:after="120" w:line="240" w:lineRule="auto"/>
        <w:ind w:left="1134" w:right="113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1.2.1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Исключить следующие определения:</w:t>
      </w:r>
    </w:p>
    <w:p w14:paraId="37E939FB" w14:textId="11D42CDD" w:rsidR="00060935" w:rsidRPr="005A7129" w:rsidRDefault="00060935" w:rsidP="00060935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«АСГ», «ASTM», «ВОПОГ», «ГТЕ», «EN (стандарт)», «ЕЭК ООН», «ИКАО», «ИМО», «ISO (стандарт)», «КБК», «КДПГ», «КМС», «МАГАТЭ», «MEMU», «МКМПОГ», «МПОГ», «МСЖД», «МЭГК», «ТСУП», «ТСУР», «ЦИМ».</w:t>
      </w:r>
    </w:p>
    <w:p w14:paraId="71E331DF" w14:textId="56137C51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определении "Компримированный природный газ"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"(КПГ)".</w:t>
      </w:r>
    </w:p>
    <w:p w14:paraId="132ED57E" w14:textId="35A8C90E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определении "Индекс безопасности по критичности"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"(CSI)".</w:t>
      </w:r>
    </w:p>
    <w:p w14:paraId="5DB56CEF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2836" w:hanging="1135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Изменить определение "СГС" следующим образом:</w:t>
      </w:r>
    </w:p>
    <w:p w14:paraId="1420E52B" w14:textId="77777777" w:rsidR="00060935" w:rsidRPr="00CE0D92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E0D92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CE0D9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Согласованная на глобальном уровне система классификации опасности и маркировки химической продукции</w:t>
      </w:r>
      <w:r w:rsidRPr="00CE0D92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девятое пересмотренное издание Согласованной на глобальном уровне системы классификации опасности и маркировки химической продукции", опубликованное Организацией Объединенных Наций (ST/SG/AC.10/30/Rev.9);".</w:t>
      </w:r>
    </w:p>
    <w:p w14:paraId="3B4AE48A" w14:textId="2497552A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определении "Сжиженный природный газ"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"(СПГ)".</w:t>
      </w:r>
    </w:p>
    <w:p w14:paraId="61AE321B" w14:textId="504619CE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определении "Сжиженный нефтяной газ"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"(СНГ)".</w:t>
      </w:r>
    </w:p>
    <w:p w14:paraId="0F26ABC3" w14:textId="015FC51F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определении "Многоэлементный газовый контейнер"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"(МЭГК)".</w:t>
      </w:r>
    </w:p>
    <w:p w14:paraId="6F0C5610" w14:textId="18836118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определении "Смесительно-зарядная машина"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"(MEMU)".</w:t>
      </w:r>
    </w:p>
    <w:p w14:paraId="2E75A519" w14:textId="2459C6FB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определении "Масса нетто взрывчатых веществ"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"(NEM)" (не касается текста на русском языке).</w:t>
      </w:r>
    </w:p>
    <w:p w14:paraId="52484A56" w14:textId="27B72825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определении "Температура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самоускоряющегося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разложения"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"(ТСУР)".</w:t>
      </w:r>
    </w:p>
    <w:p w14:paraId="739F8886" w14:textId="55895E37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определении "Температура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самоускоряющейся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полимеризации"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"(ТСУП)".</w:t>
      </w:r>
    </w:p>
    <w:p w14:paraId="65B548C7" w14:textId="2FE7B80C" w:rsidR="00060935" w:rsidRPr="005A7129" w:rsidRDefault="00060935" w:rsidP="00CE0D92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i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определении "Транспортный индекс" исключить</w:t>
      </w:r>
      <w:r w:rsidR="00CE0D92">
        <w:rPr>
          <w:rFonts w:ascii="Times New Roman" w:eastAsia="Times New Roman" w:hAnsi="Times New Roman" w:cs="Times New Roman"/>
          <w:sz w:val="20"/>
          <w:szCs w:val="20"/>
          <w:lang w:val="fr-CH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"TI".</w:t>
      </w:r>
    </w:p>
    <w:p w14:paraId="3DD651A1" w14:textId="77777777" w:rsidR="00060935" w:rsidRPr="005A7129" w:rsidRDefault="00060935" w:rsidP="00A82913">
      <w:pPr>
        <w:kinsoku/>
        <w:overflowPunct/>
        <w:autoSpaceDE/>
        <w:autoSpaceDN/>
        <w:adjustRightInd/>
        <w:spacing w:before="120" w:after="120" w:line="240" w:lineRule="auto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Добавить новый раздел 1.2.3 следующего содержания:</w:t>
      </w:r>
    </w:p>
    <w:p w14:paraId="62066095" w14:textId="77777777" w:rsidR="00060935" w:rsidRPr="005A7129" w:rsidRDefault="00060935" w:rsidP="00060935">
      <w:pPr>
        <w:spacing w:before="120" w:after="120" w:line="240" w:lineRule="auto"/>
        <w:ind w:left="1134" w:right="1133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“</w:t>
      </w: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1.2.3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Список сокращений</w:t>
      </w:r>
    </w:p>
    <w:p w14:paraId="29B41ED4" w14:textId="595E5BB9" w:rsidR="00060935" w:rsidRPr="005A7129" w:rsidRDefault="00060935" w:rsidP="00060935">
      <w:pPr>
        <w:kinsoku/>
        <w:overflowPunct/>
        <w:autoSpaceDE/>
        <w:autoSpaceDN/>
        <w:adjustRightInd/>
        <w:spacing w:before="120" w:after="120" w:line="240" w:lineRule="auto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ДОПОГ используются сокращения, акронимы и сокращенные обозначения нормативных документов со следующим значением:</w:t>
      </w:r>
    </w:p>
    <w:p w14:paraId="7E0F77AA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А</w:t>
      </w:r>
    </w:p>
    <w:p w14:paraId="326EADFE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АСГ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» означает Ассоциацию по сжатым газам, 14501 George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Carter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Way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Suite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103,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Chantilly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VA 20151,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United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States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of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America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.</w:t>
      </w:r>
    </w:p>
    <w:p w14:paraId="5B15BF37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lastRenderedPageBreak/>
        <w:t>“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ASTM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” означает Американское общество по испытаниям и материалам (ASTM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International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100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Barr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Harbor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Drive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PO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Box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C700,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West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Conshohocken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PA, 19428-2959,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United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States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of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America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), </w:t>
      </w:r>
      <w:hyperlink r:id="rId11" w:history="1">
        <w:r w:rsidRPr="005A7129">
          <w:rPr>
            <w:rFonts w:ascii="Times New Roman" w:eastAsia="Times New Roman" w:hAnsi="Times New Roman" w:cs="Times New Roman"/>
            <w:sz w:val="20"/>
            <w:szCs w:val="20"/>
            <w:lang w:val="ru-RU" w:eastAsia="en-US"/>
          </w:rPr>
          <w:t>www.astm.org</w:t>
        </w:r>
      </w:hyperlink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.</w:t>
      </w:r>
    </w:p>
    <w:p w14:paraId="6C5587EE" w14:textId="77777777" w:rsidR="00060935" w:rsidRPr="005A7129" w:rsidRDefault="00060935" w:rsidP="00060935">
      <w:pPr>
        <w:keepNext/>
        <w:widowControl w:val="0"/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В</w:t>
      </w:r>
    </w:p>
    <w:p w14:paraId="284CA555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ВОПОГ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Европейское соглашение о международной перевозке опасных грузов по внутренним водным путям.</w:t>
      </w:r>
    </w:p>
    <w:p w14:paraId="3CA0EE40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Е</w:t>
      </w:r>
    </w:p>
    <w:p w14:paraId="04E0D928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ЕАПГ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" означает Европейскую ассоциацию по промышленным газам, 30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Avenue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de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l'Astronomie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1210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Brussels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(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Belgium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), </w:t>
      </w:r>
      <w:hyperlink r:id="rId12" w:history="1">
        <w:r w:rsidRPr="005A7129">
          <w:rPr>
            <w:rFonts w:ascii="Times New Roman" w:eastAsia="Times New Roman" w:hAnsi="Times New Roman" w:cs="Times New Roman"/>
            <w:sz w:val="20"/>
            <w:szCs w:val="20"/>
            <w:lang w:val="ru-RU" w:eastAsia="en-US"/>
          </w:rPr>
          <w:t>www.eiga.eu</w:t>
        </w:r>
      </w:hyperlink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.</w:t>
      </w:r>
    </w:p>
    <w:p w14:paraId="40F78715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ЕЭК ООН"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означает Европейскую экономическую комиссию Организации Объединенных Наций,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Palais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des Nations, 8-14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avenue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de la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Paix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1211 Geneva 10,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Switzerland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, www.unece.org.</w:t>
      </w:r>
    </w:p>
    <w:p w14:paraId="73060944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EN"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(стандарт) означает европейский стандарт, опубликованный Европейским комитетом по стандартизации (ЕКС) (CEN,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Avenue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Marnix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17, B-1000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Brussels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Belgium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), www.cen.eu.</w:t>
      </w:r>
    </w:p>
    <w:p w14:paraId="499E7156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И</w:t>
      </w:r>
    </w:p>
    <w:p w14:paraId="5E6EBEFE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ИКАО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» означает Международную организацию гражданской авиации, 999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University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Street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Montreal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Quebec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H3C 5H7,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Canada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, www.icao.org.</w:t>
      </w:r>
    </w:p>
    <w:p w14:paraId="59A1EC71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ИМО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" означает Международную морскую организацию, 4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Albert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Embankment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London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SE1 7SR,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United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Kingdom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</w:t>
      </w:r>
      <w:hyperlink r:id="rId13" w:history="1">
        <w:r w:rsidRPr="005A7129">
          <w:rPr>
            <w:rFonts w:ascii="Times New Roman" w:eastAsia="Times New Roman" w:hAnsi="Times New Roman" w:cs="Times New Roman"/>
            <w:sz w:val="20"/>
            <w:szCs w:val="20"/>
            <w:lang w:val="ru-RU" w:eastAsia="en-US"/>
          </w:rPr>
          <w:t>www.imo.org</w:t>
        </w:r>
      </w:hyperlink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.</w:t>
      </w:r>
    </w:p>
    <w:p w14:paraId="33F8808C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ISO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" (стандарт) означает международный стандарт, опубликованный Международной организацией по стандартизации 1,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rue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de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Varembé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1204 Geneva 20,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Switzerland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, www.iso.org.</w:t>
      </w:r>
    </w:p>
    <w:p w14:paraId="5F683800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К</w:t>
      </w:r>
    </w:p>
    <w:p w14:paraId="3C393A3B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КБК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Международную конвенцию по безопасным контейнерам (Женева, 1972 год) с поправками, опубликованную Международной морской организацией (ИМО), Лондон.</w:t>
      </w:r>
    </w:p>
    <w:p w14:paraId="7A7BC84A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КДПГ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Конвенцию о договоре международной дорожной перевозки грузов (Женева, 19 мая 1956 года), с внесенными в нее изменениями.</w:t>
      </w:r>
    </w:p>
    <w:p w14:paraId="79BFBD6F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КПГ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компримированный природный газ (см. раздел 1.2.1);</w:t>
      </w:r>
    </w:p>
    <w:p w14:paraId="4BD34395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 w:hanging="1418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КСМ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контейнер средней грузоподъемности для массовых грузов (см. раздел 1.2.1);</w:t>
      </w:r>
    </w:p>
    <w:p w14:paraId="02D49981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Л</w:t>
      </w:r>
    </w:p>
    <w:p w14:paraId="31118C55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LSA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(материал) означает материал с низкой удельной активностью (см. пункт 2.2.7.1.3).".</w:t>
      </w:r>
    </w:p>
    <w:p w14:paraId="094161A4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М</w:t>
      </w:r>
    </w:p>
    <w:p w14:paraId="2C4B8302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МАГАТЭ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" означает Международное агентство по атомной энергии, P.O.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Box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100, 1400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Vienna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Austria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, www.iaea.org.</w:t>
      </w:r>
    </w:p>
    <w:p w14:paraId="67EDA091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 w:hanging="1418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МКМПОГ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Международный кодекс морской перевозки опасных грузов (см. раздел 1.2.1).</w:t>
      </w:r>
    </w:p>
    <w:p w14:paraId="042F5D0A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МПОГ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Правила международной перевозки опасных грузов по железным дорогам (Добавление С к КОТИФ (Конвенция о международной перевозке грузов железнодорожным транспортом)).</w:t>
      </w:r>
    </w:p>
    <w:p w14:paraId="2810F8F7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МСЖД"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означает Международный союз железных дорог, 16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rue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Jean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Rey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75015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Paris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,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France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, www.uic.org.</w:t>
      </w:r>
    </w:p>
    <w:p w14:paraId="7406DFA1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МЭГК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многоэлементный газовый контейнер (см. раздел 1.2.1).</w:t>
      </w:r>
    </w:p>
    <w:p w14:paraId="047AF0EF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МЕМU"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означает смесительно-зарядную машину (см. раздел 1.2.1).</w:t>
      </w:r>
    </w:p>
    <w:p w14:paraId="7B79C05C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lastRenderedPageBreak/>
        <w:t>Н</w:t>
      </w:r>
    </w:p>
    <w:p w14:paraId="08D58AD4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Н.У.К.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позицию "не указанные конкретно" (см. раздел 1.2.1).</w:t>
      </w:r>
    </w:p>
    <w:p w14:paraId="40C2BAAF" w14:textId="05FE735F" w:rsidR="00060935" w:rsidRPr="005A7129" w:rsidRDefault="00060935" w:rsidP="00E3176B">
      <w:pPr>
        <w:kinsoku/>
        <w:overflowPunct/>
        <w:autoSpaceDE/>
        <w:autoSpaceDN/>
        <w:adjustRightInd/>
        <w:spacing w:before="120" w:after="120"/>
        <w:ind w:left="1701" w:right="1134" w:hanging="1418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ab/>
      </w:r>
    </w:p>
    <w:p w14:paraId="098094B5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С</w:t>
      </w:r>
    </w:p>
    <w:p w14:paraId="24D5A205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СГС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Согласованную на глобальном уровне систему классификации опасности и маркировки химической продукции (см. раздел 1.2.1).</w:t>
      </w:r>
    </w:p>
    <w:p w14:paraId="75CF6973" w14:textId="4E5F9F76" w:rsidR="00060935" w:rsidRPr="005A7129" w:rsidRDefault="00060935" w:rsidP="00E3176B">
      <w:pPr>
        <w:kinsoku/>
        <w:overflowPunct/>
        <w:autoSpaceDE/>
        <w:autoSpaceDN/>
        <w:adjustRightInd/>
        <w:spacing w:before="120" w:after="120"/>
        <w:ind w:left="1701" w:right="1134" w:hanging="1418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 xml:space="preserve"> </w:t>
      </w:r>
    </w:p>
    <w:p w14:paraId="310D64F4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СПГ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сжиженный природный газ (см. раздел 1.2.1).</w:t>
      </w:r>
    </w:p>
    <w:p w14:paraId="69E6A800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СНГ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сжиженный нефтяной газ (см. раздел 1.2.1).</w:t>
      </w:r>
    </w:p>
    <w:p w14:paraId="50C7ED27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CSI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индекс безопасности по критичности (см. раздел 1.2.1).</w:t>
      </w:r>
    </w:p>
    <w:p w14:paraId="20E1D340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 w:hanging="1418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SCO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объект с поверхностным радиоактивным загрязнением (см. пункт 2.2.7.1.3).</w:t>
      </w:r>
    </w:p>
    <w:p w14:paraId="12720F2D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T</w:t>
      </w:r>
    </w:p>
    <w:p w14:paraId="3CBCEB6B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ТСУП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" означает температуру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самоускоряющейся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полимеризации (см. раздел 1.2.1).</w:t>
      </w:r>
    </w:p>
    <w:p w14:paraId="36A038F2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ТСУР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" означает температуру </w:t>
      </w:r>
      <w:proofErr w:type="spellStart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самоускоряющегося</w:t>
      </w:r>
      <w:proofErr w:type="spellEnd"/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разложения (см. раздел 1.2.1).</w:t>
      </w:r>
    </w:p>
    <w:p w14:paraId="3BB563EC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TI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транспортный индекс (см. раздел 1.2.1).</w:t>
      </w:r>
    </w:p>
    <w:p w14:paraId="38C71D91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 w:hanging="1418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Ц</w:t>
      </w:r>
    </w:p>
    <w:p w14:paraId="49C60C6E" w14:textId="77777777" w:rsidR="00060935" w:rsidRPr="005A7129" w:rsidRDefault="00060935" w:rsidP="00060935">
      <w:pPr>
        <w:kinsoku/>
        <w:overflowPunct/>
        <w:autoSpaceDE/>
        <w:autoSpaceDN/>
        <w:adjustRightInd/>
        <w:spacing w:before="120" w:after="120"/>
        <w:ind w:left="1701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</w:t>
      </w:r>
      <w:r w:rsidRPr="005A712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ЦИМ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" означает Единообразные правила, касающиеся договора международной перевозки грузов железнодорожным транспортом (Добавление B к Конвенции о международной перевозке грузов железнодорожным транспортом (КОТИФ)), с внесенными в них изменениями.</w:t>
      </w:r>
    </w:p>
    <w:p w14:paraId="23FC8CD0" w14:textId="7ED6E637" w:rsidR="00DE403E" w:rsidRPr="005A7129" w:rsidRDefault="00DE403E" w:rsidP="00DE403E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1.6</w:t>
      </w:r>
    </w:p>
    <w:p w14:paraId="2AB2D723" w14:textId="7117DDC9" w:rsidR="00DE403E" w:rsidRPr="005A7129" w:rsidRDefault="00DE403E" w:rsidP="00DE403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Включить новое переходное положение следующего содержания:</w:t>
      </w:r>
    </w:p>
    <w:p w14:paraId="29F42FCF" w14:textId="31586B3D" w:rsidR="00DE403E" w:rsidRPr="005A7129" w:rsidRDefault="00DE403E" w:rsidP="00DE403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«1.6.4.56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Контейнеры-цистерны, изготовленные до 1 июля 2023 года в соответствии с требованиями, действовавшими до 31 декабря 2022 года, но не отвечающие требованиям пункта 6.8.2.2.4 (второй абзац), применяемым с 1 января 2023 года, могут по-прежнему эксплуатироваться.».</w:t>
      </w:r>
    </w:p>
    <w:p w14:paraId="0F89A31D" w14:textId="19EAE755" w:rsidR="00670062" w:rsidRPr="005A7129" w:rsidRDefault="00670062" w:rsidP="00670062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1.10</w:t>
      </w:r>
    </w:p>
    <w:p w14:paraId="2E433DC4" w14:textId="77777777" w:rsidR="00670062" w:rsidRPr="005A7129" w:rsidRDefault="00670062" w:rsidP="00670062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1.10.4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первом предложении после «0500,» добавить «0511,».</w:t>
      </w:r>
    </w:p>
    <w:p w14:paraId="4A982ED6" w14:textId="1D115DD9" w:rsidR="00862B49" w:rsidRPr="005A7129" w:rsidRDefault="00862B49" w:rsidP="00EE09F0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3.2</w:t>
      </w:r>
      <w:r w:rsidR="00EE09F0"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, </w:t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Таблица A</w:t>
      </w:r>
    </w:p>
    <w:p w14:paraId="616712B5" w14:textId="33C8024B" w:rsidR="00862B49" w:rsidRPr="005A7129" w:rsidRDefault="00862B49" w:rsidP="00EE09F0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Для всех номеров ООН, которым в колонке 6 назначено специальное положение «386», включить в колонку 6:</w:t>
      </w:r>
      <w:r w:rsidR="00EE09F0"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«676».</w:t>
      </w:r>
    </w:p>
    <w:p w14:paraId="68FE4291" w14:textId="72723246" w:rsidR="00862B49" w:rsidRPr="005A7129" w:rsidRDefault="00862B49" w:rsidP="00862B49">
      <w:pPr>
        <w:kinsoku/>
        <w:overflowPunct/>
        <w:autoSpaceDE/>
        <w:autoSpaceDN/>
        <w:adjustRightInd/>
        <w:spacing w:before="120" w:after="120" w:line="240" w:lineRule="auto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Изменить </w:t>
      </w:r>
      <w:r w:rsidR="00A20066"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следующую позицию:</w:t>
      </w:r>
    </w:p>
    <w:tbl>
      <w:tblPr>
        <w:tblW w:w="7405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036"/>
        <w:gridCol w:w="5431"/>
      </w:tblGrid>
      <w:tr w:rsidR="00862B49" w:rsidRPr="005A7129" w14:paraId="56D233F5" w14:textId="77777777" w:rsidTr="000159B2">
        <w:trPr>
          <w:cantSplit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B1F4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52" w:right="-90"/>
              <w:rPr>
                <w:rFonts w:ascii="Times New Roman" w:eastAsia="Calibri" w:hAnsi="Times New Roman" w:cs="Arial"/>
                <w:b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№ ООН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275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50" w:right="-26"/>
              <w:rPr>
                <w:rFonts w:ascii="Times New Roman" w:eastAsia="Calibri" w:hAnsi="Times New Roman" w:cs="Arial"/>
                <w:b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Колонка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8CDF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58"/>
              <w:rPr>
                <w:rFonts w:ascii="Times New Roman" w:eastAsia="Calibri" w:hAnsi="Times New Roman" w:cs="Arial"/>
                <w:b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Поправка</w:t>
            </w:r>
          </w:p>
        </w:tc>
      </w:tr>
      <w:tr w:rsidR="00862B49" w:rsidRPr="005A7129" w14:paraId="16990134" w14:textId="77777777" w:rsidTr="000159B2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32E4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52" w:right="-90"/>
              <w:rPr>
                <w:rFonts w:ascii="Times New Roman" w:eastAsia="Calibri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2426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C74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50" w:right="-26"/>
              <w:rPr>
                <w:rFonts w:ascii="Times New Roman" w:eastAsia="Calibri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000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58"/>
              <w:rPr>
                <w:rFonts w:ascii="Times New Roman" w:eastAsia="Calibri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Изменить наименование и описание следующим образом:</w:t>
            </w:r>
          </w:p>
          <w:p w14:paraId="4CEF6240" w14:textId="78679100" w:rsidR="00862B49" w:rsidRPr="005A7129" w:rsidRDefault="00862B49" w:rsidP="00A20066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«АММОНИЯ НИТРАТ ЖИДКИЙ (горячий концентрированный раствор)».</w:t>
            </w:r>
          </w:p>
        </w:tc>
      </w:tr>
    </w:tbl>
    <w:p w14:paraId="06CFD41A" w14:textId="11659798" w:rsidR="00862B49" w:rsidRPr="005A7129" w:rsidRDefault="00862B49" w:rsidP="00862B4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="00646097"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Глава 3.2, </w:t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Таблица B</w:t>
      </w:r>
    </w:p>
    <w:p w14:paraId="67AC0372" w14:textId="77777777" w:rsidR="00646097" w:rsidRPr="005A7129" w:rsidRDefault="00646097" w:rsidP="00646097">
      <w:pPr>
        <w:kinsoku/>
        <w:overflowPunct/>
        <w:autoSpaceDE/>
        <w:autoSpaceDN/>
        <w:adjustRightInd/>
        <w:spacing w:before="120" w:after="120" w:line="240" w:lineRule="auto"/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Изменить следующую позицию:</w:t>
      </w:r>
    </w:p>
    <w:tbl>
      <w:tblPr>
        <w:tblW w:w="8336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896"/>
        <w:gridCol w:w="4346"/>
      </w:tblGrid>
      <w:tr w:rsidR="00862B49" w:rsidRPr="005A7129" w14:paraId="5A07B91A" w14:textId="77777777" w:rsidTr="000159B2">
        <w:trPr>
          <w:cantSplit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048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66" w:right="-34"/>
              <w:rPr>
                <w:rFonts w:ascii="Times New Roman" w:eastAsia="Calibri" w:hAnsi="Times New Roman" w:cs="Arial"/>
                <w:b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lastRenderedPageBreak/>
              <w:t>Наименование и описание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90C4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64" w:right="-69"/>
              <w:rPr>
                <w:rFonts w:ascii="Times New Roman" w:eastAsia="Calibri" w:hAnsi="Times New Roman" w:cs="Arial"/>
                <w:b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№ ООН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9DA6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ind w:left="-29" w:right="-59"/>
              <w:rPr>
                <w:rFonts w:ascii="Times New Roman" w:eastAsia="Calibri" w:hAnsi="Times New Roman" w:cs="Arial"/>
                <w:b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Поправка</w:t>
            </w:r>
          </w:p>
        </w:tc>
      </w:tr>
      <w:tr w:rsidR="00862B49" w:rsidRPr="005A7129" w14:paraId="3720A755" w14:textId="77777777" w:rsidTr="000159B2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571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left="-66" w:right="-34"/>
              <w:rPr>
                <w:rFonts w:ascii="Times New Roman" w:eastAsia="Calibri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АММОНИЯ НИТРАТ ЖИДКИЙ, горячий концентрированный раствор концентрации более 80 %, но не более 93 %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A893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left="-64" w:right="-69"/>
              <w:rPr>
                <w:rFonts w:ascii="Times New Roman" w:eastAsia="Calibri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2426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F83B" w14:textId="0C0C6EDC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left="-29" w:right="-59"/>
              <w:rPr>
                <w:rFonts w:ascii="Times New Roman" w:eastAsia="Calibri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Изменить наименование и описание в колонке «Наименование и описание» следующим образом: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«АММОНИЯ НИТРАТ ЖИДКИЙ (горячий концентрированный раствор)».</w:t>
            </w:r>
          </w:p>
        </w:tc>
      </w:tr>
    </w:tbl>
    <w:p w14:paraId="38DBAD29" w14:textId="77777777" w:rsidR="00646097" w:rsidRPr="005A7129" w:rsidRDefault="00646097" w:rsidP="00646097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3.3</w:t>
      </w:r>
    </w:p>
    <w:p w14:paraId="1DBD841F" w14:textId="7B4DBEAC" w:rsidR="00E3546A" w:rsidRPr="005A7129" w:rsidRDefault="00E301AE" w:rsidP="00E3546A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СП </w:t>
      </w:r>
      <w:r w:rsidR="00E3546A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327</w:t>
      </w:r>
      <w:r w:rsidR="00E3546A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="0081436A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В первом предложении заменить «5.4.1.1.3» на «5.4.1.1.3.1».</w:t>
      </w:r>
    </w:p>
    <w:p w14:paraId="5692820D" w14:textId="77777777" w:rsidR="00E301AE" w:rsidRPr="005A7129" w:rsidRDefault="00E301AE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СП 363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конце пункта j) включить следующее примечание:</w:t>
      </w:r>
    </w:p>
    <w:p w14:paraId="4D9409C8" w14:textId="77777777" w:rsidR="00E301AE" w:rsidRPr="005A7129" w:rsidRDefault="00E301AE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</w:t>
      </w:r>
      <w:r w:rsidRPr="005A71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en-US"/>
        </w:rPr>
        <w:t>ПРИМЕЧАНИЕ</w:t>
      </w:r>
      <w:proofErr w:type="gramStart"/>
      <w:r w:rsidRPr="005A71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en-US"/>
        </w:rPr>
        <w:t>:</w:t>
      </w:r>
      <w:r w:rsidRPr="005A712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en-US"/>
        </w:rPr>
        <w:tab/>
        <w:t>На</w:t>
      </w:r>
      <w:proofErr w:type="gramEnd"/>
      <w:r w:rsidRPr="005A712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en-US"/>
        </w:rPr>
        <w:t xml:space="preserve"> двигателях и машинах, имеющих вместимость более 450 л, но содержащих не более 60 л жидкого топлива разрешается размещение знаков опасности и больших знаков опасности, соответствующих вышеуказанным требованиям.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».</w:t>
      </w:r>
    </w:p>
    <w:p w14:paraId="4329CD3C" w14:textId="77777777" w:rsidR="00E301AE" w:rsidRPr="005A7129" w:rsidRDefault="00E301AE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СП 593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Изменить следующим образом:</w:t>
      </w:r>
    </w:p>
    <w:p w14:paraId="35B35522" w14:textId="3985D477" w:rsidR="00E301AE" w:rsidRPr="005A7129" w:rsidRDefault="00E301AE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«593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Этот газ, когда он используется для охлаждения грузов, не удовлетворяющих критериям какого-либо класса, например медицинских или биологических образцов, если он содержится в сосудах с двойными стенками, соответствующих положениям инструкции по упаковке Р203 6) (требования к открытым криогенным сосудам), изложенной в подразделе 4.1.4.1, не подпадает под действие требований ДОПОГ, за исключением случаев, предусмотренных в разделе 5.5.3.».</w:t>
      </w:r>
    </w:p>
    <w:p w14:paraId="39CBF95E" w14:textId="31696CC4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СП 644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="00565A0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Вставьте следующий новый второй отступ:</w:t>
      </w:r>
    </w:p>
    <w:p w14:paraId="35642099" w14:textId="61FBC1CB" w:rsidR="00862B49" w:rsidRPr="005A7129" w:rsidRDefault="00862B49" w:rsidP="00565A09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раствор содержит не более 93 % нитрата аммония;».</w:t>
      </w:r>
    </w:p>
    <w:p w14:paraId="03160146" w14:textId="7283F5A5" w:rsidR="00491DC5" w:rsidRPr="005A7129" w:rsidRDefault="00491DC5" w:rsidP="00491DC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СП 650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первом предложении заменить «5.4.1.1.3» на «5.4.1.1.3.1».</w:t>
      </w:r>
    </w:p>
    <w:p w14:paraId="7CB8795A" w14:textId="1829FD84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Добавить новое специальное положение следующего содержания:</w:t>
      </w:r>
    </w:p>
    <w:p w14:paraId="4C14780B" w14:textId="251A3E7C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«676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 xml:space="preserve">В случае перевозки упаковок, содержащих </w:t>
      </w:r>
      <w:proofErr w:type="spell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полимеризующиеся</w:t>
      </w:r>
      <w:proofErr w:type="spell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вещества, положения специального положения 386, в сочетании с положениями подразделов 7.1.7.3, 7.1.7.4, пунктов 5.4.1.1.15 и 5.4.1.2.3.1, не требуется применять, если перевозка осуществляется с целью утилизации или переработки, при соблюдении следующих условий:</w:t>
      </w:r>
    </w:p>
    <w:p w14:paraId="484E0BB2" w14:textId="77777777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a)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проведенная перед погрузкой проверка показала, что не существует никаких существенных различий между температурой наружной поверхности упаковки и температурой окружающей среды;</w:t>
      </w:r>
    </w:p>
    <w:p w14:paraId="7523935D" w14:textId="77777777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b)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перевозка осуществляется в течение периода не более 24 часов после указанной проверки;</w:t>
      </w:r>
    </w:p>
    <w:p w14:paraId="70D93F9B" w14:textId="77777777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c)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обеспечена защита упаковок от воздействия прямых солнечных лучей и других источников тепла (например, дополнительных грузов, которые перевозятся при температуре выше температуры окружающей среды) во время перевозки;</w:t>
      </w:r>
    </w:p>
    <w:p w14:paraId="596A2201" w14:textId="77777777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d)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температура окружающей среды во время перевозки ниже 45 °C;</w:t>
      </w:r>
    </w:p>
    <w:p w14:paraId="57A77493" w14:textId="7ADBCE4B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e)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транспортные средства и контейнеры имеют надлежащую вентиляцию;</w:t>
      </w:r>
    </w:p>
    <w:p w14:paraId="4E30210A" w14:textId="77777777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f)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вещества помещаются в упаковки максимальной вместимостью 1000 литров.</w:t>
      </w:r>
    </w:p>
    <w:p w14:paraId="27705D38" w14:textId="77777777" w:rsidR="00862B49" w:rsidRPr="005A7129" w:rsidRDefault="00862B49" w:rsidP="00E301AE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При оценке веществ для целей перевозки в соответствии с условиями настоящего специального положения могут рассматриваться дополнительные меры по предотвращению опасной полимеризации, например добавление ингибиторов».</w:t>
      </w:r>
    </w:p>
    <w:p w14:paraId="62E80109" w14:textId="16C2C606" w:rsidR="00862B49" w:rsidRPr="005A7129" w:rsidRDefault="00862B49" w:rsidP="00862B4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4.1</w:t>
      </w:r>
    </w:p>
    <w:p w14:paraId="3E014DB1" w14:textId="1ABF55B8" w:rsidR="00862B49" w:rsidRPr="005A7129" w:rsidRDefault="00862B49" w:rsidP="00D43A01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4.1.6.8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пункте b) в первом предложении после слова «колпаками» вставить:</w:t>
      </w:r>
      <w:r w:rsidR="00D43A01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«или предохранительными устройствами».</w:t>
      </w:r>
    </w:p>
    <w:p w14:paraId="301FD14E" w14:textId="66BFE736" w:rsidR="00862B49" w:rsidRPr="005A7129" w:rsidRDefault="00862B49" w:rsidP="00D43A01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lastRenderedPageBreak/>
        <w:t>В пункте с) заменить «предохранительными устройствами» на:</w:t>
      </w:r>
      <w:r w:rsidR="00D43A01"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«постоянными защитными приспособлениями».</w:t>
      </w:r>
    </w:p>
    <w:p w14:paraId="482A1FEA" w14:textId="0406C430" w:rsidR="00862B49" w:rsidRPr="005A7129" w:rsidRDefault="00862B49" w:rsidP="00D43A01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4.1.6.15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докладе ECE/TRANS/WP.15/</w:t>
      </w:r>
      <w:r w:rsidR="00F65A5B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251</w:t>
      </w:r>
      <w:r w:rsidR="005A712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, </w:t>
      </w:r>
      <w:r w:rsidR="005A712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в приложении </w:t>
      </w:r>
      <w:r w:rsidR="005A712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I,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изменить таблицу 1 следующим образом:</w:t>
      </w:r>
    </w:p>
    <w:p w14:paraId="13172AED" w14:textId="77777777" w:rsidR="00862B49" w:rsidRPr="005A7129" w:rsidRDefault="00862B49" w:rsidP="00862B4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«Таблица 1: Стандарты на сосуды под давлением “UN” и сосуды под давлением, кроме сосудов “UN”</w:t>
      </w:r>
    </w:p>
    <w:tbl>
      <w:tblPr>
        <w:tblW w:w="8429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038"/>
        <w:gridCol w:w="4906"/>
      </w:tblGrid>
      <w:tr w:rsidR="00862B49" w:rsidRPr="005A7129" w14:paraId="06D7FC36" w14:textId="77777777" w:rsidTr="000159B2">
        <w:trPr>
          <w:cantSplit/>
          <w:tblHeader/>
        </w:trPr>
        <w:tc>
          <w:tcPr>
            <w:tcW w:w="1485" w:type="dxa"/>
            <w:vAlign w:val="bottom"/>
          </w:tcPr>
          <w:p w14:paraId="7AD6948B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Применимые пункты</w:t>
            </w:r>
          </w:p>
        </w:tc>
        <w:tc>
          <w:tcPr>
            <w:tcW w:w="2038" w:type="dxa"/>
            <w:vAlign w:val="bottom"/>
          </w:tcPr>
          <w:p w14:paraId="150D9F85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Ссылка</w:t>
            </w:r>
          </w:p>
        </w:tc>
        <w:tc>
          <w:tcPr>
            <w:tcW w:w="4906" w:type="dxa"/>
            <w:vAlign w:val="bottom"/>
          </w:tcPr>
          <w:p w14:paraId="46AD7115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Наименование документа</w:t>
            </w:r>
          </w:p>
        </w:tc>
      </w:tr>
      <w:tr w:rsidR="00862B49" w:rsidRPr="005A7129" w14:paraId="10643599" w14:textId="77777777" w:rsidTr="000159B2">
        <w:trPr>
          <w:cantSplit/>
        </w:trPr>
        <w:tc>
          <w:tcPr>
            <w:tcW w:w="1485" w:type="dxa"/>
            <w:vMerge w:val="restart"/>
          </w:tcPr>
          <w:p w14:paraId="26F36555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4.1.6.2</w:t>
            </w:r>
          </w:p>
        </w:tc>
        <w:tc>
          <w:tcPr>
            <w:tcW w:w="2038" w:type="dxa"/>
          </w:tcPr>
          <w:p w14:paraId="62832CD1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EN ISO 11114-1:2020</w:t>
            </w:r>
          </w:p>
        </w:tc>
        <w:tc>
          <w:tcPr>
            <w:tcW w:w="4906" w:type="dxa"/>
          </w:tcPr>
          <w:p w14:paraId="5D5B3DF1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Совместимость материалов, из которых изготовлены баллоны и вентили, с газовым содержимым — Часть 1: Металлические материалы</w:t>
            </w:r>
          </w:p>
        </w:tc>
      </w:tr>
      <w:tr w:rsidR="00862B49" w:rsidRPr="005A7129" w14:paraId="3D6911C4" w14:textId="77777777" w:rsidTr="000159B2">
        <w:trPr>
          <w:cantSplit/>
        </w:trPr>
        <w:tc>
          <w:tcPr>
            <w:tcW w:w="1485" w:type="dxa"/>
            <w:vMerge/>
          </w:tcPr>
          <w:p w14:paraId="6F68E966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38" w:type="dxa"/>
          </w:tcPr>
          <w:p w14:paraId="26CEDE73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EN ISO 11114-2:2013</w:t>
            </w:r>
          </w:p>
        </w:tc>
        <w:tc>
          <w:tcPr>
            <w:tcW w:w="4906" w:type="dxa"/>
          </w:tcPr>
          <w:p w14:paraId="6938A6EF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Совместимость материалов, из которых изготовлены баллоны и вентили, с газовым содержимым — Часть 2: Неметаллические материалы</w:t>
            </w:r>
          </w:p>
        </w:tc>
      </w:tr>
      <w:tr w:rsidR="00862B49" w:rsidRPr="005A7129" w14:paraId="05CDA31B" w14:textId="77777777" w:rsidTr="000159B2">
        <w:trPr>
          <w:cantSplit/>
        </w:trPr>
        <w:tc>
          <w:tcPr>
            <w:tcW w:w="1485" w:type="dxa"/>
            <w:tcBorders>
              <w:bottom w:val="single" w:sz="4" w:space="0" w:color="auto"/>
            </w:tcBorders>
          </w:tcPr>
          <w:p w14:paraId="02DB581C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4.1.6.4</w:t>
            </w:r>
          </w:p>
        </w:tc>
        <w:tc>
          <w:tcPr>
            <w:tcW w:w="2038" w:type="dxa"/>
          </w:tcPr>
          <w:p w14:paraId="33CFDDB9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ISO 11621:1997 или EN ISO 11621:2005</w:t>
            </w:r>
          </w:p>
        </w:tc>
        <w:tc>
          <w:tcPr>
            <w:tcW w:w="4906" w:type="dxa"/>
          </w:tcPr>
          <w:p w14:paraId="4879DAD9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Газовые баллоны — Процедуры подготовки под другие </w:t>
            </w:r>
            <w:proofErr w:type="spellStart"/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газы</w:t>
            </w:r>
            <w:proofErr w:type="spellEnd"/>
          </w:p>
        </w:tc>
      </w:tr>
      <w:tr w:rsidR="00862B49" w:rsidRPr="005A7129" w14:paraId="7C6B940A" w14:textId="77777777" w:rsidTr="000159B2">
        <w:trPr>
          <w:cantSplit/>
        </w:trPr>
        <w:tc>
          <w:tcPr>
            <w:tcW w:w="1485" w:type="dxa"/>
            <w:vMerge w:val="restart"/>
          </w:tcPr>
          <w:p w14:paraId="3CF70858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4.1.6.8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Вентили с конструктивной защитой</w:t>
            </w:r>
          </w:p>
        </w:tc>
        <w:tc>
          <w:tcPr>
            <w:tcW w:w="2038" w:type="dxa"/>
          </w:tcPr>
          <w:p w14:paraId="6C07E105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Пункт 4.6.2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 xml:space="preserve">EN ISO 10297:2006, или пункт 5.5.2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 xml:space="preserve">EN ISO 10297:2014, или пункт 5.5.2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EN ISO 10297:2014 + A1:2017</w:t>
            </w:r>
          </w:p>
        </w:tc>
        <w:tc>
          <w:tcPr>
            <w:tcW w:w="4906" w:type="dxa"/>
          </w:tcPr>
          <w:p w14:paraId="055080D8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Вентили баллонов — Технические требования и испытания типа</w:t>
            </w:r>
          </w:p>
        </w:tc>
      </w:tr>
      <w:tr w:rsidR="00862B49" w:rsidRPr="005A7129" w14:paraId="79433561" w14:textId="77777777" w:rsidTr="000159B2">
        <w:trPr>
          <w:cantSplit/>
        </w:trPr>
        <w:tc>
          <w:tcPr>
            <w:tcW w:w="1485" w:type="dxa"/>
            <w:vMerge/>
          </w:tcPr>
          <w:p w14:paraId="461B3EF7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38" w:type="dxa"/>
          </w:tcPr>
          <w:p w14:paraId="1E4B62F9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Пункт 5.3.8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EN 13152:2001 + A1:2003</w:t>
            </w:r>
          </w:p>
        </w:tc>
        <w:tc>
          <w:tcPr>
            <w:tcW w:w="4906" w:type="dxa"/>
          </w:tcPr>
          <w:p w14:paraId="4D20AABF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Технические требования к вентилям баллонов для СНГ и их испытания — Самозакрывающиеся вентили</w:t>
            </w:r>
          </w:p>
        </w:tc>
      </w:tr>
      <w:tr w:rsidR="00862B49" w:rsidRPr="005A7129" w14:paraId="1C4A6045" w14:textId="77777777" w:rsidTr="000159B2">
        <w:trPr>
          <w:cantSplit/>
        </w:trPr>
        <w:tc>
          <w:tcPr>
            <w:tcW w:w="1485" w:type="dxa"/>
            <w:vMerge/>
          </w:tcPr>
          <w:p w14:paraId="2263BBD5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38" w:type="dxa"/>
          </w:tcPr>
          <w:p w14:paraId="67299BF0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Пункт 5.3.7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EN 13153:2001 + A1:2003</w:t>
            </w:r>
          </w:p>
        </w:tc>
        <w:tc>
          <w:tcPr>
            <w:tcW w:w="4906" w:type="dxa"/>
          </w:tcPr>
          <w:p w14:paraId="425043EB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Технические требования к вентилям баллонов для СНГ и их испытания — Вентили с ручным управлением</w:t>
            </w:r>
          </w:p>
        </w:tc>
      </w:tr>
      <w:tr w:rsidR="00862B49" w:rsidRPr="005A7129" w14:paraId="1C2ACF8B" w14:textId="77777777" w:rsidTr="000159B2">
        <w:trPr>
          <w:cantSplit/>
        </w:trPr>
        <w:tc>
          <w:tcPr>
            <w:tcW w:w="1485" w:type="dxa"/>
            <w:vMerge/>
          </w:tcPr>
          <w:p w14:paraId="6C5BFEFF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38" w:type="dxa"/>
          </w:tcPr>
          <w:p w14:paraId="205264DD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Пункт 5.9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 xml:space="preserve">EN ISO 1424 5:2010 или пункт 5.9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EN ISO 14245:2019</w:t>
            </w:r>
          </w:p>
        </w:tc>
        <w:tc>
          <w:tcPr>
            <w:tcW w:w="4906" w:type="dxa"/>
          </w:tcPr>
          <w:p w14:paraId="13F43F3D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Технические требования к вентилям баллонов для СНГ и их испытания — Самозакрывающиеся вентили</w:t>
            </w:r>
          </w:p>
        </w:tc>
      </w:tr>
      <w:tr w:rsidR="00862B49" w:rsidRPr="005A7129" w14:paraId="7778FAB8" w14:textId="77777777" w:rsidTr="000159B2">
        <w:trPr>
          <w:cantSplit/>
        </w:trPr>
        <w:tc>
          <w:tcPr>
            <w:tcW w:w="1485" w:type="dxa"/>
            <w:vMerge/>
          </w:tcPr>
          <w:p w14:paraId="3168CCCE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38" w:type="dxa"/>
          </w:tcPr>
          <w:p w14:paraId="1C85D55A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Пункт 5.10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 xml:space="preserve">EN ISO 15995:2010 или пункт 5.10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EN ISO 15995:2019</w:t>
            </w:r>
          </w:p>
        </w:tc>
        <w:tc>
          <w:tcPr>
            <w:tcW w:w="4906" w:type="dxa"/>
          </w:tcPr>
          <w:p w14:paraId="5556A15B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Технические требования к вентилям баллонов для СНГ и их испытания — Вентили с ручным управлением</w:t>
            </w:r>
          </w:p>
        </w:tc>
      </w:tr>
      <w:tr w:rsidR="00862B49" w:rsidRPr="005A7129" w14:paraId="4D96684B" w14:textId="77777777" w:rsidTr="000159B2">
        <w:trPr>
          <w:cantSplit/>
        </w:trPr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77375CCD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38" w:type="dxa"/>
          </w:tcPr>
          <w:p w14:paraId="21F01D56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Пункт 5.4.2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EN ISO 17879:2017</w:t>
            </w:r>
          </w:p>
        </w:tc>
        <w:tc>
          <w:tcPr>
            <w:tcW w:w="4906" w:type="dxa"/>
          </w:tcPr>
          <w:p w14:paraId="13A21F45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Самозакрывающиеся вентили баллонов — Технические требования и испытания типа</w:t>
            </w:r>
          </w:p>
        </w:tc>
      </w:tr>
      <w:tr w:rsidR="00862B49" w:rsidRPr="005A7129" w14:paraId="2E68E0E9" w14:textId="77777777" w:rsidTr="000159B2">
        <w:trPr>
          <w:cantSplit/>
        </w:trPr>
        <w:tc>
          <w:tcPr>
            <w:tcW w:w="1485" w:type="dxa"/>
            <w:tcBorders>
              <w:top w:val="single" w:sz="4" w:space="0" w:color="auto"/>
            </w:tcBorders>
          </w:tcPr>
          <w:p w14:paraId="1E2BD100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38" w:type="dxa"/>
          </w:tcPr>
          <w:p w14:paraId="11FDB8FB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Пункт 7.4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 xml:space="preserve">EN 12205:2001,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 xml:space="preserve">или пункт 9.2.5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 xml:space="preserve">EN ISO 11118:2015, или пункт 9.2.5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EN ISO 11118:2015 + A1:2020</w:t>
            </w:r>
          </w:p>
        </w:tc>
        <w:tc>
          <w:tcPr>
            <w:tcW w:w="4906" w:type="dxa"/>
          </w:tcPr>
          <w:p w14:paraId="4DAE2FB4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Металлические газовые баллоны одноразового использования — Технические характеристики и методы испытания</w:t>
            </w:r>
          </w:p>
        </w:tc>
      </w:tr>
      <w:tr w:rsidR="00862B49" w:rsidRPr="005A7129" w14:paraId="4EDE46AB" w14:textId="77777777" w:rsidTr="000159B2">
        <w:trPr>
          <w:cantSplit/>
        </w:trPr>
        <w:tc>
          <w:tcPr>
            <w:tcW w:w="1485" w:type="dxa"/>
            <w:vMerge w:val="restart"/>
          </w:tcPr>
          <w:p w14:paraId="0889204B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4.1.6.8 b)</w:t>
            </w:r>
          </w:p>
        </w:tc>
        <w:tc>
          <w:tcPr>
            <w:tcW w:w="2038" w:type="dxa"/>
          </w:tcPr>
          <w:p w14:paraId="0FA881F7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ISO 11117:1998, или EN ISO 11117:2008 + </w:t>
            </w:r>
            <w:proofErr w:type="spellStart"/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Cor</w:t>
            </w:r>
            <w:proofErr w:type="spellEnd"/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 1:2009, или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EN ISO 11117:2019</w:t>
            </w:r>
          </w:p>
        </w:tc>
        <w:tc>
          <w:tcPr>
            <w:tcW w:w="4906" w:type="dxa"/>
          </w:tcPr>
          <w:p w14:paraId="4E8E945B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Предохранительные колпаки и защитные устройства вентилей — Конструкция, изготовление и испытания</w:t>
            </w:r>
          </w:p>
        </w:tc>
      </w:tr>
      <w:tr w:rsidR="00862B49" w:rsidRPr="005A7129" w14:paraId="0E049BF6" w14:textId="77777777" w:rsidTr="000159B2">
        <w:trPr>
          <w:cantSplit/>
        </w:trPr>
        <w:tc>
          <w:tcPr>
            <w:tcW w:w="1485" w:type="dxa"/>
            <w:vMerge/>
          </w:tcPr>
          <w:p w14:paraId="4049DF45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38" w:type="dxa"/>
          </w:tcPr>
          <w:p w14:paraId="6D07290A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EN 962:1996 + A2:2000</w:t>
            </w:r>
          </w:p>
        </w:tc>
        <w:tc>
          <w:tcPr>
            <w:tcW w:w="4906" w:type="dxa"/>
          </w:tcPr>
          <w:p w14:paraId="46BE4FB5" w14:textId="77777777" w:rsidR="00862B49" w:rsidRPr="005A7129" w:rsidRDefault="00862B49" w:rsidP="00862B49">
            <w:pPr>
              <w:kinsoku/>
              <w:overflowPunct/>
              <w:autoSpaceDE/>
              <w:autoSpaceDN/>
              <w:adjustRightInd/>
              <w:snapToGrid/>
              <w:spacing w:before="40" w:after="80"/>
              <w:ind w:right="5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Переносные газовые баллоны — Предохранительные колпаки вентилей и защитные устройства вентилей на баллонах для промышленных и медицинских газов — Конструкция, изготовление и испытания</w:t>
            </w:r>
          </w:p>
        </w:tc>
      </w:tr>
      <w:tr w:rsidR="00862B49" w:rsidRPr="005A7129" w14:paraId="4835CD8E" w14:textId="77777777" w:rsidTr="000159B2">
        <w:trPr>
          <w:cantSplit/>
        </w:trPr>
        <w:tc>
          <w:tcPr>
            <w:tcW w:w="1485" w:type="dxa"/>
          </w:tcPr>
          <w:p w14:paraId="61DFF199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4.1.6.8 с)</w:t>
            </w:r>
          </w:p>
        </w:tc>
        <w:tc>
          <w:tcPr>
            <w:tcW w:w="6944" w:type="dxa"/>
            <w:gridSpan w:val="2"/>
          </w:tcPr>
          <w:p w14:paraId="6744747D" w14:textId="77777777" w:rsidR="00862B49" w:rsidRPr="005A7129" w:rsidRDefault="00862B49" w:rsidP="00862B49">
            <w:pPr>
              <w:tabs>
                <w:tab w:val="left" w:pos="1418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Требования, предъявляемые к кожухам и постоянным защитным приспособлениям, используемым в качестве защиты вентилей в соответствии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с пунктом 4.1.6.8 с), приведены в соответствующих стандартах конструкции корпусов сосудов под давлением (см. подраздел 6.2.2.3 в отношении сосудов под давлением “UN” и подраздел 6.2.4.1 в отношении сосудов под давлением, кроме сосудов “UN”).</w:t>
            </w:r>
          </w:p>
        </w:tc>
      </w:tr>
      <w:tr w:rsidR="00862B49" w:rsidRPr="005A7129" w14:paraId="7DFD48F1" w14:textId="77777777" w:rsidTr="000159B2">
        <w:trPr>
          <w:cantSplit/>
        </w:trPr>
        <w:tc>
          <w:tcPr>
            <w:tcW w:w="1485" w:type="dxa"/>
          </w:tcPr>
          <w:p w14:paraId="531B9AE0" w14:textId="77777777" w:rsidR="00862B49" w:rsidRPr="005A7129" w:rsidRDefault="00862B49" w:rsidP="00862B49">
            <w:pPr>
              <w:widowControl w:val="0"/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-34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4.1.6.8 b) и c)</w:t>
            </w:r>
          </w:p>
        </w:tc>
        <w:tc>
          <w:tcPr>
            <w:tcW w:w="2038" w:type="dxa"/>
          </w:tcPr>
          <w:p w14:paraId="6511587E" w14:textId="77777777" w:rsidR="00862B49" w:rsidRPr="005A7129" w:rsidRDefault="00862B49" w:rsidP="00862B49">
            <w:pPr>
              <w:tabs>
                <w:tab w:val="left" w:pos="1418"/>
                <w:tab w:val="left" w:pos="1800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ISO 16111:2008 или ISO 16111:2018</w:t>
            </w:r>
          </w:p>
        </w:tc>
        <w:tc>
          <w:tcPr>
            <w:tcW w:w="4906" w:type="dxa"/>
          </w:tcPr>
          <w:p w14:paraId="657CC0CC" w14:textId="77777777" w:rsidR="00862B49" w:rsidRPr="005A7129" w:rsidRDefault="00862B49" w:rsidP="00862B49">
            <w:pPr>
              <w:tabs>
                <w:tab w:val="left" w:pos="1418"/>
                <w:tab w:val="left" w:pos="1800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Переносные емкости для хранения газа — Водород, поглощаемый обратимым </w:t>
            </w:r>
            <w:proofErr w:type="spellStart"/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металлгидридом</w:t>
            </w:r>
            <w:proofErr w:type="spellEnd"/>
          </w:p>
        </w:tc>
      </w:tr>
    </w:tbl>
    <w:p w14:paraId="78E448E6" w14:textId="77777777" w:rsidR="00862B49" w:rsidRPr="005A7129" w:rsidRDefault="00862B49" w:rsidP="00862B49">
      <w:pPr>
        <w:tabs>
          <w:tab w:val="left" w:pos="1418"/>
          <w:tab w:val="left" w:pos="2977"/>
          <w:tab w:val="left" w:pos="4395"/>
        </w:tabs>
        <w:kinsoku/>
        <w:overflowPunct/>
        <w:autoSpaceDE/>
        <w:autoSpaceDN/>
        <w:adjustRightInd/>
        <w:spacing w:after="120"/>
        <w:ind w:left="1418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».</w:t>
      </w:r>
    </w:p>
    <w:p w14:paraId="6357F7DB" w14:textId="77777777" w:rsidR="00862B49" w:rsidRPr="005A7129" w:rsidRDefault="00862B49" w:rsidP="00862B4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4.3</w:t>
      </w:r>
    </w:p>
    <w:p w14:paraId="40CC6653" w14:textId="77777777" w:rsidR="00862B49" w:rsidRPr="005A7129" w:rsidRDefault="00862B49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4.3.4.1.3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таблице, в разделе для класса 5.1 изменить наименование и описание для № ООН 2426 следующим образом:</w:t>
      </w:r>
    </w:p>
    <w:p w14:paraId="7C7E48DA" w14:textId="77777777" w:rsidR="00862B49" w:rsidRPr="005A7129" w:rsidRDefault="00862B49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«АММОНИЯ НИТРАТ ЖИДКИЙ (горячий концентрированный раствор)».</w:t>
      </w:r>
    </w:p>
    <w:p w14:paraId="38547161" w14:textId="3BB6DF98" w:rsidR="009A7555" w:rsidRPr="005A7129" w:rsidRDefault="009A7555" w:rsidP="009A7555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5.4</w:t>
      </w:r>
    </w:p>
    <w:p w14:paraId="1A8E7147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5.4.1.1.3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Становится пунктом 5.4.1.1.3.1.</w:t>
      </w:r>
    </w:p>
    <w:p w14:paraId="659C7EDE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Включить новый пункт 5.4.1.1.3.2 следующего содержания:</w:t>
      </w:r>
    </w:p>
    <w:p w14:paraId="3FBBEED4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"5.4.1.1.3.2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 xml:space="preserve">Если невозможно измерить точное количество отходов в месте погрузки, то количество согласно пункту 5.4.1.1.1 f) может быть оценено для следующих случаев при следующих условиях: </w:t>
      </w:r>
    </w:p>
    <w:p w14:paraId="27C60F3D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a)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упаковок в транспортный документ добавляется перечень тары с указанием типа и номинального объема;</w:t>
      </w:r>
    </w:p>
    <w:p w14:paraId="744350ED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b)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контейнеров оценка основывается на их номинальном объеме и другой имеющейся информации (например, тип отходов, средняя плотность, степень заполнения);</w:t>
      </w:r>
    </w:p>
    <w:p w14:paraId="55849606" w14:textId="5D861CBD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с)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вакуумных цистерн для отходов оценка должна быть обоснована (например, посредством оценки грузоотправителя или на основе показателей оборудования транспортного средства).</w:t>
      </w:r>
    </w:p>
    <w:p w14:paraId="5A7C3CD2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Такая оценка количества не допускается в случае:</w:t>
      </w:r>
    </w:p>
    <w:p w14:paraId="6B36198E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изъятий, для которых точное количество имеет существенное значение (например, подраздел 1.1.3.6);</w:t>
      </w:r>
    </w:p>
    <w:p w14:paraId="157F518D" w14:textId="7D09647C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отходов, содержащих вещества, упомянутые в пункте 2.1.3.5.3, или вещества класса 4.3;</w:t>
      </w:r>
    </w:p>
    <w:p w14:paraId="50685687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цистерн помимо вакуумных цистерн для отходов.</w:t>
      </w:r>
    </w:p>
    <w:p w14:paraId="4DCC5DBF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[В транспортном документе должна быть сделана следующая запись:</w:t>
      </w:r>
    </w:p>
    <w:p w14:paraId="34354706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"КОЛИЧЕСТВО, НА ОСНОВЕ ОЦЕНКИ В СООТВЕТСТВИИ С ПУНКТОМ 5.4.1.1.3.2".].</w:t>
      </w:r>
    </w:p>
    <w:p w14:paraId="17D6E3CA" w14:textId="3AA05068" w:rsidR="009A7555" w:rsidRPr="005A7129" w:rsidRDefault="009A7555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5.4.2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первом абзаце заменить "к транспортному документу прилагается" следующим текстом:</w:t>
      </w:r>
      <w:r w:rsidR="00F908CB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"передается морскому перевозчику лицами, ответственными за загрузку контейнера".</w:t>
      </w:r>
    </w:p>
    <w:p w14:paraId="1490009B" w14:textId="11B974EA" w:rsidR="009A7555" w:rsidRPr="005A7129" w:rsidRDefault="009A7555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Во втором абзаце в первом предложении заменить "; в противном случае эти документы прилагаются." следующим текстом:</w:t>
      </w:r>
      <w:r w:rsidR="00F908CB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"(см., например, раздел 5.4.5)".</w:t>
      </w:r>
    </w:p>
    <w:p w14:paraId="7373F9FF" w14:textId="77777777" w:rsidR="009A7555" w:rsidRPr="005A7129" w:rsidRDefault="009A7555" w:rsidP="009A7555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lastRenderedPageBreak/>
        <w:t>Удалить примечание после второго абзаца.</w:t>
      </w:r>
    </w:p>
    <w:p w14:paraId="1F3410F2" w14:textId="43873C52" w:rsidR="009A7555" w:rsidRPr="005A7129" w:rsidRDefault="009A7555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В третьем абзаце после "может" вставить:</w:t>
      </w:r>
      <w:r w:rsidR="00F908CB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"также".</w:t>
      </w:r>
    </w:p>
    <w:p w14:paraId="74F09B63" w14:textId="37DDA602" w:rsidR="00862B49" w:rsidRPr="005A7129" w:rsidRDefault="00862B49" w:rsidP="00862B4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Arial"/>
          <w:b/>
          <w:sz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6.2</w:t>
      </w:r>
    </w:p>
    <w:p w14:paraId="76CF5C8F" w14:textId="77777777" w:rsidR="00E7159C" w:rsidRPr="005A7129" w:rsidRDefault="00E7159C" w:rsidP="00E7159C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6.2.3.1.5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Изменить следующим образом:</w:t>
      </w:r>
    </w:p>
    <w:p w14:paraId="0C1ED9B5" w14:textId="77777777" w:rsidR="00E7159C" w:rsidRPr="005A7129" w:rsidRDefault="00E7159C" w:rsidP="00E7159C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«6.2.3.1.5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Баллоны для ацетилена не должны быть оснащены плавкими предохранительными вставками или любыми другими устройствами для сброса давления.».</w:t>
      </w:r>
    </w:p>
    <w:p w14:paraId="4D861A9A" w14:textId="4599D43F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6.2.4.1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Изменить таблицу под заголовком «для конструкции и изготовления» следующим образом:</w:t>
      </w:r>
    </w:p>
    <w:p w14:paraId="12EAE7CC" w14:textId="1CCDA453" w:rsidR="00862B49" w:rsidRPr="005A7129" w:rsidRDefault="00862B49" w:rsidP="00892BFD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7866:2012 + A1:2014» в колонке 4 заменить «До дальнейшего указания» на:</w:t>
      </w:r>
      <w:r w:rsidR="00892BFD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«С 1 января 2015 года до 31 декабря 2024 года».</w:t>
      </w:r>
    </w:p>
    <w:p w14:paraId="58CB34A1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После строки для «EN ISO 7866:2012 + AC:2014» включить новую строку следующего содержания:</w:t>
      </w:r>
    </w:p>
    <w:p w14:paraId="06AEF52F" w14:textId="77777777" w:rsidR="00862B49" w:rsidRPr="005A7129" w:rsidRDefault="00862B49" w:rsidP="002A332D">
      <w:pPr>
        <w:widowControl w:val="0"/>
        <w:kinsoku/>
        <w:overflowPunct/>
        <w:autoSpaceDE/>
        <w:autoSpaceDN/>
        <w:adjustRightInd/>
        <w:spacing w:before="120" w:after="120" w:line="240" w:lineRule="auto"/>
        <w:ind w:left="1800" w:hanging="666"/>
        <w:rPr>
          <w:rFonts w:ascii="Times New Roman" w:eastAsia="Times New Roman" w:hAnsi="Times New Roman" w:cs="Arial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Arial"/>
          <w:sz w:val="20"/>
          <w:szCs w:val="20"/>
          <w:lang w:val="ru-RU" w:eastAsia="en-US"/>
        </w:rPr>
        <w:t>«</w:t>
      </w:r>
    </w:p>
    <w:tbl>
      <w:tblPr>
        <w:tblW w:w="8119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317"/>
        <w:gridCol w:w="854"/>
        <w:gridCol w:w="1464"/>
        <w:gridCol w:w="664"/>
      </w:tblGrid>
      <w:tr w:rsidR="00862B49" w:rsidRPr="005A7129" w14:paraId="1C206BC7" w14:textId="77777777" w:rsidTr="000159B2">
        <w:tc>
          <w:tcPr>
            <w:tcW w:w="1820" w:type="dxa"/>
          </w:tcPr>
          <w:p w14:paraId="0100C6BF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ind w:left="-78" w:right="-7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(1)</w:t>
            </w:r>
          </w:p>
        </w:tc>
        <w:tc>
          <w:tcPr>
            <w:tcW w:w="3317" w:type="dxa"/>
          </w:tcPr>
          <w:p w14:paraId="15D5497B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ind w:left="-52" w:right="-61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(2)</w:t>
            </w:r>
          </w:p>
        </w:tc>
        <w:tc>
          <w:tcPr>
            <w:tcW w:w="854" w:type="dxa"/>
          </w:tcPr>
          <w:p w14:paraId="3270C116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ind w:left="-65" w:right="-87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(3)</w:t>
            </w:r>
          </w:p>
        </w:tc>
        <w:tc>
          <w:tcPr>
            <w:tcW w:w="1464" w:type="dxa"/>
          </w:tcPr>
          <w:p w14:paraId="2AAC4053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ind w:left="-95" w:right="-61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(4)</w:t>
            </w:r>
          </w:p>
        </w:tc>
        <w:tc>
          <w:tcPr>
            <w:tcW w:w="664" w:type="dxa"/>
          </w:tcPr>
          <w:p w14:paraId="2D2C6B62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(5)</w:t>
            </w:r>
          </w:p>
        </w:tc>
      </w:tr>
      <w:tr w:rsidR="00862B49" w:rsidRPr="005A7129" w14:paraId="73A80237" w14:textId="77777777" w:rsidTr="000159B2">
        <w:tc>
          <w:tcPr>
            <w:tcW w:w="1820" w:type="dxa"/>
            <w:vAlign w:val="center"/>
          </w:tcPr>
          <w:p w14:paraId="22D372F8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ind w:left="-78" w:right="-70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EN ISO 7866:2012 + AC:2014</w:t>
            </w:r>
          </w:p>
        </w:tc>
        <w:tc>
          <w:tcPr>
            <w:tcW w:w="3317" w:type="dxa"/>
            <w:vAlign w:val="center"/>
          </w:tcPr>
          <w:p w14:paraId="24EE62BC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ind w:left="-52" w:right="-61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Бесшовные газовые баллоны многоразового использования из алюминиевого сплава — Конструкция, изготовление и испытания</w:t>
            </w:r>
          </w:p>
        </w:tc>
        <w:tc>
          <w:tcPr>
            <w:tcW w:w="854" w:type="dxa"/>
            <w:vAlign w:val="center"/>
          </w:tcPr>
          <w:p w14:paraId="684E7ED4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ind w:left="-65" w:right="-87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6.2.3.1 и 6.2.3.4</w:t>
            </w:r>
          </w:p>
        </w:tc>
        <w:tc>
          <w:tcPr>
            <w:tcW w:w="1464" w:type="dxa"/>
            <w:vAlign w:val="center"/>
          </w:tcPr>
          <w:p w14:paraId="266479E0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ind w:left="-95" w:right="-61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До дальнейшего указания</w:t>
            </w:r>
          </w:p>
        </w:tc>
        <w:tc>
          <w:tcPr>
            <w:tcW w:w="664" w:type="dxa"/>
            <w:vAlign w:val="center"/>
          </w:tcPr>
          <w:p w14:paraId="77A442EA" w14:textId="77777777" w:rsidR="00862B49" w:rsidRPr="005A7129" w:rsidRDefault="00862B49" w:rsidP="002A332D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</w:p>
        </w:tc>
      </w:tr>
    </w:tbl>
    <w:p w14:paraId="0F69F7E3" w14:textId="77777777" w:rsidR="00862B49" w:rsidRPr="005A7129" w:rsidRDefault="00862B49" w:rsidP="002A332D">
      <w:pPr>
        <w:widowControl w:val="0"/>
        <w:kinsoku/>
        <w:overflowPunct/>
        <w:autoSpaceDE/>
        <w:autoSpaceDN/>
        <w:adjustRightInd/>
        <w:spacing w:after="120"/>
        <w:ind w:left="1798" w:right="386" w:hanging="380"/>
        <w:jc w:val="right"/>
        <w:rPr>
          <w:rFonts w:ascii="Times New Roman" w:eastAsia="Times New Roman" w:hAnsi="Times New Roman" w:cs="Arial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Arial"/>
          <w:sz w:val="20"/>
          <w:szCs w:val="20"/>
          <w:lang w:val="ru-RU" w:eastAsia="en-US"/>
        </w:rPr>
        <w:t>».</w:t>
      </w:r>
    </w:p>
    <w:p w14:paraId="6F577556" w14:textId="77777777" w:rsidR="00862B49" w:rsidRPr="005A7129" w:rsidRDefault="00862B49" w:rsidP="002A332D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[–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12245:2002» в колонку 2 добавить следующее примечание:</w:t>
      </w:r>
    </w:p>
    <w:p w14:paraId="093D5516" w14:textId="77777777" w:rsidR="00862B49" w:rsidRPr="005A7129" w:rsidRDefault="00862B49" w:rsidP="002A332D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«ПРИМЕЧАНИЕ: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Этот стандарт не должен использоваться для газов, классифицируемых как СНГ».]</w:t>
      </w:r>
    </w:p>
    <w:p w14:paraId="10F5F5C0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[–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12245:2002» в колонку 5 добавить следующий текст:</w:t>
      </w:r>
    </w:p>
    <w:p w14:paraId="46E18889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«31 декабря 2023 года для баллонов для СНГ».]</w:t>
      </w:r>
    </w:p>
    <w:p w14:paraId="553FDC0A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[–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12245:2009 + A1:2011» в колонке 2 пронумеровать существующее примечание как «ПРИМЕЧАНИЕ 1» и вставить новое примечание следующего содержания:</w:t>
      </w:r>
    </w:p>
    <w:p w14:paraId="0DE95788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«ПРИМЕЧАНИЕ 2: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Этот стандарт не должен использоваться для газов, классифицируемых как СНГ».]</w:t>
      </w:r>
    </w:p>
    <w:p w14:paraId="4BCFC576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[–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12245:2009 + A1:2011» в колонку 5 включить следующее:</w:t>
      </w:r>
    </w:p>
    <w:p w14:paraId="7CD71D86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«31 декабря 2023 года для баллонов для СНГ».]</w:t>
      </w:r>
    </w:p>
    <w:p w14:paraId="63949FD4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ISO 11118:2015» в колонке 4 заменить «До дальнейшего указания» на:</w:t>
      </w:r>
    </w:p>
    <w:p w14:paraId="57C4757C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«С 1 января 2017 года до 31 декабря 2024 года».</w:t>
      </w:r>
    </w:p>
    <w:p w14:paraId="26DBFE59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После строки для «EN ISO 11118:2015» включить новую строку следующего содержания:</w:t>
      </w:r>
    </w:p>
    <w:p w14:paraId="60B9702D" w14:textId="77777777" w:rsidR="00862B49" w:rsidRPr="005A7129" w:rsidRDefault="00862B49" w:rsidP="00862B49">
      <w:pPr>
        <w:widowControl w:val="0"/>
        <w:kinsoku/>
        <w:overflowPunct/>
        <w:autoSpaceDE/>
        <w:autoSpaceDN/>
        <w:adjustRightInd/>
        <w:spacing w:before="120" w:after="120" w:line="240" w:lineRule="auto"/>
        <w:ind w:left="1800" w:hanging="666"/>
        <w:rPr>
          <w:rFonts w:ascii="Times New Roman" w:eastAsia="Times New Roman" w:hAnsi="Times New Roman" w:cs="Arial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Arial"/>
          <w:sz w:val="20"/>
          <w:szCs w:val="20"/>
          <w:lang w:val="ru-RU" w:eastAsia="en-US"/>
        </w:rPr>
        <w:t>«</w:t>
      </w:r>
    </w:p>
    <w:tbl>
      <w:tblPr>
        <w:tblW w:w="8119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233"/>
        <w:gridCol w:w="854"/>
        <w:gridCol w:w="1478"/>
        <w:gridCol w:w="664"/>
      </w:tblGrid>
      <w:tr w:rsidR="00862B49" w:rsidRPr="005A7129" w14:paraId="4C53462F" w14:textId="77777777" w:rsidTr="000159B2">
        <w:tc>
          <w:tcPr>
            <w:tcW w:w="1890" w:type="dxa"/>
          </w:tcPr>
          <w:p w14:paraId="45115201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(1)</w:t>
            </w:r>
          </w:p>
        </w:tc>
        <w:tc>
          <w:tcPr>
            <w:tcW w:w="3233" w:type="dxa"/>
          </w:tcPr>
          <w:p w14:paraId="4483BA2B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(2)</w:t>
            </w:r>
          </w:p>
        </w:tc>
        <w:tc>
          <w:tcPr>
            <w:tcW w:w="854" w:type="dxa"/>
          </w:tcPr>
          <w:p w14:paraId="0C89DA3E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(3)</w:t>
            </w:r>
          </w:p>
        </w:tc>
        <w:tc>
          <w:tcPr>
            <w:tcW w:w="1478" w:type="dxa"/>
          </w:tcPr>
          <w:p w14:paraId="1F862F1A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(4)</w:t>
            </w:r>
          </w:p>
        </w:tc>
        <w:tc>
          <w:tcPr>
            <w:tcW w:w="664" w:type="dxa"/>
          </w:tcPr>
          <w:p w14:paraId="79C9C338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4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(5)</w:t>
            </w:r>
          </w:p>
        </w:tc>
      </w:tr>
      <w:tr w:rsidR="00862B49" w:rsidRPr="005A7129" w14:paraId="4DFA71D5" w14:textId="77777777" w:rsidTr="000159B2">
        <w:tc>
          <w:tcPr>
            <w:tcW w:w="1890" w:type="dxa"/>
            <w:vAlign w:val="center"/>
          </w:tcPr>
          <w:p w14:paraId="31B8693E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ind w:left="-78" w:right="-70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EN ISO 11118:2015 + A1:2020</w:t>
            </w:r>
          </w:p>
        </w:tc>
        <w:tc>
          <w:tcPr>
            <w:tcW w:w="3233" w:type="dxa"/>
            <w:vAlign w:val="center"/>
          </w:tcPr>
          <w:p w14:paraId="0AAA4625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ind w:left="-52" w:right="-61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Газовые баллоны — Металлические газовые баллоны одноразового использования — Технические характеристики и методы испытания</w:t>
            </w:r>
          </w:p>
        </w:tc>
        <w:tc>
          <w:tcPr>
            <w:tcW w:w="854" w:type="dxa"/>
            <w:vAlign w:val="center"/>
          </w:tcPr>
          <w:p w14:paraId="4151AC05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ind w:left="-65" w:right="-87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6.2.3.1, 6.2.3.3 и 6.2.3.4</w:t>
            </w:r>
          </w:p>
        </w:tc>
        <w:tc>
          <w:tcPr>
            <w:tcW w:w="1478" w:type="dxa"/>
            <w:vAlign w:val="center"/>
          </w:tcPr>
          <w:p w14:paraId="75410698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ind w:left="-95" w:right="-61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До дальнейшего указания</w:t>
            </w:r>
          </w:p>
        </w:tc>
        <w:tc>
          <w:tcPr>
            <w:tcW w:w="664" w:type="dxa"/>
            <w:vAlign w:val="center"/>
          </w:tcPr>
          <w:p w14:paraId="5AA6D9B2" w14:textId="77777777" w:rsidR="00862B49" w:rsidRPr="005A7129" w:rsidRDefault="00862B49" w:rsidP="00862B49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40" w:after="80"/>
              <w:rPr>
                <w:rFonts w:ascii="Times New Roman" w:eastAsia="Times New Roman" w:hAnsi="Times New Roman" w:cs="Arial"/>
                <w:sz w:val="18"/>
                <w:szCs w:val="18"/>
                <w:lang w:val="ru-RU" w:eastAsia="en-US"/>
              </w:rPr>
            </w:pPr>
          </w:p>
        </w:tc>
      </w:tr>
    </w:tbl>
    <w:p w14:paraId="1BEDCF00" w14:textId="77777777" w:rsidR="00862B49" w:rsidRPr="005A7129" w:rsidRDefault="00862B49" w:rsidP="00862B49">
      <w:pPr>
        <w:kinsoku/>
        <w:overflowPunct/>
        <w:autoSpaceDE/>
        <w:autoSpaceDN/>
        <w:adjustRightInd/>
        <w:snapToGrid/>
        <w:spacing w:after="120"/>
        <w:ind w:left="1134" w:right="566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»</w:t>
      </w:r>
    </w:p>
    <w:p w14:paraId="0D2AE594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lastRenderedPageBreak/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14427:2004 + A1:2005» в колонку 5 добавить следующий текст:</w:t>
      </w:r>
    </w:p>
    <w:p w14:paraId="41B6298B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«31 декабря 2023 года для баллонов без вкладыша, изготовленных из двух соединенных друг с другом частей».</w:t>
      </w:r>
    </w:p>
    <w:p w14:paraId="04649DFB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14427:2014» в колонку 2 добавить новое примечание следующего содержания:</w:t>
      </w:r>
    </w:p>
    <w:p w14:paraId="230D498D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</w:t>
      </w:r>
      <w:r w:rsidRPr="005A71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en-US"/>
        </w:rPr>
        <w:t>ПРИМЕЧАНИЕ:</w:t>
      </w:r>
      <w:r w:rsidRPr="005A712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en-US"/>
        </w:rPr>
        <w:tab/>
        <w:t>Этот стандарт не применяется к баллонам без вкладыша, изготовленным из двух соединенных друг с другом частей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».</w:t>
      </w:r>
    </w:p>
    <w:p w14:paraId="4FCB75DF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–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Для «EN 14427:2014» в колонку 5 добавить следующий текст:</w:t>
      </w:r>
    </w:p>
    <w:p w14:paraId="4B75C913" w14:textId="7777777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«31 декабря 2023 года для баллонов без вкладыша, изготовленных из двух соединенных друг с другом частей».</w:t>
      </w:r>
    </w:p>
    <w:p w14:paraId="6DD8A055" w14:textId="4A792CD7" w:rsidR="00862B49" w:rsidRPr="005A7129" w:rsidRDefault="00862B49" w:rsidP="00F908CB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6.2.5.4.2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Изменить поправку в документе ECE/TRANS/WP.15/</w:t>
      </w:r>
      <w:r w:rsidR="00E91F0F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251</w:t>
      </w:r>
      <w:r w:rsidR="005A712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, в приложении I,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следующим образом:</w:t>
      </w:r>
    </w:p>
    <w:p w14:paraId="5359C427" w14:textId="37923A79" w:rsidR="00862B49" w:rsidRPr="005A7129" w:rsidRDefault="00862B49" w:rsidP="00E91F0F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В конце предложения заменить «(см. также 1975:1999 + A1:2003)» на:</w:t>
      </w:r>
      <w:r w:rsidR="00E91F0F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«(см. также EN ISO 7866:2012 + AC:2020)».</w:t>
      </w:r>
    </w:p>
    <w:p w14:paraId="2E74DE3B" w14:textId="77777777" w:rsidR="00862B49" w:rsidRPr="005A7129" w:rsidRDefault="00862B49" w:rsidP="00862B4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6.8</w:t>
      </w:r>
    </w:p>
    <w:p w14:paraId="408896B9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6.8.2.1.23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Перенести последнее предложение первого абзаца в конец второго абзаца, заменив двоеточие в конце второго абзаца на точку.</w:t>
      </w:r>
    </w:p>
    <w:p w14:paraId="530B159E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Непосредственно перед последним абзацем включить новый абзац следующего содержания:</w:t>
      </w:r>
    </w:p>
    <w:p w14:paraId="6B492324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«Сварные швы, выполненные во время ремонта или изменения конструкции, должны оцениваться так, как указано выше, и в соответствии с неразрушающими испытаниями, предусмотренными в соответствующем(их) стандарте(ах), упомянутом(</w:t>
      </w:r>
      <w:proofErr w:type="spell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ых</w:t>
      </w:r>
      <w:proofErr w:type="spell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) в пункте 6.8.2.6.2.».</w:t>
      </w:r>
    </w:p>
    <w:p w14:paraId="00C90D5B" w14:textId="6C60E37A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6.8.2.2.2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конце седьмого абзаца включить ссылку на сноску 9 следующего содержания:</w:t>
      </w:r>
    </w:p>
    <w:p w14:paraId="3C121ED2" w14:textId="5C03B80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</w:t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en-US"/>
        </w:rPr>
        <w:t>9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proofErr w:type="spell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Сухоразъемные</w:t>
      </w:r>
      <w:proofErr w:type="spell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соединения работают в режиме </w:t>
      </w:r>
      <w:proofErr w:type="spell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самозакрывания</w:t>
      </w:r>
      <w:proofErr w:type="spell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. Следовательно, указатель положения “открыто” или “закрыто” не нужен. Затвор этого типа должен использоваться только в качестве второго или третьего затвора.».</w:t>
      </w:r>
    </w:p>
    <w:p w14:paraId="79CE5199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6.8.2.2.4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После первого предложения включить в правую колонку новый абзац следующего содержания:</w:t>
      </w:r>
    </w:p>
    <w:tbl>
      <w:tblPr>
        <w:tblW w:w="7513" w:type="dxa"/>
        <w:tblInd w:w="11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3827"/>
      </w:tblGrid>
      <w:tr w:rsidR="00672B35" w:rsidRPr="005A7129" w14:paraId="3FB712B8" w14:textId="77777777" w:rsidTr="000159B2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14:paraId="7B1D46DA" w14:textId="77777777" w:rsidR="00672B35" w:rsidRPr="005A7129" w:rsidRDefault="00672B35" w:rsidP="000159B2">
            <w:pPr>
              <w:widowControl w:val="0"/>
              <w:suppressAutoHyphens w:val="0"/>
              <w:kinsoku/>
              <w:overflowPunct/>
              <w:autoSpaceDE/>
              <w:autoSpaceDN/>
              <w:adjustRightInd/>
              <w:snapToGrid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D34052B" w14:textId="77777777" w:rsidR="00672B35" w:rsidRPr="005A7129" w:rsidRDefault="00672B35" w:rsidP="000159B2">
            <w:pPr>
              <w:widowControl w:val="0"/>
              <w:tabs>
                <w:tab w:val="left" w:pos="1418"/>
                <w:tab w:val="left" w:pos="2977"/>
                <w:tab w:val="left" w:pos="439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[«В случае контейнеров-цистерн [вместимостью более 40 000 литров/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 xml:space="preserve">массой брутто более 36 000 кг], предназначенных для перевозки [веществ в жидком состоянии]/[жидкостей], которые не разделены с помощью перегородок или </w:t>
            </w:r>
            <w:proofErr w:type="spellStart"/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волногасящих</w:t>
            </w:r>
            <w:proofErr w:type="spellEnd"/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 переборок на отсеки вместимостью не более </w:t>
            </w: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br/>
              <w:t>7500 литров, такие отверстия должны быть снабжены затворами, рассчитанными на испытательное давление не менее 0,4 </w:t>
            </w:r>
            <w:proofErr w:type="spellStart"/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МРа</w:t>
            </w:r>
            <w:proofErr w:type="spellEnd"/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 xml:space="preserve"> (4 бара). Для таких контейнеров-цистерн с испытательным давлением более 0,6 МПа (6 бар) применение затворов в виде откидной (ригельной) крышки не допускается.».]</w:t>
            </w:r>
          </w:p>
        </w:tc>
      </w:tr>
    </w:tbl>
    <w:p w14:paraId="16E53DBD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6.8.2.4.3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первом абзаце в первом предложении заменить «не реже ... чем» на «не позднее чем через».</w:t>
      </w:r>
    </w:p>
    <w:p w14:paraId="737E3F9E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lastRenderedPageBreak/>
        <w:t>В третьем абзаце заменить «предусмотренной даты» на «указанной даты», заменить «по крайней мере» на «не позднее чем» и заменить «этой даты» на «этой более ранней даты».</w:t>
      </w:r>
    </w:p>
    <w:p w14:paraId="7BF5C83B" w14:textId="3F3D60C9" w:rsidR="00672B35" w:rsidRPr="005A7129" w:rsidRDefault="00672B35" w:rsidP="00036B09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[6.8.2.6.2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="00036B0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В таблице,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в строке для стандарта «EN 12972:2018» в колонке 3 перед «6.8.2.4» включить:</w:t>
      </w:r>
      <w:r w:rsidR="008F753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«6.8.2.1.23».]</w:t>
      </w:r>
    </w:p>
    <w:p w14:paraId="2DBAC354" w14:textId="30B6CFDE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6.8.3.4.6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докладе ECE/TRANS/WP.15/</w:t>
      </w:r>
      <w:r w:rsidR="007359E1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251</w:t>
      </w:r>
      <w:r w:rsidR="005A712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, в приложении I,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заменить поправку к пункту 6.8.3.4.6 следующей поправкой:</w:t>
      </w:r>
    </w:p>
    <w:p w14:paraId="70E442EE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6.8.3.4.6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Изменить следующим образом:</w:t>
      </w:r>
    </w:p>
    <w:p w14:paraId="6E83CE97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«6.8.3.4.6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случае цистерн, предназначенных для перевозки охлажденных сжиженных газов:</w:t>
      </w:r>
    </w:p>
    <w:p w14:paraId="51995CAF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a)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отступление от требований пункта 6.8.2.4.2 периодические проверки должны проводиться не позднее чем через</w:t>
      </w:r>
    </w:p>
    <w:tbl>
      <w:tblPr>
        <w:tblW w:w="7079" w:type="dxa"/>
        <w:tblInd w:w="1418" w:type="dxa"/>
        <w:tblLayout w:type="fixed"/>
        <w:tblLook w:val="01E0" w:firstRow="1" w:lastRow="1" w:firstColumn="1" w:lastColumn="1" w:noHBand="0" w:noVBand="0"/>
      </w:tblPr>
      <w:tblGrid>
        <w:gridCol w:w="3118"/>
        <w:gridCol w:w="3961"/>
      </w:tblGrid>
      <w:tr w:rsidR="00672B35" w:rsidRPr="005A7129" w14:paraId="0DE5696A" w14:textId="77777777" w:rsidTr="000159B2">
        <w:tc>
          <w:tcPr>
            <w:tcW w:w="3118" w:type="dxa"/>
            <w:tcBorders>
              <w:right w:val="single" w:sz="4" w:space="0" w:color="auto"/>
            </w:tcBorders>
          </w:tcPr>
          <w:p w14:paraId="038579B9" w14:textId="77777777" w:rsidR="00672B35" w:rsidRPr="005A7129" w:rsidRDefault="00672B35" w:rsidP="000159B2">
            <w:pPr>
              <w:widowControl w:val="0"/>
              <w:tabs>
                <w:tab w:val="left" w:pos="194"/>
                <w:tab w:val="left" w:pos="2977"/>
                <w:tab w:val="left" w:pos="439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120"/>
              <w:rPr>
                <w:rFonts w:ascii="Times New Roman" w:eastAsia="Times New Roman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ab/>
              <w:t>шесть лет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14:paraId="329B6102" w14:textId="77777777" w:rsidR="00672B35" w:rsidRPr="005A7129" w:rsidRDefault="00672B35" w:rsidP="000159B2">
            <w:pPr>
              <w:widowControl w:val="0"/>
              <w:tabs>
                <w:tab w:val="left" w:pos="1416"/>
                <w:tab w:val="left" w:pos="2977"/>
                <w:tab w:val="left" w:pos="439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120"/>
              <w:ind w:left="14" w:hanging="70"/>
              <w:rPr>
                <w:rFonts w:ascii="Times New Roman" w:eastAsia="Times New Roman" w:hAnsi="Times New Roman" w:cs="Arial"/>
                <w:sz w:val="20"/>
                <w:szCs w:val="20"/>
                <w:lang w:val="ru-RU" w:eastAsia="en-US"/>
              </w:rPr>
            </w:pPr>
            <w:r w:rsidRPr="005A7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восемь лет</w:t>
            </w:r>
          </w:p>
        </w:tc>
      </w:tr>
    </w:tbl>
    <w:p w14:paraId="3509B943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после первоначальной проверки, а затем не позднее чем через каждые 12 лет;</w:t>
      </w:r>
    </w:p>
    <w:p w14:paraId="51150A31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b)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отступление от требований пункта 6.8.2.4.3 промежуточные проверки должны проводиться не позднее чем через шесть лет после каждой периодической проверки.».</w:t>
      </w:r>
    </w:p>
    <w:p w14:paraId="1B4B8DDC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6.8.4 d)</w:t>
      </w:r>
    </w:p>
    <w:p w14:paraId="3C8E00F2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proofErr w:type="gram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TT3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Изменить</w:t>
      </w:r>
      <w:proofErr w:type="gram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следующим образом:</w:t>
      </w:r>
    </w:p>
    <w:p w14:paraId="5A63BF79" w14:textId="7777777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«TT3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отступление от требований пункта 6.8.2.4.2 периодические проверки должны проводиться не позднее чем через каждые восемь лет и должны включать проверку толщины стенок с использованием специальных измерительных приборов. Испытание на герметичность и проверка герметичности таких цистерн, предусмотренные в пункте 6.8.2.4.3, должны проводиться не позднее чем через каждые четыре года.».</w:t>
      </w:r>
    </w:p>
    <w:p w14:paraId="2EE4ABE8" w14:textId="5FD91DD7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proofErr w:type="gram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TT5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Заменить</w:t>
      </w:r>
      <w:proofErr w:type="gram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«не реже одного раза в» на «не позднее чем через каждые».</w:t>
      </w:r>
    </w:p>
    <w:p w14:paraId="15A39E2E" w14:textId="275AA4D6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proofErr w:type="gram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TT6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bookmarkStart w:id="0" w:name="_Hlk67084500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Заменить</w:t>
      </w:r>
      <w:proofErr w:type="gram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«не реже одного раза в» на</w:t>
      </w:r>
      <w:bookmarkEnd w:id="0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«не позднее чем через каждые».</w:t>
      </w:r>
    </w:p>
    <w:p w14:paraId="40F7F558" w14:textId="5B727683" w:rsidR="00672B35" w:rsidRPr="005A7129" w:rsidRDefault="00672B35" w:rsidP="007E5DE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proofErr w:type="gram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TT10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Заменить</w:t>
      </w:r>
      <w:proofErr w:type="gram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«не реже чем» на «не позднее чем через».</w:t>
      </w:r>
    </w:p>
    <w:p w14:paraId="055FAA76" w14:textId="40306509" w:rsidR="00862B49" w:rsidRPr="005A7129" w:rsidRDefault="00862B49" w:rsidP="005062A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TT 11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Заменить «EN ISO 17640:2010» на:</w:t>
      </w:r>
      <w:r w:rsidR="005062A7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«EN ISO 17640:2018».</w:t>
      </w:r>
    </w:p>
    <w:p w14:paraId="2417CF1F" w14:textId="5A284F86" w:rsidR="00862B49" w:rsidRPr="005A7129" w:rsidRDefault="005062A7" w:rsidP="005062A7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="00862B4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Заменить «EN ISO 17638:2009» на: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="00862B49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«EN ISO 17638:2016».</w:t>
      </w:r>
    </w:p>
    <w:p w14:paraId="5FE7F95F" w14:textId="5F04E6C6" w:rsidR="00862B49" w:rsidRPr="005A7129" w:rsidRDefault="00862B49" w:rsidP="005062A7">
      <w:pPr>
        <w:spacing w:before="120" w:after="120"/>
        <w:ind w:left="1701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Заменить «EN ISO 23278:2009 — Магнитно-порошковая дефектоскопия сварных соединений. Уровни допуска» на:</w:t>
      </w:r>
      <w:r w:rsidR="005062A7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«EN ISO 23278:2015 — Неразрушающий контроль сварных соединений — </w:t>
      </w:r>
      <w:proofErr w:type="spellStart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Магнитнопорошковая</w:t>
      </w:r>
      <w:proofErr w:type="spellEnd"/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дефектоскопия сварных соединений. Уровни допуска» (дважды).</w:t>
      </w:r>
    </w:p>
    <w:p w14:paraId="544BBDE7" w14:textId="5A1455DB" w:rsidR="00862B49" w:rsidRPr="005A7129" w:rsidRDefault="00862B49" w:rsidP="005062A7">
      <w:pPr>
        <w:spacing w:before="120" w:after="120"/>
        <w:ind w:left="1701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Заменить «EN 1711:2000» на:</w:t>
      </w:r>
      <w:r w:rsidR="005062A7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«EN ISO 17643:2015».</w:t>
      </w:r>
    </w:p>
    <w:p w14:paraId="27513EC6" w14:textId="4600EDCC" w:rsidR="00862B49" w:rsidRPr="005A7129" w:rsidRDefault="00862B49" w:rsidP="005062A7">
      <w:pPr>
        <w:spacing w:before="120" w:after="120"/>
        <w:ind w:left="1701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Заменить «EN 14127:2011» на:</w:t>
      </w:r>
      <w:r w:rsidR="005062A7"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 xml:space="preserve">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«EN ISO 16809:2019».</w:t>
      </w:r>
    </w:p>
    <w:p w14:paraId="4A6315C4" w14:textId="1CF8957D" w:rsidR="007C61A2" w:rsidRPr="005A7129" w:rsidRDefault="007C61A2" w:rsidP="007C61A2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6.10</w:t>
      </w:r>
    </w:p>
    <w:p w14:paraId="7544BF64" w14:textId="77777777" w:rsidR="007C61A2" w:rsidRPr="005A7129" w:rsidRDefault="007C61A2" w:rsidP="007C61A2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6.10.4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Заменить «один раз в три года» на «не позднее чем через каждые три года».</w:t>
      </w:r>
    </w:p>
    <w:p w14:paraId="70E473D3" w14:textId="77777777" w:rsidR="007C61A2" w:rsidRPr="005A7129" w:rsidRDefault="007C61A2" w:rsidP="007C61A2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6.10.4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 xml:space="preserve">Заменить «по меньшей мере один раз в два с половиной года» на 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br/>
        <w:t>«не позднее чем через каждые два с половиной года».</w:t>
      </w:r>
    </w:p>
    <w:p w14:paraId="734C7992" w14:textId="6B846775" w:rsidR="007C61A2" w:rsidRPr="005A7129" w:rsidRDefault="007C61A2" w:rsidP="007C61A2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  <w:t>Глава 6.12</w:t>
      </w:r>
    </w:p>
    <w:p w14:paraId="57E0D198" w14:textId="77777777" w:rsidR="007C61A2" w:rsidRPr="005A7129" w:rsidRDefault="007C61A2" w:rsidP="007C61A2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6.12.3.2.6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первом предложении заменить «, по меньшей мере, каждые три года» на «не позднее чем через каждые три года».</w:t>
      </w:r>
    </w:p>
    <w:p w14:paraId="30CEA22F" w14:textId="05D41614" w:rsidR="00862B49" w:rsidRPr="005A7129" w:rsidRDefault="007C61A2" w:rsidP="007C61A2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lastRenderedPageBreak/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="00862B49"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Глава 7.4</w:t>
      </w:r>
    </w:p>
    <w:p w14:paraId="0230A8AA" w14:textId="1E6CA1A3" w:rsidR="00862B49" w:rsidRPr="005A7129" w:rsidRDefault="00862B49" w:rsidP="007C61A2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7.4.1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Изменить первое предложение следующим образом:</w:t>
      </w:r>
    </w:p>
    <w:p w14:paraId="1FC32F17" w14:textId="77777777" w:rsidR="00862B49" w:rsidRPr="005A7129" w:rsidRDefault="00862B49" w:rsidP="007C61A2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"Опасный груз может перевозиться в цистернах только в том случае, если инструкция по цистерне указана в колонке 10 или если код цистерны указан в колонке 12 таблицы А главы 3.2, или если компетентный орган выдал разрешение в соответствии с условиями, указанными в подразделе 6.7.1.3".</w:t>
      </w:r>
    </w:p>
    <w:p w14:paraId="759CD0F3" w14:textId="42F216B9" w:rsidR="00862B49" w:rsidRPr="005A7129" w:rsidRDefault="007C61A2" w:rsidP="007C61A2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ab/>
      </w:r>
      <w:r w:rsidR="00862B49" w:rsidRPr="005A712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Глава 8.1</w:t>
      </w:r>
    </w:p>
    <w:p w14:paraId="1D89E8EF" w14:textId="77777777" w:rsidR="00862B49" w:rsidRPr="005A7129" w:rsidRDefault="00862B49" w:rsidP="007C61A2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8.1.2.1</w:t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</w: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ab/>
        <w:t>В подпункте а) исключить:</w:t>
      </w:r>
    </w:p>
    <w:p w14:paraId="4EB9ED58" w14:textId="77777777" w:rsidR="00862B49" w:rsidRPr="005A7129" w:rsidRDefault="00862B49" w:rsidP="007C61A2">
      <w:pPr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</w:pPr>
      <w:r w:rsidRPr="005A7129">
        <w:rPr>
          <w:rFonts w:ascii="Times New Roman" w:eastAsia="Times New Roman" w:hAnsi="Times New Roman" w:cs="Times New Roman"/>
          <w:bCs/>
          <w:sz w:val="20"/>
          <w:szCs w:val="20"/>
          <w:lang w:val="ru-RU" w:eastAsia="en-US"/>
        </w:rPr>
        <w:t>"и, при необходимости, свидетельство о загрузке контейнера/транспортного средства, предписанное в разделе 5.4.2".</w:t>
      </w:r>
    </w:p>
    <w:p w14:paraId="6997ACA5" w14:textId="007D3F47" w:rsidR="001A5103" w:rsidRPr="005A7129" w:rsidRDefault="00D42BA3" w:rsidP="00AD7424">
      <w:pPr>
        <w:spacing w:before="240"/>
        <w:jc w:val="center"/>
        <w:rPr>
          <w:u w:val="single"/>
          <w:lang w:val="ru-RU" w:eastAsia="en-US"/>
        </w:rPr>
      </w:pPr>
      <w:r w:rsidRPr="005A7129">
        <w:rPr>
          <w:u w:val="single"/>
          <w:lang w:val="ru-RU" w:eastAsia="en-US"/>
        </w:rPr>
        <w:tab/>
      </w:r>
      <w:r w:rsidRPr="005A7129">
        <w:rPr>
          <w:u w:val="single"/>
          <w:lang w:val="ru-RU" w:eastAsia="en-US"/>
        </w:rPr>
        <w:tab/>
      </w:r>
      <w:r w:rsidRPr="005A7129">
        <w:rPr>
          <w:u w:val="single"/>
          <w:lang w:val="ru-RU" w:eastAsia="en-US"/>
        </w:rPr>
        <w:tab/>
      </w:r>
    </w:p>
    <w:p w14:paraId="7AC72FFF" w14:textId="77777777" w:rsidR="00446FE5" w:rsidRPr="005A7129" w:rsidRDefault="00446FE5" w:rsidP="001A5103">
      <w:pPr>
        <w:suppressAutoHyphens w:val="0"/>
        <w:kinsoku/>
        <w:overflowPunct/>
        <w:autoSpaceDE/>
        <w:autoSpaceDN/>
        <w:adjustRightInd/>
        <w:snapToGrid/>
        <w:spacing w:after="160" w:line="259" w:lineRule="auto"/>
        <w:rPr>
          <w:lang w:val="ru-RU"/>
        </w:rPr>
      </w:pPr>
    </w:p>
    <w:sectPr w:rsidR="00446FE5" w:rsidRPr="005A7129" w:rsidSect="001A51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8D6E" w14:textId="77777777" w:rsidR="008B484C" w:rsidRDefault="008B484C" w:rsidP="00F95C08">
      <w:pPr>
        <w:spacing w:line="240" w:lineRule="auto"/>
      </w:pPr>
    </w:p>
  </w:endnote>
  <w:endnote w:type="continuationSeparator" w:id="0">
    <w:p w14:paraId="03D75622" w14:textId="77777777" w:rsidR="008B484C" w:rsidRPr="00AC3823" w:rsidRDefault="008B484C" w:rsidP="00AC3823">
      <w:pPr>
        <w:pStyle w:val="Footer"/>
      </w:pPr>
    </w:p>
  </w:endnote>
  <w:endnote w:type="continuationNotice" w:id="1">
    <w:p w14:paraId="3DBD5708" w14:textId="77777777" w:rsidR="008B484C" w:rsidRDefault="008B48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DCCA" w14:textId="77777777" w:rsidR="001A5103" w:rsidRPr="00FB6780" w:rsidRDefault="001A5103" w:rsidP="001A5103">
    <w:pPr>
      <w:pStyle w:val="Footer"/>
      <w:tabs>
        <w:tab w:val="right" w:pos="9638"/>
      </w:tabs>
      <w:rPr>
        <w:rFonts w:asciiTheme="majorBidi" w:hAnsiTheme="majorBidi" w:cstheme="majorBidi"/>
        <w:b/>
        <w:sz w:val="18"/>
      </w:rPr>
    </w:pPr>
    <w:r w:rsidRPr="00FB6780">
      <w:rPr>
        <w:rFonts w:asciiTheme="majorBidi" w:hAnsiTheme="majorBidi" w:cstheme="majorBidi"/>
        <w:b/>
        <w:sz w:val="18"/>
      </w:rPr>
      <w:fldChar w:fldCharType="begin"/>
    </w:r>
    <w:r w:rsidRPr="00FB6780">
      <w:rPr>
        <w:rFonts w:asciiTheme="majorBidi" w:hAnsiTheme="majorBidi" w:cstheme="majorBidi"/>
        <w:b/>
        <w:sz w:val="18"/>
      </w:rPr>
      <w:instrText xml:space="preserve"> PAGE  \* MERGEFORMAT </w:instrText>
    </w:r>
    <w:r w:rsidRPr="00FB6780">
      <w:rPr>
        <w:rFonts w:asciiTheme="majorBidi" w:hAnsiTheme="majorBidi" w:cstheme="majorBidi"/>
        <w:b/>
        <w:sz w:val="18"/>
      </w:rPr>
      <w:fldChar w:fldCharType="separate"/>
    </w:r>
    <w:r w:rsidRPr="00FB6780">
      <w:rPr>
        <w:rFonts w:asciiTheme="majorBidi" w:hAnsiTheme="majorBidi" w:cstheme="majorBidi"/>
        <w:b/>
        <w:noProof/>
        <w:sz w:val="18"/>
      </w:rPr>
      <w:t>2</w:t>
    </w:r>
    <w:r w:rsidRPr="00FB6780">
      <w:rPr>
        <w:rFonts w:asciiTheme="majorBidi" w:hAnsiTheme="majorBidi" w:cstheme="majorBidi"/>
        <w:b/>
        <w:sz w:val="18"/>
      </w:rPr>
      <w:fldChar w:fldCharType="end"/>
    </w:r>
    <w:r w:rsidRPr="00FB6780">
      <w:rPr>
        <w:rFonts w:asciiTheme="majorBidi" w:hAnsiTheme="majorBidi" w:cstheme="majorBidi"/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44AC" w14:textId="77777777" w:rsidR="001A5103" w:rsidRPr="00FB6780" w:rsidRDefault="001A5103" w:rsidP="001A5103">
    <w:pPr>
      <w:pStyle w:val="Footer"/>
      <w:tabs>
        <w:tab w:val="right" w:pos="9638"/>
      </w:tabs>
      <w:rPr>
        <w:rFonts w:asciiTheme="majorBidi" w:hAnsiTheme="majorBidi" w:cstheme="majorBidi"/>
        <w:b/>
        <w:sz w:val="18"/>
      </w:rPr>
    </w:pPr>
    <w:r>
      <w:tab/>
    </w:r>
    <w:r w:rsidRPr="00FB6780">
      <w:rPr>
        <w:rFonts w:asciiTheme="majorBidi" w:hAnsiTheme="majorBidi" w:cstheme="majorBidi"/>
        <w:b/>
        <w:sz w:val="18"/>
      </w:rPr>
      <w:fldChar w:fldCharType="begin"/>
    </w:r>
    <w:r w:rsidRPr="00FB6780">
      <w:rPr>
        <w:rFonts w:asciiTheme="majorBidi" w:hAnsiTheme="majorBidi" w:cstheme="majorBidi"/>
        <w:b/>
        <w:sz w:val="18"/>
      </w:rPr>
      <w:instrText xml:space="preserve"> PAGE  \* MERGEFORMAT </w:instrText>
    </w:r>
    <w:r w:rsidRPr="00FB6780">
      <w:rPr>
        <w:rFonts w:asciiTheme="majorBidi" w:hAnsiTheme="majorBidi" w:cstheme="majorBidi"/>
        <w:b/>
        <w:sz w:val="18"/>
      </w:rPr>
      <w:fldChar w:fldCharType="separate"/>
    </w:r>
    <w:r w:rsidRPr="00FB6780">
      <w:rPr>
        <w:rFonts w:asciiTheme="majorBidi" w:hAnsiTheme="majorBidi" w:cstheme="majorBidi"/>
        <w:b/>
        <w:noProof/>
        <w:sz w:val="18"/>
      </w:rPr>
      <w:t>3</w:t>
    </w:r>
    <w:r w:rsidRPr="00FB6780">
      <w:rPr>
        <w:rFonts w:asciiTheme="majorBidi" w:hAnsiTheme="majorBidi" w:cstheme="majorBidi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4817C" w14:textId="0D0AA11E" w:rsidR="001A5103" w:rsidRPr="001A5103" w:rsidRDefault="001A5103" w:rsidP="001A5103">
    <w:pPr>
      <w:pStyle w:val="Footer"/>
      <w:spacing w:before="240"/>
      <w:rPr>
        <w:sz w:val="20"/>
      </w:rPr>
    </w:pPr>
    <w:r>
      <w:rPr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56A5" w14:textId="77777777" w:rsidR="008B484C" w:rsidRPr="00AC3823" w:rsidRDefault="008B48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2F37E7" w14:textId="77777777" w:rsidR="008B484C" w:rsidRPr="00AC3823" w:rsidRDefault="008B48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15B5C7" w14:textId="77777777" w:rsidR="008B484C" w:rsidRPr="00AC3823" w:rsidRDefault="008B484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69D1" w14:textId="4073253C" w:rsidR="001A5103" w:rsidRPr="00FB6780" w:rsidRDefault="00BB2ED2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fldChar w:fldCharType="begin"/>
    </w:r>
    <w:r>
      <w:rPr>
        <w:rFonts w:asciiTheme="majorBidi" w:hAnsiTheme="majorBidi" w:cstheme="majorBidi"/>
      </w:rPr>
      <w:instrText xml:space="preserve"> TITLE  INF.11  \* MERGEFORMAT </w:instrText>
    </w:r>
    <w:r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</w:rPr>
      <w:t>INF.11</w:t>
    </w:r>
    <w:r>
      <w:rPr>
        <w:rFonts w:asciiTheme="majorBidi" w:hAnsiTheme="majorBidi" w:cstheme="majorBid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E28F" w14:textId="19C44352" w:rsidR="001A5103" w:rsidRPr="00FB6780" w:rsidRDefault="00BB2ED2" w:rsidP="001A5103">
    <w:pPr>
      <w:pStyle w:val="Header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</w:rPr>
      <w:fldChar w:fldCharType="begin"/>
    </w:r>
    <w:r>
      <w:rPr>
        <w:rFonts w:asciiTheme="majorBidi" w:hAnsiTheme="majorBidi" w:cstheme="majorBidi"/>
      </w:rPr>
      <w:instrText xml:space="preserve"> TITLE  INF.11  \* MERGEFORMAT </w:instrText>
    </w:r>
    <w:r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</w:rPr>
      <w:t>INF.11</w:t>
    </w:r>
    <w:r>
      <w:rPr>
        <w:rFonts w:asciiTheme="majorBidi" w:hAnsiTheme="majorBidi" w:cstheme="majorBid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FC72" w14:textId="6F1297A0" w:rsidR="001A5103" w:rsidRPr="001A5103" w:rsidRDefault="001A5103" w:rsidP="001A5103"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  <w:jc w:val="right"/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</w:pPr>
    <w:r w:rsidRPr="001A5103"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  <w:t>INF.</w:t>
    </w:r>
    <w:r w:rsidR="00BB2ED2"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  <w:t>11</w:t>
    </w:r>
    <w:r w:rsidR="00DF447C"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  <w:t xml:space="preserve"> </w:t>
    </w:r>
    <w:r w:rsidR="00431FBC"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03"/>
    <w:rsid w:val="00004289"/>
    <w:rsid w:val="00014A57"/>
    <w:rsid w:val="000168F4"/>
    <w:rsid w:val="00017F94"/>
    <w:rsid w:val="00023842"/>
    <w:rsid w:val="00032D66"/>
    <w:rsid w:val="000334F9"/>
    <w:rsid w:val="00036B09"/>
    <w:rsid w:val="00054599"/>
    <w:rsid w:val="00060935"/>
    <w:rsid w:val="0006198E"/>
    <w:rsid w:val="0007796D"/>
    <w:rsid w:val="00081F9F"/>
    <w:rsid w:val="000B7790"/>
    <w:rsid w:val="000C390E"/>
    <w:rsid w:val="000D301A"/>
    <w:rsid w:val="000E26C4"/>
    <w:rsid w:val="000F07FB"/>
    <w:rsid w:val="000F4172"/>
    <w:rsid w:val="00103267"/>
    <w:rsid w:val="0011052E"/>
    <w:rsid w:val="00111F2F"/>
    <w:rsid w:val="0012590A"/>
    <w:rsid w:val="0014365E"/>
    <w:rsid w:val="00145A0A"/>
    <w:rsid w:val="0014660A"/>
    <w:rsid w:val="00150167"/>
    <w:rsid w:val="00150DB2"/>
    <w:rsid w:val="0015650F"/>
    <w:rsid w:val="00176178"/>
    <w:rsid w:val="001A5103"/>
    <w:rsid w:val="001B1DF2"/>
    <w:rsid w:val="001F525A"/>
    <w:rsid w:val="002070B7"/>
    <w:rsid w:val="00223272"/>
    <w:rsid w:val="00227EFF"/>
    <w:rsid w:val="00237F37"/>
    <w:rsid w:val="002451C8"/>
    <w:rsid w:val="0024779E"/>
    <w:rsid w:val="00250C25"/>
    <w:rsid w:val="0025730C"/>
    <w:rsid w:val="00265622"/>
    <w:rsid w:val="00291F1D"/>
    <w:rsid w:val="0029407C"/>
    <w:rsid w:val="002A332D"/>
    <w:rsid w:val="002B2D33"/>
    <w:rsid w:val="002D4C78"/>
    <w:rsid w:val="002E58C5"/>
    <w:rsid w:val="002E7DB4"/>
    <w:rsid w:val="00323FBE"/>
    <w:rsid w:val="00350987"/>
    <w:rsid w:val="00353ED5"/>
    <w:rsid w:val="003670DE"/>
    <w:rsid w:val="00382A1F"/>
    <w:rsid w:val="00390178"/>
    <w:rsid w:val="003936A9"/>
    <w:rsid w:val="00397630"/>
    <w:rsid w:val="003A7E93"/>
    <w:rsid w:val="003D1AD0"/>
    <w:rsid w:val="00431FBC"/>
    <w:rsid w:val="00446FE5"/>
    <w:rsid w:val="00452396"/>
    <w:rsid w:val="00481AC5"/>
    <w:rsid w:val="00491DC5"/>
    <w:rsid w:val="004D1CEB"/>
    <w:rsid w:val="004E288B"/>
    <w:rsid w:val="004F696D"/>
    <w:rsid w:val="005062A7"/>
    <w:rsid w:val="00512C99"/>
    <w:rsid w:val="00530DE8"/>
    <w:rsid w:val="0054126B"/>
    <w:rsid w:val="005424AC"/>
    <w:rsid w:val="005505B7"/>
    <w:rsid w:val="00565A09"/>
    <w:rsid w:val="00573BE5"/>
    <w:rsid w:val="00586ED3"/>
    <w:rsid w:val="00596AA9"/>
    <w:rsid w:val="005A7129"/>
    <w:rsid w:val="005B51CC"/>
    <w:rsid w:val="005D7A4B"/>
    <w:rsid w:val="006122C4"/>
    <w:rsid w:val="00644CB1"/>
    <w:rsid w:val="00646097"/>
    <w:rsid w:val="0066054E"/>
    <w:rsid w:val="00670062"/>
    <w:rsid w:val="00671879"/>
    <w:rsid w:val="00672B35"/>
    <w:rsid w:val="00694537"/>
    <w:rsid w:val="006C3CA9"/>
    <w:rsid w:val="006E2C9B"/>
    <w:rsid w:val="006F1DE8"/>
    <w:rsid w:val="006F645D"/>
    <w:rsid w:val="007072AC"/>
    <w:rsid w:val="0071601D"/>
    <w:rsid w:val="0071737A"/>
    <w:rsid w:val="007359E1"/>
    <w:rsid w:val="0074585C"/>
    <w:rsid w:val="00762516"/>
    <w:rsid w:val="0076624F"/>
    <w:rsid w:val="00766CEC"/>
    <w:rsid w:val="0079527C"/>
    <w:rsid w:val="007A3089"/>
    <w:rsid w:val="007A62E6"/>
    <w:rsid w:val="007C61A2"/>
    <w:rsid w:val="007D0A06"/>
    <w:rsid w:val="007D0CAC"/>
    <w:rsid w:val="007E5DE7"/>
    <w:rsid w:val="0080684C"/>
    <w:rsid w:val="0081033E"/>
    <w:rsid w:val="0081436A"/>
    <w:rsid w:val="00815502"/>
    <w:rsid w:val="00817C04"/>
    <w:rsid w:val="00862B49"/>
    <w:rsid w:val="008712D5"/>
    <w:rsid w:val="00871C75"/>
    <w:rsid w:val="00872E1A"/>
    <w:rsid w:val="008776DC"/>
    <w:rsid w:val="00892BFD"/>
    <w:rsid w:val="008A7C2B"/>
    <w:rsid w:val="008B484C"/>
    <w:rsid w:val="008F2A1D"/>
    <w:rsid w:val="008F7539"/>
    <w:rsid w:val="009115D4"/>
    <w:rsid w:val="00920E62"/>
    <w:rsid w:val="00926B1A"/>
    <w:rsid w:val="0093050C"/>
    <w:rsid w:val="009514FA"/>
    <w:rsid w:val="00957790"/>
    <w:rsid w:val="009705C8"/>
    <w:rsid w:val="009762C5"/>
    <w:rsid w:val="0098035E"/>
    <w:rsid w:val="00986DA2"/>
    <w:rsid w:val="009A7555"/>
    <w:rsid w:val="009E0ACE"/>
    <w:rsid w:val="00A00461"/>
    <w:rsid w:val="00A12AB5"/>
    <w:rsid w:val="00A20066"/>
    <w:rsid w:val="00A26B58"/>
    <w:rsid w:val="00A5186D"/>
    <w:rsid w:val="00A82913"/>
    <w:rsid w:val="00AC3823"/>
    <w:rsid w:val="00AD32F5"/>
    <w:rsid w:val="00AD3959"/>
    <w:rsid w:val="00AD7424"/>
    <w:rsid w:val="00AE323C"/>
    <w:rsid w:val="00AE7D9F"/>
    <w:rsid w:val="00B00181"/>
    <w:rsid w:val="00B24309"/>
    <w:rsid w:val="00B43C66"/>
    <w:rsid w:val="00B547FD"/>
    <w:rsid w:val="00B765F7"/>
    <w:rsid w:val="00B87921"/>
    <w:rsid w:val="00BA0CA9"/>
    <w:rsid w:val="00BB2ED2"/>
    <w:rsid w:val="00BB3E59"/>
    <w:rsid w:val="00BB6218"/>
    <w:rsid w:val="00BC17DF"/>
    <w:rsid w:val="00BD1C94"/>
    <w:rsid w:val="00BE1F4C"/>
    <w:rsid w:val="00BE4745"/>
    <w:rsid w:val="00BF3C2C"/>
    <w:rsid w:val="00C02897"/>
    <w:rsid w:val="00C22A2E"/>
    <w:rsid w:val="00C278F9"/>
    <w:rsid w:val="00C425EF"/>
    <w:rsid w:val="00C6546D"/>
    <w:rsid w:val="00C6791F"/>
    <w:rsid w:val="00C71169"/>
    <w:rsid w:val="00C74A98"/>
    <w:rsid w:val="00C94FD2"/>
    <w:rsid w:val="00CE0D92"/>
    <w:rsid w:val="00CF3A95"/>
    <w:rsid w:val="00CF3AE1"/>
    <w:rsid w:val="00D25123"/>
    <w:rsid w:val="00D3439C"/>
    <w:rsid w:val="00D40AEB"/>
    <w:rsid w:val="00D42BA3"/>
    <w:rsid w:val="00D43A01"/>
    <w:rsid w:val="00DA22F4"/>
    <w:rsid w:val="00DB1831"/>
    <w:rsid w:val="00DC67F4"/>
    <w:rsid w:val="00DD3BFD"/>
    <w:rsid w:val="00DE403E"/>
    <w:rsid w:val="00DE77BB"/>
    <w:rsid w:val="00DF447C"/>
    <w:rsid w:val="00DF6678"/>
    <w:rsid w:val="00E0458D"/>
    <w:rsid w:val="00E22CF2"/>
    <w:rsid w:val="00E301AE"/>
    <w:rsid w:val="00E3176B"/>
    <w:rsid w:val="00E3185F"/>
    <w:rsid w:val="00E33F14"/>
    <w:rsid w:val="00E3546A"/>
    <w:rsid w:val="00E44C0E"/>
    <w:rsid w:val="00E475DE"/>
    <w:rsid w:val="00E52D9F"/>
    <w:rsid w:val="00E7159C"/>
    <w:rsid w:val="00E81AAC"/>
    <w:rsid w:val="00E91F0F"/>
    <w:rsid w:val="00E92FD2"/>
    <w:rsid w:val="00EC26DB"/>
    <w:rsid w:val="00EE09F0"/>
    <w:rsid w:val="00EF31D3"/>
    <w:rsid w:val="00F01AC0"/>
    <w:rsid w:val="00F12269"/>
    <w:rsid w:val="00F164B0"/>
    <w:rsid w:val="00F378FF"/>
    <w:rsid w:val="00F573DC"/>
    <w:rsid w:val="00F65A5B"/>
    <w:rsid w:val="00F660DF"/>
    <w:rsid w:val="00F74A04"/>
    <w:rsid w:val="00F80094"/>
    <w:rsid w:val="00F908CB"/>
    <w:rsid w:val="00F95C08"/>
    <w:rsid w:val="00FA01DD"/>
    <w:rsid w:val="00FB277E"/>
    <w:rsid w:val="00FB6780"/>
    <w:rsid w:val="00FE345D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9E7720"/>
  <w15:chartTrackingRefBased/>
  <w15:docId w15:val="{46DFA66E-F883-4B1B-8FF4-CF27557D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table" w:customStyle="1" w:styleId="TableGrid1">
    <w:name w:val="Table Grid1"/>
    <w:basedOn w:val="TableNormal"/>
    <w:next w:val="TableGrid"/>
    <w:rsid w:val="001A510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9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0F07FB"/>
    <w:pPr>
      <w:spacing w:after="0" w:line="240" w:lineRule="auto"/>
    </w:pPr>
    <w:rPr>
      <w:rFonts w:ascii="Times New Roman" w:eastAsia="Calibri" w:hAnsi="Times New Roman"/>
      <w:sz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rsid w:val="00862B49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o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iga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tm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C4F99-4549-4B40-B6C2-615651E60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54145-2FD3-402C-91F3-46BA485EF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1DF6D0-5845-4090-BAA9-26A4F3068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465BE-EA75-434E-922C-7A9131EE6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3459</Words>
  <Characters>19720</Characters>
  <Application>Microsoft Office Word</Application>
  <DocSecurity>0</DocSecurity>
  <Lines>164</Lines>
  <Paragraphs>46</Paragraphs>
  <ScaleCrop>false</ScaleCrop>
  <Company>UNOG</Company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INF.11</dc:title>
  <dc:subject/>
  <dc:creator>Sabrina Mansion</dc:creator>
  <cp:keywords/>
  <dc:description/>
  <cp:lastModifiedBy>Editorial</cp:lastModifiedBy>
  <cp:revision>73</cp:revision>
  <cp:lastPrinted>2014-05-14T10:59:00Z</cp:lastPrinted>
  <dcterms:created xsi:type="dcterms:W3CDTF">2021-04-27T12:44:00Z</dcterms:created>
  <dcterms:modified xsi:type="dcterms:W3CDTF">2021-04-28T13:47:00Z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