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7EE0" w14:textId="77777777" w:rsidR="0018481E" w:rsidRPr="00F03B9A" w:rsidRDefault="0018481E" w:rsidP="0018481E">
      <w:pPr>
        <w:spacing w:before="120"/>
        <w:rPr>
          <w:rFonts w:ascii="Times New Roman" w:eastAsiaTheme="minorHAnsi" w:hAnsi="Times New Roman" w:cs="Times New Roman"/>
          <w:b/>
          <w:sz w:val="28"/>
          <w:szCs w:val="28"/>
          <w:lang w:eastAsia="en-US"/>
        </w:rPr>
      </w:pPr>
      <w:r w:rsidRPr="00F03B9A">
        <w:rPr>
          <w:rFonts w:ascii="Times New Roman" w:eastAsiaTheme="minorHAnsi" w:hAnsi="Times New Roman" w:cs="Times New Roman"/>
          <w:b/>
          <w:sz w:val="28"/>
          <w:szCs w:val="28"/>
          <w:lang w:eastAsia="en-US"/>
        </w:rPr>
        <w:t>Commission économique pour l’Europe</w:t>
      </w:r>
    </w:p>
    <w:p w14:paraId="38605016" w14:textId="77777777" w:rsidR="0018481E" w:rsidRPr="00F03B9A" w:rsidRDefault="0018481E" w:rsidP="0018481E">
      <w:pPr>
        <w:spacing w:before="120"/>
        <w:rPr>
          <w:rFonts w:ascii="Times New Roman" w:eastAsiaTheme="minorHAnsi" w:hAnsi="Times New Roman" w:cs="Times New Roman"/>
          <w:sz w:val="28"/>
          <w:szCs w:val="28"/>
          <w:lang w:eastAsia="en-US"/>
        </w:rPr>
      </w:pPr>
      <w:r w:rsidRPr="00F03B9A">
        <w:rPr>
          <w:rFonts w:ascii="Times New Roman" w:eastAsiaTheme="minorHAnsi" w:hAnsi="Times New Roman" w:cs="Times New Roman"/>
          <w:sz w:val="28"/>
          <w:szCs w:val="28"/>
          <w:lang w:eastAsia="en-US"/>
        </w:rPr>
        <w:t>Comité des transports intérieurs</w:t>
      </w:r>
    </w:p>
    <w:p w14:paraId="61ED2771" w14:textId="77777777" w:rsidR="0018481E" w:rsidRPr="00F03B9A" w:rsidRDefault="0018481E" w:rsidP="0018481E">
      <w:pPr>
        <w:spacing w:before="120"/>
        <w:rPr>
          <w:rFonts w:ascii="Times New Roman" w:eastAsiaTheme="minorHAnsi" w:hAnsi="Times New Roman" w:cs="Times New Roman"/>
          <w:b/>
          <w:sz w:val="24"/>
          <w:szCs w:val="24"/>
          <w:lang w:eastAsia="en-US"/>
        </w:rPr>
      </w:pPr>
      <w:r w:rsidRPr="00F03B9A">
        <w:rPr>
          <w:rFonts w:ascii="Times New Roman" w:eastAsiaTheme="minorHAnsi" w:hAnsi="Times New Roman" w:cs="Times New Roman"/>
          <w:b/>
          <w:sz w:val="24"/>
          <w:szCs w:val="24"/>
          <w:lang w:eastAsia="en-US"/>
        </w:rPr>
        <w:t>Groupe de travail des transports de marchandises dangereuses</w:t>
      </w:r>
    </w:p>
    <w:p w14:paraId="620F16E1" w14:textId="0831F82E" w:rsidR="0018481E" w:rsidRPr="00F03B9A" w:rsidRDefault="0018481E" w:rsidP="0018481E">
      <w:pPr>
        <w:spacing w:before="120"/>
        <w:rPr>
          <w:rFonts w:ascii="Times New Roman" w:eastAsiaTheme="minorHAnsi" w:hAnsi="Times New Roman" w:cs="Times New Roman"/>
          <w:b/>
          <w:sz w:val="20"/>
          <w:szCs w:val="20"/>
          <w:lang w:eastAsia="en-US"/>
        </w:rPr>
      </w:pPr>
      <w:r w:rsidRPr="00F03B9A">
        <w:rPr>
          <w:rFonts w:ascii="Times New Roman" w:eastAsiaTheme="minorHAnsi" w:hAnsi="Times New Roman" w:cs="Times New Roman"/>
          <w:b/>
          <w:sz w:val="20"/>
          <w:szCs w:val="20"/>
          <w:lang w:eastAsia="en-US"/>
        </w:rPr>
        <w:t>10</w:t>
      </w:r>
      <w:r w:rsidR="00C35E6F" w:rsidRPr="00F03B9A">
        <w:rPr>
          <w:rFonts w:ascii="Times New Roman" w:eastAsiaTheme="minorHAnsi" w:hAnsi="Times New Roman" w:cs="Times New Roman"/>
          <w:b/>
          <w:sz w:val="20"/>
          <w:szCs w:val="20"/>
          <w:lang w:eastAsia="en-US"/>
        </w:rPr>
        <w:t>9</w:t>
      </w:r>
      <w:r w:rsidRPr="00F03B9A">
        <w:rPr>
          <w:rFonts w:ascii="Times New Roman" w:eastAsiaTheme="minorHAnsi" w:hAnsi="Times New Roman" w:cs="Times New Roman"/>
          <w:b/>
          <w:sz w:val="20"/>
          <w:szCs w:val="20"/>
          <w:vertAlign w:val="superscript"/>
          <w:lang w:eastAsia="en-US"/>
        </w:rPr>
        <w:t>e</w:t>
      </w:r>
      <w:r w:rsidRPr="00F03B9A">
        <w:rPr>
          <w:rFonts w:ascii="Times New Roman" w:eastAsiaTheme="minorHAnsi" w:hAnsi="Times New Roman" w:cs="Times New Roman"/>
          <w:b/>
          <w:sz w:val="20"/>
          <w:szCs w:val="20"/>
          <w:lang w:eastAsia="en-US"/>
        </w:rPr>
        <w:t> session</w:t>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Pr="00F03B9A">
        <w:rPr>
          <w:rFonts w:ascii="Times New Roman" w:eastAsiaTheme="minorHAnsi" w:hAnsi="Times New Roman" w:cs="Times New Roman"/>
          <w:b/>
          <w:sz w:val="20"/>
          <w:szCs w:val="20"/>
          <w:lang w:eastAsia="en-US"/>
        </w:rPr>
        <w:tab/>
      </w:r>
      <w:r w:rsidR="00BD2236">
        <w:rPr>
          <w:rFonts w:ascii="Times New Roman" w:eastAsiaTheme="minorHAnsi" w:hAnsi="Times New Roman" w:cs="Times New Roman"/>
          <w:b/>
          <w:sz w:val="20"/>
          <w:szCs w:val="20"/>
          <w:lang w:eastAsia="en-US"/>
        </w:rPr>
        <w:t>28</w:t>
      </w:r>
      <w:r w:rsidRPr="00F03B9A">
        <w:rPr>
          <w:rFonts w:ascii="Times New Roman" w:eastAsiaTheme="minorHAnsi" w:hAnsi="Times New Roman" w:cs="Times New Roman"/>
          <w:b/>
          <w:sz w:val="20"/>
          <w:szCs w:val="20"/>
          <w:lang w:eastAsia="en-US"/>
        </w:rPr>
        <w:t xml:space="preserve"> avril 2021</w:t>
      </w:r>
    </w:p>
    <w:p w14:paraId="77EDA71A" w14:textId="44B0D956" w:rsidR="0018481E" w:rsidRPr="00F03B9A" w:rsidRDefault="0018481E" w:rsidP="0018481E">
      <w:pPr>
        <w:rPr>
          <w:rFonts w:ascii="Times New Roman" w:eastAsiaTheme="minorHAnsi" w:hAnsi="Times New Roman" w:cs="Times New Roman"/>
          <w:sz w:val="20"/>
          <w:szCs w:val="20"/>
          <w:lang w:eastAsia="en-US"/>
        </w:rPr>
      </w:pPr>
      <w:r w:rsidRPr="00F03B9A">
        <w:rPr>
          <w:rFonts w:ascii="Times New Roman" w:eastAsiaTheme="minorHAnsi" w:hAnsi="Times New Roman" w:cs="Times New Roman"/>
          <w:sz w:val="20"/>
          <w:szCs w:val="20"/>
          <w:lang w:eastAsia="en-US"/>
        </w:rPr>
        <w:t xml:space="preserve">Genève, </w:t>
      </w:r>
      <w:r w:rsidR="00C35E6F" w:rsidRPr="00F03B9A">
        <w:rPr>
          <w:rFonts w:ascii="Times New Roman" w:eastAsiaTheme="minorHAnsi" w:hAnsi="Times New Roman" w:cs="Times New Roman"/>
          <w:sz w:val="20"/>
          <w:szCs w:val="20"/>
          <w:lang w:eastAsia="en-US"/>
        </w:rPr>
        <w:t>3-7 mai 2021</w:t>
      </w:r>
    </w:p>
    <w:p w14:paraId="733089D4" w14:textId="77777777" w:rsidR="0018481E" w:rsidRPr="00F03B9A" w:rsidRDefault="0018481E" w:rsidP="0018481E">
      <w:pPr>
        <w:rPr>
          <w:rFonts w:ascii="Times New Roman" w:eastAsiaTheme="minorHAnsi" w:hAnsi="Times New Roman" w:cs="Times New Roman"/>
          <w:sz w:val="20"/>
          <w:szCs w:val="20"/>
          <w:lang w:eastAsia="en-US"/>
        </w:rPr>
      </w:pPr>
      <w:r w:rsidRPr="00F03B9A">
        <w:rPr>
          <w:rFonts w:ascii="Times New Roman" w:eastAsiaTheme="minorHAnsi" w:hAnsi="Times New Roman" w:cs="Times New Roman"/>
          <w:sz w:val="20"/>
          <w:szCs w:val="20"/>
          <w:lang w:eastAsia="en-US"/>
        </w:rPr>
        <w:t>Point 4 de l’ordre du jour provisoire</w:t>
      </w:r>
      <w:r w:rsidRPr="00F03B9A">
        <w:rPr>
          <w:rFonts w:ascii="Times New Roman" w:eastAsiaTheme="minorHAnsi" w:hAnsi="Times New Roman" w:cs="Times New Roman"/>
          <w:sz w:val="20"/>
          <w:szCs w:val="20"/>
          <w:lang w:eastAsia="en-US"/>
        </w:rPr>
        <w:br/>
      </w:r>
      <w:r w:rsidRPr="00F03B9A">
        <w:rPr>
          <w:rFonts w:ascii="Times New Roman" w:eastAsiaTheme="minorHAnsi" w:hAnsi="Times New Roman" w:cs="Times New Roman"/>
          <w:b/>
          <w:bCs/>
          <w:sz w:val="20"/>
          <w:szCs w:val="20"/>
          <w:lang w:eastAsia="en-US"/>
        </w:rPr>
        <w:t>Travaux de la Réunion commune RID/ADR/ADN</w:t>
      </w:r>
    </w:p>
    <w:p w14:paraId="2166B466" w14:textId="307EBF0B" w:rsidR="0018481E" w:rsidRPr="00F03B9A" w:rsidRDefault="0018481E" w:rsidP="0018481E">
      <w:pPr>
        <w:pStyle w:val="HChG"/>
        <w:rPr>
          <w:rFonts w:asciiTheme="majorBidi" w:hAnsiTheme="majorBidi" w:cstheme="majorBidi"/>
          <w:lang w:eastAsia="en-US"/>
        </w:rPr>
      </w:pPr>
      <w:r w:rsidRPr="00F03B9A">
        <w:rPr>
          <w:rFonts w:asciiTheme="majorBidi" w:hAnsiTheme="majorBidi" w:cstheme="majorBidi"/>
          <w:lang w:eastAsia="en-US"/>
        </w:rPr>
        <w:tab/>
      </w:r>
      <w:r w:rsidRPr="00F03B9A">
        <w:rPr>
          <w:rFonts w:asciiTheme="majorBidi" w:hAnsiTheme="majorBidi" w:cstheme="majorBidi"/>
          <w:lang w:eastAsia="en-US"/>
        </w:rPr>
        <w:tab/>
      </w:r>
      <w:r w:rsidRPr="00F03B9A">
        <w:rPr>
          <w:rFonts w:asciiTheme="majorBidi" w:hAnsiTheme="majorBidi" w:cstheme="majorBidi"/>
        </w:rPr>
        <w:t>Projet d’amendements au RID, ADR et ADN pour l'entrée en vigueur le 1er janvier 2023</w:t>
      </w:r>
    </w:p>
    <w:p w14:paraId="7C237D73" w14:textId="77777777" w:rsidR="0018481E" w:rsidRPr="00F03B9A" w:rsidRDefault="0018481E" w:rsidP="0018481E">
      <w:pPr>
        <w:keepNext/>
        <w:keepLines/>
        <w:tabs>
          <w:tab w:val="right" w:pos="851"/>
        </w:tabs>
        <w:kinsoku/>
        <w:overflowPunct/>
        <w:autoSpaceDE/>
        <w:autoSpaceDN/>
        <w:adjustRightInd/>
        <w:snapToGrid/>
        <w:spacing w:before="360" w:after="240" w:line="270" w:lineRule="exact"/>
        <w:ind w:left="1134" w:right="1134" w:hanging="1134"/>
        <w:rPr>
          <w:rFonts w:ascii="Times New Roman" w:eastAsia="Times New Roman" w:hAnsi="Times New Roman" w:cs="Times New Roman"/>
          <w:b/>
          <w:sz w:val="24"/>
          <w:szCs w:val="20"/>
          <w:lang w:eastAsia="en-US"/>
        </w:rPr>
      </w:pPr>
      <w:r w:rsidRPr="00F03B9A">
        <w:rPr>
          <w:rFonts w:ascii="Times New Roman" w:eastAsia="Times New Roman" w:hAnsi="Times New Roman" w:cs="Times New Roman"/>
          <w:b/>
          <w:sz w:val="24"/>
          <w:szCs w:val="20"/>
          <w:lang w:eastAsia="en-US"/>
        </w:rPr>
        <w:tab/>
      </w:r>
      <w:r w:rsidRPr="00F03B9A">
        <w:rPr>
          <w:rFonts w:ascii="Times New Roman" w:eastAsia="Times New Roman" w:hAnsi="Times New Roman" w:cs="Times New Roman"/>
          <w:b/>
          <w:sz w:val="24"/>
          <w:szCs w:val="20"/>
          <w:lang w:eastAsia="en-US"/>
        </w:rPr>
        <w:tab/>
        <w:t>Note du secrétariat</w:t>
      </w:r>
    </w:p>
    <w:p w14:paraId="2C7F0FD5" w14:textId="067DC2BA" w:rsidR="009F585D" w:rsidRPr="00F03B9A" w:rsidRDefault="009F585D" w:rsidP="009F585D">
      <w:pPr>
        <w:pStyle w:val="SingleTxtG"/>
        <w:rPr>
          <w:bCs/>
          <w:i/>
          <w:iCs/>
          <w:lang w:val="fr-FR"/>
        </w:rPr>
      </w:pPr>
      <w:r w:rsidRPr="00F03B9A">
        <w:rPr>
          <w:bCs/>
          <w:i/>
          <w:iCs/>
          <w:lang w:val="fr-FR"/>
        </w:rPr>
        <w:t>(Document de référence : ECE/TRANS/WP.15/AC.1/</w:t>
      </w:r>
      <w:r w:rsidR="00973120" w:rsidRPr="00F03B9A">
        <w:rPr>
          <w:bCs/>
          <w:i/>
          <w:iCs/>
          <w:lang w:val="fr-FR"/>
        </w:rPr>
        <w:t>160</w:t>
      </w:r>
      <w:r w:rsidRPr="00F03B9A">
        <w:rPr>
          <w:bCs/>
          <w:i/>
          <w:iCs/>
          <w:lang w:val="fr-FR"/>
        </w:rPr>
        <w:t>)</w:t>
      </w:r>
    </w:p>
    <w:p w14:paraId="06070ED2" w14:textId="00F702FA" w:rsidR="0018481E" w:rsidRPr="00F03B9A" w:rsidRDefault="0018481E" w:rsidP="0018481E">
      <w:pPr>
        <w:pStyle w:val="H1G"/>
        <w:rPr>
          <w:lang w:val="fr-FR"/>
        </w:rPr>
      </w:pPr>
      <w:r w:rsidRPr="00F03B9A">
        <w:rPr>
          <w:lang w:val="fr-FR"/>
        </w:rPr>
        <w:tab/>
      </w:r>
      <w:r w:rsidRPr="00F03B9A">
        <w:rPr>
          <w:lang w:val="fr-FR"/>
        </w:rPr>
        <w:tab/>
        <w:t>Chapitre 1.1</w:t>
      </w:r>
    </w:p>
    <w:p w14:paraId="690809F0" w14:textId="77777777" w:rsidR="0018481E" w:rsidRPr="00F03B9A" w:rsidRDefault="0018481E" w:rsidP="003F285B">
      <w:pPr>
        <w:pStyle w:val="SingleTxtG"/>
        <w:tabs>
          <w:tab w:val="left" w:pos="2268"/>
        </w:tabs>
        <w:rPr>
          <w:bCs/>
          <w:lang w:val="fr-FR"/>
        </w:rPr>
      </w:pPr>
      <w:r w:rsidRPr="00F03B9A">
        <w:rPr>
          <w:bCs/>
          <w:lang w:val="fr-FR"/>
        </w:rPr>
        <w:t>1.1.3.6.2</w:t>
      </w:r>
      <w:r w:rsidRPr="00F03B9A">
        <w:rPr>
          <w:bCs/>
          <w:lang w:val="fr-FR"/>
        </w:rPr>
        <w:tab/>
        <w:t>Au premier tiret, après « 0500, », insérer « 0511, ».</w:t>
      </w:r>
    </w:p>
    <w:p w14:paraId="597BA86D" w14:textId="49C2E3FE" w:rsidR="0018481E" w:rsidRPr="00F03B9A" w:rsidRDefault="0018481E" w:rsidP="003F285B">
      <w:pPr>
        <w:pStyle w:val="SingleTxtG"/>
        <w:tabs>
          <w:tab w:val="left" w:pos="2268"/>
        </w:tabs>
        <w:rPr>
          <w:bCs/>
          <w:iCs/>
          <w:lang w:val="fr-FR"/>
        </w:rPr>
      </w:pPr>
      <w:r w:rsidRPr="00F03B9A">
        <w:rPr>
          <w:bCs/>
          <w:iCs/>
          <w:lang w:val="fr-FR"/>
        </w:rPr>
        <w:t>1.1.4</w:t>
      </w:r>
      <w:r w:rsidRPr="00F03B9A">
        <w:rPr>
          <w:bCs/>
          <w:iCs/>
          <w:lang w:val="fr-FR"/>
        </w:rPr>
        <w:tab/>
      </w:r>
      <w:r w:rsidR="00E741DF" w:rsidRPr="00F03B9A">
        <w:rPr>
          <w:bCs/>
          <w:iCs/>
          <w:lang w:val="fr-FR"/>
        </w:rPr>
        <w:t xml:space="preserve">Ajouter </w:t>
      </w:r>
      <w:r w:rsidRPr="00F03B9A">
        <w:rPr>
          <w:bCs/>
          <w:iCs/>
          <w:lang w:val="fr-FR"/>
        </w:rPr>
        <w:t xml:space="preserve">une nouvelle sous-section </w:t>
      </w:r>
      <w:r w:rsidR="00E741DF" w:rsidRPr="00F03B9A">
        <w:rPr>
          <w:bCs/>
          <w:iCs/>
          <w:lang w:val="fr-FR"/>
        </w:rPr>
        <w:t>1.1.4.6</w:t>
      </w:r>
      <w:r w:rsidRPr="00F03B9A">
        <w:rPr>
          <w:bCs/>
          <w:iCs/>
          <w:lang w:val="fr-FR"/>
        </w:rPr>
        <w:t xml:space="preserve"> libellée comme suit :</w:t>
      </w:r>
    </w:p>
    <w:p w14:paraId="3200F0A2" w14:textId="77777777" w:rsidR="0018481E" w:rsidRPr="00F03B9A" w:rsidRDefault="0018481E" w:rsidP="003F285B">
      <w:pPr>
        <w:pStyle w:val="SingleTxtG"/>
        <w:ind w:left="2268"/>
        <w:rPr>
          <w:bCs/>
          <w:iCs/>
          <w:lang w:val="fr-FR"/>
        </w:rPr>
      </w:pPr>
      <w:r w:rsidRPr="00F03B9A">
        <w:rPr>
          <w:bCs/>
          <w:iCs/>
          <w:lang w:val="fr-FR"/>
        </w:rPr>
        <w:t>« 1.1.4.6</w:t>
      </w:r>
      <w:r w:rsidRPr="00F03B9A">
        <w:rPr>
          <w:bCs/>
          <w:iCs/>
          <w:lang w:val="fr-FR"/>
        </w:rPr>
        <w:tab/>
      </w:r>
      <w:r w:rsidRPr="00F03B9A">
        <w:rPr>
          <w:bCs/>
          <w:i/>
          <w:iCs/>
          <w:lang w:val="fr-FR"/>
        </w:rPr>
        <w:t>(Réservé)</w:t>
      </w:r>
      <w:r w:rsidRPr="00F03B9A">
        <w:rPr>
          <w:bCs/>
          <w:iCs/>
          <w:lang w:val="fr-FR"/>
        </w:rPr>
        <w:t> ».</w:t>
      </w:r>
    </w:p>
    <w:p w14:paraId="07EF3C94" w14:textId="77777777" w:rsidR="00E741DF" w:rsidRPr="00F03B9A" w:rsidRDefault="00E741DF" w:rsidP="003F285B">
      <w:pPr>
        <w:pStyle w:val="SingleTxtG"/>
        <w:tabs>
          <w:tab w:val="left" w:pos="2268"/>
          <w:tab w:val="left" w:pos="3402"/>
        </w:tabs>
      </w:pPr>
      <w:r w:rsidRPr="00F03B9A">
        <w:t>1.1.4</w:t>
      </w:r>
      <w:r w:rsidRPr="00F03B9A">
        <w:tab/>
        <w:t>Ajouter une nouvelle sous-section 1.1.4.7 libellée comme suit :</w:t>
      </w:r>
    </w:p>
    <w:p w14:paraId="351461B6" w14:textId="77777777" w:rsidR="0018481E" w:rsidRPr="00F03B9A" w:rsidRDefault="0018481E" w:rsidP="003F285B">
      <w:pPr>
        <w:pStyle w:val="SingleTxtG"/>
        <w:tabs>
          <w:tab w:val="left" w:pos="2268"/>
          <w:tab w:val="left" w:pos="3402"/>
        </w:tabs>
        <w:ind w:left="2268"/>
        <w:rPr>
          <w:rFonts w:asciiTheme="majorBidi" w:eastAsia="Calibri" w:hAnsiTheme="majorBidi" w:cstheme="majorBidi"/>
          <w:i/>
        </w:rPr>
      </w:pPr>
      <w:r w:rsidRPr="00F03B9A">
        <w:rPr>
          <w:rFonts w:asciiTheme="majorBidi" w:hAnsiTheme="majorBidi" w:cstheme="majorBidi"/>
        </w:rPr>
        <w:t>« </w:t>
      </w:r>
      <w:r w:rsidRPr="003F285B">
        <w:rPr>
          <w:rFonts w:asciiTheme="majorBidi" w:hAnsiTheme="majorBidi" w:cstheme="majorBidi"/>
          <w:b/>
        </w:rPr>
        <w:t>1.1.4.7</w:t>
      </w:r>
      <w:r w:rsidRPr="003F285B">
        <w:rPr>
          <w:rFonts w:asciiTheme="majorBidi" w:hAnsiTheme="majorBidi" w:cstheme="majorBidi"/>
          <w:b/>
        </w:rPr>
        <w:tab/>
      </w:r>
      <w:r w:rsidRPr="003F285B">
        <w:rPr>
          <w:rFonts w:asciiTheme="majorBidi" w:hAnsiTheme="majorBidi" w:cstheme="majorBidi"/>
          <w:b/>
          <w:i/>
        </w:rPr>
        <w:t>Récipients à pression rechargeables autorisés par le Département des transports des États-Unis d’Amérique</w:t>
      </w:r>
      <w:bookmarkStart w:id="0" w:name="_Hlk525131534"/>
    </w:p>
    <w:p w14:paraId="69F56199" w14:textId="6BE51DA7" w:rsidR="0018481E" w:rsidRPr="00F03B9A" w:rsidRDefault="0018481E" w:rsidP="003F285B">
      <w:pPr>
        <w:pStyle w:val="SingleTxtG"/>
        <w:tabs>
          <w:tab w:val="left" w:pos="2268"/>
          <w:tab w:val="left" w:pos="3402"/>
        </w:tabs>
        <w:ind w:left="2268"/>
        <w:rPr>
          <w:rFonts w:asciiTheme="majorBidi" w:eastAsia="Calibri" w:hAnsiTheme="majorBidi" w:cstheme="majorBidi"/>
          <w:i/>
        </w:rPr>
      </w:pPr>
      <w:r w:rsidRPr="00F03B9A">
        <w:rPr>
          <w:rFonts w:asciiTheme="majorBidi" w:hAnsiTheme="majorBidi" w:cstheme="majorBidi"/>
        </w:rPr>
        <w:t>1.1.4.7.1</w:t>
      </w:r>
      <w:r w:rsidRPr="00F03B9A">
        <w:rPr>
          <w:rFonts w:asciiTheme="majorBidi" w:hAnsiTheme="majorBidi" w:cstheme="majorBidi"/>
        </w:rPr>
        <w:tab/>
      </w:r>
      <w:r w:rsidRPr="00F03B9A">
        <w:rPr>
          <w:rFonts w:asciiTheme="majorBidi" w:hAnsiTheme="majorBidi" w:cstheme="majorBidi"/>
          <w:i/>
        </w:rPr>
        <w:t>Importation de gaz</w:t>
      </w:r>
    </w:p>
    <w:p w14:paraId="05AE2CA9" w14:textId="0A3D3160" w:rsidR="0018481E" w:rsidRPr="00F03B9A" w:rsidRDefault="0018481E" w:rsidP="003F285B">
      <w:pPr>
        <w:pStyle w:val="SingleTxtG"/>
        <w:tabs>
          <w:tab w:val="left" w:pos="2268"/>
          <w:tab w:val="left" w:pos="3402"/>
        </w:tabs>
        <w:ind w:left="2268"/>
        <w:rPr>
          <w:rFonts w:asciiTheme="majorBidi" w:eastAsia="Calibri" w:hAnsiTheme="majorBidi" w:cstheme="majorBidi"/>
        </w:rPr>
      </w:pPr>
      <w:r w:rsidRPr="00F03B9A">
        <w:rPr>
          <w:rFonts w:asciiTheme="majorBidi" w:hAnsiTheme="majorBidi" w:cstheme="majorBidi"/>
        </w:rPr>
        <w:tab/>
        <w:t>Les récipients à pression rechargeables autorisés par le Département des transports des États-Unis d’Amérique et construits conformément aux normes énoncées dans la Partie 178 (</w:t>
      </w:r>
      <w:proofErr w:type="spellStart"/>
      <w:r w:rsidRPr="00F03B9A">
        <w:rPr>
          <w:rFonts w:asciiTheme="majorBidi" w:hAnsiTheme="majorBidi" w:cstheme="majorBidi"/>
        </w:rPr>
        <w:t>Specifications</w:t>
      </w:r>
      <w:proofErr w:type="spellEnd"/>
      <w:r w:rsidRPr="00F03B9A">
        <w:rPr>
          <w:rFonts w:asciiTheme="majorBidi" w:hAnsiTheme="majorBidi" w:cstheme="majorBidi"/>
        </w:rPr>
        <w:t xml:space="preserve"> for Packagings (Spécifications relatives aux emballages)) du Titre 49 (Transportation (Transports)) du Code of </w:t>
      </w:r>
      <w:proofErr w:type="spellStart"/>
      <w:r w:rsidRPr="00F03B9A">
        <w:rPr>
          <w:rFonts w:asciiTheme="majorBidi" w:hAnsiTheme="majorBidi" w:cstheme="majorBidi"/>
        </w:rPr>
        <w:t>Federal</w:t>
      </w:r>
      <w:proofErr w:type="spellEnd"/>
      <w:r w:rsidRPr="00F03B9A">
        <w:rPr>
          <w:rFonts w:asciiTheme="majorBidi" w:hAnsiTheme="majorBidi" w:cstheme="majorBidi"/>
        </w:rPr>
        <w:t xml:space="preserve"> </w:t>
      </w:r>
      <w:proofErr w:type="spellStart"/>
      <w:r w:rsidRPr="00F03B9A">
        <w:rPr>
          <w:rFonts w:asciiTheme="majorBidi" w:hAnsiTheme="majorBidi" w:cstheme="majorBidi"/>
        </w:rPr>
        <w:t>Regulations</w:t>
      </w:r>
      <w:proofErr w:type="spellEnd"/>
      <w:r w:rsidRPr="00F03B9A">
        <w:rPr>
          <w:rFonts w:asciiTheme="majorBidi" w:hAnsiTheme="majorBidi" w:cstheme="majorBidi"/>
        </w:rPr>
        <w:t xml:space="preserve"> (recueil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0"/>
    </w:p>
    <w:p w14:paraId="05F40F76" w14:textId="6FDE765B" w:rsidR="0018481E" w:rsidRPr="00F03B9A" w:rsidRDefault="003F285B" w:rsidP="003F285B">
      <w:pPr>
        <w:pStyle w:val="SingleTxtG"/>
        <w:tabs>
          <w:tab w:val="left" w:pos="2268"/>
          <w:tab w:val="left" w:pos="3402"/>
        </w:tabs>
        <w:ind w:left="2268"/>
        <w:rPr>
          <w:rFonts w:asciiTheme="majorBidi" w:eastAsia="Calibri" w:hAnsiTheme="majorBidi" w:cstheme="majorBidi"/>
        </w:rPr>
      </w:pPr>
      <w:bookmarkStart w:id="1" w:name="_Hlk525132507"/>
      <w:r>
        <w:rPr>
          <w:rFonts w:asciiTheme="majorBidi" w:hAnsiTheme="majorBidi" w:cstheme="majorBidi"/>
        </w:rPr>
        <w:tab/>
      </w:r>
      <w:r w:rsidR="0018481E" w:rsidRPr="00F03B9A">
        <w:rPr>
          <w:rFonts w:asciiTheme="majorBidi" w:hAnsiTheme="majorBidi" w:cstheme="majorBidi"/>
        </w:rPr>
        <w:t>L’</w:t>
      </w:r>
      <w:bookmarkStart w:id="2" w:name="_Hlk70423983"/>
      <w:r w:rsidR="0018481E" w:rsidRPr="00F03B9A">
        <w:rPr>
          <w:rFonts w:asciiTheme="majorBidi" w:hAnsiTheme="majorBidi" w:cstheme="majorBidi"/>
        </w:rPr>
        <w:t>expéditeur chargé du transport ADR</w:t>
      </w:r>
      <w:bookmarkEnd w:id="2"/>
      <w:r w:rsidR="0018481E" w:rsidRPr="00F03B9A">
        <w:rPr>
          <w:rFonts w:asciiTheme="majorBidi" w:hAnsiTheme="majorBidi" w:cstheme="majorBidi"/>
        </w:rPr>
        <w:t xml:space="preserve"> doit inscrire la mention suivante dans le document de transport : </w:t>
      </w:r>
    </w:p>
    <w:p w14:paraId="7F01E0F4" w14:textId="77777777" w:rsidR="0018481E" w:rsidRPr="00F03B9A" w:rsidRDefault="0018481E" w:rsidP="003F285B">
      <w:pPr>
        <w:pStyle w:val="SingleTxtG"/>
        <w:tabs>
          <w:tab w:val="left" w:pos="2268"/>
          <w:tab w:val="left" w:pos="3402"/>
        </w:tabs>
        <w:ind w:left="2268"/>
        <w:rPr>
          <w:rFonts w:asciiTheme="majorBidi" w:eastAsia="Calibri" w:hAnsiTheme="majorBidi" w:cstheme="majorBidi"/>
        </w:rPr>
      </w:pPr>
      <w:r w:rsidRPr="00F03B9A">
        <w:rPr>
          <w:rFonts w:asciiTheme="majorBidi" w:hAnsiTheme="majorBidi" w:cstheme="majorBidi"/>
        </w:rPr>
        <w:t>« </w:t>
      </w:r>
      <w:r w:rsidRPr="00F03B9A">
        <w:rPr>
          <w:rFonts w:asciiTheme="majorBidi" w:hAnsiTheme="majorBidi" w:cstheme="majorBidi"/>
          <w:caps/>
        </w:rPr>
        <w:t xml:space="preserve">Transport conformÉment au </w:t>
      </w:r>
      <w:r w:rsidRPr="00F03B9A">
        <w:rPr>
          <w:rFonts w:asciiTheme="majorBidi" w:hAnsiTheme="majorBidi" w:cstheme="majorBidi"/>
        </w:rPr>
        <w:t>1.1.4.7.1 ».</w:t>
      </w:r>
    </w:p>
    <w:bookmarkEnd w:id="1"/>
    <w:p w14:paraId="061FEE99" w14:textId="77777777" w:rsidR="0018481E" w:rsidRPr="00F03B9A" w:rsidRDefault="0018481E" w:rsidP="003F285B">
      <w:pPr>
        <w:pStyle w:val="SingleTxtG"/>
        <w:tabs>
          <w:tab w:val="left" w:pos="2268"/>
          <w:tab w:val="left" w:pos="3402"/>
        </w:tabs>
        <w:ind w:left="2268"/>
        <w:rPr>
          <w:rFonts w:asciiTheme="majorBidi" w:eastAsia="Calibri" w:hAnsiTheme="majorBidi" w:cstheme="majorBidi"/>
          <w:i/>
        </w:rPr>
      </w:pPr>
      <w:r w:rsidRPr="00F03B9A">
        <w:rPr>
          <w:rFonts w:asciiTheme="majorBidi" w:hAnsiTheme="majorBidi" w:cstheme="majorBidi"/>
        </w:rPr>
        <w:t>1.1.4.7.2</w:t>
      </w:r>
      <w:r w:rsidRPr="00F03B9A">
        <w:rPr>
          <w:rFonts w:asciiTheme="majorBidi" w:hAnsiTheme="majorBidi" w:cstheme="majorBidi"/>
        </w:rPr>
        <w:tab/>
      </w:r>
      <w:r w:rsidRPr="00F03B9A">
        <w:rPr>
          <w:rFonts w:asciiTheme="majorBidi" w:hAnsiTheme="majorBidi" w:cstheme="majorBidi"/>
          <w:i/>
        </w:rPr>
        <w:t>Exportation de gaz et récipients à pression vides non nettoyés</w:t>
      </w:r>
    </w:p>
    <w:p w14:paraId="12112419" w14:textId="446F6863" w:rsidR="0018481E" w:rsidRPr="00F03B9A" w:rsidRDefault="003F285B" w:rsidP="003F285B">
      <w:pPr>
        <w:pStyle w:val="SingleTxtG"/>
        <w:tabs>
          <w:tab w:val="left" w:pos="2268"/>
          <w:tab w:val="left" w:pos="3402"/>
        </w:tabs>
        <w:ind w:left="2268"/>
        <w:rPr>
          <w:rFonts w:asciiTheme="majorBidi" w:eastAsia="Calibri" w:hAnsiTheme="majorBidi" w:cstheme="majorBidi"/>
        </w:rPr>
      </w:pPr>
      <w:r>
        <w:tab/>
      </w:r>
      <w:r w:rsidR="0018481E" w:rsidRPr="00F03B9A">
        <w:t>Les récipients à pression rechargeables autorisés par le Département des transports des États-Unis d’Amérique et construits conformément aux normes énoncées dans la Partie 178 (</w:t>
      </w:r>
      <w:proofErr w:type="spellStart"/>
      <w:r w:rsidR="0018481E" w:rsidRPr="00F03B9A">
        <w:t>Specifications</w:t>
      </w:r>
      <w:proofErr w:type="spellEnd"/>
      <w:r w:rsidR="0018481E" w:rsidRPr="00F03B9A">
        <w:t xml:space="preserve"> for Packagings (Spécifications relatives aux emballages)) du Titre 49 (Transportation (Transports)) du Code of </w:t>
      </w:r>
      <w:proofErr w:type="spellStart"/>
      <w:r w:rsidR="0018481E" w:rsidRPr="00F03B9A">
        <w:t>Federal</w:t>
      </w:r>
      <w:proofErr w:type="spellEnd"/>
      <w:r w:rsidR="0018481E" w:rsidRPr="00F03B9A">
        <w:t xml:space="preserve"> </w:t>
      </w:r>
      <w:proofErr w:type="spellStart"/>
      <w:r w:rsidR="0018481E" w:rsidRPr="00F03B9A">
        <w:t>Regulations</w:t>
      </w:r>
      <w:proofErr w:type="spellEnd"/>
      <w:r w:rsidR="0018481E" w:rsidRPr="00F03B9A">
        <w:t xml:space="preserve"> (recueil des règlements fédéraux) ne peuvent être remplis et transportés que pour l’exportation vers des pays qui ne sont pas des Parties contractants </w:t>
      </w:r>
      <w:r w:rsidR="00377557" w:rsidRPr="00F03B9A">
        <w:t xml:space="preserve">à </w:t>
      </w:r>
      <w:r w:rsidR="0018481E" w:rsidRPr="00F03B9A">
        <w:t xml:space="preserve">l’ADR et à condition de satisfaire aux dispositions ci-après : </w:t>
      </w:r>
    </w:p>
    <w:p w14:paraId="36A2959F" w14:textId="77777777" w:rsidR="0018481E" w:rsidRPr="00F03B9A" w:rsidRDefault="0018481E" w:rsidP="003F285B">
      <w:pPr>
        <w:pStyle w:val="SingleTxtG"/>
        <w:tabs>
          <w:tab w:val="left" w:pos="2268"/>
        </w:tabs>
        <w:ind w:left="3828" w:hanging="426"/>
        <w:rPr>
          <w:rFonts w:asciiTheme="majorBidi" w:eastAsia="Calibri" w:hAnsiTheme="majorBidi" w:cstheme="majorBidi"/>
        </w:rPr>
      </w:pPr>
      <w:r w:rsidRPr="00F03B9A">
        <w:t>a)</w:t>
      </w:r>
      <w:r w:rsidRPr="00F03B9A">
        <w:tab/>
        <w:t xml:space="preserve">Le remplissage des récipients à pression est réalisé conformément aux prescriptions pertinentes du Code of </w:t>
      </w:r>
      <w:proofErr w:type="spellStart"/>
      <w:r w:rsidRPr="00F03B9A">
        <w:lastRenderedPageBreak/>
        <w:t>Federal</w:t>
      </w:r>
      <w:proofErr w:type="spellEnd"/>
      <w:r w:rsidRPr="00F03B9A">
        <w:t xml:space="preserve"> </w:t>
      </w:r>
      <w:proofErr w:type="spellStart"/>
      <w:r w:rsidRPr="00F03B9A">
        <w:t>Regulations</w:t>
      </w:r>
      <w:proofErr w:type="spellEnd"/>
      <w:r w:rsidRPr="00F03B9A">
        <w:t xml:space="preserve"> (recueil des règlements fédéraux) des États-Unis d’Amérique ;</w:t>
      </w:r>
    </w:p>
    <w:p w14:paraId="1652B3A1" w14:textId="6A4F7793" w:rsidR="0018481E" w:rsidRPr="00F03B9A" w:rsidRDefault="0018481E" w:rsidP="003F285B">
      <w:pPr>
        <w:pStyle w:val="SingleTxtG"/>
        <w:tabs>
          <w:tab w:val="left" w:pos="2268"/>
        </w:tabs>
        <w:ind w:left="3828" w:hanging="426"/>
        <w:rPr>
          <w:rFonts w:asciiTheme="majorBidi" w:eastAsia="Calibri" w:hAnsiTheme="majorBidi" w:cstheme="majorBidi"/>
        </w:rPr>
      </w:pPr>
      <w:r w:rsidRPr="00F03B9A">
        <w:t>b)</w:t>
      </w:r>
      <w:r w:rsidRPr="00F03B9A">
        <w:tab/>
        <w:t>Les récipients à pression sont marqués et étiquetés conformément aux dispositions du chapitre 5.2 ;</w:t>
      </w:r>
    </w:p>
    <w:p w14:paraId="7DC1EA2C" w14:textId="77777777" w:rsidR="0018481E" w:rsidRPr="00F03B9A" w:rsidRDefault="0018481E" w:rsidP="003F285B">
      <w:pPr>
        <w:pStyle w:val="SingleTxtG"/>
        <w:tabs>
          <w:tab w:val="left" w:pos="2268"/>
        </w:tabs>
        <w:ind w:left="3828" w:hanging="426"/>
      </w:pPr>
      <w:r w:rsidRPr="00F03B9A">
        <w:t>c)</w:t>
      </w:r>
      <w:r w:rsidRPr="00F03B9A">
        <w:tab/>
      </w:r>
      <w:r w:rsidRPr="00F03B9A">
        <w:rPr>
          <w:rFonts w:cs="Arial"/>
        </w:rPr>
        <w:t>Les dispositions du 4.1.6.12 et du 4.1.6.13 s’appliquent aux récipients à pression. Les récipients à pression ne doivent pas être remplis après la date limite du contrôle périodique mais peuvent être transportés après cette date pour être soumis à l’inspection, y compris toute opération de transport intermédiaire ;</w:t>
      </w:r>
    </w:p>
    <w:p w14:paraId="13418D27" w14:textId="0A640ED4" w:rsidR="0018481E" w:rsidRPr="00F03B9A" w:rsidRDefault="0018481E" w:rsidP="003F285B">
      <w:pPr>
        <w:pStyle w:val="SingleTxtG"/>
        <w:tabs>
          <w:tab w:val="left" w:pos="2268"/>
        </w:tabs>
        <w:ind w:left="3828" w:hanging="426"/>
      </w:pPr>
      <w:r w:rsidRPr="00F03B9A">
        <w:t>d)</w:t>
      </w:r>
      <w:r w:rsidRPr="00F03B9A">
        <w:tab/>
        <w:t>L’expéditeur chargé du transport ADR inscrit la mention suivante dans le document de transport :</w:t>
      </w:r>
    </w:p>
    <w:p w14:paraId="54D0CBB0" w14:textId="7C2968EA" w:rsidR="0018481E" w:rsidRPr="00F03B9A" w:rsidRDefault="0018481E" w:rsidP="003F285B">
      <w:pPr>
        <w:pStyle w:val="SingleTxtG"/>
        <w:tabs>
          <w:tab w:val="left" w:pos="2268"/>
        </w:tabs>
        <w:ind w:left="3828" w:hanging="426"/>
      </w:pPr>
      <w:r w:rsidRPr="00F03B9A">
        <w:tab/>
        <w:t>« </w:t>
      </w:r>
      <w:r w:rsidR="00C329BA" w:rsidRPr="00F03B9A">
        <w:rPr>
          <w:rFonts w:asciiTheme="majorBidi" w:hAnsiTheme="majorBidi" w:cstheme="majorBidi"/>
          <w:caps/>
        </w:rPr>
        <w:t>Transport conformÉment au</w:t>
      </w:r>
      <w:r w:rsidRPr="00F03B9A">
        <w:t xml:space="preserve"> 1.1.4.7.2 ».</w:t>
      </w:r>
    </w:p>
    <w:p w14:paraId="7CE2A525" w14:textId="3F11C982" w:rsidR="0018481E" w:rsidRPr="00F03B9A" w:rsidRDefault="0018481E" w:rsidP="003F285B">
      <w:pPr>
        <w:pStyle w:val="SingleTxtG"/>
        <w:tabs>
          <w:tab w:val="left" w:pos="2268"/>
          <w:tab w:val="left" w:pos="3402"/>
        </w:tabs>
      </w:pPr>
      <w:r w:rsidRPr="00F03B9A">
        <w:t>1.1.5</w:t>
      </w:r>
      <w:r w:rsidRPr="00F03B9A">
        <w:tab/>
        <w:t>Ajouter le nota suivant :</w:t>
      </w:r>
    </w:p>
    <w:p w14:paraId="1DE66DE3" w14:textId="6ADD0F43" w:rsidR="0018481E" w:rsidRPr="00F03B9A" w:rsidRDefault="0018481E" w:rsidP="00E6677E">
      <w:pPr>
        <w:pStyle w:val="SingleTxtG"/>
        <w:tabs>
          <w:tab w:val="left" w:pos="2268"/>
          <w:tab w:val="left" w:pos="3402"/>
        </w:tabs>
        <w:ind w:left="2268"/>
      </w:pPr>
      <w:r w:rsidRPr="00F03B9A">
        <w:t>« </w:t>
      </w:r>
      <w:r w:rsidRPr="00E6677E">
        <w:rPr>
          <w:b/>
          <w:bCs/>
          <w:i/>
        </w:rPr>
        <w:t>NOTA :</w:t>
      </w:r>
      <w:r w:rsidRPr="00F03B9A">
        <w:rPr>
          <w:i/>
        </w:rPr>
        <w:tab/>
        <w:t xml:space="preserve">Une norme précise comment satisfaire aux dispositions </w:t>
      </w:r>
      <w:r w:rsidR="00377557" w:rsidRPr="00F03B9A">
        <w:rPr>
          <w:i/>
        </w:rPr>
        <w:t>de l’ADR</w:t>
      </w:r>
      <w:r w:rsidRPr="00F03B9A">
        <w:rPr>
          <w:i/>
        </w:rPr>
        <w:t xml:space="preserve"> et peut inclure des exigences additionnelles à celles prévues dans </w:t>
      </w:r>
      <w:r w:rsidR="00377557" w:rsidRPr="00F03B9A">
        <w:rPr>
          <w:i/>
        </w:rPr>
        <w:t>l’ADR</w:t>
      </w:r>
      <w:r w:rsidRPr="00F03B9A">
        <w:rPr>
          <w:i/>
        </w:rPr>
        <w:t>.</w:t>
      </w:r>
      <w:r w:rsidRPr="00F03B9A">
        <w:t> ».</w:t>
      </w:r>
    </w:p>
    <w:p w14:paraId="55C37EB4" w14:textId="77777777" w:rsidR="0018481E" w:rsidRPr="00F03B9A" w:rsidRDefault="0018481E" w:rsidP="0018481E">
      <w:pPr>
        <w:pStyle w:val="H1G"/>
        <w:rPr>
          <w:lang w:val="fr-FR"/>
        </w:rPr>
      </w:pPr>
      <w:r w:rsidRPr="00F03B9A">
        <w:rPr>
          <w:lang w:val="fr-FR"/>
        </w:rPr>
        <w:tab/>
      </w:r>
      <w:r w:rsidRPr="00F03B9A">
        <w:rPr>
          <w:lang w:val="fr-FR"/>
        </w:rPr>
        <w:tab/>
        <w:t>Chapitre 1.2</w:t>
      </w:r>
      <w:r w:rsidRPr="00F03B9A">
        <w:rPr>
          <w:lang w:val="fr-FR"/>
        </w:rPr>
        <w:tab/>
      </w:r>
    </w:p>
    <w:p w14:paraId="1199591F" w14:textId="77777777" w:rsidR="0018481E" w:rsidRPr="00F03B9A" w:rsidRDefault="0018481E" w:rsidP="002F25A0">
      <w:pPr>
        <w:pStyle w:val="SingleTxtG"/>
        <w:tabs>
          <w:tab w:val="left" w:pos="2268"/>
        </w:tabs>
      </w:pPr>
      <w:r w:rsidRPr="00F03B9A">
        <w:t>1.2</w:t>
      </w:r>
      <w:r w:rsidRPr="00F03B9A">
        <w:tab/>
        <w:t>Modifier le titre pour lire :</w:t>
      </w:r>
    </w:p>
    <w:p w14:paraId="42FCB7EE" w14:textId="02A9BBB4" w:rsidR="0018481E" w:rsidRPr="00F03B9A" w:rsidRDefault="00E6677E" w:rsidP="002F25A0">
      <w:pPr>
        <w:pStyle w:val="SingleTxtG"/>
        <w:tabs>
          <w:tab w:val="left" w:pos="2268"/>
        </w:tabs>
      </w:pPr>
      <w:r>
        <w:tab/>
      </w:r>
      <w:r w:rsidR="0018481E" w:rsidRPr="00F03B9A">
        <w:t>« DÉFINITIONS, UNITÉS DE MESURE ET ABRÉVIATIONS »</w:t>
      </w:r>
    </w:p>
    <w:p w14:paraId="60E8C066" w14:textId="48471BC1" w:rsidR="0018481E" w:rsidRPr="00F03B9A" w:rsidRDefault="0018481E" w:rsidP="002F25A0">
      <w:pPr>
        <w:pStyle w:val="SingleTxtG"/>
        <w:tabs>
          <w:tab w:val="left" w:pos="2268"/>
        </w:tabs>
      </w:pPr>
      <w:r w:rsidRPr="00F03B9A">
        <w:t>1.2.1</w:t>
      </w:r>
      <w:r w:rsidRPr="00F03B9A">
        <w:tab/>
        <w:t>Supprimer les définitions suivantes :</w:t>
      </w:r>
    </w:p>
    <w:p w14:paraId="5C29E3F1" w14:textId="6DF6C1EA" w:rsidR="0018481E" w:rsidRPr="00F03B9A" w:rsidRDefault="0018481E" w:rsidP="002F25A0">
      <w:pPr>
        <w:pStyle w:val="SingleTxtG"/>
        <w:tabs>
          <w:tab w:val="left" w:pos="2268"/>
        </w:tabs>
        <w:ind w:left="2268"/>
      </w:pPr>
      <w:r w:rsidRPr="00F03B9A">
        <w:t>« ADN », « AIEA », « ASTM », « CEE-ONU », « CGA », « CGEM », « CIM », « CMR », « CSC », « EN (Norme) », « IMDG », « ISO (Norme) », « MEMU », « </w:t>
      </w:r>
      <w:r w:rsidR="002F25A0" w:rsidRPr="00F03B9A">
        <w:t>N.S.A.</w:t>
      </w:r>
      <w:r w:rsidRPr="00F03B9A">
        <w:t> », « OACI », « OMI », « RID », « TDAA », « TPAA », « UIC ».</w:t>
      </w:r>
    </w:p>
    <w:p w14:paraId="68EF8E24" w14:textId="69670ED1" w:rsidR="0018481E" w:rsidRPr="002F25A0" w:rsidRDefault="0018481E" w:rsidP="002F25A0">
      <w:pPr>
        <w:pStyle w:val="SingleTxtG"/>
        <w:tabs>
          <w:tab w:val="left" w:pos="2268"/>
        </w:tabs>
        <w:ind w:left="2268"/>
        <w:rPr>
          <w:rFonts w:asciiTheme="majorBidi" w:hAnsiTheme="majorBidi" w:cstheme="majorBidi"/>
        </w:rPr>
      </w:pPr>
      <w:r w:rsidRPr="002F25A0">
        <w:rPr>
          <w:szCs w:val="24"/>
        </w:rPr>
        <w:t>Dans la définition de « Conteneur à gaz à éléments multiples (CGEM) », supprimer</w:t>
      </w:r>
      <w:r w:rsidR="002F25A0" w:rsidRPr="002F25A0">
        <w:rPr>
          <w:szCs w:val="24"/>
        </w:rPr>
        <w:t xml:space="preserve"> </w:t>
      </w:r>
      <w:r w:rsidRPr="002F25A0">
        <w:rPr>
          <w:rFonts w:asciiTheme="majorBidi" w:hAnsiTheme="majorBidi" w:cstheme="majorBidi"/>
        </w:rPr>
        <w:t>« (CGEM) ».</w:t>
      </w:r>
    </w:p>
    <w:p w14:paraId="10BFEA1E" w14:textId="608966E7"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Dans la définition de « Gaz de pétrole liquéfié (GPL) », supprimer</w:t>
      </w:r>
      <w:r w:rsidR="002F25A0" w:rsidRPr="002F25A0">
        <w:rPr>
          <w:rFonts w:asciiTheme="majorBidi" w:hAnsiTheme="majorBidi" w:cstheme="majorBidi"/>
        </w:rPr>
        <w:t xml:space="preserve"> </w:t>
      </w:r>
      <w:r w:rsidRPr="002F25A0">
        <w:rPr>
          <w:rFonts w:asciiTheme="majorBidi" w:hAnsiTheme="majorBidi" w:cstheme="majorBidi"/>
        </w:rPr>
        <w:t>« (GPL) ».</w:t>
      </w:r>
    </w:p>
    <w:p w14:paraId="6BE64525" w14:textId="2A4B86E5"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Dans la définition de « Gaz naturel comprimé (GNC) », supprimer</w:t>
      </w:r>
      <w:r w:rsidR="002F25A0" w:rsidRPr="002F25A0">
        <w:rPr>
          <w:rFonts w:asciiTheme="majorBidi" w:hAnsiTheme="majorBidi" w:cstheme="majorBidi"/>
        </w:rPr>
        <w:t xml:space="preserve"> </w:t>
      </w:r>
      <w:r w:rsidRPr="002F25A0">
        <w:rPr>
          <w:rFonts w:asciiTheme="majorBidi" w:hAnsiTheme="majorBidi" w:cstheme="majorBidi"/>
        </w:rPr>
        <w:t>« (GNC) ».</w:t>
      </w:r>
    </w:p>
    <w:p w14:paraId="64893FF7" w14:textId="23345FBC"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Dans la définition de « Gaz naturel liquéfié (GNL) », supprimer</w:t>
      </w:r>
      <w:r w:rsidR="002F25A0" w:rsidRPr="002F25A0">
        <w:rPr>
          <w:rFonts w:asciiTheme="majorBidi" w:hAnsiTheme="majorBidi" w:cstheme="majorBidi"/>
        </w:rPr>
        <w:t xml:space="preserve"> </w:t>
      </w:r>
      <w:r w:rsidRPr="002F25A0">
        <w:rPr>
          <w:rFonts w:asciiTheme="majorBidi" w:hAnsiTheme="majorBidi" w:cstheme="majorBidi"/>
        </w:rPr>
        <w:t>« (GNL) ».</w:t>
      </w:r>
    </w:p>
    <w:p w14:paraId="27986F9C" w14:textId="4AC1AFF6"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Dans la définition de « Grand récipient pour vrac (GRV) », supprimer</w:t>
      </w:r>
      <w:r w:rsidR="002F25A0" w:rsidRPr="002F25A0">
        <w:rPr>
          <w:rFonts w:asciiTheme="majorBidi" w:hAnsiTheme="majorBidi" w:cstheme="majorBidi"/>
        </w:rPr>
        <w:t xml:space="preserve"> </w:t>
      </w:r>
      <w:r w:rsidRPr="002F25A0">
        <w:rPr>
          <w:rFonts w:asciiTheme="majorBidi" w:hAnsiTheme="majorBidi" w:cstheme="majorBidi"/>
        </w:rPr>
        <w:t>« (GRV) ».</w:t>
      </w:r>
    </w:p>
    <w:p w14:paraId="4623A1B4" w14:textId="21297C5B"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Dans la définition de « Indice de sûreté-criticité (CSI</w:t>
      </w:r>
      <w:r w:rsidRPr="002F25A0">
        <w:rPr>
          <w:rFonts w:asciiTheme="majorBidi" w:hAnsiTheme="majorBidi" w:cstheme="majorBidi"/>
          <w:vertAlign w:val="superscript"/>
        </w:rPr>
        <w:t>*</w:t>
      </w:r>
      <w:r w:rsidRPr="002F25A0">
        <w:rPr>
          <w:rFonts w:asciiTheme="majorBidi" w:hAnsiTheme="majorBidi" w:cstheme="majorBidi"/>
        </w:rPr>
        <w:t>) », supprimer</w:t>
      </w:r>
      <w:r w:rsidR="002F25A0" w:rsidRPr="002F25A0">
        <w:rPr>
          <w:rFonts w:asciiTheme="majorBidi" w:hAnsiTheme="majorBidi" w:cstheme="majorBidi"/>
        </w:rPr>
        <w:t xml:space="preserve"> </w:t>
      </w:r>
      <w:r w:rsidRPr="002F25A0">
        <w:rPr>
          <w:rFonts w:asciiTheme="majorBidi" w:hAnsiTheme="majorBidi" w:cstheme="majorBidi"/>
        </w:rPr>
        <w:t>« (CSI</w:t>
      </w:r>
      <w:r w:rsidRPr="002F25A0">
        <w:rPr>
          <w:rFonts w:asciiTheme="majorBidi" w:hAnsiTheme="majorBidi" w:cstheme="majorBidi"/>
          <w:vertAlign w:val="superscript"/>
        </w:rPr>
        <w:t>*</w:t>
      </w:r>
      <w:r w:rsidRPr="002F25A0">
        <w:rPr>
          <w:rFonts w:asciiTheme="majorBidi" w:hAnsiTheme="majorBidi" w:cstheme="majorBidi"/>
        </w:rPr>
        <w:t>) ».</w:t>
      </w:r>
    </w:p>
    <w:p w14:paraId="627624EE" w14:textId="4B5FE196"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Dans la définition de « Indice de transport (TI</w:t>
      </w:r>
      <w:r w:rsidRPr="002F25A0">
        <w:rPr>
          <w:rFonts w:asciiTheme="majorBidi" w:hAnsiTheme="majorBidi" w:cstheme="majorBidi"/>
          <w:vertAlign w:val="superscript"/>
        </w:rPr>
        <w:t>**</w:t>
      </w:r>
      <w:r w:rsidRPr="002F25A0">
        <w:rPr>
          <w:rFonts w:asciiTheme="majorBidi" w:hAnsiTheme="majorBidi" w:cstheme="majorBidi"/>
        </w:rPr>
        <w:t>) », supprimer</w:t>
      </w:r>
      <w:r w:rsidR="002F25A0" w:rsidRPr="002F25A0">
        <w:rPr>
          <w:rFonts w:asciiTheme="majorBidi" w:hAnsiTheme="majorBidi" w:cstheme="majorBidi"/>
        </w:rPr>
        <w:t xml:space="preserve"> </w:t>
      </w:r>
      <w:r w:rsidRPr="002F25A0">
        <w:rPr>
          <w:rFonts w:asciiTheme="majorBidi" w:hAnsiTheme="majorBidi" w:cstheme="majorBidi"/>
        </w:rPr>
        <w:t>« (TI</w:t>
      </w:r>
      <w:r w:rsidRPr="002F25A0">
        <w:rPr>
          <w:rFonts w:asciiTheme="majorBidi" w:hAnsiTheme="majorBidi" w:cstheme="majorBidi"/>
          <w:vertAlign w:val="superscript"/>
        </w:rPr>
        <w:t>**</w:t>
      </w:r>
      <w:r w:rsidRPr="002F25A0">
        <w:rPr>
          <w:rFonts w:asciiTheme="majorBidi" w:hAnsiTheme="majorBidi" w:cstheme="majorBidi"/>
        </w:rPr>
        <w:t>) ».</w:t>
      </w:r>
    </w:p>
    <w:p w14:paraId="13F9C463" w14:textId="77777777" w:rsidR="0018481E" w:rsidRPr="002F25A0" w:rsidRDefault="0018481E" w:rsidP="002F25A0">
      <w:pPr>
        <w:pStyle w:val="SingleTxtG"/>
        <w:tabs>
          <w:tab w:val="left" w:pos="2268"/>
        </w:tabs>
        <w:ind w:left="2268"/>
        <w:rPr>
          <w:rFonts w:asciiTheme="majorBidi" w:hAnsiTheme="majorBidi" w:cstheme="majorBidi"/>
        </w:rPr>
      </w:pPr>
      <w:r w:rsidRPr="002F25A0">
        <w:rPr>
          <w:rFonts w:asciiTheme="majorBidi" w:hAnsiTheme="majorBidi" w:cstheme="majorBidi"/>
        </w:rPr>
        <w:t>Remplacer la définition de « SGH », par la définition suivante :</w:t>
      </w:r>
    </w:p>
    <w:p w14:paraId="6FEFC96D" w14:textId="07D01E44" w:rsidR="0018481E" w:rsidRPr="00F03B9A" w:rsidRDefault="0018481E" w:rsidP="002F25A0">
      <w:pPr>
        <w:pStyle w:val="SingleTxtG"/>
        <w:tabs>
          <w:tab w:val="left" w:pos="2268"/>
        </w:tabs>
        <w:ind w:left="2268"/>
        <w:rPr>
          <w:rFonts w:asciiTheme="majorBidi" w:hAnsiTheme="majorBidi" w:cstheme="majorBidi"/>
        </w:rPr>
      </w:pPr>
      <w:r w:rsidRPr="00F03B9A">
        <w:rPr>
          <w:rFonts w:asciiTheme="majorBidi" w:hAnsiTheme="majorBidi" w:cstheme="majorBidi"/>
        </w:rPr>
        <w:t>« </w:t>
      </w:r>
      <w:r w:rsidR="002F25A0">
        <w:rPr>
          <w:rFonts w:asciiTheme="majorBidi" w:hAnsiTheme="majorBidi" w:cstheme="majorBidi"/>
          <w:i/>
        </w:rPr>
        <w:t>"</w:t>
      </w:r>
      <w:r w:rsidRPr="00F03B9A">
        <w:rPr>
          <w:rFonts w:asciiTheme="majorBidi" w:hAnsiTheme="majorBidi" w:cstheme="majorBidi"/>
          <w:i/>
        </w:rPr>
        <w:t>Système Général Harmonisé de classification et d'étiquetage des produits chimiques</w:t>
      </w:r>
      <w:r w:rsidR="002F25A0">
        <w:rPr>
          <w:rFonts w:asciiTheme="majorBidi" w:hAnsiTheme="majorBidi" w:cstheme="majorBidi"/>
          <w:i/>
        </w:rPr>
        <w:t>"</w:t>
      </w:r>
      <w:r w:rsidRPr="00F03B9A">
        <w:rPr>
          <w:rFonts w:asciiTheme="majorBidi" w:hAnsiTheme="majorBidi" w:cstheme="majorBidi"/>
        </w:rPr>
        <w:t>, la neuvième édition révisée de la publication des Nations Unies ainsi intitulée (ST/SG/AC.10/30/Rev.9) ; ».</w:t>
      </w:r>
    </w:p>
    <w:p w14:paraId="303DE641" w14:textId="5907DA44" w:rsidR="0018481E" w:rsidRPr="00927E93" w:rsidRDefault="0018481E" w:rsidP="002F25A0">
      <w:pPr>
        <w:pStyle w:val="SingleTxtG"/>
        <w:tabs>
          <w:tab w:val="left" w:pos="2268"/>
        </w:tabs>
        <w:ind w:left="2268"/>
        <w:rPr>
          <w:rFonts w:asciiTheme="majorBidi" w:hAnsiTheme="majorBidi" w:cstheme="majorBidi"/>
        </w:rPr>
      </w:pPr>
      <w:r w:rsidRPr="00927E93">
        <w:rPr>
          <w:rFonts w:asciiTheme="majorBidi" w:hAnsiTheme="majorBidi" w:cstheme="majorBidi"/>
        </w:rPr>
        <w:t>Dans la définition de « Température de décomposition auto-accélérée (TDAA) », supprimer</w:t>
      </w:r>
      <w:r w:rsidR="00377557" w:rsidRPr="00927E93">
        <w:rPr>
          <w:rFonts w:asciiTheme="majorBidi" w:hAnsiTheme="majorBidi" w:cstheme="majorBidi"/>
        </w:rPr>
        <w:t xml:space="preserve"> </w:t>
      </w:r>
      <w:r w:rsidRPr="00927E93">
        <w:rPr>
          <w:rFonts w:asciiTheme="majorBidi" w:hAnsiTheme="majorBidi" w:cstheme="majorBidi"/>
        </w:rPr>
        <w:t>« (TDAA) ».</w:t>
      </w:r>
    </w:p>
    <w:p w14:paraId="77F9DDC5" w14:textId="3B3762B5" w:rsidR="0018481E" w:rsidRPr="00927E93" w:rsidRDefault="0018481E" w:rsidP="002F25A0">
      <w:pPr>
        <w:pStyle w:val="SingleTxtG"/>
        <w:tabs>
          <w:tab w:val="left" w:pos="2268"/>
        </w:tabs>
        <w:ind w:left="2268"/>
        <w:rPr>
          <w:rFonts w:asciiTheme="majorBidi" w:hAnsiTheme="majorBidi" w:cstheme="majorBidi"/>
        </w:rPr>
      </w:pPr>
      <w:r w:rsidRPr="00927E93">
        <w:rPr>
          <w:rFonts w:asciiTheme="majorBidi" w:hAnsiTheme="majorBidi" w:cstheme="majorBidi"/>
        </w:rPr>
        <w:t>Dans la définition de « Température de polymérisation auto-accélérée (TPAA) », supprimer</w:t>
      </w:r>
      <w:r w:rsidR="00377557" w:rsidRPr="00927E93">
        <w:rPr>
          <w:rFonts w:asciiTheme="majorBidi" w:hAnsiTheme="majorBidi" w:cstheme="majorBidi"/>
        </w:rPr>
        <w:t xml:space="preserve"> </w:t>
      </w:r>
      <w:r w:rsidRPr="00927E93">
        <w:rPr>
          <w:rFonts w:asciiTheme="majorBidi" w:hAnsiTheme="majorBidi" w:cstheme="majorBidi"/>
        </w:rPr>
        <w:t>« (TPAA) ».</w:t>
      </w:r>
    </w:p>
    <w:p w14:paraId="56171FBB" w14:textId="64F3FCBA" w:rsidR="0018481E" w:rsidRPr="00927E93" w:rsidRDefault="0018481E" w:rsidP="002F25A0">
      <w:pPr>
        <w:pStyle w:val="SingleTxtG"/>
        <w:tabs>
          <w:tab w:val="left" w:pos="2268"/>
        </w:tabs>
        <w:ind w:left="2268"/>
        <w:rPr>
          <w:rFonts w:asciiTheme="majorBidi" w:hAnsiTheme="majorBidi" w:cstheme="majorBidi"/>
        </w:rPr>
      </w:pPr>
      <w:r w:rsidRPr="00927E93">
        <w:rPr>
          <w:rFonts w:asciiTheme="majorBidi" w:hAnsiTheme="majorBidi" w:cstheme="majorBidi"/>
        </w:rPr>
        <w:t>Dans la définition de « Unité mobile de fabrication d’explosifs », supprimer</w:t>
      </w:r>
      <w:r w:rsidR="00377557" w:rsidRPr="00927E93">
        <w:rPr>
          <w:rFonts w:asciiTheme="majorBidi" w:hAnsiTheme="majorBidi" w:cstheme="majorBidi"/>
        </w:rPr>
        <w:t xml:space="preserve"> </w:t>
      </w:r>
      <w:r w:rsidRPr="00927E93">
        <w:rPr>
          <w:rFonts w:asciiTheme="majorBidi" w:hAnsiTheme="majorBidi" w:cstheme="majorBidi"/>
        </w:rPr>
        <w:t>« (MEMU)</w:t>
      </w:r>
      <w:r w:rsidRPr="00927E93">
        <w:rPr>
          <w:rFonts w:asciiTheme="majorBidi" w:hAnsiTheme="majorBidi" w:cstheme="majorBidi"/>
          <w:vertAlign w:val="superscript"/>
        </w:rPr>
        <w:t>*</w:t>
      </w:r>
      <w:r w:rsidRPr="00927E93">
        <w:rPr>
          <w:rFonts w:asciiTheme="majorBidi" w:hAnsiTheme="majorBidi" w:cstheme="majorBidi"/>
        </w:rPr>
        <w:t> ».</w:t>
      </w:r>
    </w:p>
    <w:p w14:paraId="572A6073" w14:textId="77777777" w:rsidR="0018481E" w:rsidRPr="00F03B9A" w:rsidRDefault="0018481E" w:rsidP="00E6677E">
      <w:pPr>
        <w:pStyle w:val="SingleTxtG"/>
        <w:tabs>
          <w:tab w:val="left" w:pos="2268"/>
        </w:tabs>
        <w:rPr>
          <w:rFonts w:asciiTheme="majorBidi" w:hAnsiTheme="majorBidi" w:cstheme="majorBidi"/>
        </w:rPr>
      </w:pPr>
      <w:r w:rsidRPr="00F03B9A">
        <w:rPr>
          <w:rFonts w:asciiTheme="majorBidi" w:hAnsiTheme="majorBidi" w:cstheme="majorBidi"/>
        </w:rPr>
        <w:t>Ajouter une nouvelle section 1.2.3 ainsi conçue :</w:t>
      </w:r>
    </w:p>
    <w:p w14:paraId="0FC312C4" w14:textId="77777777" w:rsidR="0018481E" w:rsidRPr="00F03B9A" w:rsidRDefault="0018481E" w:rsidP="00927E93">
      <w:pPr>
        <w:pStyle w:val="SingleTxtG"/>
        <w:tabs>
          <w:tab w:val="left" w:pos="2268"/>
          <w:tab w:val="left" w:pos="3402"/>
        </w:tabs>
        <w:ind w:left="2268"/>
        <w:rPr>
          <w:rFonts w:asciiTheme="majorBidi" w:hAnsiTheme="majorBidi" w:cstheme="majorBidi"/>
        </w:rPr>
      </w:pPr>
      <w:r w:rsidRPr="00F03B9A">
        <w:rPr>
          <w:rFonts w:asciiTheme="majorBidi" w:hAnsiTheme="majorBidi" w:cstheme="majorBidi"/>
        </w:rPr>
        <w:lastRenderedPageBreak/>
        <w:t>« </w:t>
      </w:r>
      <w:r w:rsidRPr="00927E93">
        <w:rPr>
          <w:rFonts w:asciiTheme="majorBidi" w:hAnsiTheme="majorBidi" w:cstheme="majorBidi"/>
          <w:b/>
          <w:bCs/>
        </w:rPr>
        <w:t>1.2.3</w:t>
      </w:r>
      <w:r w:rsidRPr="00927E93">
        <w:rPr>
          <w:rFonts w:asciiTheme="majorBidi" w:hAnsiTheme="majorBidi" w:cstheme="majorBidi"/>
          <w:b/>
          <w:bCs/>
        </w:rPr>
        <w:tab/>
        <w:t>Liste d’abréviations</w:t>
      </w:r>
    </w:p>
    <w:p w14:paraId="49B3ADC3" w14:textId="620FB294" w:rsidR="0018481E" w:rsidRPr="00F03B9A" w:rsidRDefault="00927E93" w:rsidP="00927E93">
      <w:pPr>
        <w:pStyle w:val="SingleTxtG"/>
        <w:tabs>
          <w:tab w:val="left" w:pos="2268"/>
          <w:tab w:val="left" w:pos="3402"/>
        </w:tabs>
        <w:ind w:left="2268"/>
        <w:rPr>
          <w:rFonts w:asciiTheme="majorBidi" w:hAnsiTheme="majorBidi" w:cstheme="majorBidi"/>
        </w:rPr>
      </w:pPr>
      <w:r>
        <w:rPr>
          <w:rFonts w:asciiTheme="majorBidi" w:hAnsiTheme="majorBidi" w:cstheme="majorBidi"/>
        </w:rPr>
        <w:tab/>
      </w:r>
      <w:r w:rsidR="0018481E" w:rsidRPr="00F03B9A">
        <w:rPr>
          <w:rFonts w:asciiTheme="majorBidi" w:hAnsiTheme="majorBidi" w:cstheme="majorBidi"/>
        </w:rPr>
        <w:t>Dans l’ADR sont utilisés des abréviations, des acronymes et des désignations abrégées de textes réglementaires, dont la signification est la suivante :</w:t>
      </w:r>
    </w:p>
    <w:p w14:paraId="0D1DF366" w14:textId="0EEBDEBB"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A</w:t>
      </w:r>
    </w:p>
    <w:p w14:paraId="510F5690"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ADN</w:t>
      </w:r>
      <w:r w:rsidRPr="00F03B9A">
        <w:rPr>
          <w:rFonts w:asciiTheme="majorBidi" w:hAnsiTheme="majorBidi" w:cstheme="majorBidi"/>
          <w:iCs/>
        </w:rPr>
        <w:t>”</w:t>
      </w:r>
      <w:r w:rsidRPr="00F03B9A">
        <w:rPr>
          <w:rFonts w:asciiTheme="majorBidi" w:hAnsiTheme="majorBidi" w:cstheme="majorBidi"/>
        </w:rPr>
        <w:t>, Accord européen relatif au transport international des marchandises dangereuses par voies de navigation intérieures ;</w:t>
      </w:r>
    </w:p>
    <w:p w14:paraId="270B60C3"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i/>
          <w:iCs/>
        </w:rPr>
        <w:t>AIEA</w:t>
      </w:r>
      <w:r w:rsidRPr="00F03B9A">
        <w:rPr>
          <w:rFonts w:asciiTheme="majorBidi" w:hAnsiTheme="majorBidi" w:cstheme="majorBidi"/>
        </w:rPr>
        <w:t>”, Agence internationale de l’énergie atomique (AIEA), (AIEA, P.O. Box 100, A</w:t>
      </w:r>
      <w:r w:rsidRPr="00F03B9A">
        <w:rPr>
          <w:rFonts w:asciiTheme="majorBidi" w:hAnsiTheme="majorBidi" w:cstheme="majorBidi"/>
        </w:rPr>
        <w:noBreakHyphen/>
        <w:t xml:space="preserve">1400 Vienne, Autriche), </w:t>
      </w:r>
      <w:hyperlink r:id="rId11" w:history="1">
        <w:r w:rsidRPr="00F03B9A">
          <w:rPr>
            <w:rStyle w:val="Hyperlink"/>
            <w:rFonts w:asciiTheme="majorBidi" w:hAnsiTheme="majorBidi" w:cstheme="majorBidi"/>
            <w:bCs/>
          </w:rPr>
          <w:t>www.iaea.org</w:t>
        </w:r>
      </w:hyperlink>
      <w:r w:rsidRPr="00F03B9A">
        <w:rPr>
          <w:rFonts w:asciiTheme="majorBidi" w:hAnsiTheme="majorBidi" w:cstheme="majorBidi"/>
        </w:rPr>
        <w:t> ;</w:t>
      </w:r>
    </w:p>
    <w:p w14:paraId="7A8BD873"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ASTM</w:t>
      </w:r>
      <w:r w:rsidRPr="00F03B9A">
        <w:rPr>
          <w:rFonts w:asciiTheme="majorBidi" w:hAnsiTheme="majorBidi" w:cstheme="majorBidi"/>
          <w:iCs/>
        </w:rPr>
        <w:t xml:space="preserve">”, </w:t>
      </w:r>
      <w:r w:rsidRPr="00F03B9A">
        <w:rPr>
          <w:rFonts w:asciiTheme="majorBidi" w:hAnsiTheme="majorBidi" w:cstheme="majorBidi"/>
        </w:rPr>
        <w:t xml:space="preserve">American Society for </w:t>
      </w:r>
      <w:proofErr w:type="spellStart"/>
      <w:r w:rsidRPr="00F03B9A">
        <w:rPr>
          <w:rFonts w:asciiTheme="majorBidi" w:hAnsiTheme="majorBidi" w:cstheme="majorBidi"/>
        </w:rPr>
        <w:t>Testing</w:t>
      </w:r>
      <w:proofErr w:type="spellEnd"/>
      <w:r w:rsidRPr="00F03B9A">
        <w:rPr>
          <w:rFonts w:asciiTheme="majorBidi" w:hAnsiTheme="majorBidi" w:cstheme="majorBidi"/>
        </w:rPr>
        <w:t xml:space="preserve"> and Materials (ASTM International, 100 Barr Harbor Drive, PO Box C700, West </w:t>
      </w:r>
      <w:proofErr w:type="spellStart"/>
      <w:r w:rsidRPr="00F03B9A">
        <w:rPr>
          <w:rFonts w:asciiTheme="majorBidi" w:hAnsiTheme="majorBidi" w:cstheme="majorBidi"/>
        </w:rPr>
        <w:t>Conshohocken</w:t>
      </w:r>
      <w:proofErr w:type="spellEnd"/>
      <w:r w:rsidRPr="00F03B9A">
        <w:rPr>
          <w:rFonts w:asciiTheme="majorBidi" w:hAnsiTheme="majorBidi" w:cstheme="majorBidi"/>
        </w:rPr>
        <w:t xml:space="preserve">, PA, 19428-2959, États-Unis d’Amérique), </w:t>
      </w:r>
      <w:hyperlink r:id="rId12" w:history="1">
        <w:r w:rsidRPr="00F03B9A">
          <w:rPr>
            <w:rStyle w:val="Hyperlink"/>
            <w:rFonts w:asciiTheme="majorBidi" w:hAnsiTheme="majorBidi" w:cstheme="majorBidi"/>
            <w:bCs/>
          </w:rPr>
          <w:t>www.astm.org</w:t>
        </w:r>
      </w:hyperlink>
      <w:r w:rsidRPr="00F03B9A">
        <w:rPr>
          <w:rFonts w:asciiTheme="majorBidi" w:hAnsiTheme="majorBidi" w:cstheme="majorBidi"/>
        </w:rPr>
        <w:t> ;</w:t>
      </w:r>
    </w:p>
    <w:p w14:paraId="61FBBC25" w14:textId="018064CB"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C</w:t>
      </w:r>
    </w:p>
    <w:p w14:paraId="116DC7C3"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i/>
          <w:iCs/>
        </w:rPr>
        <w:t>CEE-ONU</w:t>
      </w:r>
      <w:r w:rsidRPr="00F03B9A">
        <w:rPr>
          <w:rFonts w:asciiTheme="majorBidi" w:hAnsiTheme="majorBidi" w:cstheme="majorBidi"/>
        </w:rPr>
        <w:t xml:space="preserve">”, Commission Économique des Nations Unies pour l’Europe (CEE-ONU, Palais des Nations, 8-14 avenue de la Paix, CH-1211 Genève 10, Suisse), </w:t>
      </w:r>
      <w:hyperlink r:id="rId13" w:history="1">
        <w:r w:rsidRPr="00F03B9A">
          <w:rPr>
            <w:rStyle w:val="Hyperlink"/>
            <w:rFonts w:asciiTheme="majorBidi" w:hAnsiTheme="majorBidi" w:cstheme="majorBidi"/>
            <w:bCs/>
            <w:lang w:val="fr-FR"/>
          </w:rPr>
          <w:t>www.unece.org</w:t>
        </w:r>
      </w:hyperlink>
      <w:r w:rsidRPr="00F03B9A">
        <w:rPr>
          <w:rFonts w:asciiTheme="majorBidi" w:hAnsiTheme="majorBidi" w:cstheme="majorBidi"/>
        </w:rPr>
        <w:t> ;</w:t>
      </w:r>
    </w:p>
    <w:p w14:paraId="3B954208"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CGA</w:t>
      </w:r>
      <w:r w:rsidRPr="00F03B9A">
        <w:rPr>
          <w:rFonts w:asciiTheme="majorBidi" w:hAnsiTheme="majorBidi" w:cstheme="majorBidi"/>
          <w:iCs/>
        </w:rPr>
        <w:t>”, “</w:t>
      </w:r>
      <w:r w:rsidRPr="00F03B9A">
        <w:rPr>
          <w:rFonts w:asciiTheme="majorBidi" w:hAnsiTheme="majorBidi" w:cstheme="majorBidi"/>
        </w:rPr>
        <w:t xml:space="preserve">Compressed Gas Association” (CGA, 14501 George Carter </w:t>
      </w:r>
      <w:proofErr w:type="spellStart"/>
      <w:r w:rsidRPr="00F03B9A">
        <w:rPr>
          <w:rFonts w:asciiTheme="majorBidi" w:hAnsiTheme="majorBidi" w:cstheme="majorBidi"/>
        </w:rPr>
        <w:t>Way</w:t>
      </w:r>
      <w:proofErr w:type="spellEnd"/>
      <w:r w:rsidRPr="00F03B9A">
        <w:rPr>
          <w:rFonts w:asciiTheme="majorBidi" w:hAnsiTheme="majorBidi" w:cstheme="majorBidi"/>
        </w:rPr>
        <w:t xml:space="preserve">, Suite 103, Chantilly, VA 20151, États-Unis d’Amérique), </w:t>
      </w:r>
      <w:hyperlink r:id="rId14" w:history="1">
        <w:r w:rsidRPr="00F03B9A">
          <w:rPr>
            <w:rStyle w:val="Hyperlink"/>
            <w:rFonts w:asciiTheme="majorBidi" w:hAnsiTheme="majorBidi" w:cstheme="majorBidi"/>
            <w:bCs/>
          </w:rPr>
          <w:t>www.cganet.com</w:t>
        </w:r>
      </w:hyperlink>
      <w:r w:rsidRPr="00F03B9A">
        <w:rPr>
          <w:rFonts w:asciiTheme="majorBidi" w:hAnsiTheme="majorBidi" w:cstheme="majorBidi"/>
        </w:rPr>
        <w:t> ;</w:t>
      </w:r>
    </w:p>
    <w:p w14:paraId="6812FD9A"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iCs/>
        </w:rPr>
        <w:t>“</w:t>
      </w:r>
      <w:r w:rsidRPr="00F03B9A">
        <w:rPr>
          <w:rFonts w:asciiTheme="majorBidi" w:hAnsiTheme="majorBidi" w:cstheme="majorBidi"/>
          <w:i/>
        </w:rPr>
        <w:t>CGEM</w:t>
      </w:r>
      <w:r w:rsidRPr="00F03B9A">
        <w:rPr>
          <w:rFonts w:asciiTheme="majorBidi" w:hAnsiTheme="majorBidi" w:cstheme="majorBidi"/>
          <w:iCs/>
        </w:rPr>
        <w:t>”, “Conteneur à gaz à éléments multiples” (voir 1.2.1) ;</w:t>
      </w:r>
    </w:p>
    <w:p w14:paraId="3B97EED6"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CIM</w:t>
      </w:r>
      <w:r w:rsidRPr="00F03B9A">
        <w:rPr>
          <w:rFonts w:asciiTheme="majorBidi" w:hAnsiTheme="majorBidi" w:cstheme="majorBidi"/>
          <w:iCs/>
        </w:rPr>
        <w:t xml:space="preserve">”, </w:t>
      </w:r>
      <w:r w:rsidRPr="00F03B9A">
        <w:rPr>
          <w:rFonts w:asciiTheme="majorBidi" w:hAnsiTheme="majorBidi" w:cstheme="majorBidi"/>
        </w:rPr>
        <w:t>Règles uniformes concernant le contrat de transport international ferroviaire des marchandises (Appendice B à la Convention relative aux transports internationaux ferroviaires (COTIF)), telles que modifiées ;</w:t>
      </w:r>
    </w:p>
    <w:p w14:paraId="4EB2652D"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CMR</w:t>
      </w:r>
      <w:r w:rsidRPr="00F03B9A">
        <w:rPr>
          <w:rFonts w:asciiTheme="majorBidi" w:hAnsiTheme="majorBidi" w:cstheme="majorBidi"/>
          <w:iCs/>
        </w:rPr>
        <w:t>”,</w:t>
      </w:r>
      <w:r w:rsidRPr="00F03B9A">
        <w:rPr>
          <w:rFonts w:asciiTheme="majorBidi" w:hAnsiTheme="majorBidi" w:cstheme="majorBidi"/>
        </w:rPr>
        <w:t xml:space="preserve"> Convention relative au contrat de transport international de marchandises par route (Genève, 19 mai 1956), telle que modifiée ;</w:t>
      </w:r>
    </w:p>
    <w:p w14:paraId="2CE05C98"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CSC</w:t>
      </w:r>
      <w:r w:rsidRPr="00F03B9A">
        <w:rPr>
          <w:rFonts w:asciiTheme="majorBidi" w:hAnsiTheme="majorBidi" w:cstheme="majorBidi"/>
          <w:iCs/>
        </w:rPr>
        <w:t xml:space="preserve">”, </w:t>
      </w:r>
      <w:r w:rsidRPr="00F03B9A">
        <w:rPr>
          <w:rFonts w:asciiTheme="majorBidi" w:hAnsiTheme="majorBidi" w:cstheme="majorBidi"/>
        </w:rPr>
        <w:t>Convention internationale sur la sécurité des conteneurs (Genève, 1972) telle que modifiée et publiée par l’Organisation Maritime Internationale (OMI), à Londres ;</w:t>
      </w:r>
    </w:p>
    <w:p w14:paraId="364D069D"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CSI</w:t>
      </w:r>
      <w:r w:rsidRPr="00F03B9A">
        <w:rPr>
          <w:rFonts w:asciiTheme="majorBidi" w:hAnsiTheme="majorBidi" w:cstheme="majorBidi"/>
          <w:iCs/>
        </w:rPr>
        <w:t>”*,</w:t>
      </w:r>
      <w:r w:rsidRPr="00F03B9A">
        <w:rPr>
          <w:rFonts w:asciiTheme="majorBidi" w:hAnsiTheme="majorBidi" w:cstheme="majorBidi"/>
          <w:i/>
        </w:rPr>
        <w:t xml:space="preserve"> </w:t>
      </w:r>
      <w:r w:rsidRPr="00F03B9A">
        <w:rPr>
          <w:rFonts w:asciiTheme="majorBidi" w:hAnsiTheme="majorBidi" w:cstheme="majorBidi"/>
        </w:rPr>
        <w:t>“Indice de sûreté-criticité” (voir 1.2.1) ;</w:t>
      </w:r>
    </w:p>
    <w:p w14:paraId="4403953E" w14:textId="77777777" w:rsidR="0018481E" w:rsidRPr="006B6208" w:rsidRDefault="0018481E" w:rsidP="00927E93">
      <w:pPr>
        <w:pStyle w:val="SingleTxtG"/>
        <w:tabs>
          <w:tab w:val="left" w:pos="2268"/>
        </w:tabs>
        <w:ind w:left="2268"/>
        <w:rPr>
          <w:rFonts w:asciiTheme="majorBidi" w:hAnsiTheme="majorBidi" w:cstheme="majorBidi"/>
        </w:rPr>
      </w:pPr>
      <w:r w:rsidRPr="006B6208">
        <w:rPr>
          <w:rFonts w:asciiTheme="majorBidi" w:hAnsiTheme="majorBidi" w:cstheme="majorBidi"/>
        </w:rPr>
        <w:t>________</w:t>
      </w:r>
    </w:p>
    <w:p w14:paraId="58814E0E"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rPr>
        <w:tab/>
        <w:t>L’acronyme « CSI » correspond au terme anglais « </w:t>
      </w:r>
      <w:proofErr w:type="spellStart"/>
      <w:r w:rsidRPr="00F03B9A">
        <w:rPr>
          <w:rFonts w:asciiTheme="majorBidi" w:hAnsiTheme="majorBidi" w:cstheme="majorBidi"/>
        </w:rPr>
        <w:t>Criticality</w:t>
      </w:r>
      <w:proofErr w:type="spellEnd"/>
      <w:r w:rsidRPr="00F03B9A">
        <w:rPr>
          <w:rFonts w:asciiTheme="majorBidi" w:hAnsiTheme="majorBidi" w:cstheme="majorBidi"/>
        </w:rPr>
        <w:t xml:space="preserve"> </w:t>
      </w:r>
      <w:proofErr w:type="spellStart"/>
      <w:r w:rsidRPr="00F03B9A">
        <w:rPr>
          <w:rFonts w:asciiTheme="majorBidi" w:hAnsiTheme="majorBidi" w:cstheme="majorBidi"/>
        </w:rPr>
        <w:t>Safety</w:t>
      </w:r>
      <w:proofErr w:type="spellEnd"/>
      <w:r w:rsidRPr="00F03B9A">
        <w:rPr>
          <w:rFonts w:asciiTheme="majorBidi" w:hAnsiTheme="majorBidi" w:cstheme="majorBidi"/>
        </w:rPr>
        <w:t xml:space="preserve"> Index ».</w:t>
      </w:r>
    </w:p>
    <w:p w14:paraId="739C4374" w14:textId="45B2C2FB"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E</w:t>
      </w:r>
    </w:p>
    <w:p w14:paraId="77CAD14B"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EIGA</w:t>
      </w:r>
      <w:r w:rsidRPr="00F03B9A">
        <w:rPr>
          <w:rFonts w:asciiTheme="majorBidi" w:hAnsiTheme="majorBidi" w:cstheme="majorBidi"/>
          <w:iCs/>
        </w:rPr>
        <w:t xml:space="preserve">”, Association européenne des gaz industriels (EIGA, </w:t>
      </w:r>
      <w:r w:rsidRPr="00F03B9A">
        <w:rPr>
          <w:rFonts w:asciiTheme="majorBidi" w:hAnsiTheme="majorBidi" w:cstheme="majorBidi"/>
        </w:rPr>
        <w:t xml:space="preserve">30 Avenue de l’Astronomie, B-1210 Bruxelles, Belgique), </w:t>
      </w:r>
      <w:hyperlink r:id="rId15" w:history="1">
        <w:r w:rsidRPr="00F03B9A">
          <w:rPr>
            <w:rStyle w:val="Hyperlink"/>
            <w:rFonts w:asciiTheme="majorBidi" w:hAnsiTheme="majorBidi" w:cstheme="majorBidi"/>
            <w:bCs/>
          </w:rPr>
          <w:t>www.eiga.eu</w:t>
        </w:r>
      </w:hyperlink>
      <w:r w:rsidRPr="00F03B9A">
        <w:rPr>
          <w:rFonts w:asciiTheme="majorBidi" w:hAnsiTheme="majorBidi" w:cstheme="majorBidi"/>
        </w:rPr>
        <w:t> ;</w:t>
      </w:r>
    </w:p>
    <w:p w14:paraId="3ACC3324"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EN</w:t>
      </w:r>
      <w:r w:rsidRPr="00F03B9A">
        <w:rPr>
          <w:rFonts w:asciiTheme="majorBidi" w:hAnsiTheme="majorBidi" w:cstheme="majorBidi"/>
          <w:iCs/>
        </w:rPr>
        <w:t>”</w:t>
      </w:r>
      <w:r w:rsidRPr="00F03B9A">
        <w:rPr>
          <w:rFonts w:asciiTheme="majorBidi" w:hAnsiTheme="majorBidi" w:cstheme="majorBidi"/>
        </w:rPr>
        <w:t xml:space="preserve"> (norme), une norme européenne publiée par le Comité européen de normalisation (CEN) (CEN, Avenue Marnix 17, B-1000 Bruxelles, Belgique), </w:t>
      </w:r>
      <w:hyperlink r:id="rId16" w:history="1">
        <w:r w:rsidRPr="00F03B9A">
          <w:rPr>
            <w:rStyle w:val="Hyperlink"/>
            <w:rFonts w:asciiTheme="majorBidi" w:hAnsiTheme="majorBidi" w:cstheme="majorBidi"/>
            <w:bCs/>
          </w:rPr>
          <w:t>www.cen.eu</w:t>
        </w:r>
      </w:hyperlink>
      <w:r w:rsidRPr="00F03B9A">
        <w:rPr>
          <w:rFonts w:asciiTheme="majorBidi" w:hAnsiTheme="majorBidi" w:cstheme="majorBidi"/>
        </w:rPr>
        <w:t> ;</w:t>
      </w:r>
    </w:p>
    <w:p w14:paraId="46D2C086" w14:textId="6B537CD5"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G</w:t>
      </w:r>
    </w:p>
    <w:p w14:paraId="1E30A35B"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i/>
          <w:iCs/>
        </w:rPr>
        <w:t>GNC</w:t>
      </w:r>
      <w:r w:rsidRPr="00F03B9A">
        <w:rPr>
          <w:rFonts w:asciiTheme="majorBidi" w:hAnsiTheme="majorBidi" w:cstheme="majorBidi"/>
        </w:rPr>
        <w:t>”, “Gaz naturel comprimé” (voir 1.2.1) ;</w:t>
      </w:r>
    </w:p>
    <w:p w14:paraId="4AF7A942"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GNL</w:t>
      </w:r>
      <w:r w:rsidRPr="00F03B9A">
        <w:rPr>
          <w:rFonts w:asciiTheme="majorBidi" w:hAnsiTheme="majorBidi" w:cstheme="majorBidi"/>
          <w:iCs/>
        </w:rPr>
        <w:t>”,</w:t>
      </w:r>
      <w:r w:rsidRPr="00F03B9A">
        <w:rPr>
          <w:rFonts w:asciiTheme="majorBidi" w:hAnsiTheme="majorBidi" w:cstheme="majorBidi"/>
          <w:i/>
        </w:rPr>
        <w:t xml:space="preserve"> </w:t>
      </w:r>
      <w:r w:rsidRPr="00F03B9A">
        <w:rPr>
          <w:rFonts w:asciiTheme="majorBidi" w:hAnsiTheme="majorBidi" w:cstheme="majorBidi"/>
        </w:rPr>
        <w:t>“Gaz naturel liquéfié” (voir 1.2.1) ;</w:t>
      </w:r>
    </w:p>
    <w:p w14:paraId="1A252298"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GPL</w:t>
      </w:r>
      <w:r w:rsidRPr="00F03B9A">
        <w:rPr>
          <w:rFonts w:asciiTheme="majorBidi" w:hAnsiTheme="majorBidi" w:cstheme="majorBidi"/>
          <w:iCs/>
        </w:rPr>
        <w:t>”,</w:t>
      </w:r>
      <w:r w:rsidRPr="00F03B9A">
        <w:rPr>
          <w:rFonts w:asciiTheme="majorBidi" w:hAnsiTheme="majorBidi" w:cstheme="majorBidi"/>
          <w:i/>
        </w:rPr>
        <w:t xml:space="preserve"> </w:t>
      </w:r>
      <w:r w:rsidRPr="00F03B9A">
        <w:rPr>
          <w:rFonts w:asciiTheme="majorBidi" w:hAnsiTheme="majorBidi" w:cstheme="majorBidi"/>
        </w:rPr>
        <w:t>“Gaz de pétrole liquéfié” (voir 1.2.1) ;</w:t>
      </w:r>
    </w:p>
    <w:p w14:paraId="1DACDDFD"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rPr>
        <w:t>“</w:t>
      </w:r>
      <w:r w:rsidRPr="00F03B9A">
        <w:rPr>
          <w:rFonts w:asciiTheme="majorBidi" w:hAnsiTheme="majorBidi" w:cstheme="majorBidi"/>
          <w:i/>
          <w:iCs/>
        </w:rPr>
        <w:t>GRV</w:t>
      </w:r>
      <w:r w:rsidRPr="00F03B9A">
        <w:rPr>
          <w:rFonts w:asciiTheme="majorBidi" w:hAnsiTheme="majorBidi" w:cstheme="majorBidi"/>
        </w:rPr>
        <w:t>”,</w:t>
      </w:r>
      <w:r w:rsidRPr="00F03B9A">
        <w:rPr>
          <w:rFonts w:asciiTheme="majorBidi" w:hAnsiTheme="majorBidi" w:cstheme="majorBidi"/>
          <w:iCs/>
        </w:rPr>
        <w:t xml:space="preserve"> “Grand emballage pour vrac”</w:t>
      </w:r>
      <w:r w:rsidRPr="00F03B9A">
        <w:rPr>
          <w:rFonts w:asciiTheme="majorBidi" w:hAnsiTheme="majorBidi" w:cstheme="majorBidi"/>
        </w:rPr>
        <w:t xml:space="preserve"> (voir 1.2.1)</w:t>
      </w:r>
      <w:r w:rsidRPr="00F03B9A">
        <w:rPr>
          <w:rFonts w:asciiTheme="majorBidi" w:hAnsiTheme="majorBidi" w:cstheme="majorBidi"/>
          <w:iCs/>
        </w:rPr>
        <w:t> ;</w:t>
      </w:r>
    </w:p>
    <w:p w14:paraId="0BCCF24E" w14:textId="0C920D5E"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I</w:t>
      </w:r>
    </w:p>
    <w:p w14:paraId="50784113"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IMDG</w:t>
      </w:r>
      <w:r w:rsidRPr="00F03B9A">
        <w:rPr>
          <w:rFonts w:asciiTheme="majorBidi" w:hAnsiTheme="majorBidi" w:cstheme="majorBidi"/>
          <w:iCs/>
        </w:rPr>
        <w:t>”,</w:t>
      </w:r>
      <w:r w:rsidRPr="00F03B9A">
        <w:rPr>
          <w:rFonts w:asciiTheme="majorBidi" w:hAnsiTheme="majorBidi" w:cstheme="majorBidi"/>
          <w:i/>
        </w:rPr>
        <w:t xml:space="preserve"> </w:t>
      </w:r>
      <w:r w:rsidRPr="00F03B9A">
        <w:rPr>
          <w:rFonts w:asciiTheme="majorBidi" w:hAnsiTheme="majorBidi" w:cstheme="majorBidi"/>
        </w:rPr>
        <w:t>“Code IMDG” (voir 1.2.1) ;</w:t>
      </w:r>
    </w:p>
    <w:p w14:paraId="30654C39" w14:textId="77777777" w:rsidR="0018481E" w:rsidRPr="00F03B9A" w:rsidRDefault="0018481E" w:rsidP="00927E93">
      <w:pPr>
        <w:pStyle w:val="SingleTxtG"/>
        <w:tabs>
          <w:tab w:val="left" w:pos="2268"/>
        </w:tabs>
        <w:ind w:left="2268"/>
        <w:rPr>
          <w:rFonts w:asciiTheme="majorBidi" w:hAnsiTheme="majorBidi" w:cstheme="majorBidi"/>
          <w:spacing w:val="-2"/>
        </w:rPr>
      </w:pPr>
      <w:r w:rsidRPr="00F03B9A">
        <w:rPr>
          <w:rFonts w:asciiTheme="majorBidi" w:hAnsiTheme="majorBidi" w:cstheme="majorBidi"/>
          <w:iCs/>
          <w:spacing w:val="-2"/>
        </w:rPr>
        <w:lastRenderedPageBreak/>
        <w:t>“</w:t>
      </w:r>
      <w:r w:rsidRPr="00F03B9A">
        <w:rPr>
          <w:rFonts w:asciiTheme="majorBidi" w:hAnsiTheme="majorBidi" w:cstheme="majorBidi"/>
          <w:i/>
          <w:spacing w:val="-2"/>
        </w:rPr>
        <w:t>ISO</w:t>
      </w:r>
      <w:r w:rsidRPr="00F03B9A">
        <w:rPr>
          <w:rFonts w:asciiTheme="majorBidi" w:hAnsiTheme="majorBidi" w:cstheme="majorBidi"/>
          <w:iCs/>
          <w:spacing w:val="-2"/>
        </w:rPr>
        <w:t>”</w:t>
      </w:r>
      <w:r w:rsidRPr="00F03B9A">
        <w:rPr>
          <w:rFonts w:asciiTheme="majorBidi" w:hAnsiTheme="majorBidi" w:cstheme="majorBidi"/>
          <w:spacing w:val="-2"/>
        </w:rPr>
        <w:t xml:space="preserve"> (norme), une norme internationale publiée par l’Organisation internationale de normalisation (ISO), (ISO − 1, rue de </w:t>
      </w:r>
      <w:proofErr w:type="spellStart"/>
      <w:r w:rsidRPr="00F03B9A">
        <w:rPr>
          <w:rFonts w:asciiTheme="majorBidi" w:hAnsiTheme="majorBidi" w:cstheme="majorBidi"/>
          <w:spacing w:val="-2"/>
        </w:rPr>
        <w:t>Varembé</w:t>
      </w:r>
      <w:proofErr w:type="spellEnd"/>
      <w:r w:rsidRPr="00F03B9A">
        <w:rPr>
          <w:rFonts w:asciiTheme="majorBidi" w:hAnsiTheme="majorBidi" w:cstheme="majorBidi"/>
          <w:spacing w:val="-2"/>
        </w:rPr>
        <w:t xml:space="preserve">. CH-1204 Genève 20, Suisse), </w:t>
      </w:r>
      <w:hyperlink r:id="rId17" w:history="1">
        <w:r w:rsidRPr="00F03B9A">
          <w:rPr>
            <w:rStyle w:val="Hyperlink"/>
            <w:rFonts w:asciiTheme="majorBidi" w:hAnsiTheme="majorBidi" w:cstheme="majorBidi"/>
            <w:bCs/>
            <w:spacing w:val="-2"/>
          </w:rPr>
          <w:t>www.iso.org</w:t>
        </w:r>
      </w:hyperlink>
      <w:r w:rsidRPr="00F03B9A">
        <w:rPr>
          <w:rFonts w:asciiTheme="majorBidi" w:hAnsiTheme="majorBidi" w:cstheme="majorBidi"/>
          <w:spacing w:val="-2"/>
        </w:rPr>
        <w:t> ;</w:t>
      </w:r>
    </w:p>
    <w:p w14:paraId="3929E3C6" w14:textId="53B2FD85"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L</w:t>
      </w:r>
    </w:p>
    <w:p w14:paraId="1713FE32"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LSA</w:t>
      </w:r>
      <w:r w:rsidRPr="00F03B9A">
        <w:rPr>
          <w:rFonts w:asciiTheme="majorBidi" w:hAnsiTheme="majorBidi" w:cstheme="majorBidi"/>
          <w:iCs/>
        </w:rPr>
        <w:t>”*</w:t>
      </w:r>
      <w:r w:rsidRPr="00F03B9A">
        <w:rPr>
          <w:rFonts w:asciiTheme="majorBidi" w:hAnsiTheme="majorBidi" w:cstheme="majorBidi"/>
          <w:i/>
        </w:rPr>
        <w:t xml:space="preserve"> (matière)</w:t>
      </w:r>
      <w:r w:rsidRPr="00F03B9A">
        <w:rPr>
          <w:rFonts w:asciiTheme="majorBidi" w:hAnsiTheme="majorBidi" w:cstheme="majorBidi"/>
        </w:rPr>
        <w:t>, matière de faible activité spécifique (voir 2.2.7.1.3) ;</w:t>
      </w:r>
    </w:p>
    <w:p w14:paraId="750B80C7" w14:textId="6F4A2AF0" w:rsidR="0018481E" w:rsidRPr="006B6208" w:rsidRDefault="0018481E" w:rsidP="00927E93">
      <w:pPr>
        <w:pStyle w:val="SingleTxtG"/>
        <w:tabs>
          <w:tab w:val="left" w:pos="2268"/>
        </w:tabs>
        <w:ind w:left="2268"/>
        <w:rPr>
          <w:rFonts w:asciiTheme="majorBidi" w:hAnsiTheme="majorBidi" w:cstheme="majorBidi"/>
          <w:iCs/>
        </w:rPr>
      </w:pPr>
      <w:r w:rsidRPr="006B6208">
        <w:rPr>
          <w:rFonts w:asciiTheme="majorBidi" w:hAnsiTheme="majorBidi" w:cstheme="majorBidi"/>
        </w:rPr>
        <w:t>________</w:t>
      </w:r>
    </w:p>
    <w:p w14:paraId="55585079"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Cs/>
        </w:rPr>
        <w:tab/>
        <w:t xml:space="preserve">L’acronyme « LSA » correspond au terme anglais « Low </w:t>
      </w:r>
      <w:proofErr w:type="spellStart"/>
      <w:r w:rsidRPr="00F03B9A">
        <w:rPr>
          <w:rFonts w:asciiTheme="majorBidi" w:hAnsiTheme="majorBidi" w:cstheme="majorBidi"/>
          <w:iCs/>
        </w:rPr>
        <w:t>Specific</w:t>
      </w:r>
      <w:proofErr w:type="spellEnd"/>
      <w:r w:rsidRPr="00F03B9A">
        <w:rPr>
          <w:rFonts w:asciiTheme="majorBidi" w:hAnsiTheme="majorBidi" w:cstheme="majorBidi"/>
          <w:iCs/>
        </w:rPr>
        <w:t xml:space="preserve"> Activity ».</w:t>
      </w:r>
    </w:p>
    <w:p w14:paraId="3814074D" w14:textId="3493B3B4"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M</w:t>
      </w:r>
    </w:p>
    <w:p w14:paraId="1AFA9A9C"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bookmarkStart w:id="3" w:name="_Hlk55897905"/>
      <w:r w:rsidRPr="00F03B9A">
        <w:rPr>
          <w:rFonts w:asciiTheme="majorBidi" w:hAnsiTheme="majorBidi" w:cstheme="majorBidi"/>
          <w:i/>
        </w:rPr>
        <w:t>MEMU</w:t>
      </w:r>
      <w:bookmarkEnd w:id="3"/>
      <w:r w:rsidRPr="00F03B9A">
        <w:rPr>
          <w:rFonts w:asciiTheme="majorBidi" w:hAnsiTheme="majorBidi" w:cstheme="majorBidi"/>
          <w:iCs/>
        </w:rPr>
        <w:t>”*,</w:t>
      </w:r>
      <w:r w:rsidRPr="00F03B9A">
        <w:rPr>
          <w:rFonts w:asciiTheme="majorBidi" w:hAnsiTheme="majorBidi" w:cstheme="majorBidi"/>
        </w:rPr>
        <w:t xml:space="preserve"> “Unité mobile de fabrication d’explosifs” (voir 1.2.1) ;</w:t>
      </w:r>
    </w:p>
    <w:p w14:paraId="1B0A0A7F" w14:textId="2161C95F" w:rsidR="0018481E" w:rsidRPr="006B6208" w:rsidRDefault="0018481E" w:rsidP="00927E93">
      <w:pPr>
        <w:pStyle w:val="SingleTxtG"/>
        <w:tabs>
          <w:tab w:val="left" w:pos="2268"/>
        </w:tabs>
        <w:ind w:left="2268"/>
        <w:rPr>
          <w:rFonts w:asciiTheme="majorBidi" w:hAnsiTheme="majorBidi" w:cstheme="majorBidi"/>
          <w:iCs/>
        </w:rPr>
      </w:pPr>
      <w:r w:rsidRPr="006B6208">
        <w:rPr>
          <w:rFonts w:asciiTheme="majorBidi" w:hAnsiTheme="majorBidi" w:cstheme="majorBidi"/>
        </w:rPr>
        <w:t>________</w:t>
      </w:r>
    </w:p>
    <w:p w14:paraId="6B4169F9"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Cs/>
        </w:rPr>
        <w:tab/>
        <w:t xml:space="preserve">L’acronyme « MEMU » correspond au terme anglais « Mobile Explosives </w:t>
      </w:r>
      <w:proofErr w:type="spellStart"/>
      <w:r w:rsidRPr="00F03B9A">
        <w:rPr>
          <w:rFonts w:asciiTheme="majorBidi" w:hAnsiTheme="majorBidi" w:cstheme="majorBidi"/>
          <w:iCs/>
        </w:rPr>
        <w:t>Manufacturing</w:t>
      </w:r>
      <w:proofErr w:type="spellEnd"/>
      <w:r w:rsidRPr="00F03B9A">
        <w:rPr>
          <w:rFonts w:asciiTheme="majorBidi" w:hAnsiTheme="majorBidi" w:cstheme="majorBidi"/>
          <w:iCs/>
        </w:rPr>
        <w:t xml:space="preserve"> Unit ».</w:t>
      </w:r>
    </w:p>
    <w:p w14:paraId="478B6C5E" w14:textId="56E862CC"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N</w:t>
      </w:r>
    </w:p>
    <w:p w14:paraId="4AC9362D"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i/>
          <w:iCs/>
        </w:rPr>
        <w:t>N.S.A.</w:t>
      </w:r>
      <w:r w:rsidRPr="00F03B9A">
        <w:rPr>
          <w:rFonts w:asciiTheme="majorBidi" w:hAnsiTheme="majorBidi" w:cstheme="majorBidi"/>
        </w:rPr>
        <w:t>”, “Rubrique N.S.A.” (voir 1.2.1) ;</w:t>
      </w:r>
    </w:p>
    <w:p w14:paraId="243048FF" w14:textId="5987EBD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O</w:t>
      </w:r>
    </w:p>
    <w:p w14:paraId="6B6D20A5"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i/>
          <w:iCs/>
        </w:rPr>
        <w:t>OACI</w:t>
      </w:r>
      <w:r w:rsidRPr="00F03B9A">
        <w:rPr>
          <w:rFonts w:asciiTheme="majorBidi" w:hAnsiTheme="majorBidi" w:cstheme="majorBidi"/>
        </w:rPr>
        <w:t xml:space="preserve">”, Organisation de l’aviation civile internationale (OACI, 999 </w:t>
      </w:r>
      <w:proofErr w:type="spellStart"/>
      <w:r w:rsidRPr="00F03B9A">
        <w:rPr>
          <w:rFonts w:asciiTheme="majorBidi" w:hAnsiTheme="majorBidi" w:cstheme="majorBidi"/>
        </w:rPr>
        <w:t>University</w:t>
      </w:r>
      <w:proofErr w:type="spellEnd"/>
      <w:r w:rsidRPr="00F03B9A">
        <w:rPr>
          <w:rFonts w:asciiTheme="majorBidi" w:hAnsiTheme="majorBidi" w:cstheme="majorBidi"/>
        </w:rPr>
        <w:t xml:space="preserve"> Street, Montréal, Québec H3C 5H7, Canada), </w:t>
      </w:r>
      <w:hyperlink r:id="rId18" w:history="1">
        <w:r w:rsidRPr="00F03B9A">
          <w:rPr>
            <w:rStyle w:val="Hyperlink"/>
            <w:rFonts w:asciiTheme="majorBidi" w:hAnsiTheme="majorBidi" w:cstheme="majorBidi"/>
            <w:bCs/>
            <w:lang w:val="fr-FR"/>
          </w:rPr>
          <w:t>www.icao.org</w:t>
        </w:r>
      </w:hyperlink>
      <w:r w:rsidRPr="00F03B9A">
        <w:rPr>
          <w:rFonts w:asciiTheme="majorBidi" w:hAnsiTheme="majorBidi" w:cstheme="majorBidi"/>
        </w:rPr>
        <w:t> ;</w:t>
      </w:r>
    </w:p>
    <w:p w14:paraId="548A5B1E"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w:t>
      </w:r>
      <w:r w:rsidRPr="00F03B9A">
        <w:rPr>
          <w:rFonts w:asciiTheme="majorBidi" w:hAnsiTheme="majorBidi" w:cstheme="majorBidi"/>
          <w:i/>
          <w:iCs/>
        </w:rPr>
        <w:t>OMI</w:t>
      </w:r>
      <w:r w:rsidRPr="00F03B9A">
        <w:rPr>
          <w:rFonts w:asciiTheme="majorBidi" w:hAnsiTheme="majorBidi" w:cstheme="majorBidi"/>
        </w:rPr>
        <w:t xml:space="preserve">”, Organisation maritime internationale (OMI, 4 Albert </w:t>
      </w:r>
      <w:proofErr w:type="spellStart"/>
      <w:r w:rsidRPr="00F03B9A">
        <w:rPr>
          <w:rFonts w:asciiTheme="majorBidi" w:hAnsiTheme="majorBidi" w:cstheme="majorBidi"/>
        </w:rPr>
        <w:t>Embankment</w:t>
      </w:r>
      <w:proofErr w:type="spellEnd"/>
      <w:r w:rsidRPr="00F03B9A">
        <w:rPr>
          <w:rFonts w:asciiTheme="majorBidi" w:hAnsiTheme="majorBidi" w:cstheme="majorBidi"/>
        </w:rPr>
        <w:t xml:space="preserve">, Londres SE1 7SR, Royaume-Uni), </w:t>
      </w:r>
      <w:hyperlink r:id="rId19" w:history="1">
        <w:r w:rsidRPr="00F03B9A">
          <w:rPr>
            <w:rStyle w:val="Hyperlink"/>
            <w:rFonts w:asciiTheme="majorBidi" w:hAnsiTheme="majorBidi" w:cstheme="majorBidi"/>
            <w:bCs/>
            <w:lang w:val="fr-FR"/>
          </w:rPr>
          <w:t>www.imo.org</w:t>
        </w:r>
      </w:hyperlink>
      <w:r w:rsidRPr="00F03B9A">
        <w:rPr>
          <w:rFonts w:asciiTheme="majorBidi" w:hAnsiTheme="majorBidi" w:cstheme="majorBidi"/>
        </w:rPr>
        <w:t> ;</w:t>
      </w:r>
    </w:p>
    <w:p w14:paraId="46ACF8F5" w14:textId="271B6542"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R</w:t>
      </w:r>
    </w:p>
    <w:p w14:paraId="12FEDAEB" w14:textId="77777777" w:rsidR="0018481E" w:rsidRPr="00F03B9A" w:rsidRDefault="0018481E" w:rsidP="00927E93">
      <w:pPr>
        <w:pStyle w:val="SingleTxtG"/>
        <w:tabs>
          <w:tab w:val="left" w:pos="2268"/>
        </w:tabs>
        <w:ind w:left="2268"/>
        <w:rPr>
          <w:rFonts w:asciiTheme="majorBidi" w:hAnsiTheme="majorBidi" w:cstheme="majorBidi"/>
          <w:i/>
        </w:rPr>
      </w:pPr>
      <w:r w:rsidRPr="00F03B9A">
        <w:rPr>
          <w:rFonts w:asciiTheme="majorBidi" w:hAnsiTheme="majorBidi" w:cstheme="majorBidi"/>
          <w:iCs/>
        </w:rPr>
        <w:t>“</w:t>
      </w:r>
      <w:r w:rsidRPr="00F03B9A">
        <w:rPr>
          <w:rFonts w:asciiTheme="majorBidi" w:hAnsiTheme="majorBidi" w:cstheme="majorBidi"/>
          <w:i/>
        </w:rPr>
        <w:t>RID</w:t>
      </w:r>
      <w:r w:rsidRPr="00F03B9A">
        <w:rPr>
          <w:rFonts w:asciiTheme="majorBidi" w:hAnsiTheme="majorBidi" w:cstheme="majorBidi"/>
          <w:iCs/>
        </w:rPr>
        <w:t>”,</w:t>
      </w:r>
      <w:r w:rsidRPr="00F03B9A">
        <w:rPr>
          <w:rFonts w:asciiTheme="majorBidi" w:hAnsiTheme="majorBidi" w:cstheme="majorBidi"/>
        </w:rPr>
        <w:t xml:space="preserve"> Règlement concernant le transport international ferroviaire des marchandises dangereuses, appendice C de la COTIF (Convention relative aux transports internationaux ferroviaires) ;</w:t>
      </w:r>
    </w:p>
    <w:p w14:paraId="562111C2" w14:textId="1693D305"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S</w:t>
      </w:r>
    </w:p>
    <w:p w14:paraId="4DB315A5"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SCO</w:t>
      </w:r>
      <w:r w:rsidRPr="00F03B9A">
        <w:rPr>
          <w:rFonts w:asciiTheme="majorBidi" w:hAnsiTheme="majorBidi" w:cstheme="majorBidi"/>
          <w:iCs/>
        </w:rPr>
        <w:t>”</w:t>
      </w:r>
      <w:r w:rsidRPr="00F03B9A">
        <w:rPr>
          <w:rFonts w:asciiTheme="majorBidi" w:hAnsiTheme="majorBidi" w:cstheme="majorBidi"/>
        </w:rPr>
        <w:t>, objet contaminé superficiellement (voir 2.2.7.1.3) ;</w:t>
      </w:r>
    </w:p>
    <w:p w14:paraId="6A52306F" w14:textId="40133484" w:rsidR="0018481E" w:rsidRPr="006B6208" w:rsidRDefault="0018481E" w:rsidP="00927E93">
      <w:pPr>
        <w:pStyle w:val="SingleTxtG"/>
        <w:tabs>
          <w:tab w:val="left" w:pos="2268"/>
        </w:tabs>
        <w:ind w:left="2268"/>
        <w:rPr>
          <w:rFonts w:asciiTheme="majorBidi" w:hAnsiTheme="majorBidi" w:cstheme="majorBidi"/>
          <w:iCs/>
        </w:rPr>
      </w:pPr>
      <w:r w:rsidRPr="006B6208">
        <w:rPr>
          <w:rFonts w:asciiTheme="majorBidi" w:hAnsiTheme="majorBidi" w:cstheme="majorBidi"/>
        </w:rPr>
        <w:t>________</w:t>
      </w:r>
    </w:p>
    <w:p w14:paraId="6E18F5D4"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iCs/>
        </w:rPr>
        <w:t>*</w:t>
      </w:r>
      <w:r w:rsidRPr="00F03B9A">
        <w:rPr>
          <w:rFonts w:asciiTheme="majorBidi" w:hAnsiTheme="majorBidi" w:cstheme="majorBidi"/>
          <w:iCs/>
        </w:rPr>
        <w:tab/>
        <w:t xml:space="preserve">L’acronyme « SCO » correspond au terme anglais « Surface </w:t>
      </w:r>
      <w:proofErr w:type="spellStart"/>
      <w:r w:rsidRPr="00F03B9A">
        <w:rPr>
          <w:rFonts w:asciiTheme="majorBidi" w:hAnsiTheme="majorBidi" w:cstheme="majorBidi"/>
          <w:iCs/>
        </w:rPr>
        <w:t>Contaminated</w:t>
      </w:r>
      <w:proofErr w:type="spellEnd"/>
      <w:r w:rsidRPr="00F03B9A">
        <w:rPr>
          <w:rFonts w:asciiTheme="majorBidi" w:hAnsiTheme="majorBidi" w:cstheme="majorBidi"/>
          <w:iCs/>
        </w:rPr>
        <w:t xml:space="preserve"> Object ».</w:t>
      </w:r>
    </w:p>
    <w:p w14:paraId="4E9BA83F" w14:textId="77777777"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SGH</w:t>
      </w:r>
      <w:r w:rsidRPr="00F03B9A">
        <w:rPr>
          <w:rFonts w:asciiTheme="majorBidi" w:hAnsiTheme="majorBidi" w:cstheme="majorBidi"/>
          <w:iCs/>
        </w:rPr>
        <w:t>”,</w:t>
      </w:r>
      <w:r w:rsidRPr="00F03B9A">
        <w:rPr>
          <w:rFonts w:asciiTheme="majorBidi" w:hAnsiTheme="majorBidi" w:cstheme="majorBidi"/>
        </w:rPr>
        <w:t xml:space="preserve"> </w:t>
      </w:r>
      <w:r w:rsidRPr="00F03B9A">
        <w:rPr>
          <w:rFonts w:asciiTheme="majorBidi" w:hAnsiTheme="majorBidi" w:cstheme="majorBidi"/>
          <w:iCs/>
        </w:rPr>
        <w:t>“</w:t>
      </w:r>
      <w:r w:rsidRPr="00F03B9A">
        <w:rPr>
          <w:rFonts w:asciiTheme="majorBidi" w:hAnsiTheme="majorBidi" w:cstheme="majorBidi"/>
        </w:rPr>
        <w:t xml:space="preserve">Système Général Harmonisé de classification et d’étiquetage des </w:t>
      </w:r>
      <w:r w:rsidRPr="00F03B9A">
        <w:rPr>
          <w:rFonts w:asciiTheme="majorBidi" w:hAnsiTheme="majorBidi" w:cstheme="majorBidi"/>
          <w:iCs/>
        </w:rPr>
        <w:t>produits</w:t>
      </w:r>
      <w:r w:rsidRPr="00F03B9A">
        <w:rPr>
          <w:rFonts w:asciiTheme="majorBidi" w:hAnsiTheme="majorBidi" w:cstheme="majorBidi"/>
        </w:rPr>
        <w:t xml:space="preserve"> chimiques</w:t>
      </w:r>
      <w:r w:rsidRPr="00F03B9A">
        <w:rPr>
          <w:rFonts w:asciiTheme="majorBidi" w:hAnsiTheme="majorBidi" w:cstheme="majorBidi"/>
          <w:iCs/>
        </w:rPr>
        <w:t>”</w:t>
      </w:r>
      <w:r w:rsidRPr="00F03B9A">
        <w:rPr>
          <w:rFonts w:asciiTheme="majorBidi" w:hAnsiTheme="majorBidi" w:cstheme="majorBidi"/>
        </w:rPr>
        <w:t xml:space="preserve"> (voir 1.2.1) ;</w:t>
      </w:r>
    </w:p>
    <w:p w14:paraId="620BE3A4" w14:textId="1877567F"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T</w:t>
      </w:r>
    </w:p>
    <w:p w14:paraId="7D28E8D6"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iCs/>
        </w:rPr>
        <w:t>“</w:t>
      </w:r>
      <w:r w:rsidRPr="00F03B9A">
        <w:rPr>
          <w:rFonts w:asciiTheme="majorBidi" w:hAnsiTheme="majorBidi" w:cstheme="majorBidi"/>
          <w:i/>
        </w:rPr>
        <w:t>TDAA</w:t>
      </w:r>
      <w:r w:rsidRPr="00F03B9A">
        <w:rPr>
          <w:rFonts w:asciiTheme="majorBidi" w:hAnsiTheme="majorBidi" w:cstheme="majorBidi"/>
          <w:iCs/>
        </w:rPr>
        <w:t xml:space="preserve">”, “Température de décomposition auto-accélérée” </w:t>
      </w:r>
      <w:r w:rsidRPr="00F03B9A">
        <w:rPr>
          <w:rFonts w:asciiTheme="majorBidi" w:hAnsiTheme="majorBidi" w:cstheme="majorBidi"/>
        </w:rPr>
        <w:t>(voir 1.2.1)</w:t>
      </w:r>
      <w:r w:rsidRPr="00F03B9A">
        <w:rPr>
          <w:rFonts w:asciiTheme="majorBidi" w:hAnsiTheme="majorBidi" w:cstheme="majorBidi"/>
          <w:iCs/>
        </w:rPr>
        <w:t> ;</w:t>
      </w:r>
    </w:p>
    <w:p w14:paraId="257946EA"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iCs/>
        </w:rPr>
        <w:t>“</w:t>
      </w:r>
      <w:r w:rsidRPr="00F03B9A">
        <w:rPr>
          <w:rFonts w:asciiTheme="majorBidi" w:hAnsiTheme="majorBidi" w:cstheme="majorBidi"/>
          <w:i/>
        </w:rPr>
        <w:t>TI</w:t>
      </w:r>
      <w:r w:rsidRPr="00F03B9A">
        <w:rPr>
          <w:rFonts w:asciiTheme="majorBidi" w:hAnsiTheme="majorBidi" w:cstheme="majorBidi"/>
          <w:iCs/>
        </w:rPr>
        <w:t>”*, “Indice de transport” (voir 1.2.1) ;</w:t>
      </w:r>
    </w:p>
    <w:p w14:paraId="38A24B83" w14:textId="353DFE09" w:rsidR="0018481E" w:rsidRPr="006B6208" w:rsidRDefault="0018481E" w:rsidP="00927E93">
      <w:pPr>
        <w:pStyle w:val="SingleTxtG"/>
        <w:tabs>
          <w:tab w:val="left" w:pos="2268"/>
        </w:tabs>
        <w:ind w:left="2268"/>
        <w:rPr>
          <w:rFonts w:asciiTheme="majorBidi" w:hAnsiTheme="majorBidi" w:cstheme="majorBidi"/>
          <w:iCs/>
        </w:rPr>
      </w:pPr>
      <w:r w:rsidRPr="006B6208">
        <w:rPr>
          <w:rFonts w:asciiTheme="majorBidi" w:hAnsiTheme="majorBidi" w:cstheme="majorBidi"/>
        </w:rPr>
        <w:t>________</w:t>
      </w:r>
    </w:p>
    <w:p w14:paraId="4537A586"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iCs/>
        </w:rPr>
        <w:t>*</w:t>
      </w:r>
      <w:r w:rsidRPr="00F03B9A">
        <w:rPr>
          <w:rFonts w:asciiTheme="majorBidi" w:hAnsiTheme="majorBidi" w:cstheme="majorBidi"/>
          <w:iCs/>
        </w:rPr>
        <w:tab/>
        <w:t>L’acronyme « TI » correspond au terme anglais « Transport Index ».</w:t>
      </w:r>
    </w:p>
    <w:p w14:paraId="02D5E3B8" w14:textId="77777777" w:rsidR="0018481E" w:rsidRPr="00F03B9A" w:rsidRDefault="0018481E" w:rsidP="00927E93">
      <w:pPr>
        <w:pStyle w:val="SingleTxtG"/>
        <w:tabs>
          <w:tab w:val="left" w:pos="2268"/>
        </w:tabs>
        <w:ind w:left="2268"/>
        <w:rPr>
          <w:rFonts w:asciiTheme="majorBidi" w:hAnsiTheme="majorBidi" w:cstheme="majorBidi"/>
          <w:iCs/>
        </w:rPr>
      </w:pPr>
      <w:r w:rsidRPr="00F03B9A">
        <w:rPr>
          <w:rFonts w:asciiTheme="majorBidi" w:hAnsiTheme="majorBidi" w:cstheme="majorBidi"/>
          <w:iCs/>
        </w:rPr>
        <w:t>“</w:t>
      </w:r>
      <w:r w:rsidRPr="00F03B9A">
        <w:rPr>
          <w:rFonts w:asciiTheme="majorBidi" w:hAnsiTheme="majorBidi" w:cstheme="majorBidi"/>
          <w:i/>
        </w:rPr>
        <w:t>TPAA</w:t>
      </w:r>
      <w:r w:rsidRPr="00F03B9A">
        <w:rPr>
          <w:rFonts w:asciiTheme="majorBidi" w:hAnsiTheme="majorBidi" w:cstheme="majorBidi"/>
          <w:iCs/>
        </w:rPr>
        <w:t xml:space="preserve">”, “Température de polymérisation auto-accélérée” </w:t>
      </w:r>
      <w:r w:rsidRPr="00F03B9A">
        <w:rPr>
          <w:rFonts w:asciiTheme="majorBidi" w:hAnsiTheme="majorBidi" w:cstheme="majorBidi"/>
        </w:rPr>
        <w:t>(voir 1.2.1)</w:t>
      </w:r>
      <w:r w:rsidRPr="00F03B9A">
        <w:rPr>
          <w:rFonts w:asciiTheme="majorBidi" w:hAnsiTheme="majorBidi" w:cstheme="majorBidi"/>
          <w:iCs/>
        </w:rPr>
        <w:t> ;</w:t>
      </w:r>
    </w:p>
    <w:p w14:paraId="628DBBBF" w14:textId="1C23D9B2"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rPr>
        <w:t>U</w:t>
      </w:r>
    </w:p>
    <w:p w14:paraId="7268672D" w14:textId="6F16516D" w:rsidR="0018481E" w:rsidRPr="00F03B9A" w:rsidRDefault="0018481E" w:rsidP="00927E93">
      <w:pPr>
        <w:pStyle w:val="SingleTxtG"/>
        <w:tabs>
          <w:tab w:val="left" w:pos="2268"/>
        </w:tabs>
        <w:ind w:left="2268"/>
        <w:rPr>
          <w:rFonts w:asciiTheme="majorBidi" w:hAnsiTheme="majorBidi" w:cstheme="majorBidi"/>
        </w:rPr>
      </w:pPr>
      <w:r w:rsidRPr="00F03B9A">
        <w:rPr>
          <w:rFonts w:asciiTheme="majorBidi" w:hAnsiTheme="majorBidi" w:cstheme="majorBidi"/>
          <w:iCs/>
        </w:rPr>
        <w:t>“</w:t>
      </w:r>
      <w:r w:rsidRPr="00F03B9A">
        <w:rPr>
          <w:rFonts w:asciiTheme="majorBidi" w:hAnsiTheme="majorBidi" w:cstheme="majorBidi"/>
          <w:i/>
        </w:rPr>
        <w:t>UIC</w:t>
      </w:r>
      <w:r w:rsidRPr="00F03B9A">
        <w:rPr>
          <w:rFonts w:asciiTheme="majorBidi" w:hAnsiTheme="majorBidi" w:cstheme="majorBidi"/>
          <w:iCs/>
        </w:rPr>
        <w:t>”</w:t>
      </w:r>
      <w:r w:rsidRPr="00F03B9A">
        <w:rPr>
          <w:rFonts w:asciiTheme="majorBidi" w:hAnsiTheme="majorBidi" w:cstheme="majorBidi"/>
        </w:rPr>
        <w:t xml:space="preserve">, Union Internationale des Chemins de Fer (UIC, 16 rue Jean Rey, F-75015 Paris, France), </w:t>
      </w:r>
      <w:hyperlink r:id="rId20" w:history="1">
        <w:r w:rsidRPr="00F03B9A">
          <w:rPr>
            <w:rStyle w:val="Hyperlink"/>
            <w:rFonts w:asciiTheme="majorBidi" w:hAnsiTheme="majorBidi" w:cstheme="majorBidi"/>
            <w:bCs/>
          </w:rPr>
          <w:t>www.uic.org</w:t>
        </w:r>
      </w:hyperlink>
      <w:r w:rsidRPr="00F03B9A">
        <w:rPr>
          <w:rFonts w:asciiTheme="majorBidi" w:hAnsiTheme="majorBidi" w:cstheme="majorBidi"/>
        </w:rPr>
        <w:t> ; »</w:t>
      </w:r>
    </w:p>
    <w:p w14:paraId="53BA0E33" w14:textId="77777777" w:rsidR="0018481E" w:rsidRPr="00F03B9A" w:rsidRDefault="0018481E" w:rsidP="0018481E">
      <w:pPr>
        <w:pStyle w:val="H1G"/>
        <w:rPr>
          <w:lang w:val="fr-FR"/>
        </w:rPr>
      </w:pPr>
      <w:r w:rsidRPr="00F03B9A">
        <w:rPr>
          <w:lang w:val="fr-FR"/>
        </w:rPr>
        <w:tab/>
      </w:r>
      <w:r w:rsidRPr="00F03B9A">
        <w:rPr>
          <w:lang w:val="fr-FR"/>
        </w:rPr>
        <w:tab/>
        <w:t>Chapitre 1.6</w:t>
      </w:r>
    </w:p>
    <w:p w14:paraId="23BF8D07" w14:textId="655F2EEE" w:rsidR="0018481E" w:rsidRPr="002749D0" w:rsidRDefault="00F551AE" w:rsidP="002749D0">
      <w:pPr>
        <w:pStyle w:val="SingleTxtG"/>
        <w:tabs>
          <w:tab w:val="left" w:pos="2268"/>
        </w:tabs>
      </w:pPr>
      <w:r w:rsidRPr="002749D0">
        <w:t>1.6.4</w:t>
      </w:r>
      <w:r w:rsidRPr="002749D0">
        <w:tab/>
      </w:r>
      <w:r w:rsidR="0018481E" w:rsidRPr="002749D0">
        <w:t>Ajouter la nouvelle mesure transitoire suivante :</w:t>
      </w:r>
    </w:p>
    <w:p w14:paraId="0691F87F" w14:textId="77777777" w:rsidR="0018481E" w:rsidRPr="002749D0" w:rsidRDefault="0018481E" w:rsidP="002749D0">
      <w:pPr>
        <w:pStyle w:val="SingleTxtG"/>
        <w:tabs>
          <w:tab w:val="left" w:pos="2268"/>
        </w:tabs>
        <w:ind w:left="2268"/>
      </w:pPr>
      <w:r w:rsidRPr="002749D0">
        <w:lastRenderedPageBreak/>
        <w:t>« 1.6.4.56</w:t>
      </w:r>
      <w:r w:rsidRPr="002749D0">
        <w:tab/>
        <w:t>Les conteneurs-citernes construits avant le 1er juillet 2023 conformément aux prescriptions applicables jusqu’au 31 décembre 2022, mais qui ne sont pas conformes aux prescriptions du 6.8.2.2.4, deuxième paragraphe, applicables à partir du 1er janvier 2023 pourront encore être utilisés. ».</w:t>
      </w:r>
    </w:p>
    <w:p w14:paraId="659BCF47" w14:textId="77777777" w:rsidR="0018481E" w:rsidRPr="00F03B9A" w:rsidRDefault="0018481E" w:rsidP="0018481E">
      <w:pPr>
        <w:pStyle w:val="H1G"/>
        <w:rPr>
          <w:lang w:val="fr-FR"/>
        </w:rPr>
      </w:pPr>
      <w:r w:rsidRPr="00F03B9A">
        <w:rPr>
          <w:lang w:val="fr-FR"/>
        </w:rPr>
        <w:tab/>
      </w:r>
      <w:r w:rsidRPr="00F03B9A">
        <w:rPr>
          <w:lang w:val="fr-FR"/>
        </w:rPr>
        <w:tab/>
        <w:t>Chapitre 1.10</w:t>
      </w:r>
    </w:p>
    <w:p w14:paraId="256BBB33" w14:textId="3BAB8DF8" w:rsidR="0018481E" w:rsidRPr="00F03B9A" w:rsidRDefault="0018481E" w:rsidP="002749D0">
      <w:pPr>
        <w:pStyle w:val="SingleTxtG"/>
        <w:tabs>
          <w:tab w:val="left" w:pos="2268"/>
        </w:tabs>
        <w:rPr>
          <w:bCs/>
          <w:lang w:val="fr-FR"/>
        </w:rPr>
      </w:pPr>
      <w:r w:rsidRPr="00F03B9A">
        <w:rPr>
          <w:bCs/>
          <w:lang w:val="fr-FR"/>
        </w:rPr>
        <w:t>1.10.4</w:t>
      </w:r>
      <w:r w:rsidRPr="00F03B9A">
        <w:rPr>
          <w:bCs/>
          <w:lang w:val="fr-FR"/>
        </w:rPr>
        <w:tab/>
        <w:t>Dans la première phrase, après « 0500, », insérer « 0511, ».</w:t>
      </w:r>
    </w:p>
    <w:p w14:paraId="28344CCB" w14:textId="5822D161" w:rsidR="0018481E" w:rsidRPr="00F03B9A" w:rsidRDefault="0018481E" w:rsidP="0018481E">
      <w:pPr>
        <w:pStyle w:val="H1G"/>
        <w:rPr>
          <w:lang w:val="fr-FR"/>
        </w:rPr>
      </w:pPr>
      <w:r w:rsidRPr="00F03B9A">
        <w:rPr>
          <w:lang w:val="fr-FR"/>
        </w:rPr>
        <w:tab/>
      </w:r>
      <w:r w:rsidRPr="00F03B9A">
        <w:rPr>
          <w:lang w:val="fr-FR"/>
        </w:rPr>
        <w:tab/>
        <w:t>Chapitre 3.2, tableau A</w:t>
      </w:r>
    </w:p>
    <w:p w14:paraId="7972BDD7" w14:textId="77777777" w:rsidR="0018481E" w:rsidRPr="00F03B9A" w:rsidRDefault="0018481E" w:rsidP="0018481E">
      <w:pPr>
        <w:pStyle w:val="SingleTxtG"/>
        <w:ind w:right="1133"/>
        <w:rPr>
          <w:rFonts w:asciiTheme="majorBidi" w:hAnsiTheme="majorBidi" w:cstheme="majorBidi"/>
          <w:bCs/>
          <w:lang w:val="fr-FR"/>
        </w:rPr>
      </w:pPr>
      <w:r w:rsidRPr="00F03B9A">
        <w:rPr>
          <w:bCs/>
          <w:lang w:val="fr-FR"/>
        </w:rPr>
        <w:t xml:space="preserve">Pour les Nos ONU auxquels la disposition spéciale 386 est affectée dans la colonne (6), </w:t>
      </w:r>
      <w:r w:rsidRPr="00F03B9A">
        <w:rPr>
          <w:rFonts w:asciiTheme="majorBidi" w:hAnsiTheme="majorBidi" w:cstheme="majorBidi"/>
          <w:bCs/>
          <w:lang w:val="fr-FR"/>
        </w:rPr>
        <w:t>insérer « 676 » dans la colonne (6).</w:t>
      </w:r>
    </w:p>
    <w:p w14:paraId="454A1BE0" w14:textId="75A7DBEC" w:rsidR="0018481E" w:rsidRPr="00F03B9A" w:rsidRDefault="0018481E" w:rsidP="0018481E">
      <w:pPr>
        <w:kinsoku/>
        <w:overflowPunct/>
        <w:autoSpaceDE/>
        <w:autoSpaceDN/>
        <w:adjustRightInd/>
        <w:spacing w:before="120" w:after="120" w:line="240" w:lineRule="auto"/>
        <w:ind w:left="1134" w:right="1134"/>
        <w:rPr>
          <w:rFonts w:asciiTheme="majorBidi" w:hAnsiTheme="majorBidi" w:cstheme="majorBidi"/>
          <w:sz w:val="20"/>
          <w:szCs w:val="20"/>
          <w:lang w:eastAsia="fr-FR"/>
        </w:rPr>
      </w:pPr>
      <w:r w:rsidRPr="00F03B9A">
        <w:rPr>
          <w:rFonts w:asciiTheme="majorBidi" w:hAnsiTheme="majorBidi" w:cstheme="majorBidi"/>
          <w:sz w:val="20"/>
          <w:szCs w:val="20"/>
          <w:lang w:eastAsia="fr-FR"/>
        </w:rPr>
        <w:t xml:space="preserve">Modifier </w:t>
      </w:r>
      <w:r w:rsidR="00551EC3" w:rsidRPr="00F03B9A">
        <w:rPr>
          <w:rFonts w:asciiTheme="majorBidi" w:hAnsiTheme="majorBidi" w:cstheme="majorBidi"/>
          <w:sz w:val="20"/>
          <w:szCs w:val="20"/>
          <w:lang w:eastAsia="fr-FR"/>
        </w:rPr>
        <w:t>la rubrique suivante</w:t>
      </w:r>
      <w:r w:rsidRPr="00F03B9A">
        <w:rPr>
          <w:rFonts w:asciiTheme="majorBidi" w:hAnsiTheme="majorBidi" w:cstheme="majorBidi"/>
          <w:sz w:val="20"/>
          <w:szCs w:val="20"/>
          <w:lang w:eastAsia="fr-FR"/>
        </w:rPr>
        <w:t> :</w:t>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00"/>
        <w:gridCol w:w="5860"/>
      </w:tblGrid>
      <w:tr w:rsidR="0018481E" w:rsidRPr="00F03B9A" w14:paraId="012B074D" w14:textId="77777777" w:rsidTr="0018481E">
        <w:trPr>
          <w:cantSplit/>
          <w:tblHeader/>
        </w:trPr>
        <w:tc>
          <w:tcPr>
            <w:tcW w:w="1320" w:type="dxa"/>
            <w:tcBorders>
              <w:top w:val="single" w:sz="4" w:space="0" w:color="auto"/>
              <w:left w:val="single" w:sz="4" w:space="0" w:color="auto"/>
              <w:bottom w:val="single" w:sz="4" w:space="0" w:color="auto"/>
              <w:right w:val="single" w:sz="4" w:space="0" w:color="auto"/>
            </w:tcBorders>
            <w:hideMark/>
          </w:tcPr>
          <w:p w14:paraId="2236F30A"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bCs/>
                <w:sz w:val="20"/>
                <w:szCs w:val="20"/>
                <w:lang w:eastAsia="en-US"/>
              </w:rPr>
            </w:pPr>
            <w:r w:rsidRPr="00F03B9A">
              <w:rPr>
                <w:rFonts w:asciiTheme="majorBidi" w:hAnsiTheme="majorBidi" w:cstheme="majorBidi"/>
                <w:bCs/>
                <w:sz w:val="20"/>
                <w:szCs w:val="20"/>
                <w:lang w:eastAsia="fr-FR"/>
              </w:rPr>
              <w:t>No. ONU</w:t>
            </w:r>
          </w:p>
        </w:tc>
        <w:tc>
          <w:tcPr>
            <w:tcW w:w="900" w:type="dxa"/>
            <w:tcBorders>
              <w:top w:val="single" w:sz="4" w:space="0" w:color="auto"/>
              <w:left w:val="single" w:sz="4" w:space="0" w:color="auto"/>
              <w:bottom w:val="single" w:sz="4" w:space="0" w:color="auto"/>
              <w:right w:val="single" w:sz="4" w:space="0" w:color="auto"/>
            </w:tcBorders>
            <w:hideMark/>
          </w:tcPr>
          <w:p w14:paraId="31169AB4"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bCs/>
                <w:sz w:val="20"/>
                <w:szCs w:val="20"/>
                <w:lang w:eastAsia="en-US"/>
              </w:rPr>
            </w:pPr>
            <w:r w:rsidRPr="00F03B9A">
              <w:rPr>
                <w:rFonts w:asciiTheme="majorBidi" w:hAnsiTheme="majorBidi" w:cstheme="majorBidi"/>
                <w:bCs/>
                <w:sz w:val="20"/>
                <w:szCs w:val="20"/>
                <w:lang w:eastAsia="fr-FR"/>
              </w:rPr>
              <w:t>Colonne</w:t>
            </w:r>
          </w:p>
        </w:tc>
        <w:tc>
          <w:tcPr>
            <w:tcW w:w="5860" w:type="dxa"/>
            <w:tcBorders>
              <w:top w:val="single" w:sz="4" w:space="0" w:color="auto"/>
              <w:left w:val="single" w:sz="4" w:space="0" w:color="auto"/>
              <w:bottom w:val="single" w:sz="4" w:space="0" w:color="auto"/>
              <w:right w:val="single" w:sz="4" w:space="0" w:color="auto"/>
            </w:tcBorders>
            <w:hideMark/>
          </w:tcPr>
          <w:p w14:paraId="4B39BD96"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bCs/>
                <w:sz w:val="20"/>
                <w:szCs w:val="20"/>
                <w:lang w:eastAsia="en-US"/>
              </w:rPr>
            </w:pPr>
            <w:r w:rsidRPr="00F03B9A">
              <w:rPr>
                <w:rFonts w:asciiTheme="majorBidi" w:hAnsiTheme="majorBidi" w:cstheme="majorBidi"/>
                <w:bCs/>
                <w:sz w:val="20"/>
                <w:szCs w:val="20"/>
                <w:lang w:eastAsia="fr-FR"/>
              </w:rPr>
              <w:t>Amendement</w:t>
            </w:r>
          </w:p>
        </w:tc>
      </w:tr>
      <w:tr w:rsidR="0018481E" w:rsidRPr="00F03B9A" w14:paraId="4E34B457" w14:textId="77777777" w:rsidTr="002749D0">
        <w:trPr>
          <w:cantSplit/>
          <w:trHeight w:val="287"/>
        </w:trPr>
        <w:tc>
          <w:tcPr>
            <w:tcW w:w="1320" w:type="dxa"/>
            <w:tcBorders>
              <w:top w:val="single" w:sz="4" w:space="0" w:color="auto"/>
              <w:left w:val="single" w:sz="4" w:space="0" w:color="auto"/>
              <w:bottom w:val="single" w:sz="4" w:space="0" w:color="auto"/>
              <w:right w:val="single" w:sz="4" w:space="0" w:color="auto"/>
            </w:tcBorders>
            <w:hideMark/>
          </w:tcPr>
          <w:p w14:paraId="6AC3C659"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sz w:val="20"/>
                <w:szCs w:val="20"/>
                <w:lang w:eastAsia="en-US"/>
              </w:rPr>
            </w:pPr>
            <w:r w:rsidRPr="00F03B9A">
              <w:rPr>
                <w:rFonts w:asciiTheme="majorBidi" w:eastAsia="Calibri" w:hAnsiTheme="majorBidi" w:cstheme="majorBidi"/>
                <w:sz w:val="20"/>
                <w:szCs w:val="20"/>
                <w:lang w:eastAsia="en-US"/>
              </w:rPr>
              <w:t>2426</w:t>
            </w:r>
          </w:p>
        </w:tc>
        <w:tc>
          <w:tcPr>
            <w:tcW w:w="900" w:type="dxa"/>
            <w:tcBorders>
              <w:top w:val="single" w:sz="4" w:space="0" w:color="auto"/>
              <w:left w:val="single" w:sz="4" w:space="0" w:color="auto"/>
              <w:bottom w:val="single" w:sz="4" w:space="0" w:color="auto"/>
              <w:right w:val="single" w:sz="4" w:space="0" w:color="auto"/>
            </w:tcBorders>
            <w:hideMark/>
          </w:tcPr>
          <w:p w14:paraId="739D3912"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sz w:val="20"/>
                <w:szCs w:val="20"/>
                <w:lang w:eastAsia="en-US"/>
              </w:rPr>
            </w:pPr>
            <w:r w:rsidRPr="00F03B9A">
              <w:rPr>
                <w:rFonts w:asciiTheme="majorBidi" w:eastAsia="Calibri" w:hAnsiTheme="majorBidi" w:cstheme="majorBidi"/>
                <w:sz w:val="20"/>
                <w:szCs w:val="20"/>
                <w:lang w:eastAsia="en-US"/>
              </w:rPr>
              <w:t>(2)</w:t>
            </w:r>
          </w:p>
        </w:tc>
        <w:tc>
          <w:tcPr>
            <w:tcW w:w="5860" w:type="dxa"/>
            <w:tcBorders>
              <w:top w:val="single" w:sz="4" w:space="0" w:color="auto"/>
              <w:left w:val="single" w:sz="4" w:space="0" w:color="auto"/>
              <w:bottom w:val="single" w:sz="4" w:space="0" w:color="auto"/>
              <w:right w:val="single" w:sz="4" w:space="0" w:color="auto"/>
            </w:tcBorders>
            <w:hideMark/>
          </w:tcPr>
          <w:p w14:paraId="20C20489" w14:textId="79233CEC" w:rsidR="0018481E" w:rsidRPr="00F03B9A" w:rsidRDefault="0018481E" w:rsidP="002749D0">
            <w:pPr>
              <w:tabs>
                <w:tab w:val="left" w:pos="1418"/>
              </w:tabs>
              <w:kinsoku/>
              <w:overflowPunct/>
              <w:autoSpaceDE/>
              <w:autoSpaceDN/>
              <w:adjustRightInd/>
              <w:snapToGrid/>
              <w:rPr>
                <w:rFonts w:asciiTheme="majorBidi" w:eastAsia="Calibri" w:hAnsiTheme="majorBidi" w:cstheme="majorBidi"/>
                <w:i/>
                <w:iCs/>
                <w:sz w:val="20"/>
                <w:szCs w:val="20"/>
                <w:lang w:eastAsia="en-US"/>
              </w:rPr>
            </w:pPr>
            <w:r w:rsidRPr="00F03B9A">
              <w:rPr>
                <w:rFonts w:asciiTheme="majorBidi" w:hAnsiTheme="majorBidi" w:cstheme="majorBidi"/>
                <w:bCs/>
                <w:sz w:val="20"/>
                <w:szCs w:val="20"/>
              </w:rPr>
              <w:t>Supprimer « à plus de 80% mais à 93% au maximum »</w:t>
            </w:r>
          </w:p>
        </w:tc>
      </w:tr>
    </w:tbl>
    <w:p w14:paraId="179E2D4D" w14:textId="1E3DD7AA" w:rsidR="0018481E" w:rsidRPr="00F03B9A" w:rsidRDefault="0018481E" w:rsidP="0018481E">
      <w:pPr>
        <w:pStyle w:val="H1G"/>
        <w:rPr>
          <w:lang w:val="fr-FR"/>
        </w:rPr>
      </w:pPr>
      <w:r w:rsidRPr="00F03B9A">
        <w:rPr>
          <w:lang w:val="fr-FR"/>
        </w:rPr>
        <w:tab/>
      </w:r>
      <w:r w:rsidRPr="00F03B9A">
        <w:rPr>
          <w:lang w:val="fr-FR"/>
        </w:rPr>
        <w:tab/>
        <w:t>Chapitre 3.2, tableau B</w:t>
      </w:r>
    </w:p>
    <w:p w14:paraId="2A3C9EC4" w14:textId="56E6C5FB" w:rsidR="0018481E" w:rsidRPr="00F03B9A" w:rsidRDefault="0018481E" w:rsidP="0018481E">
      <w:pPr>
        <w:pStyle w:val="SingleTxtG"/>
        <w:ind w:right="1133"/>
        <w:rPr>
          <w:bCs/>
          <w:lang w:val="fr-FR"/>
        </w:rPr>
      </w:pPr>
      <w:r w:rsidRPr="00F03B9A">
        <w:rPr>
          <w:bCs/>
          <w:lang w:val="fr-FR"/>
        </w:rPr>
        <w:t xml:space="preserve">Modifier </w:t>
      </w:r>
      <w:r w:rsidR="00551EC3" w:rsidRPr="00F03B9A">
        <w:rPr>
          <w:bCs/>
          <w:lang w:val="fr-FR"/>
        </w:rPr>
        <w:t>la rubrique suivante</w:t>
      </w:r>
      <w:r w:rsidRPr="00F03B9A">
        <w:rPr>
          <w:bCs/>
          <w:lang w:val="fr-FR"/>
        </w:rPr>
        <w:t> :</w:t>
      </w:r>
    </w:p>
    <w:tbl>
      <w:tblPr>
        <w:tblW w:w="85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3968"/>
      </w:tblGrid>
      <w:tr w:rsidR="0018481E" w:rsidRPr="00F03B9A" w14:paraId="2BF0C98B" w14:textId="77777777" w:rsidTr="0018481E">
        <w:trPr>
          <w:cantSplit/>
          <w:tblHeader/>
        </w:trPr>
        <w:tc>
          <w:tcPr>
            <w:tcW w:w="3402" w:type="dxa"/>
            <w:tcBorders>
              <w:top w:val="single" w:sz="4" w:space="0" w:color="auto"/>
              <w:left w:val="single" w:sz="4" w:space="0" w:color="auto"/>
              <w:bottom w:val="single" w:sz="4" w:space="0" w:color="auto"/>
              <w:right w:val="single" w:sz="4" w:space="0" w:color="auto"/>
            </w:tcBorders>
            <w:hideMark/>
          </w:tcPr>
          <w:p w14:paraId="72A39D17"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bCs/>
                <w:sz w:val="20"/>
                <w:szCs w:val="20"/>
                <w:lang w:val="en-GB" w:eastAsia="en-US"/>
              </w:rPr>
            </w:pPr>
            <w:r w:rsidRPr="00F03B9A">
              <w:rPr>
                <w:rFonts w:asciiTheme="majorBidi" w:hAnsiTheme="majorBidi" w:cstheme="majorBidi"/>
                <w:bCs/>
                <w:sz w:val="20"/>
                <w:szCs w:val="20"/>
                <w:lang w:val="en-GB" w:eastAsia="fr-FR"/>
              </w:rPr>
              <w:t>Nom et description</w:t>
            </w:r>
          </w:p>
        </w:tc>
        <w:tc>
          <w:tcPr>
            <w:tcW w:w="1134" w:type="dxa"/>
            <w:tcBorders>
              <w:top w:val="single" w:sz="4" w:space="0" w:color="auto"/>
              <w:left w:val="single" w:sz="4" w:space="0" w:color="auto"/>
              <w:bottom w:val="single" w:sz="4" w:space="0" w:color="auto"/>
              <w:right w:val="single" w:sz="4" w:space="0" w:color="auto"/>
            </w:tcBorders>
            <w:hideMark/>
          </w:tcPr>
          <w:p w14:paraId="09CE7E09"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bCs/>
                <w:sz w:val="20"/>
                <w:szCs w:val="20"/>
                <w:lang w:val="en-GB" w:eastAsia="en-US"/>
              </w:rPr>
            </w:pPr>
            <w:r w:rsidRPr="00F03B9A">
              <w:rPr>
                <w:rFonts w:asciiTheme="majorBidi" w:hAnsiTheme="majorBidi" w:cstheme="majorBidi"/>
                <w:bCs/>
                <w:sz w:val="20"/>
                <w:szCs w:val="20"/>
                <w:lang w:val="en-GB" w:eastAsia="fr-FR"/>
              </w:rPr>
              <w:t>No. ONU</w:t>
            </w:r>
          </w:p>
        </w:tc>
        <w:tc>
          <w:tcPr>
            <w:tcW w:w="3968" w:type="dxa"/>
            <w:tcBorders>
              <w:top w:val="single" w:sz="4" w:space="0" w:color="auto"/>
              <w:left w:val="single" w:sz="4" w:space="0" w:color="auto"/>
              <w:bottom w:val="single" w:sz="4" w:space="0" w:color="auto"/>
              <w:right w:val="single" w:sz="4" w:space="0" w:color="auto"/>
            </w:tcBorders>
            <w:hideMark/>
          </w:tcPr>
          <w:p w14:paraId="51C5CA5A"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bCs/>
                <w:sz w:val="20"/>
                <w:szCs w:val="20"/>
                <w:lang w:eastAsia="en-US"/>
              </w:rPr>
            </w:pPr>
            <w:r w:rsidRPr="00F03B9A">
              <w:rPr>
                <w:rFonts w:asciiTheme="majorBidi" w:hAnsiTheme="majorBidi" w:cstheme="majorBidi"/>
                <w:bCs/>
                <w:sz w:val="20"/>
                <w:szCs w:val="20"/>
                <w:lang w:eastAsia="fr-FR"/>
              </w:rPr>
              <w:t>Amendement</w:t>
            </w:r>
          </w:p>
        </w:tc>
      </w:tr>
      <w:tr w:rsidR="0018481E" w:rsidRPr="00F03B9A" w14:paraId="3B86BB99" w14:textId="77777777" w:rsidTr="0018481E">
        <w:trPr>
          <w:cantSplit/>
        </w:trPr>
        <w:tc>
          <w:tcPr>
            <w:tcW w:w="3402" w:type="dxa"/>
            <w:tcBorders>
              <w:top w:val="single" w:sz="4" w:space="0" w:color="auto"/>
              <w:left w:val="single" w:sz="4" w:space="0" w:color="auto"/>
              <w:bottom w:val="single" w:sz="4" w:space="0" w:color="auto"/>
              <w:right w:val="single" w:sz="4" w:space="0" w:color="auto"/>
            </w:tcBorders>
            <w:hideMark/>
          </w:tcPr>
          <w:p w14:paraId="4F70B415"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sz w:val="20"/>
                <w:szCs w:val="20"/>
                <w:lang w:val="en-GB" w:eastAsia="en-US"/>
              </w:rPr>
            </w:pPr>
            <w:r w:rsidRPr="00F03B9A">
              <w:rPr>
                <w:rFonts w:asciiTheme="majorBidi" w:hAnsiTheme="majorBidi" w:cstheme="majorBidi"/>
                <w:bCs/>
                <w:sz w:val="20"/>
                <w:szCs w:val="20"/>
              </w:rPr>
              <w:t>NITRATE D'AMMONIUM LIQUIDE, solution chaude concentrée à plus de 80% mais à 93% au maximum</w:t>
            </w:r>
          </w:p>
        </w:tc>
        <w:tc>
          <w:tcPr>
            <w:tcW w:w="1134" w:type="dxa"/>
            <w:tcBorders>
              <w:top w:val="single" w:sz="4" w:space="0" w:color="auto"/>
              <w:left w:val="single" w:sz="4" w:space="0" w:color="auto"/>
              <w:bottom w:val="single" w:sz="4" w:space="0" w:color="auto"/>
              <w:right w:val="single" w:sz="4" w:space="0" w:color="auto"/>
            </w:tcBorders>
            <w:hideMark/>
          </w:tcPr>
          <w:p w14:paraId="31B97A9F" w14:textId="77777777" w:rsidR="0018481E" w:rsidRPr="00F03B9A" w:rsidRDefault="0018481E" w:rsidP="0018481E">
            <w:pPr>
              <w:tabs>
                <w:tab w:val="left" w:pos="1418"/>
              </w:tabs>
              <w:kinsoku/>
              <w:overflowPunct/>
              <w:autoSpaceDE/>
              <w:autoSpaceDN/>
              <w:adjustRightInd/>
              <w:snapToGrid/>
              <w:rPr>
                <w:rFonts w:asciiTheme="majorBidi" w:eastAsia="Calibri" w:hAnsiTheme="majorBidi" w:cstheme="majorBidi"/>
                <w:sz w:val="20"/>
                <w:szCs w:val="20"/>
                <w:lang w:val="en-GB" w:eastAsia="en-US"/>
              </w:rPr>
            </w:pPr>
            <w:r w:rsidRPr="00F03B9A">
              <w:rPr>
                <w:rFonts w:asciiTheme="majorBidi" w:eastAsia="Calibri" w:hAnsiTheme="majorBidi" w:cstheme="majorBidi"/>
                <w:sz w:val="20"/>
                <w:szCs w:val="20"/>
                <w:lang w:val="en-GB" w:eastAsia="en-US"/>
              </w:rPr>
              <w:t>2426</w:t>
            </w:r>
          </w:p>
        </w:tc>
        <w:tc>
          <w:tcPr>
            <w:tcW w:w="3968" w:type="dxa"/>
            <w:tcBorders>
              <w:top w:val="single" w:sz="4" w:space="0" w:color="auto"/>
              <w:left w:val="single" w:sz="4" w:space="0" w:color="auto"/>
              <w:bottom w:val="single" w:sz="4" w:space="0" w:color="auto"/>
              <w:right w:val="single" w:sz="4" w:space="0" w:color="auto"/>
            </w:tcBorders>
            <w:hideMark/>
          </w:tcPr>
          <w:p w14:paraId="68590E4E" w14:textId="47237D4B" w:rsidR="0018481E" w:rsidRPr="00F03B9A" w:rsidRDefault="0018481E" w:rsidP="007F2609">
            <w:pPr>
              <w:tabs>
                <w:tab w:val="left" w:pos="1418"/>
              </w:tabs>
              <w:kinsoku/>
              <w:overflowPunct/>
              <w:autoSpaceDE/>
              <w:autoSpaceDN/>
              <w:adjustRightInd/>
              <w:snapToGrid/>
              <w:rPr>
                <w:rFonts w:asciiTheme="majorBidi" w:eastAsia="Calibri" w:hAnsiTheme="majorBidi" w:cstheme="majorBidi"/>
                <w:sz w:val="20"/>
                <w:szCs w:val="20"/>
                <w:lang w:eastAsia="en-US"/>
              </w:rPr>
            </w:pPr>
            <w:r w:rsidRPr="00F03B9A">
              <w:rPr>
                <w:rFonts w:asciiTheme="majorBidi" w:hAnsiTheme="majorBidi" w:cstheme="majorBidi"/>
                <w:bCs/>
                <w:sz w:val="20"/>
                <w:szCs w:val="20"/>
              </w:rPr>
              <w:t>Dans la colonne (1), supprimer « à plus de 80% mais à 93% au maximum ».</w:t>
            </w:r>
          </w:p>
        </w:tc>
      </w:tr>
    </w:tbl>
    <w:p w14:paraId="6C9B117E" w14:textId="77777777" w:rsidR="0018481E" w:rsidRPr="00F03B9A" w:rsidRDefault="0018481E" w:rsidP="0018481E">
      <w:pPr>
        <w:pStyle w:val="H1G"/>
        <w:rPr>
          <w:lang w:val="fr-FR"/>
        </w:rPr>
      </w:pPr>
      <w:r w:rsidRPr="00F03B9A">
        <w:rPr>
          <w:lang w:val="fr-FR"/>
        </w:rPr>
        <w:tab/>
      </w:r>
      <w:r w:rsidRPr="00F03B9A">
        <w:rPr>
          <w:lang w:val="fr-FR"/>
        </w:rPr>
        <w:tab/>
        <w:t>Chapitre 3.3</w:t>
      </w:r>
    </w:p>
    <w:p w14:paraId="1E34743B" w14:textId="0C74A610" w:rsidR="0018481E" w:rsidRPr="007F2609" w:rsidRDefault="0018481E" w:rsidP="007F2609">
      <w:pPr>
        <w:pStyle w:val="SingleTxtG"/>
        <w:tabs>
          <w:tab w:val="left" w:pos="2268"/>
        </w:tabs>
      </w:pPr>
      <w:r w:rsidRPr="007F2609">
        <w:t>DS 327</w:t>
      </w:r>
      <w:r w:rsidRPr="007F2609">
        <w:tab/>
        <w:t>Dans la première phrase, remplacer « 5.4.1.1.3 » par « 5.4.1.1.3.1 ».</w:t>
      </w:r>
    </w:p>
    <w:p w14:paraId="2393B853" w14:textId="77777777" w:rsidR="0018481E" w:rsidRPr="007F2609" w:rsidRDefault="0018481E" w:rsidP="007F2609">
      <w:pPr>
        <w:pStyle w:val="SingleTxtG"/>
        <w:tabs>
          <w:tab w:val="left" w:pos="2268"/>
        </w:tabs>
      </w:pPr>
      <w:r w:rsidRPr="007F2609">
        <w:t>DS 363</w:t>
      </w:r>
      <w:r w:rsidRPr="007F2609">
        <w:tab/>
        <w:t>À la fin de l’alinéa j), ajouter le nouveau nota suivant :</w:t>
      </w:r>
    </w:p>
    <w:p w14:paraId="75130AD6" w14:textId="77777777" w:rsidR="0018481E" w:rsidRPr="007F2609" w:rsidRDefault="0018481E" w:rsidP="007F2609">
      <w:pPr>
        <w:pStyle w:val="SingleTxtG"/>
        <w:tabs>
          <w:tab w:val="left" w:pos="2268"/>
        </w:tabs>
        <w:ind w:left="2268"/>
      </w:pPr>
      <w:r w:rsidRPr="007F2609">
        <w:t>« </w:t>
      </w:r>
      <w:r w:rsidRPr="007F2609">
        <w:rPr>
          <w:b/>
          <w:bCs/>
          <w:i/>
          <w:iCs/>
        </w:rPr>
        <w:t>NOTA :</w:t>
      </w:r>
      <w:r w:rsidRPr="007F2609">
        <w:rPr>
          <w:i/>
          <w:iCs/>
        </w:rPr>
        <w:tab/>
        <w:t>L’étiquetage et le placardage conforme aux présentes dispositions des moteurs et machines de capacité supérieures à 450 l mais contenant une quantité de combustible liquide ne dépassant pas 60 l est autorisé.</w:t>
      </w:r>
      <w:r w:rsidRPr="007F2609">
        <w:t> ».</w:t>
      </w:r>
    </w:p>
    <w:p w14:paraId="1976F32B" w14:textId="77777777" w:rsidR="0018481E" w:rsidRPr="007F2609" w:rsidRDefault="0018481E" w:rsidP="007F2609">
      <w:pPr>
        <w:pStyle w:val="SingleTxtG"/>
        <w:tabs>
          <w:tab w:val="left" w:pos="2268"/>
        </w:tabs>
      </w:pPr>
      <w:r w:rsidRPr="007F2609">
        <w:t>DS 593</w:t>
      </w:r>
      <w:r w:rsidRPr="007F2609">
        <w:tab/>
        <w:t>Modifier comme suit :</w:t>
      </w:r>
    </w:p>
    <w:p w14:paraId="035B66DB" w14:textId="7AF9F1C0" w:rsidR="0018481E" w:rsidRPr="007F2609" w:rsidRDefault="0018481E" w:rsidP="007F2609">
      <w:pPr>
        <w:pStyle w:val="SingleTxtG"/>
        <w:tabs>
          <w:tab w:val="left" w:pos="2268"/>
        </w:tabs>
        <w:ind w:left="2268"/>
      </w:pPr>
      <w:r w:rsidRPr="007F2609">
        <w:t xml:space="preserve">« Ce gaz, lorsqu’il est utilisé pour refroidir des marchandises ne répondant aux critères d’aucune classe, par exemple des échantillons médicaux ou biologiques, et qu’il est contenu dans des récipients à double cloison qui satisfont aux dispositions de l’instruction d’emballage P203 6), prescriptions applicables aux récipients cryogéniques ouverts, du 4.1.4.1, n’est pas soumis aux prescriptions </w:t>
      </w:r>
      <w:r w:rsidR="00551EC3" w:rsidRPr="007F2609">
        <w:t>de l’ADR</w:t>
      </w:r>
      <w:r w:rsidRPr="007F2609">
        <w:t xml:space="preserve"> excepté tel qu’indiqué au 5.5.3. ».</w:t>
      </w:r>
    </w:p>
    <w:p w14:paraId="73D0ED27" w14:textId="77777777" w:rsidR="0018481E" w:rsidRPr="007F2609" w:rsidRDefault="0018481E" w:rsidP="007F2609">
      <w:pPr>
        <w:pStyle w:val="SingleTxtG"/>
        <w:tabs>
          <w:tab w:val="left" w:pos="2268"/>
        </w:tabs>
      </w:pPr>
      <w:r w:rsidRPr="007F2609">
        <w:t>DS 644</w:t>
      </w:r>
      <w:r w:rsidRPr="007F2609">
        <w:tab/>
        <w:t>Insérer le nouveau deuxième tiret suivant :</w:t>
      </w:r>
    </w:p>
    <w:p w14:paraId="3126F1E5" w14:textId="77777777" w:rsidR="0018481E" w:rsidRPr="007F2609" w:rsidRDefault="0018481E" w:rsidP="007F2609">
      <w:pPr>
        <w:pStyle w:val="SingleTxtG"/>
        <w:tabs>
          <w:tab w:val="left" w:pos="2268"/>
        </w:tabs>
        <w:ind w:left="2268"/>
      </w:pPr>
      <w:r w:rsidRPr="007F2609">
        <w:t>« -</w:t>
      </w:r>
      <w:r w:rsidRPr="007F2609">
        <w:tab/>
        <w:t>La solution ne contienne pas plus de 93 % de nitrate d’ammonium. ».</w:t>
      </w:r>
    </w:p>
    <w:p w14:paraId="226ED871" w14:textId="77777777" w:rsidR="0018481E" w:rsidRPr="007F2609" w:rsidRDefault="0018481E" w:rsidP="007F2609">
      <w:pPr>
        <w:pStyle w:val="SingleTxtG"/>
        <w:tabs>
          <w:tab w:val="left" w:pos="2268"/>
        </w:tabs>
      </w:pPr>
      <w:r w:rsidRPr="007F2609">
        <w:t>DS 650</w:t>
      </w:r>
      <w:r w:rsidRPr="007F2609">
        <w:tab/>
        <w:t>Dans l’alinéa e), remplacer « 5.4.1.1.3 » par « 5.4.1.1.3.1 ».</w:t>
      </w:r>
    </w:p>
    <w:p w14:paraId="649B1A3E" w14:textId="77777777" w:rsidR="0018481E" w:rsidRPr="007F2609" w:rsidRDefault="0018481E" w:rsidP="007F2609">
      <w:pPr>
        <w:pStyle w:val="SingleTxtG"/>
        <w:tabs>
          <w:tab w:val="left" w:pos="2268"/>
        </w:tabs>
      </w:pPr>
      <w:r w:rsidRPr="007F2609">
        <w:t>DS 654</w:t>
      </w:r>
      <w:r w:rsidRPr="007F2609">
        <w:tab/>
        <w:t>Dans la première phrase, remplacer « 5.4.1.1.3 » par « 5.4.1.1.3.1 ».</w:t>
      </w:r>
    </w:p>
    <w:p w14:paraId="2576916B" w14:textId="77777777" w:rsidR="0018481E" w:rsidRPr="007F2609" w:rsidRDefault="0018481E" w:rsidP="007F2609">
      <w:pPr>
        <w:pStyle w:val="SingleTxtG"/>
        <w:tabs>
          <w:tab w:val="left" w:pos="2268"/>
        </w:tabs>
      </w:pPr>
      <w:r w:rsidRPr="007F2609">
        <w:t>Ajouter la nouvelle disposition spéciale 676 libellée comme suit :</w:t>
      </w:r>
    </w:p>
    <w:p w14:paraId="50B585F8" w14:textId="043FCDBE" w:rsidR="0018481E" w:rsidRPr="007F2609" w:rsidRDefault="0018481E" w:rsidP="007F2609">
      <w:pPr>
        <w:pStyle w:val="SingleTxtG"/>
        <w:tabs>
          <w:tab w:val="left" w:pos="2268"/>
        </w:tabs>
        <w:ind w:left="2268"/>
      </w:pPr>
      <w:r w:rsidRPr="007F2609">
        <w:t>« 676</w:t>
      </w:r>
      <w:r w:rsidRPr="007F2609">
        <w:tab/>
        <w:t xml:space="preserve">Pour le transport de colis contenant des matières qui polymérisent, il n’est pas nécessaire d’appliquer les prescriptions de la disposition spéciale 386 conjointement avec celles des 7.1.7.3, 7.1.7.4, 5.4.1.1.15 et 5.4.1.2.3.1, lorsque </w:t>
      </w:r>
      <w:r w:rsidRPr="007F2609">
        <w:lastRenderedPageBreak/>
        <w:t>ces matières sont transportées en vue de leur élimination ou de leur recyclage, pour autant que les conditions suivantes soient remplies :</w:t>
      </w:r>
    </w:p>
    <w:p w14:paraId="5EE15B9A" w14:textId="28A0D7F2" w:rsidR="0018481E" w:rsidRPr="007F2609" w:rsidRDefault="0018481E" w:rsidP="007F2609">
      <w:pPr>
        <w:pStyle w:val="SingleTxtG"/>
        <w:tabs>
          <w:tab w:val="left" w:pos="2268"/>
        </w:tabs>
        <w:ind w:left="3402" w:hanging="425"/>
      </w:pPr>
      <w:r w:rsidRPr="007F2609">
        <w:t>a)</w:t>
      </w:r>
      <w:r w:rsidRPr="007F2609">
        <w:tab/>
        <w:t>Avant le chargement, un examen a montré qu’il n’y a pas d’écart significatif entre la température extérieure du colis et la température ambiante</w:t>
      </w:r>
      <w:r w:rsidR="007F2609">
        <w:t> </w:t>
      </w:r>
      <w:r w:rsidRPr="007F2609">
        <w:t>;</w:t>
      </w:r>
    </w:p>
    <w:p w14:paraId="0683FAFD" w14:textId="4F9BCC1A" w:rsidR="0018481E" w:rsidRPr="007F2609" w:rsidRDefault="0018481E" w:rsidP="007F2609">
      <w:pPr>
        <w:pStyle w:val="SingleTxtG"/>
        <w:tabs>
          <w:tab w:val="left" w:pos="2268"/>
        </w:tabs>
        <w:ind w:left="3402" w:hanging="425"/>
      </w:pPr>
      <w:r w:rsidRPr="007F2609">
        <w:t>b)</w:t>
      </w:r>
      <w:r w:rsidRPr="007F2609">
        <w:tab/>
        <w:t>Le transport a lieu dans un délai maximum de 24 heures à compter de cet examen</w:t>
      </w:r>
      <w:r w:rsidR="007F2609">
        <w:t> </w:t>
      </w:r>
      <w:r w:rsidRPr="007F2609">
        <w:t>;</w:t>
      </w:r>
    </w:p>
    <w:p w14:paraId="10407FCC" w14:textId="28118A36" w:rsidR="0018481E" w:rsidRPr="007F2609" w:rsidRDefault="0018481E" w:rsidP="007F2609">
      <w:pPr>
        <w:pStyle w:val="SingleTxtG"/>
        <w:tabs>
          <w:tab w:val="left" w:pos="2268"/>
        </w:tabs>
        <w:ind w:left="3402" w:hanging="425"/>
      </w:pPr>
      <w:r w:rsidRPr="007F2609">
        <w:t>c)</w:t>
      </w:r>
      <w:r w:rsidRPr="007F2609">
        <w:tab/>
        <w:t>Les colis sont protégés de la lumière du soleil directe et des effets d’autres sources de chaleur (par exemple, d’autres colis transportés au-delà de la température ambiante) pendant le transport</w:t>
      </w:r>
      <w:r w:rsidR="007F2609">
        <w:t> </w:t>
      </w:r>
      <w:r w:rsidRPr="007F2609">
        <w:t>;</w:t>
      </w:r>
    </w:p>
    <w:p w14:paraId="15737E51" w14:textId="627DB088" w:rsidR="0018481E" w:rsidRPr="007F2609" w:rsidRDefault="0018481E" w:rsidP="007F2609">
      <w:pPr>
        <w:pStyle w:val="SingleTxtG"/>
        <w:tabs>
          <w:tab w:val="left" w:pos="2268"/>
        </w:tabs>
        <w:ind w:left="3402" w:hanging="425"/>
      </w:pPr>
      <w:r w:rsidRPr="007F2609">
        <w:t>d)</w:t>
      </w:r>
      <w:r w:rsidRPr="007F2609">
        <w:tab/>
        <w:t>Pendant le transport, la température ambiante est inférieure à 45</w:t>
      </w:r>
      <w:r w:rsidR="007F2609">
        <w:t> </w:t>
      </w:r>
      <w:r w:rsidRPr="007F2609">
        <w:t>°C</w:t>
      </w:r>
      <w:r w:rsidR="007F2609">
        <w:t> </w:t>
      </w:r>
      <w:r w:rsidRPr="007F2609">
        <w:t>;</w:t>
      </w:r>
    </w:p>
    <w:p w14:paraId="0AC1AEAA" w14:textId="59412B3E" w:rsidR="0018481E" w:rsidRPr="007F2609" w:rsidRDefault="0018481E" w:rsidP="007F2609">
      <w:pPr>
        <w:pStyle w:val="SingleTxtG"/>
        <w:tabs>
          <w:tab w:val="left" w:pos="2268"/>
        </w:tabs>
        <w:ind w:left="3402" w:hanging="425"/>
      </w:pPr>
      <w:r w:rsidRPr="007F2609">
        <w:t>e)</w:t>
      </w:r>
      <w:r w:rsidRPr="007F2609">
        <w:tab/>
        <w:t>Les véhicules et les conteneurs sont correctement ventilés</w:t>
      </w:r>
      <w:r w:rsidR="007F2609">
        <w:t> </w:t>
      </w:r>
      <w:r w:rsidRPr="007F2609">
        <w:t>;</w:t>
      </w:r>
    </w:p>
    <w:p w14:paraId="43565CF1" w14:textId="77777777" w:rsidR="0018481E" w:rsidRPr="007F2609" w:rsidRDefault="0018481E" w:rsidP="007F2609">
      <w:pPr>
        <w:pStyle w:val="SingleTxtG"/>
        <w:tabs>
          <w:tab w:val="left" w:pos="2268"/>
        </w:tabs>
        <w:ind w:left="3402" w:hanging="425"/>
      </w:pPr>
      <w:r w:rsidRPr="007F2609">
        <w:t>f)</w:t>
      </w:r>
      <w:r w:rsidRPr="007F2609">
        <w:tab/>
        <w:t>Les matières sont transportées dans des emballages d’une capacité maximale de 1 000 litres.</w:t>
      </w:r>
    </w:p>
    <w:p w14:paraId="63385155" w14:textId="3424BE6B" w:rsidR="0018481E" w:rsidRPr="007F2609" w:rsidRDefault="007F2609" w:rsidP="007F2609">
      <w:pPr>
        <w:pStyle w:val="SingleTxtG"/>
        <w:tabs>
          <w:tab w:val="left" w:pos="2268"/>
        </w:tabs>
        <w:ind w:left="2268"/>
      </w:pPr>
      <w:r>
        <w:tab/>
      </w:r>
      <w:r w:rsidR="0018481E" w:rsidRPr="007F2609">
        <w:t>Au cours de l’évaluation des matières devant être transportées suivant les prescriptions de cette disposition spéciale, des mesures supplémentaires visant à prévenir les dangers liés à la polymérisation peuvent être envisagées, par exemple l’ajout d’inhibiteurs. ».</w:t>
      </w:r>
    </w:p>
    <w:p w14:paraId="29CDBABE" w14:textId="77777777" w:rsidR="0018481E" w:rsidRPr="00F03B9A" w:rsidRDefault="0018481E" w:rsidP="0018481E">
      <w:pPr>
        <w:pStyle w:val="H1G"/>
        <w:rPr>
          <w:lang w:val="fr-FR"/>
        </w:rPr>
      </w:pPr>
      <w:r w:rsidRPr="00F03B9A">
        <w:rPr>
          <w:lang w:val="fr-FR"/>
        </w:rPr>
        <w:tab/>
      </w:r>
      <w:r w:rsidRPr="00F03B9A">
        <w:rPr>
          <w:lang w:val="fr-FR"/>
        </w:rPr>
        <w:tab/>
        <w:t>Chapitre 4.1</w:t>
      </w:r>
    </w:p>
    <w:p w14:paraId="5481CBB0" w14:textId="70700D7D" w:rsidR="0018481E" w:rsidRPr="00F03B9A" w:rsidRDefault="0018481E" w:rsidP="007F2609">
      <w:pPr>
        <w:pStyle w:val="SingleTxtG"/>
        <w:tabs>
          <w:tab w:val="left" w:pos="2268"/>
        </w:tabs>
      </w:pPr>
      <w:r w:rsidRPr="00F03B9A">
        <w:t>4.1.6.8</w:t>
      </w:r>
      <w:r w:rsidRPr="00F03B9A">
        <w:tab/>
        <w:t>Modifier les alinéas b) et c) pour lire comme suit :</w:t>
      </w:r>
    </w:p>
    <w:p w14:paraId="1270066B" w14:textId="77777777" w:rsidR="0018481E" w:rsidRPr="00F03B9A" w:rsidRDefault="0018481E" w:rsidP="007F2609">
      <w:pPr>
        <w:pStyle w:val="SingleTxtG"/>
        <w:ind w:left="2835" w:hanging="567"/>
      </w:pPr>
      <w:r w:rsidRPr="00F03B9A">
        <w:t>« b)</w:t>
      </w:r>
      <w:r w:rsidRPr="00F03B9A">
        <w:tab/>
        <w:t>Les robinets sont protégés par des chapeaux fermés ou ouverts. Les chapeaux fermés doivent être munis d’évents de section suffisante pour évacuer les gaz en cas de fuite aux robinets ; ».</w:t>
      </w:r>
    </w:p>
    <w:p w14:paraId="6EB2E46D" w14:textId="77777777" w:rsidR="0018481E" w:rsidRPr="00F03B9A" w:rsidRDefault="0018481E" w:rsidP="007F2609">
      <w:pPr>
        <w:pStyle w:val="SingleTxtG"/>
        <w:ind w:left="2835" w:hanging="567"/>
      </w:pPr>
      <w:r w:rsidRPr="00F03B9A">
        <w:t>c)</w:t>
      </w:r>
      <w:r w:rsidRPr="00F03B9A">
        <w:tab/>
        <w:t>Les robinets sont protégés par des collerettes ou par des dispositifs de protection inamovibles ; ».</w:t>
      </w:r>
    </w:p>
    <w:p w14:paraId="64FE9477" w14:textId="576A39FF" w:rsidR="0018481E" w:rsidRPr="00F03B9A" w:rsidRDefault="0018481E" w:rsidP="007F2609">
      <w:pPr>
        <w:pStyle w:val="SingleTxtG"/>
        <w:tabs>
          <w:tab w:val="left" w:pos="2268"/>
        </w:tabs>
        <w:ind w:left="2268" w:hanging="1134"/>
      </w:pPr>
      <w:r w:rsidRPr="00F03B9A">
        <w:t>4.1.6.15</w:t>
      </w:r>
      <w:r w:rsidRPr="00F03B9A">
        <w:tab/>
        <w:t>Dans ECE/TRANS/WP.15/</w:t>
      </w:r>
      <w:r w:rsidR="00387730" w:rsidRPr="00F03B9A">
        <w:t>251</w:t>
      </w:r>
      <w:r w:rsidRPr="00F03B9A">
        <w:t>,</w:t>
      </w:r>
      <w:r w:rsidR="00523C7D">
        <w:t xml:space="preserve"> annexe I,</w:t>
      </w:r>
      <w:r w:rsidRPr="00F03B9A">
        <w:t xml:space="preserve"> remplacer le Tableau 1 par le tableau suivant :</w:t>
      </w:r>
    </w:p>
    <w:p w14:paraId="15927732" w14:textId="77777777" w:rsidR="0018481E" w:rsidRPr="00F03B9A" w:rsidRDefault="0018481E" w:rsidP="007F2609">
      <w:pPr>
        <w:pStyle w:val="SingleTxtG"/>
        <w:tabs>
          <w:tab w:val="left" w:pos="2268"/>
        </w:tabs>
      </w:pPr>
      <w:r w:rsidRPr="00F03B9A">
        <w:t>« Tableau 1 : Normes pour les récipients à pression « UN » et « non UN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2693"/>
        <w:gridCol w:w="4399"/>
      </w:tblGrid>
      <w:tr w:rsidR="0018481E" w:rsidRPr="00F03B9A" w14:paraId="30FEC3B0" w14:textId="77777777" w:rsidTr="0018481E">
        <w:tc>
          <w:tcPr>
            <w:tcW w:w="1413" w:type="dxa"/>
            <w:tcBorders>
              <w:top w:val="single" w:sz="4" w:space="0" w:color="auto"/>
              <w:left w:val="single" w:sz="4" w:space="0" w:color="auto"/>
              <w:bottom w:val="single" w:sz="4" w:space="0" w:color="auto"/>
              <w:right w:val="single" w:sz="4" w:space="0" w:color="auto"/>
            </w:tcBorders>
            <w:vAlign w:val="bottom"/>
            <w:hideMark/>
          </w:tcPr>
          <w:p w14:paraId="2EF36419"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Paragraphes applicables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A53EFFE"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Référence</w:t>
            </w:r>
          </w:p>
        </w:tc>
        <w:tc>
          <w:tcPr>
            <w:tcW w:w="4399" w:type="dxa"/>
            <w:tcBorders>
              <w:top w:val="single" w:sz="4" w:space="0" w:color="auto"/>
              <w:left w:val="single" w:sz="4" w:space="0" w:color="auto"/>
              <w:bottom w:val="single" w:sz="4" w:space="0" w:color="auto"/>
              <w:right w:val="single" w:sz="4" w:space="0" w:color="auto"/>
            </w:tcBorders>
            <w:vAlign w:val="bottom"/>
            <w:hideMark/>
          </w:tcPr>
          <w:p w14:paraId="112AC61B"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Titre du document</w:t>
            </w:r>
          </w:p>
        </w:tc>
      </w:tr>
      <w:tr w:rsidR="0018481E" w:rsidRPr="00F03B9A" w14:paraId="7B73B19F" w14:textId="77777777" w:rsidTr="0018481E">
        <w:tc>
          <w:tcPr>
            <w:tcW w:w="1413" w:type="dxa"/>
            <w:vMerge w:val="restart"/>
            <w:tcBorders>
              <w:top w:val="single" w:sz="4" w:space="0" w:color="auto"/>
              <w:left w:val="single" w:sz="4" w:space="0" w:color="auto"/>
              <w:bottom w:val="single" w:sz="4" w:space="0" w:color="auto"/>
              <w:right w:val="single" w:sz="4" w:space="0" w:color="auto"/>
            </w:tcBorders>
            <w:hideMark/>
          </w:tcPr>
          <w:p w14:paraId="38A61486"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4.1.6.2</w:t>
            </w:r>
          </w:p>
        </w:tc>
        <w:tc>
          <w:tcPr>
            <w:tcW w:w="2693" w:type="dxa"/>
            <w:tcBorders>
              <w:top w:val="single" w:sz="4" w:space="0" w:color="auto"/>
              <w:left w:val="single" w:sz="4" w:space="0" w:color="auto"/>
              <w:bottom w:val="single" w:sz="4" w:space="0" w:color="auto"/>
              <w:right w:val="single" w:sz="4" w:space="0" w:color="auto"/>
            </w:tcBorders>
            <w:hideMark/>
          </w:tcPr>
          <w:p w14:paraId="566E2D7F"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EN ISO 11114-1:2020</w:t>
            </w:r>
          </w:p>
        </w:tc>
        <w:tc>
          <w:tcPr>
            <w:tcW w:w="4399" w:type="dxa"/>
            <w:tcBorders>
              <w:top w:val="single" w:sz="4" w:space="0" w:color="auto"/>
              <w:left w:val="single" w:sz="4" w:space="0" w:color="auto"/>
              <w:bottom w:val="single" w:sz="4" w:space="0" w:color="auto"/>
              <w:right w:val="single" w:sz="4" w:space="0" w:color="auto"/>
            </w:tcBorders>
            <w:hideMark/>
          </w:tcPr>
          <w:p w14:paraId="5BD452A7"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 xml:space="preserve">Bouteilles à gaz − Compatibilité des matériaux des bouteilles et des robinets avec les contenus gazeux − Partie 1 : Matériaux métalliques </w:t>
            </w:r>
          </w:p>
        </w:tc>
      </w:tr>
      <w:tr w:rsidR="0018481E" w:rsidRPr="00F03B9A" w14:paraId="189326C7"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2072229D"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55A6B2A2"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EN ISO 11114-2:2013</w:t>
            </w:r>
          </w:p>
        </w:tc>
        <w:tc>
          <w:tcPr>
            <w:tcW w:w="4399" w:type="dxa"/>
            <w:tcBorders>
              <w:top w:val="single" w:sz="4" w:space="0" w:color="auto"/>
              <w:left w:val="single" w:sz="4" w:space="0" w:color="auto"/>
              <w:bottom w:val="single" w:sz="4" w:space="0" w:color="auto"/>
              <w:right w:val="single" w:sz="4" w:space="0" w:color="auto"/>
            </w:tcBorders>
            <w:hideMark/>
          </w:tcPr>
          <w:p w14:paraId="771FC345"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Bouteilles à gaz − Compatibilité des matériaux des bouteilles et des robinets avec les contenus gazeux − Partie 2 : Matériaux non métalliques</w:t>
            </w:r>
          </w:p>
        </w:tc>
      </w:tr>
      <w:tr w:rsidR="0018481E" w:rsidRPr="00F03B9A" w14:paraId="37B30755" w14:textId="77777777" w:rsidTr="0018481E">
        <w:tc>
          <w:tcPr>
            <w:tcW w:w="1413" w:type="dxa"/>
            <w:tcBorders>
              <w:top w:val="single" w:sz="4" w:space="0" w:color="auto"/>
              <w:left w:val="single" w:sz="4" w:space="0" w:color="auto"/>
              <w:bottom w:val="single" w:sz="4" w:space="0" w:color="auto"/>
              <w:right w:val="single" w:sz="4" w:space="0" w:color="auto"/>
            </w:tcBorders>
            <w:hideMark/>
          </w:tcPr>
          <w:p w14:paraId="60436BBE"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4.1.6.4</w:t>
            </w:r>
          </w:p>
        </w:tc>
        <w:tc>
          <w:tcPr>
            <w:tcW w:w="2693" w:type="dxa"/>
            <w:tcBorders>
              <w:top w:val="single" w:sz="4" w:space="0" w:color="auto"/>
              <w:left w:val="single" w:sz="4" w:space="0" w:color="auto"/>
              <w:bottom w:val="single" w:sz="4" w:space="0" w:color="auto"/>
              <w:right w:val="single" w:sz="4" w:space="0" w:color="auto"/>
            </w:tcBorders>
            <w:hideMark/>
          </w:tcPr>
          <w:p w14:paraId="158954DB"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ISO 11621:1997 </w:t>
            </w:r>
            <w:r w:rsidRPr="00F03B9A">
              <w:rPr>
                <w:rFonts w:asciiTheme="majorBidi" w:hAnsiTheme="majorBidi" w:cstheme="majorBidi"/>
                <w:bCs/>
                <w:sz w:val="20"/>
                <w:szCs w:val="20"/>
              </w:rPr>
              <w:br/>
              <w:t>ou EN ISO 11621:2005</w:t>
            </w:r>
          </w:p>
        </w:tc>
        <w:tc>
          <w:tcPr>
            <w:tcW w:w="4399" w:type="dxa"/>
            <w:tcBorders>
              <w:top w:val="single" w:sz="4" w:space="0" w:color="auto"/>
              <w:left w:val="single" w:sz="4" w:space="0" w:color="auto"/>
              <w:bottom w:val="single" w:sz="4" w:space="0" w:color="auto"/>
              <w:right w:val="single" w:sz="4" w:space="0" w:color="auto"/>
            </w:tcBorders>
            <w:hideMark/>
          </w:tcPr>
          <w:p w14:paraId="50892090"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Bouteilles à gaz − Mode opératoire pour le changement de service de gaz</w:t>
            </w:r>
          </w:p>
        </w:tc>
      </w:tr>
      <w:tr w:rsidR="0018481E" w:rsidRPr="00F03B9A" w14:paraId="45B1CC00" w14:textId="77777777" w:rsidTr="0018481E">
        <w:tc>
          <w:tcPr>
            <w:tcW w:w="1413" w:type="dxa"/>
            <w:vMerge w:val="restart"/>
            <w:tcBorders>
              <w:top w:val="single" w:sz="4" w:space="0" w:color="auto"/>
              <w:left w:val="single" w:sz="4" w:space="0" w:color="auto"/>
              <w:bottom w:val="single" w:sz="4" w:space="0" w:color="auto"/>
              <w:right w:val="single" w:sz="4" w:space="0" w:color="auto"/>
            </w:tcBorders>
            <w:hideMark/>
          </w:tcPr>
          <w:p w14:paraId="6A2D2B9B"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4.1.6.8 Robinets munis d’une protection intégrée</w:t>
            </w:r>
          </w:p>
        </w:tc>
        <w:tc>
          <w:tcPr>
            <w:tcW w:w="2693" w:type="dxa"/>
            <w:tcBorders>
              <w:top w:val="single" w:sz="4" w:space="0" w:color="auto"/>
              <w:left w:val="single" w:sz="4" w:space="0" w:color="auto"/>
              <w:bottom w:val="single" w:sz="4" w:space="0" w:color="auto"/>
              <w:right w:val="single" w:sz="4" w:space="0" w:color="auto"/>
            </w:tcBorders>
            <w:hideMark/>
          </w:tcPr>
          <w:p w14:paraId="61EED071"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4.6.2 de </w:t>
            </w:r>
            <w:r w:rsidRPr="00F03B9A">
              <w:rPr>
                <w:rFonts w:asciiTheme="majorBidi" w:hAnsiTheme="majorBidi" w:cstheme="majorBidi"/>
                <w:bCs/>
                <w:sz w:val="20"/>
                <w:szCs w:val="20"/>
              </w:rPr>
              <w:br/>
              <w:t>EN ISO 10297:2006 ou</w:t>
            </w:r>
          </w:p>
          <w:p w14:paraId="21BF77EA"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5.5.2 de </w:t>
            </w:r>
            <w:r w:rsidRPr="00F03B9A">
              <w:rPr>
                <w:rFonts w:asciiTheme="majorBidi" w:hAnsiTheme="majorBidi" w:cstheme="majorBidi"/>
                <w:bCs/>
                <w:sz w:val="20"/>
                <w:szCs w:val="20"/>
              </w:rPr>
              <w:br/>
              <w:t>EN ISO 10297:2014 ou</w:t>
            </w:r>
          </w:p>
          <w:p w14:paraId="4967FEF5"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5.5.2 de </w:t>
            </w:r>
            <w:r w:rsidRPr="00F03B9A">
              <w:rPr>
                <w:rFonts w:asciiTheme="majorBidi" w:hAnsiTheme="majorBidi" w:cstheme="majorBidi"/>
                <w:bCs/>
                <w:sz w:val="20"/>
                <w:szCs w:val="20"/>
              </w:rPr>
              <w:br/>
              <w:t>EN ISO 10297:2014 + A1:2017</w:t>
            </w:r>
          </w:p>
        </w:tc>
        <w:tc>
          <w:tcPr>
            <w:tcW w:w="4399" w:type="dxa"/>
            <w:tcBorders>
              <w:top w:val="single" w:sz="4" w:space="0" w:color="auto"/>
              <w:left w:val="single" w:sz="4" w:space="0" w:color="auto"/>
              <w:bottom w:val="single" w:sz="4" w:space="0" w:color="auto"/>
              <w:right w:val="single" w:sz="4" w:space="0" w:color="auto"/>
            </w:tcBorders>
            <w:hideMark/>
          </w:tcPr>
          <w:p w14:paraId="35ACEAA0"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Bouteilles à gaz − Robinets de bouteilles − Spécifications et essais de type</w:t>
            </w:r>
          </w:p>
        </w:tc>
      </w:tr>
      <w:tr w:rsidR="0018481E" w:rsidRPr="00F03B9A" w14:paraId="046A7A47"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50EBE79A"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520E35A"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5.3.8 de </w:t>
            </w:r>
            <w:r w:rsidRPr="00F03B9A">
              <w:rPr>
                <w:rFonts w:asciiTheme="majorBidi" w:hAnsiTheme="majorBidi" w:cstheme="majorBidi"/>
                <w:bCs/>
                <w:sz w:val="20"/>
                <w:szCs w:val="20"/>
              </w:rPr>
              <w:br/>
              <w:t>EN 13152:2001 + A1:2003</w:t>
            </w:r>
          </w:p>
        </w:tc>
        <w:tc>
          <w:tcPr>
            <w:tcW w:w="4399" w:type="dxa"/>
            <w:tcBorders>
              <w:top w:val="single" w:sz="4" w:space="0" w:color="auto"/>
              <w:left w:val="single" w:sz="4" w:space="0" w:color="auto"/>
              <w:bottom w:val="single" w:sz="4" w:space="0" w:color="auto"/>
              <w:right w:val="single" w:sz="4" w:space="0" w:color="auto"/>
            </w:tcBorders>
            <w:hideMark/>
          </w:tcPr>
          <w:p w14:paraId="59BEB675"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Spécifications et essais pour valves de bouteilles de gaz de pétrole liquéfié (GPL) − Fermeture automatique</w:t>
            </w:r>
          </w:p>
        </w:tc>
      </w:tr>
      <w:tr w:rsidR="0018481E" w:rsidRPr="00F03B9A" w14:paraId="730659A6"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03E1AC1F"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394C8D4"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5.3.7 de </w:t>
            </w:r>
            <w:r w:rsidRPr="00F03B9A">
              <w:rPr>
                <w:rFonts w:asciiTheme="majorBidi" w:hAnsiTheme="majorBidi" w:cstheme="majorBidi"/>
                <w:bCs/>
                <w:sz w:val="20"/>
                <w:szCs w:val="20"/>
              </w:rPr>
              <w:br/>
              <w:t>EN 13153:2001 + A1:2003</w:t>
            </w:r>
          </w:p>
        </w:tc>
        <w:tc>
          <w:tcPr>
            <w:tcW w:w="4399" w:type="dxa"/>
            <w:tcBorders>
              <w:top w:val="single" w:sz="4" w:space="0" w:color="auto"/>
              <w:left w:val="single" w:sz="4" w:space="0" w:color="auto"/>
              <w:bottom w:val="single" w:sz="4" w:space="0" w:color="auto"/>
              <w:right w:val="single" w:sz="4" w:space="0" w:color="auto"/>
            </w:tcBorders>
            <w:hideMark/>
          </w:tcPr>
          <w:p w14:paraId="7DE91CE4"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Spécifications et essais pour valves de bouteilles de gaz de pétrole liquéfié (GPL) − Fermeture manuelle</w:t>
            </w:r>
          </w:p>
        </w:tc>
      </w:tr>
      <w:tr w:rsidR="0018481E" w:rsidRPr="00F03B9A" w14:paraId="28234BE5"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55AA3B33"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7EAE0424"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5.9 de </w:t>
            </w:r>
            <w:r w:rsidRPr="00F03B9A">
              <w:rPr>
                <w:rFonts w:asciiTheme="majorBidi" w:hAnsiTheme="majorBidi" w:cstheme="majorBidi"/>
                <w:bCs/>
                <w:sz w:val="20"/>
                <w:szCs w:val="20"/>
              </w:rPr>
              <w:br/>
              <w:t>EN ISO 14245:2010 ou</w:t>
            </w:r>
          </w:p>
          <w:p w14:paraId="74E1D981"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5.9 de </w:t>
            </w:r>
            <w:r w:rsidRPr="00F03B9A">
              <w:rPr>
                <w:rFonts w:asciiTheme="majorBidi" w:hAnsiTheme="majorBidi" w:cstheme="majorBidi"/>
                <w:bCs/>
                <w:sz w:val="20"/>
                <w:szCs w:val="20"/>
              </w:rPr>
              <w:br/>
              <w:t>EN ISO 14245:2019</w:t>
            </w:r>
          </w:p>
        </w:tc>
        <w:tc>
          <w:tcPr>
            <w:tcW w:w="4399" w:type="dxa"/>
            <w:tcBorders>
              <w:top w:val="single" w:sz="4" w:space="0" w:color="auto"/>
              <w:left w:val="single" w:sz="4" w:space="0" w:color="auto"/>
              <w:bottom w:val="single" w:sz="4" w:space="0" w:color="auto"/>
              <w:right w:val="single" w:sz="4" w:space="0" w:color="auto"/>
            </w:tcBorders>
            <w:hideMark/>
          </w:tcPr>
          <w:p w14:paraId="17621098"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Bouteilles à gaz − Spécifications et essais pour valves de bouteilles de GPL − Fermeture automatique</w:t>
            </w:r>
          </w:p>
        </w:tc>
      </w:tr>
      <w:tr w:rsidR="0018481E" w:rsidRPr="00F03B9A" w14:paraId="5C8977A6"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6D235E44"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0E43AE3"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5.10 de </w:t>
            </w:r>
            <w:r w:rsidRPr="00F03B9A">
              <w:rPr>
                <w:rFonts w:asciiTheme="majorBidi" w:hAnsiTheme="majorBidi" w:cstheme="majorBidi"/>
                <w:bCs/>
                <w:sz w:val="20"/>
                <w:szCs w:val="20"/>
              </w:rPr>
              <w:br/>
              <w:t>EN ISO 15995:2010 ou</w:t>
            </w:r>
          </w:p>
          <w:p w14:paraId="4EB3C465"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5.10 de </w:t>
            </w:r>
            <w:r w:rsidRPr="00F03B9A">
              <w:rPr>
                <w:rFonts w:asciiTheme="majorBidi" w:hAnsiTheme="majorBidi" w:cstheme="majorBidi"/>
                <w:bCs/>
                <w:sz w:val="20"/>
                <w:szCs w:val="20"/>
              </w:rPr>
              <w:br/>
              <w:t>EN ISO 15995:2019</w:t>
            </w:r>
          </w:p>
        </w:tc>
        <w:tc>
          <w:tcPr>
            <w:tcW w:w="4399" w:type="dxa"/>
            <w:tcBorders>
              <w:top w:val="single" w:sz="4" w:space="0" w:color="auto"/>
              <w:left w:val="single" w:sz="4" w:space="0" w:color="auto"/>
              <w:bottom w:val="single" w:sz="4" w:space="0" w:color="auto"/>
              <w:right w:val="single" w:sz="4" w:space="0" w:color="auto"/>
            </w:tcBorders>
            <w:hideMark/>
          </w:tcPr>
          <w:p w14:paraId="61823DCB"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Bouteilles à gaz − Spécifications et essais pour valves de bouteilles de GPL − Fermeture manuelle</w:t>
            </w:r>
          </w:p>
        </w:tc>
      </w:tr>
      <w:tr w:rsidR="0018481E" w:rsidRPr="00F03B9A" w14:paraId="47CBBCCF"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20C01285"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3932B6C"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 xml:space="preserve">Article 5.4.2 de </w:t>
            </w:r>
            <w:r w:rsidRPr="00F03B9A">
              <w:rPr>
                <w:rFonts w:asciiTheme="majorBidi" w:hAnsiTheme="majorBidi" w:cstheme="majorBidi"/>
                <w:bCs/>
                <w:sz w:val="20"/>
                <w:szCs w:val="20"/>
              </w:rPr>
              <w:br/>
              <w:t>EN ISO 17879:2017</w:t>
            </w:r>
          </w:p>
        </w:tc>
        <w:tc>
          <w:tcPr>
            <w:tcW w:w="4399" w:type="dxa"/>
            <w:tcBorders>
              <w:top w:val="single" w:sz="4" w:space="0" w:color="auto"/>
              <w:left w:val="single" w:sz="4" w:space="0" w:color="auto"/>
              <w:bottom w:val="single" w:sz="4" w:space="0" w:color="auto"/>
              <w:right w:val="single" w:sz="4" w:space="0" w:color="auto"/>
            </w:tcBorders>
            <w:hideMark/>
          </w:tcPr>
          <w:p w14:paraId="3FF57D11"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Bouteilles à gaz − Robinets de bouteilles équipés de clapets auto-obturants − Spécifications et essais de type</w:t>
            </w:r>
          </w:p>
        </w:tc>
      </w:tr>
      <w:tr w:rsidR="0018481E" w:rsidRPr="00F03B9A" w14:paraId="35E7BA82"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6E171D8C"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7D58796" w14:textId="77777777" w:rsidR="0018481E" w:rsidRPr="00F03B9A" w:rsidRDefault="0018481E" w:rsidP="0018481E">
            <w:pPr>
              <w:spacing w:before="60" w:after="60" w:line="240" w:lineRule="auto"/>
              <w:ind w:left="57" w:right="57"/>
              <w:rPr>
                <w:rFonts w:asciiTheme="majorBidi" w:hAnsiTheme="majorBidi" w:cstheme="majorBidi"/>
                <w:bCs/>
                <w:iCs/>
                <w:sz w:val="20"/>
                <w:szCs w:val="20"/>
              </w:rPr>
            </w:pPr>
            <w:r w:rsidRPr="00F03B9A">
              <w:rPr>
                <w:rFonts w:asciiTheme="majorBidi" w:hAnsiTheme="majorBidi" w:cstheme="majorBidi"/>
                <w:bCs/>
                <w:iCs/>
                <w:sz w:val="20"/>
                <w:szCs w:val="20"/>
              </w:rPr>
              <w:t>Article 7.4 de</w:t>
            </w:r>
            <w:r w:rsidRPr="00F03B9A">
              <w:rPr>
                <w:rFonts w:asciiTheme="majorBidi" w:hAnsiTheme="majorBidi" w:cstheme="majorBidi"/>
                <w:bCs/>
                <w:iCs/>
                <w:sz w:val="20"/>
                <w:szCs w:val="20"/>
              </w:rPr>
              <w:br/>
              <w:t>EN 12205:2001 ou</w:t>
            </w:r>
          </w:p>
          <w:p w14:paraId="25BF458F" w14:textId="77777777" w:rsidR="0018481E" w:rsidRPr="00F03B9A" w:rsidRDefault="0018481E" w:rsidP="0018481E">
            <w:pPr>
              <w:spacing w:before="60" w:after="60" w:line="240" w:lineRule="auto"/>
              <w:ind w:left="57" w:right="57"/>
              <w:rPr>
                <w:rFonts w:asciiTheme="majorBidi" w:hAnsiTheme="majorBidi" w:cstheme="majorBidi"/>
                <w:bCs/>
                <w:iCs/>
                <w:sz w:val="20"/>
                <w:szCs w:val="20"/>
              </w:rPr>
            </w:pPr>
            <w:r w:rsidRPr="00F03B9A">
              <w:rPr>
                <w:rFonts w:asciiTheme="majorBidi" w:hAnsiTheme="majorBidi" w:cstheme="majorBidi"/>
                <w:bCs/>
                <w:iCs/>
                <w:sz w:val="20"/>
                <w:szCs w:val="20"/>
              </w:rPr>
              <w:t xml:space="preserve">Article 9.2.5 de </w:t>
            </w:r>
            <w:r w:rsidRPr="00F03B9A">
              <w:rPr>
                <w:rFonts w:asciiTheme="majorBidi" w:hAnsiTheme="majorBidi" w:cstheme="majorBidi"/>
                <w:bCs/>
                <w:iCs/>
                <w:sz w:val="20"/>
                <w:szCs w:val="20"/>
              </w:rPr>
              <w:br/>
              <w:t>EN ISO 11118:2015 ou</w:t>
            </w:r>
          </w:p>
          <w:p w14:paraId="35DC3E0A" w14:textId="77777777" w:rsidR="0018481E" w:rsidRPr="00F03B9A" w:rsidRDefault="0018481E" w:rsidP="0018481E">
            <w:pPr>
              <w:spacing w:before="60" w:after="60" w:line="240" w:lineRule="auto"/>
              <w:ind w:left="57" w:right="57"/>
              <w:rPr>
                <w:rFonts w:asciiTheme="majorBidi" w:hAnsiTheme="majorBidi" w:cstheme="majorBidi"/>
                <w:bCs/>
                <w:sz w:val="20"/>
                <w:szCs w:val="20"/>
              </w:rPr>
            </w:pPr>
            <w:r w:rsidRPr="00F03B9A">
              <w:rPr>
                <w:rFonts w:asciiTheme="majorBidi" w:hAnsiTheme="majorBidi" w:cstheme="majorBidi"/>
                <w:bCs/>
                <w:iCs/>
                <w:sz w:val="20"/>
                <w:szCs w:val="20"/>
              </w:rPr>
              <w:t xml:space="preserve">Article 9.2.5 de </w:t>
            </w:r>
            <w:r w:rsidRPr="00F03B9A">
              <w:rPr>
                <w:rFonts w:asciiTheme="majorBidi" w:hAnsiTheme="majorBidi" w:cstheme="majorBidi"/>
                <w:bCs/>
                <w:iCs/>
                <w:sz w:val="20"/>
                <w:szCs w:val="20"/>
              </w:rPr>
              <w:br/>
              <w:t>EN ISO 11118:2015 + A1:2020</w:t>
            </w:r>
          </w:p>
        </w:tc>
        <w:tc>
          <w:tcPr>
            <w:tcW w:w="4399" w:type="dxa"/>
            <w:tcBorders>
              <w:top w:val="single" w:sz="4" w:space="0" w:color="auto"/>
              <w:left w:val="single" w:sz="4" w:space="0" w:color="auto"/>
              <w:bottom w:val="single" w:sz="4" w:space="0" w:color="auto"/>
              <w:right w:val="single" w:sz="4" w:space="0" w:color="auto"/>
            </w:tcBorders>
            <w:hideMark/>
          </w:tcPr>
          <w:p w14:paraId="5D44DD39"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iCs/>
                <w:sz w:val="20"/>
                <w:szCs w:val="20"/>
              </w:rPr>
              <w:t xml:space="preserve">Bouteilles à gaz − Bouteilles à gaz métalliques non rechargeables − Spécifications et méthodes d’essai </w:t>
            </w:r>
          </w:p>
        </w:tc>
      </w:tr>
      <w:tr w:rsidR="0018481E" w:rsidRPr="00F03B9A" w14:paraId="6B7DDCE7" w14:textId="77777777" w:rsidTr="0018481E">
        <w:tc>
          <w:tcPr>
            <w:tcW w:w="1413" w:type="dxa"/>
            <w:vMerge w:val="restart"/>
            <w:tcBorders>
              <w:top w:val="single" w:sz="4" w:space="0" w:color="auto"/>
              <w:left w:val="single" w:sz="4" w:space="0" w:color="auto"/>
              <w:bottom w:val="single" w:sz="4" w:space="0" w:color="auto"/>
              <w:right w:val="single" w:sz="4" w:space="0" w:color="auto"/>
            </w:tcBorders>
            <w:hideMark/>
          </w:tcPr>
          <w:p w14:paraId="15EAEF29"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4.1.6.8 b)</w:t>
            </w:r>
          </w:p>
        </w:tc>
        <w:tc>
          <w:tcPr>
            <w:tcW w:w="2693" w:type="dxa"/>
            <w:tcBorders>
              <w:top w:val="single" w:sz="4" w:space="0" w:color="auto"/>
              <w:left w:val="single" w:sz="4" w:space="0" w:color="auto"/>
              <w:bottom w:val="single" w:sz="4" w:space="0" w:color="auto"/>
              <w:right w:val="single" w:sz="4" w:space="0" w:color="auto"/>
            </w:tcBorders>
            <w:hideMark/>
          </w:tcPr>
          <w:p w14:paraId="70E5BAE1" w14:textId="77777777" w:rsidR="0018481E" w:rsidRPr="00F03B9A" w:rsidRDefault="0018481E" w:rsidP="0018481E">
            <w:pPr>
              <w:spacing w:before="60" w:after="60"/>
              <w:ind w:left="57" w:right="57"/>
              <w:rPr>
                <w:rFonts w:asciiTheme="majorBidi" w:hAnsiTheme="majorBidi" w:cstheme="majorBidi"/>
                <w:bCs/>
                <w:iCs/>
                <w:sz w:val="20"/>
                <w:szCs w:val="20"/>
              </w:rPr>
            </w:pPr>
            <w:r w:rsidRPr="00F03B9A">
              <w:rPr>
                <w:rFonts w:asciiTheme="majorBidi" w:hAnsiTheme="majorBidi" w:cstheme="majorBidi"/>
                <w:bCs/>
                <w:iCs/>
                <w:sz w:val="20"/>
                <w:szCs w:val="20"/>
              </w:rPr>
              <w:t xml:space="preserve">ISO 11117:1998 ou </w:t>
            </w:r>
            <w:r w:rsidRPr="00F03B9A">
              <w:rPr>
                <w:rFonts w:asciiTheme="majorBidi" w:hAnsiTheme="majorBidi" w:cstheme="majorBidi"/>
                <w:bCs/>
                <w:iCs/>
                <w:sz w:val="20"/>
                <w:szCs w:val="20"/>
              </w:rPr>
              <w:br/>
              <w:t xml:space="preserve">EN ISO 11117:2008 + Cor 1:2009 ou </w:t>
            </w:r>
            <w:r w:rsidRPr="00F03B9A">
              <w:rPr>
                <w:rFonts w:asciiTheme="majorBidi" w:hAnsiTheme="majorBidi" w:cstheme="majorBidi"/>
                <w:bCs/>
                <w:iCs/>
                <w:sz w:val="20"/>
                <w:szCs w:val="20"/>
              </w:rPr>
              <w:br/>
              <w:t>EN ISO 11117:2019</w:t>
            </w:r>
          </w:p>
        </w:tc>
        <w:tc>
          <w:tcPr>
            <w:tcW w:w="4399" w:type="dxa"/>
            <w:tcBorders>
              <w:top w:val="single" w:sz="4" w:space="0" w:color="auto"/>
              <w:left w:val="single" w:sz="4" w:space="0" w:color="auto"/>
              <w:bottom w:val="single" w:sz="4" w:space="0" w:color="auto"/>
              <w:right w:val="single" w:sz="4" w:space="0" w:color="auto"/>
            </w:tcBorders>
            <w:hideMark/>
          </w:tcPr>
          <w:p w14:paraId="383F326A" w14:textId="77777777" w:rsidR="0018481E" w:rsidRPr="00F03B9A" w:rsidRDefault="0018481E" w:rsidP="0018481E">
            <w:pPr>
              <w:spacing w:before="60" w:after="60"/>
              <w:ind w:left="57" w:right="57"/>
              <w:rPr>
                <w:rFonts w:asciiTheme="majorBidi" w:hAnsiTheme="majorBidi" w:cstheme="majorBidi"/>
                <w:bCs/>
                <w:iCs/>
                <w:sz w:val="20"/>
                <w:szCs w:val="20"/>
              </w:rPr>
            </w:pPr>
            <w:r w:rsidRPr="00F03B9A">
              <w:rPr>
                <w:rFonts w:asciiTheme="majorBidi" w:hAnsiTheme="majorBidi" w:cstheme="majorBidi"/>
                <w:bCs/>
                <w:iCs/>
                <w:sz w:val="20"/>
                <w:szCs w:val="20"/>
              </w:rPr>
              <w:t>Bouteilles à gaz − Chapeaux fermés et chapeaux ouverts de protection des robinets − Conception, construction et essais</w:t>
            </w:r>
          </w:p>
        </w:tc>
      </w:tr>
      <w:tr w:rsidR="0018481E" w:rsidRPr="00F03B9A" w14:paraId="16412BDE" w14:textId="77777777" w:rsidTr="0018481E">
        <w:tc>
          <w:tcPr>
            <w:tcW w:w="1413" w:type="dxa"/>
            <w:vMerge/>
            <w:tcBorders>
              <w:top w:val="single" w:sz="4" w:space="0" w:color="auto"/>
              <w:left w:val="single" w:sz="4" w:space="0" w:color="auto"/>
              <w:bottom w:val="single" w:sz="4" w:space="0" w:color="auto"/>
              <w:right w:val="single" w:sz="4" w:space="0" w:color="auto"/>
            </w:tcBorders>
            <w:vAlign w:val="center"/>
            <w:hideMark/>
          </w:tcPr>
          <w:p w14:paraId="5690864C" w14:textId="77777777" w:rsidR="0018481E" w:rsidRPr="00F03B9A" w:rsidRDefault="0018481E" w:rsidP="0018481E">
            <w:pPr>
              <w:suppressAutoHyphens w:val="0"/>
              <w:kinsoku/>
              <w:overflowPunct/>
              <w:autoSpaceDE/>
              <w:autoSpaceDN/>
              <w:adjustRightInd/>
              <w:snapToGrid/>
              <w:spacing w:line="276" w:lineRule="auto"/>
              <w:rPr>
                <w:rFonts w:asciiTheme="majorBidi" w:hAnsiTheme="majorBidi" w:cstheme="majorBidi"/>
                <w:bCs/>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17CFF89" w14:textId="77777777" w:rsidR="0018481E" w:rsidRPr="00F03B9A" w:rsidRDefault="0018481E" w:rsidP="0018481E">
            <w:pPr>
              <w:spacing w:before="60" w:after="60"/>
              <w:ind w:left="57" w:right="57"/>
              <w:rPr>
                <w:rFonts w:asciiTheme="majorBidi" w:hAnsiTheme="majorBidi" w:cstheme="majorBidi"/>
                <w:bCs/>
                <w:iCs/>
                <w:sz w:val="20"/>
                <w:szCs w:val="20"/>
              </w:rPr>
            </w:pPr>
            <w:r w:rsidRPr="00F03B9A">
              <w:rPr>
                <w:rFonts w:asciiTheme="majorBidi" w:hAnsiTheme="majorBidi" w:cstheme="majorBidi"/>
                <w:bCs/>
                <w:iCs/>
                <w:sz w:val="20"/>
                <w:szCs w:val="20"/>
              </w:rPr>
              <w:t>EN 962:1996 +A2:2000</w:t>
            </w:r>
          </w:p>
        </w:tc>
        <w:tc>
          <w:tcPr>
            <w:tcW w:w="4399" w:type="dxa"/>
            <w:tcBorders>
              <w:top w:val="single" w:sz="4" w:space="0" w:color="auto"/>
              <w:left w:val="single" w:sz="4" w:space="0" w:color="auto"/>
              <w:bottom w:val="single" w:sz="4" w:space="0" w:color="auto"/>
              <w:right w:val="single" w:sz="4" w:space="0" w:color="auto"/>
            </w:tcBorders>
            <w:hideMark/>
          </w:tcPr>
          <w:p w14:paraId="3363C9CA" w14:textId="77777777" w:rsidR="0018481E" w:rsidRPr="00F03B9A" w:rsidRDefault="0018481E" w:rsidP="0018481E">
            <w:pPr>
              <w:spacing w:before="60" w:after="60"/>
              <w:ind w:left="57" w:right="57"/>
              <w:rPr>
                <w:rFonts w:asciiTheme="majorBidi" w:hAnsiTheme="majorBidi" w:cstheme="majorBidi"/>
                <w:bCs/>
                <w:iCs/>
                <w:spacing w:val="-2"/>
                <w:sz w:val="20"/>
                <w:szCs w:val="20"/>
              </w:rPr>
            </w:pPr>
            <w:r w:rsidRPr="00F03B9A">
              <w:rPr>
                <w:rFonts w:asciiTheme="majorBidi" w:hAnsiTheme="majorBidi" w:cstheme="majorBidi"/>
                <w:bCs/>
                <w:iCs/>
                <w:spacing w:val="-2"/>
                <w:sz w:val="20"/>
                <w:szCs w:val="20"/>
              </w:rPr>
              <w:t>Bouteilles à gaz transportables − Chapeaux fermés et chapeaux ouverts de protection des robinets de bouteilles à gaz industriels et médicaux − Conception, construction et essais</w:t>
            </w:r>
          </w:p>
        </w:tc>
      </w:tr>
      <w:tr w:rsidR="0018481E" w:rsidRPr="00F03B9A" w14:paraId="205AEBA7" w14:textId="77777777" w:rsidTr="0018481E">
        <w:tc>
          <w:tcPr>
            <w:tcW w:w="1413" w:type="dxa"/>
            <w:tcBorders>
              <w:top w:val="single" w:sz="4" w:space="0" w:color="auto"/>
              <w:left w:val="single" w:sz="4" w:space="0" w:color="auto"/>
              <w:bottom w:val="single" w:sz="4" w:space="0" w:color="auto"/>
              <w:right w:val="single" w:sz="4" w:space="0" w:color="auto"/>
            </w:tcBorders>
            <w:hideMark/>
          </w:tcPr>
          <w:p w14:paraId="5D3CAEB0"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4.1.6.8 c)</w:t>
            </w:r>
          </w:p>
        </w:tc>
        <w:tc>
          <w:tcPr>
            <w:tcW w:w="7092" w:type="dxa"/>
            <w:gridSpan w:val="2"/>
            <w:tcBorders>
              <w:top w:val="single" w:sz="4" w:space="0" w:color="auto"/>
              <w:left w:val="single" w:sz="4" w:space="0" w:color="auto"/>
              <w:bottom w:val="single" w:sz="4" w:space="0" w:color="auto"/>
              <w:right w:val="single" w:sz="4" w:space="0" w:color="auto"/>
            </w:tcBorders>
            <w:hideMark/>
          </w:tcPr>
          <w:p w14:paraId="7C067F9F" w14:textId="77777777" w:rsidR="0018481E" w:rsidRPr="00F03B9A" w:rsidRDefault="0018481E" w:rsidP="0018481E">
            <w:pPr>
              <w:spacing w:before="60" w:after="60"/>
              <w:ind w:left="57" w:right="57"/>
              <w:rPr>
                <w:rFonts w:asciiTheme="majorBidi" w:hAnsiTheme="majorBidi" w:cstheme="majorBidi"/>
                <w:bCs/>
                <w:iCs/>
                <w:sz w:val="20"/>
                <w:szCs w:val="20"/>
              </w:rPr>
            </w:pPr>
            <w:r w:rsidRPr="00F03B9A">
              <w:rPr>
                <w:rFonts w:asciiTheme="majorBidi" w:hAnsiTheme="majorBidi" w:cstheme="majorBidi"/>
                <w:bCs/>
                <w:iCs/>
                <w:sz w:val="20"/>
                <w:szCs w:val="20"/>
              </w:rPr>
              <w:t xml:space="preserve">Les prescriptions pour les collerettes et les dispositifs de protection inamovibles servant à protéger le robinet conformément au 4.1.6.8 c) sont indiquées dans les normes applicables de conception de l’enveloppe des récipients à pression (voir 6.2.2.3 pour les récipients à pression « UN » et 6.2.4.1 pour les récipients à pression </w:t>
            </w:r>
            <w:r w:rsidRPr="00F03B9A">
              <w:rPr>
                <w:rFonts w:asciiTheme="majorBidi" w:hAnsiTheme="majorBidi" w:cstheme="majorBidi"/>
                <w:bCs/>
                <w:sz w:val="20"/>
                <w:szCs w:val="20"/>
              </w:rPr>
              <w:t>« non UN »</w:t>
            </w:r>
            <w:r w:rsidRPr="00F03B9A">
              <w:rPr>
                <w:rFonts w:asciiTheme="majorBidi" w:hAnsiTheme="majorBidi" w:cstheme="majorBidi"/>
                <w:bCs/>
                <w:iCs/>
                <w:sz w:val="20"/>
                <w:szCs w:val="20"/>
              </w:rPr>
              <w:t>).</w:t>
            </w:r>
          </w:p>
        </w:tc>
      </w:tr>
      <w:tr w:rsidR="0018481E" w:rsidRPr="00F03B9A" w14:paraId="7D8364AB" w14:textId="77777777" w:rsidTr="0018481E">
        <w:tc>
          <w:tcPr>
            <w:tcW w:w="1413" w:type="dxa"/>
            <w:tcBorders>
              <w:top w:val="single" w:sz="4" w:space="0" w:color="auto"/>
              <w:left w:val="single" w:sz="4" w:space="0" w:color="auto"/>
              <w:bottom w:val="single" w:sz="4" w:space="0" w:color="auto"/>
              <w:right w:val="single" w:sz="4" w:space="0" w:color="auto"/>
            </w:tcBorders>
            <w:hideMark/>
          </w:tcPr>
          <w:p w14:paraId="5B0F26EE"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4.1.6.8 b) et c)</w:t>
            </w:r>
          </w:p>
        </w:tc>
        <w:tc>
          <w:tcPr>
            <w:tcW w:w="2693" w:type="dxa"/>
            <w:tcBorders>
              <w:top w:val="single" w:sz="4" w:space="0" w:color="auto"/>
              <w:left w:val="single" w:sz="4" w:space="0" w:color="auto"/>
              <w:bottom w:val="single" w:sz="4" w:space="0" w:color="auto"/>
              <w:right w:val="single" w:sz="4" w:space="0" w:color="auto"/>
            </w:tcBorders>
            <w:hideMark/>
          </w:tcPr>
          <w:p w14:paraId="6F555A51"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ISO 16111:2008 ou</w:t>
            </w:r>
          </w:p>
          <w:p w14:paraId="3876B7CF" w14:textId="77777777" w:rsidR="0018481E" w:rsidRPr="00F03B9A" w:rsidRDefault="0018481E" w:rsidP="0018481E">
            <w:pPr>
              <w:spacing w:before="60" w:after="60"/>
              <w:ind w:left="57" w:right="57"/>
              <w:rPr>
                <w:rFonts w:asciiTheme="majorBidi" w:hAnsiTheme="majorBidi" w:cstheme="majorBidi"/>
                <w:bCs/>
                <w:sz w:val="20"/>
                <w:szCs w:val="20"/>
              </w:rPr>
            </w:pPr>
            <w:r w:rsidRPr="00F03B9A">
              <w:rPr>
                <w:rFonts w:asciiTheme="majorBidi" w:hAnsiTheme="majorBidi" w:cstheme="majorBidi"/>
                <w:bCs/>
                <w:sz w:val="20"/>
                <w:szCs w:val="20"/>
              </w:rPr>
              <w:t>ISO 16111:2018</w:t>
            </w:r>
          </w:p>
        </w:tc>
        <w:tc>
          <w:tcPr>
            <w:tcW w:w="4399" w:type="dxa"/>
            <w:tcBorders>
              <w:top w:val="single" w:sz="4" w:space="0" w:color="auto"/>
              <w:left w:val="single" w:sz="4" w:space="0" w:color="auto"/>
              <w:bottom w:val="single" w:sz="4" w:space="0" w:color="auto"/>
              <w:right w:val="single" w:sz="4" w:space="0" w:color="auto"/>
            </w:tcBorders>
            <w:hideMark/>
          </w:tcPr>
          <w:p w14:paraId="3D7646B5" w14:textId="77777777" w:rsidR="0018481E" w:rsidRPr="00F03B9A" w:rsidRDefault="0018481E" w:rsidP="0018481E">
            <w:pPr>
              <w:spacing w:before="60" w:after="60"/>
              <w:ind w:left="57" w:right="57"/>
              <w:rPr>
                <w:rFonts w:asciiTheme="majorBidi" w:hAnsiTheme="majorBidi" w:cstheme="majorBidi"/>
                <w:bCs/>
                <w:sz w:val="20"/>
                <w:szCs w:val="20"/>
                <w:u w:val="single"/>
              </w:rPr>
            </w:pPr>
            <w:r w:rsidRPr="00F03B9A">
              <w:rPr>
                <w:rFonts w:asciiTheme="majorBidi" w:hAnsiTheme="majorBidi" w:cstheme="majorBidi"/>
                <w:bCs/>
                <w:sz w:val="20"/>
                <w:szCs w:val="20"/>
              </w:rPr>
              <w:t>Appareils de stockage de gaz transportables − Hydrogène absorbé dans un hydrure métallique réversible</w:t>
            </w:r>
          </w:p>
        </w:tc>
      </w:tr>
    </w:tbl>
    <w:p w14:paraId="34B9E8EF" w14:textId="77777777" w:rsidR="0018481E" w:rsidRPr="00F03B9A" w:rsidRDefault="0018481E" w:rsidP="0018481E">
      <w:pPr>
        <w:pStyle w:val="SingleTxtG"/>
        <w:ind w:right="282"/>
        <w:rPr>
          <w:bCs/>
          <w:iCs/>
          <w:lang w:val="fr-FR"/>
        </w:rPr>
      </w:pPr>
      <w:r w:rsidRPr="00F03B9A">
        <w:rPr>
          <w:bCs/>
          <w:lang w:val="fr-FR"/>
        </w:rPr>
        <w:t> ».</w:t>
      </w:r>
    </w:p>
    <w:p w14:paraId="0D1E9BA7" w14:textId="77777777" w:rsidR="0018481E" w:rsidRPr="00F03B9A" w:rsidRDefault="0018481E" w:rsidP="0018481E">
      <w:pPr>
        <w:pStyle w:val="H1G"/>
        <w:rPr>
          <w:lang w:val="fr-FR"/>
        </w:rPr>
      </w:pPr>
      <w:r w:rsidRPr="00F03B9A">
        <w:rPr>
          <w:lang w:val="fr-FR"/>
        </w:rPr>
        <w:tab/>
      </w:r>
      <w:r w:rsidRPr="00F03B9A">
        <w:rPr>
          <w:lang w:val="fr-FR"/>
        </w:rPr>
        <w:tab/>
        <w:t>Chapitre 4.3</w:t>
      </w:r>
    </w:p>
    <w:p w14:paraId="1DF8E9AC" w14:textId="1BC80E92" w:rsidR="0018481E" w:rsidRPr="007F2609" w:rsidRDefault="0018481E" w:rsidP="007F2609">
      <w:pPr>
        <w:pStyle w:val="SingleTxtG"/>
        <w:ind w:left="2268" w:hanging="1134"/>
      </w:pPr>
      <w:r w:rsidRPr="007F2609">
        <w:t>4.3.4.1.3</w:t>
      </w:r>
      <w:r w:rsidRPr="007F2609">
        <w:tab/>
        <w:t>Dans le tableau, sous « Classe 5.1 », pour le No ONU 2426, modifier le nom et la description pour lire comme suit :</w:t>
      </w:r>
      <w:r w:rsidR="001A74DB" w:rsidRPr="007F2609">
        <w:t xml:space="preserve"> </w:t>
      </w:r>
      <w:r w:rsidRPr="007F2609">
        <w:t>« NITRATE D'AMMONIUM LIQUIDE, solution chaude concentrée ».</w:t>
      </w:r>
    </w:p>
    <w:p w14:paraId="250EA9B9" w14:textId="77777777" w:rsidR="0018481E" w:rsidRPr="00F03B9A" w:rsidRDefault="0018481E" w:rsidP="0018481E">
      <w:pPr>
        <w:pStyle w:val="H1G"/>
        <w:rPr>
          <w:lang w:val="fr-FR"/>
        </w:rPr>
      </w:pPr>
      <w:r w:rsidRPr="00F03B9A">
        <w:rPr>
          <w:lang w:val="fr-FR"/>
        </w:rPr>
        <w:tab/>
      </w:r>
      <w:r w:rsidRPr="00F03B9A">
        <w:rPr>
          <w:lang w:val="fr-FR"/>
        </w:rPr>
        <w:tab/>
        <w:t>Chapitre 5.4</w:t>
      </w:r>
    </w:p>
    <w:p w14:paraId="3E91DD72" w14:textId="77777777" w:rsidR="0018481E" w:rsidRPr="00F03B9A" w:rsidRDefault="0018481E" w:rsidP="007F2609">
      <w:pPr>
        <w:pStyle w:val="SingleTxtG"/>
        <w:ind w:left="2268" w:hanging="1134"/>
        <w:rPr>
          <w:bCs/>
          <w:lang w:val="fr-FR"/>
        </w:rPr>
      </w:pPr>
      <w:r w:rsidRPr="00F03B9A">
        <w:rPr>
          <w:bCs/>
          <w:lang w:val="fr-FR"/>
        </w:rPr>
        <w:t>5.4.1.1.3</w:t>
      </w:r>
      <w:r w:rsidRPr="00F03B9A">
        <w:rPr>
          <w:bCs/>
          <w:lang w:val="fr-FR"/>
        </w:rPr>
        <w:tab/>
        <w:t>Renuméroter en tant que 5.4.1.1.3.1.</w:t>
      </w:r>
    </w:p>
    <w:p w14:paraId="7CE943F0" w14:textId="6CFD1887" w:rsidR="0018481E" w:rsidRPr="00F03B9A" w:rsidRDefault="007F2609" w:rsidP="007F2609">
      <w:pPr>
        <w:pStyle w:val="SingleTxtG"/>
        <w:ind w:left="2268" w:hanging="1134"/>
        <w:rPr>
          <w:bCs/>
          <w:iCs/>
          <w:lang w:val="fr-FR"/>
        </w:rPr>
      </w:pPr>
      <w:r>
        <w:rPr>
          <w:bCs/>
          <w:iCs/>
          <w:lang w:val="fr-FR"/>
        </w:rPr>
        <w:tab/>
      </w:r>
      <w:r w:rsidR="0018481E" w:rsidRPr="00F03B9A">
        <w:rPr>
          <w:bCs/>
          <w:iCs/>
          <w:lang w:val="fr-FR"/>
        </w:rPr>
        <w:t>Insérer le nouveau 5.4.1.1.3.2 suivant :</w:t>
      </w:r>
    </w:p>
    <w:p w14:paraId="1BE0531D" w14:textId="77777777" w:rsidR="0018481E" w:rsidRPr="00F03B9A" w:rsidRDefault="0018481E" w:rsidP="007F2609">
      <w:pPr>
        <w:pStyle w:val="SingleTxtG"/>
        <w:ind w:left="3402" w:right="1133" w:hanging="1134"/>
        <w:rPr>
          <w:bCs/>
          <w:iCs/>
          <w:lang w:val="fr-FR"/>
        </w:rPr>
      </w:pPr>
      <w:r w:rsidRPr="00F03B9A">
        <w:rPr>
          <w:bCs/>
          <w:iCs/>
          <w:lang w:val="fr-FR"/>
        </w:rPr>
        <w:lastRenderedPageBreak/>
        <w:t>« 5.4.1.1.3.2</w:t>
      </w:r>
      <w:r w:rsidRPr="00F03B9A">
        <w:rPr>
          <w:bCs/>
          <w:iCs/>
          <w:lang w:val="fr-FR"/>
        </w:rPr>
        <w:tab/>
        <w:t>S’il est impossible de mesurer la quantité exacte de déchets transportés sur le lieu de chargement, la quantité visée au 5.4.1.1.1 f) peut être estimée dans les cas suivants selon les conditions suivantes :</w:t>
      </w:r>
    </w:p>
    <w:p w14:paraId="07E13C02" w14:textId="5D3858CB" w:rsidR="0018481E" w:rsidRPr="00F03B9A" w:rsidRDefault="0018481E" w:rsidP="007F2609">
      <w:pPr>
        <w:pStyle w:val="SingleTxtG"/>
        <w:ind w:left="3828" w:right="1133" w:hanging="426"/>
        <w:rPr>
          <w:bCs/>
          <w:iCs/>
          <w:lang w:val="fr-FR"/>
        </w:rPr>
      </w:pPr>
      <w:r w:rsidRPr="00F03B9A">
        <w:rPr>
          <w:bCs/>
          <w:iCs/>
          <w:lang w:val="fr-FR"/>
        </w:rPr>
        <w:t>(a)</w:t>
      </w:r>
      <w:r w:rsidRPr="00F03B9A">
        <w:rPr>
          <w:bCs/>
          <w:iCs/>
          <w:lang w:val="fr-FR"/>
        </w:rPr>
        <w:tab/>
      </w:r>
      <w:r w:rsidR="001A74DB" w:rsidRPr="00F03B9A">
        <w:rPr>
          <w:bCs/>
          <w:iCs/>
          <w:lang w:val="fr-FR"/>
        </w:rPr>
        <w:t xml:space="preserve">Pour </w:t>
      </w:r>
      <w:r w:rsidRPr="00F03B9A">
        <w:rPr>
          <w:bCs/>
          <w:iCs/>
          <w:lang w:val="fr-FR"/>
        </w:rPr>
        <w:t>les emballages, une liste des emballages précisant leur type et leur volume nominal est ajoutée au document de transport ;</w:t>
      </w:r>
    </w:p>
    <w:p w14:paraId="66C7BC3E" w14:textId="63AFB142" w:rsidR="0018481E" w:rsidRPr="00F03B9A" w:rsidRDefault="0018481E" w:rsidP="007F2609">
      <w:pPr>
        <w:pStyle w:val="SingleTxtG"/>
        <w:ind w:left="3828" w:right="1133" w:hanging="426"/>
        <w:rPr>
          <w:bCs/>
          <w:iCs/>
          <w:lang w:val="fr-FR"/>
        </w:rPr>
      </w:pPr>
      <w:r w:rsidRPr="00F03B9A">
        <w:rPr>
          <w:bCs/>
          <w:iCs/>
          <w:lang w:val="fr-FR"/>
        </w:rPr>
        <w:t>(b)</w:t>
      </w:r>
      <w:r w:rsidRPr="00F03B9A">
        <w:rPr>
          <w:bCs/>
          <w:iCs/>
          <w:lang w:val="fr-FR"/>
        </w:rPr>
        <w:tab/>
      </w:r>
      <w:r w:rsidR="001A74DB" w:rsidRPr="00F03B9A">
        <w:rPr>
          <w:bCs/>
          <w:iCs/>
          <w:lang w:val="fr-FR"/>
        </w:rPr>
        <w:t xml:space="preserve">Pour </w:t>
      </w:r>
      <w:r w:rsidRPr="00F03B9A">
        <w:rPr>
          <w:bCs/>
          <w:iCs/>
          <w:lang w:val="fr-FR"/>
        </w:rPr>
        <w:t>les conteneurs, l’estimation se base sur leur volume nominal et les autres informations disponibles, par exemple le type de déchets, la densité moyenne, le taux de remplissage ;</w:t>
      </w:r>
    </w:p>
    <w:p w14:paraId="178D741D" w14:textId="63E9F367" w:rsidR="0018481E" w:rsidRPr="00F03B9A" w:rsidRDefault="0018481E" w:rsidP="007F2609">
      <w:pPr>
        <w:pStyle w:val="SingleTxtG"/>
        <w:ind w:left="3828" w:right="1133" w:hanging="426"/>
        <w:rPr>
          <w:bCs/>
          <w:iCs/>
          <w:lang w:val="fr-FR"/>
        </w:rPr>
      </w:pPr>
      <w:r w:rsidRPr="00F03B9A">
        <w:rPr>
          <w:bCs/>
          <w:iCs/>
          <w:lang w:val="fr-FR"/>
        </w:rPr>
        <w:t>(c)</w:t>
      </w:r>
      <w:r w:rsidRPr="00F03B9A">
        <w:rPr>
          <w:bCs/>
          <w:iCs/>
          <w:lang w:val="fr-FR"/>
        </w:rPr>
        <w:tab/>
      </w:r>
      <w:r w:rsidR="001A74DB" w:rsidRPr="00F03B9A">
        <w:rPr>
          <w:bCs/>
          <w:iCs/>
          <w:lang w:val="fr-FR"/>
        </w:rPr>
        <w:t xml:space="preserve">Pour </w:t>
      </w:r>
      <w:r w:rsidRPr="00F03B9A">
        <w:rPr>
          <w:bCs/>
          <w:iCs/>
          <w:lang w:val="fr-FR"/>
        </w:rPr>
        <w:t>les citernes à déchets opérant sous vide, l’estimation est justifiée, par exemple au moyen d’une estimation fournie par l’expéditeur ou par les équipements du véhicule.</w:t>
      </w:r>
    </w:p>
    <w:p w14:paraId="28AC2AFE" w14:textId="77777777" w:rsidR="0018481E" w:rsidRPr="00F03B9A" w:rsidRDefault="0018481E" w:rsidP="007F2609">
      <w:pPr>
        <w:pStyle w:val="SingleTxtG"/>
        <w:ind w:left="3828" w:right="1133" w:hanging="426"/>
        <w:rPr>
          <w:bCs/>
          <w:iCs/>
          <w:lang w:val="fr-FR"/>
        </w:rPr>
      </w:pPr>
      <w:r w:rsidRPr="00F03B9A">
        <w:rPr>
          <w:bCs/>
          <w:iCs/>
          <w:lang w:val="fr-FR"/>
        </w:rPr>
        <w:t>Une telle estimation de la quantité n’est pas autorisée pour :</w:t>
      </w:r>
    </w:p>
    <w:p w14:paraId="6FFA1D6D" w14:textId="5A56BDC1" w:rsidR="0018481E" w:rsidRPr="00F03B9A" w:rsidRDefault="0018481E" w:rsidP="007F2609">
      <w:pPr>
        <w:pStyle w:val="SingleTxtG"/>
        <w:ind w:left="3828" w:right="1133" w:hanging="426"/>
        <w:rPr>
          <w:bCs/>
          <w:iCs/>
          <w:lang w:val="fr-FR"/>
        </w:rPr>
      </w:pPr>
      <w:r w:rsidRPr="00F03B9A">
        <w:rPr>
          <w:bCs/>
          <w:iCs/>
          <w:lang w:val="fr-FR"/>
        </w:rPr>
        <w:t>-</w:t>
      </w:r>
      <w:r w:rsidRPr="00F03B9A">
        <w:rPr>
          <w:bCs/>
          <w:iCs/>
          <w:lang w:val="fr-FR"/>
        </w:rPr>
        <w:tab/>
      </w:r>
      <w:r w:rsidR="001A74DB" w:rsidRPr="00F03B9A">
        <w:rPr>
          <w:bCs/>
          <w:iCs/>
          <w:lang w:val="fr-FR"/>
        </w:rPr>
        <w:t xml:space="preserve">Les </w:t>
      </w:r>
      <w:r w:rsidRPr="00F03B9A">
        <w:rPr>
          <w:bCs/>
          <w:iCs/>
          <w:lang w:val="fr-FR"/>
        </w:rPr>
        <w:t>exemptions pour lesquelles la quantité exacte est essentielle (par exemple 1.1.3.6) ;</w:t>
      </w:r>
    </w:p>
    <w:p w14:paraId="6947BF8D" w14:textId="7F75D29D" w:rsidR="0018481E" w:rsidRPr="00F03B9A" w:rsidRDefault="0018481E" w:rsidP="007F2609">
      <w:pPr>
        <w:pStyle w:val="SingleTxtG"/>
        <w:ind w:left="3828" w:right="1133" w:hanging="426"/>
        <w:rPr>
          <w:bCs/>
          <w:iCs/>
          <w:lang w:val="fr-FR"/>
        </w:rPr>
      </w:pPr>
      <w:r w:rsidRPr="00F03B9A">
        <w:rPr>
          <w:bCs/>
          <w:iCs/>
          <w:lang w:val="fr-FR"/>
        </w:rPr>
        <w:t>-</w:t>
      </w:r>
      <w:r w:rsidRPr="00F03B9A">
        <w:rPr>
          <w:bCs/>
          <w:iCs/>
          <w:lang w:val="fr-FR"/>
        </w:rPr>
        <w:tab/>
      </w:r>
      <w:r w:rsidR="001A74DB" w:rsidRPr="00F03B9A">
        <w:rPr>
          <w:bCs/>
          <w:iCs/>
          <w:lang w:val="fr-FR"/>
        </w:rPr>
        <w:t xml:space="preserve">Les </w:t>
      </w:r>
      <w:r w:rsidRPr="00F03B9A">
        <w:rPr>
          <w:bCs/>
          <w:iCs/>
          <w:lang w:val="fr-FR"/>
        </w:rPr>
        <w:t xml:space="preserve">déchets contenant les matières visées au 2.1.3.5.3 </w:t>
      </w:r>
      <w:r w:rsidR="001A74DB" w:rsidRPr="00F03B9A">
        <w:rPr>
          <w:bCs/>
          <w:iCs/>
          <w:lang w:val="fr-FR"/>
        </w:rPr>
        <w:t>ou</w:t>
      </w:r>
      <w:r w:rsidRPr="00F03B9A">
        <w:rPr>
          <w:bCs/>
          <w:iCs/>
          <w:lang w:val="fr-FR"/>
        </w:rPr>
        <w:t xml:space="preserve"> les matières de la classe 4.3 ;</w:t>
      </w:r>
    </w:p>
    <w:p w14:paraId="008C863A" w14:textId="77C76EEF" w:rsidR="0018481E" w:rsidRPr="00F03B9A" w:rsidRDefault="0018481E" w:rsidP="007F2609">
      <w:pPr>
        <w:pStyle w:val="SingleTxtG"/>
        <w:ind w:left="3828" w:right="1133" w:hanging="426"/>
        <w:rPr>
          <w:bCs/>
          <w:iCs/>
          <w:lang w:val="fr-FR"/>
        </w:rPr>
      </w:pPr>
      <w:r w:rsidRPr="00F03B9A">
        <w:rPr>
          <w:bCs/>
          <w:iCs/>
          <w:lang w:val="fr-FR"/>
        </w:rPr>
        <w:t>-</w:t>
      </w:r>
      <w:r w:rsidRPr="00F03B9A">
        <w:rPr>
          <w:bCs/>
          <w:iCs/>
          <w:lang w:val="fr-FR"/>
        </w:rPr>
        <w:tab/>
      </w:r>
      <w:r w:rsidR="001A74DB" w:rsidRPr="00F03B9A">
        <w:rPr>
          <w:bCs/>
          <w:iCs/>
          <w:lang w:val="fr-FR"/>
        </w:rPr>
        <w:t xml:space="preserve">Les </w:t>
      </w:r>
      <w:r w:rsidRPr="00F03B9A">
        <w:rPr>
          <w:bCs/>
          <w:iCs/>
          <w:lang w:val="fr-FR"/>
        </w:rPr>
        <w:t>citernes autres que les citernes à déchets opérant sous vide.</w:t>
      </w:r>
    </w:p>
    <w:p w14:paraId="2A06182B" w14:textId="77777777" w:rsidR="0018481E" w:rsidRPr="00F03B9A" w:rsidRDefault="0018481E" w:rsidP="007F2609">
      <w:pPr>
        <w:pStyle w:val="SingleTxtG"/>
        <w:ind w:left="3828" w:right="1133" w:hanging="426"/>
        <w:rPr>
          <w:bCs/>
          <w:iCs/>
          <w:lang w:val="fr-FR"/>
        </w:rPr>
      </w:pPr>
      <w:r w:rsidRPr="00F03B9A">
        <w:rPr>
          <w:bCs/>
          <w:iCs/>
          <w:lang w:val="fr-FR"/>
        </w:rPr>
        <w:t>[Le document de transport doit porter la mention suivante :</w:t>
      </w:r>
    </w:p>
    <w:p w14:paraId="46D9ECD5" w14:textId="77777777" w:rsidR="0018481E" w:rsidRPr="00F03B9A" w:rsidRDefault="0018481E" w:rsidP="007F2609">
      <w:pPr>
        <w:pStyle w:val="SingleTxtG"/>
        <w:ind w:left="3402" w:right="1133"/>
        <w:rPr>
          <w:bCs/>
          <w:iCs/>
          <w:lang w:val="fr-FR"/>
        </w:rPr>
      </w:pPr>
      <w:r w:rsidRPr="00F03B9A">
        <w:rPr>
          <w:bCs/>
          <w:iCs/>
          <w:lang w:val="fr-FR"/>
        </w:rPr>
        <w:t>« QUANTITÉ ESTIMÉE CONFORMÉMENT AU 5.4.1.1.3.2 ».] ».</w:t>
      </w:r>
    </w:p>
    <w:p w14:paraId="2895EDF4" w14:textId="116CDAE4" w:rsidR="0018481E" w:rsidRPr="007F2609" w:rsidRDefault="0018481E" w:rsidP="007F2609">
      <w:pPr>
        <w:pStyle w:val="SingleTxtG"/>
        <w:ind w:left="2268" w:hanging="1134"/>
      </w:pPr>
      <w:r w:rsidRPr="007F2609">
        <w:t>5.4.2</w:t>
      </w:r>
      <w:r w:rsidRPr="007F2609">
        <w:tab/>
        <w:t>Dans le premier paragraphe, à la fin, remplacer « avec le document de transport » par</w:t>
      </w:r>
      <w:r w:rsidR="001A74DB" w:rsidRPr="007F2609">
        <w:t xml:space="preserve"> </w:t>
      </w:r>
      <w:r w:rsidRPr="007F2609">
        <w:t>« au transporteur maritime par les responsables de l’empotage du conteneur. ».</w:t>
      </w:r>
    </w:p>
    <w:p w14:paraId="2F17DE8B" w14:textId="68BBE925" w:rsidR="0018481E" w:rsidRPr="007F2609" w:rsidRDefault="0018481E" w:rsidP="007F2609">
      <w:pPr>
        <w:pStyle w:val="SingleTxtG"/>
        <w:ind w:left="2268" w:hanging="1134"/>
      </w:pPr>
      <w:r w:rsidRPr="007F2609">
        <w:tab/>
        <w:t>Dans la première phrase du deuxième paragraphe, après « Un document unique », insérer</w:t>
      </w:r>
      <w:r w:rsidR="001A74DB" w:rsidRPr="007F2609">
        <w:t xml:space="preserve"> </w:t>
      </w:r>
      <w:r w:rsidRPr="007F2609">
        <w:t>« (voir par exemple 5.4.5) ».</w:t>
      </w:r>
    </w:p>
    <w:p w14:paraId="2E23F791" w14:textId="3E664F85" w:rsidR="0018481E" w:rsidRPr="007F2609" w:rsidRDefault="0018481E" w:rsidP="007F2609">
      <w:pPr>
        <w:pStyle w:val="SingleTxtG"/>
        <w:ind w:left="2268" w:hanging="1134"/>
      </w:pPr>
      <w:r w:rsidRPr="007F2609">
        <w:tab/>
        <w:t>À la fin de la première phrase du deuxième paragraphe, supprimer</w:t>
      </w:r>
      <w:r w:rsidR="001A74DB" w:rsidRPr="007F2609">
        <w:t xml:space="preserve"> </w:t>
      </w:r>
      <w:r w:rsidRPr="007F2609">
        <w:t>« ; dans le cas contraire, ces documents doivent être attachés ».</w:t>
      </w:r>
    </w:p>
    <w:p w14:paraId="2612D13A" w14:textId="6E198AED" w:rsidR="0018481E" w:rsidRPr="007F2609" w:rsidRDefault="0018481E" w:rsidP="007F2609">
      <w:pPr>
        <w:pStyle w:val="SingleTxtG"/>
        <w:ind w:left="2268" w:hanging="1134"/>
      </w:pPr>
      <w:r w:rsidRPr="007F2609">
        <w:tab/>
        <w:t>Dans la deuxième phrase du deuxième paragraphe, remplacer « doit remplir » par</w:t>
      </w:r>
      <w:r w:rsidR="001A74DB" w:rsidRPr="007F2609">
        <w:t xml:space="preserve"> </w:t>
      </w:r>
      <w:r w:rsidRPr="007F2609">
        <w:t>« remplit ».</w:t>
      </w:r>
    </w:p>
    <w:p w14:paraId="3AF16075" w14:textId="64F39CA2" w:rsidR="0018481E" w:rsidRPr="007F2609" w:rsidRDefault="0018481E" w:rsidP="007F2609">
      <w:pPr>
        <w:pStyle w:val="SingleTxtG"/>
        <w:ind w:left="2268" w:hanging="1134"/>
      </w:pPr>
      <w:r w:rsidRPr="007F2609">
        <w:tab/>
        <w:t>Supprimer le nota figurant après le deuxième paragraphe.</w:t>
      </w:r>
    </w:p>
    <w:p w14:paraId="12B2400A" w14:textId="096B0CE2" w:rsidR="0018481E" w:rsidRPr="007F2609" w:rsidRDefault="0018481E" w:rsidP="007F2609">
      <w:pPr>
        <w:pStyle w:val="SingleTxtG"/>
        <w:ind w:left="2268" w:hanging="1134"/>
      </w:pPr>
      <w:r w:rsidRPr="007F2609">
        <w:tab/>
        <w:t>Dans le dernier paragraphe, remplacer « peut être fourni » par</w:t>
      </w:r>
      <w:r w:rsidR="001A74DB" w:rsidRPr="007F2609">
        <w:t xml:space="preserve"> </w:t>
      </w:r>
      <w:r w:rsidRPr="007F2609">
        <w:t>« peut également être fourni ».</w:t>
      </w:r>
    </w:p>
    <w:p w14:paraId="7C68188F" w14:textId="77777777" w:rsidR="0018481E" w:rsidRPr="00F03B9A" w:rsidRDefault="0018481E" w:rsidP="0018481E">
      <w:pPr>
        <w:pStyle w:val="H1G"/>
        <w:rPr>
          <w:lang w:val="fr-FR"/>
        </w:rPr>
      </w:pPr>
      <w:r w:rsidRPr="00F03B9A">
        <w:rPr>
          <w:lang w:val="fr-FR"/>
        </w:rPr>
        <w:tab/>
      </w:r>
      <w:r w:rsidRPr="00F03B9A">
        <w:rPr>
          <w:lang w:val="fr-FR"/>
        </w:rPr>
        <w:tab/>
        <w:t>Chapitre 6.2</w:t>
      </w:r>
    </w:p>
    <w:p w14:paraId="408324CE" w14:textId="13FBB037" w:rsidR="0018481E" w:rsidRPr="007F2609" w:rsidRDefault="0018481E" w:rsidP="007F2609">
      <w:pPr>
        <w:pStyle w:val="SingleTxtG"/>
        <w:ind w:left="2268" w:hanging="1134"/>
      </w:pPr>
      <w:r w:rsidRPr="007F2609">
        <w:t>6.2.3.1.5</w:t>
      </w:r>
      <w:r w:rsidRPr="007F2609">
        <w:tab/>
        <w:t>Modifier comme suit :</w:t>
      </w:r>
    </w:p>
    <w:p w14:paraId="0227BA3F" w14:textId="65A72EE3" w:rsidR="0018481E" w:rsidRPr="007F2609" w:rsidRDefault="007F2609" w:rsidP="007F2609">
      <w:pPr>
        <w:pStyle w:val="SingleTxtG"/>
        <w:ind w:left="2268" w:hanging="1134"/>
      </w:pPr>
      <w:r>
        <w:tab/>
      </w:r>
      <w:r w:rsidR="0018481E" w:rsidRPr="007F2609">
        <w:t>« Les bouteilles d’acétylène ne peuvent être munies de bouchons fusibles ou d’autres dispositifs de décompression. ».</w:t>
      </w:r>
    </w:p>
    <w:p w14:paraId="0799389C" w14:textId="2233CDE6" w:rsidR="0018481E" w:rsidRPr="007F2609" w:rsidRDefault="0018481E" w:rsidP="007F2609">
      <w:pPr>
        <w:pStyle w:val="SingleTxtG"/>
        <w:ind w:left="2268" w:hanging="1134"/>
      </w:pPr>
      <w:r w:rsidRPr="007F2609">
        <w:t>6.2.4.1</w:t>
      </w:r>
      <w:r w:rsidRPr="007F2609">
        <w:tab/>
        <w:t>Dans le tableau, sous « pour la conception et la fabrication » :</w:t>
      </w:r>
    </w:p>
    <w:p w14:paraId="2F2F8676" w14:textId="576FB3B1" w:rsidR="0018481E" w:rsidRPr="007F2609" w:rsidRDefault="0018481E" w:rsidP="007F2609">
      <w:pPr>
        <w:pStyle w:val="SingleTxtG"/>
        <w:ind w:left="2268" w:hanging="1134"/>
      </w:pPr>
      <w:r w:rsidRPr="007F2609">
        <w:tab/>
        <w:t>Pour la norme « EN ISO 7866:2012 + AC:2014 », dans la colonne (4), remplacer « Jusqu’à nouvel ordre » par</w:t>
      </w:r>
      <w:r w:rsidR="007F2609">
        <w:t xml:space="preserve"> </w:t>
      </w:r>
      <w:r w:rsidRPr="007F2609">
        <w:t>« Entre le 1er janvier 2015 et le 31 décembre 2024 ».</w:t>
      </w:r>
    </w:p>
    <w:p w14:paraId="4D462E9D" w14:textId="734D80FD" w:rsidR="0018481E" w:rsidRPr="007F2609" w:rsidRDefault="0018481E" w:rsidP="007F2609">
      <w:pPr>
        <w:pStyle w:val="SingleTxtG"/>
        <w:ind w:left="2268" w:hanging="1134"/>
      </w:pPr>
      <w:r w:rsidRPr="007F2609">
        <w:tab/>
        <w:t>Après la ligne pour la norme « EN ISO 7866:2012 + AC:2014 », ajouter la nouvelle ligne suivante :</w:t>
      </w:r>
    </w:p>
    <w:p w14:paraId="18771D65" w14:textId="77777777" w:rsidR="0018481E" w:rsidRPr="007F2609" w:rsidRDefault="0018481E" w:rsidP="007F2609">
      <w:pPr>
        <w:pStyle w:val="SingleTxtG"/>
        <w:ind w:left="2268" w:hanging="1134"/>
      </w:pPr>
      <w:r w:rsidRPr="007F2609">
        <w:lastRenderedPageBreak/>
        <w:t>«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3"/>
        <w:gridCol w:w="1012"/>
        <w:gridCol w:w="956"/>
        <w:gridCol w:w="725"/>
      </w:tblGrid>
      <w:tr w:rsidR="0018481E" w:rsidRPr="00F03B9A" w14:paraId="08779190" w14:textId="77777777" w:rsidTr="0018481E">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AF75CC" w14:textId="77777777" w:rsidR="0018481E" w:rsidRPr="00F03B9A" w:rsidRDefault="0018481E" w:rsidP="0018481E">
            <w:pPr>
              <w:widowControl w:val="0"/>
              <w:ind w:right="282"/>
              <w:jc w:val="center"/>
              <w:rPr>
                <w:rFonts w:cs="Arial"/>
                <w:bCs/>
              </w:rPr>
            </w:pPr>
            <w:r w:rsidRPr="00F03B9A">
              <w:rPr>
                <w:rFonts w:cs="Arial"/>
                <w:bCs/>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46DF3C" w14:textId="77777777" w:rsidR="0018481E" w:rsidRPr="00F03B9A" w:rsidRDefault="0018481E" w:rsidP="0018481E">
            <w:pPr>
              <w:widowControl w:val="0"/>
              <w:ind w:right="282"/>
              <w:jc w:val="center"/>
              <w:rPr>
                <w:rFonts w:cs="Arial"/>
                <w:bCs/>
              </w:rPr>
            </w:pPr>
            <w:r w:rsidRPr="00F03B9A">
              <w:rPr>
                <w:rFonts w:cs="Arial"/>
                <w:bCs/>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EEEF9D" w14:textId="77777777" w:rsidR="0018481E" w:rsidRPr="00F03B9A" w:rsidRDefault="0018481E" w:rsidP="0018481E">
            <w:pPr>
              <w:widowControl w:val="0"/>
              <w:ind w:right="282"/>
              <w:jc w:val="center"/>
              <w:rPr>
                <w:rFonts w:cs="Arial"/>
                <w:bCs/>
              </w:rPr>
            </w:pPr>
            <w:r w:rsidRPr="00F03B9A">
              <w:rPr>
                <w:rFonts w:cs="Arial"/>
                <w:bCs/>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6B4CAE" w14:textId="77777777" w:rsidR="0018481E" w:rsidRPr="00F03B9A" w:rsidRDefault="0018481E" w:rsidP="0018481E">
            <w:pPr>
              <w:widowControl w:val="0"/>
              <w:ind w:right="282"/>
              <w:jc w:val="center"/>
              <w:rPr>
                <w:rFonts w:cs="Arial"/>
                <w:bCs/>
              </w:rPr>
            </w:pPr>
            <w:r w:rsidRPr="00F03B9A">
              <w:rPr>
                <w:rFonts w:cs="Arial"/>
                <w:bCs/>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695F3D" w14:textId="77777777" w:rsidR="0018481E" w:rsidRPr="00F03B9A" w:rsidRDefault="0018481E" w:rsidP="0018481E">
            <w:pPr>
              <w:widowControl w:val="0"/>
              <w:ind w:right="282"/>
              <w:jc w:val="center"/>
              <w:rPr>
                <w:rFonts w:cs="Arial"/>
                <w:bCs/>
              </w:rPr>
            </w:pPr>
            <w:r w:rsidRPr="00F03B9A">
              <w:rPr>
                <w:rFonts w:cs="Arial"/>
                <w:bCs/>
              </w:rPr>
              <w:t>(5)</w:t>
            </w:r>
          </w:p>
        </w:tc>
      </w:tr>
      <w:tr w:rsidR="0018481E" w:rsidRPr="00F03B9A" w14:paraId="64D123DC" w14:textId="77777777" w:rsidTr="0018481E">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17F217" w14:textId="77777777" w:rsidR="0018481E" w:rsidRPr="00F03B9A" w:rsidRDefault="0018481E" w:rsidP="0018481E">
            <w:pPr>
              <w:widowControl w:val="0"/>
              <w:ind w:right="282"/>
              <w:rPr>
                <w:rFonts w:asciiTheme="majorBidi" w:hAnsiTheme="majorBidi" w:cstheme="majorBidi"/>
                <w:bCs/>
                <w:sz w:val="20"/>
                <w:szCs w:val="20"/>
              </w:rPr>
            </w:pPr>
            <w:r w:rsidRPr="00F03B9A">
              <w:rPr>
                <w:rFonts w:asciiTheme="majorBidi" w:hAnsiTheme="majorBidi" w:cstheme="majorBidi"/>
                <w:bCs/>
                <w:sz w:val="20"/>
                <w:szCs w:val="20"/>
              </w:rPr>
              <w:t>EN ISO 7866:2012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AF3FB6" w14:textId="77777777" w:rsidR="0018481E" w:rsidRPr="00F03B9A" w:rsidRDefault="0018481E" w:rsidP="0018481E">
            <w:pPr>
              <w:widowControl w:val="0"/>
              <w:ind w:right="282"/>
              <w:rPr>
                <w:rFonts w:asciiTheme="majorBidi" w:hAnsiTheme="majorBidi" w:cstheme="majorBidi"/>
                <w:bCs/>
                <w:sz w:val="20"/>
                <w:szCs w:val="20"/>
              </w:rPr>
            </w:pPr>
            <w:r w:rsidRPr="00F03B9A">
              <w:rPr>
                <w:rFonts w:asciiTheme="majorBidi" w:hAnsiTheme="majorBidi" w:cstheme="majorBidi"/>
                <w:bCs/>
                <w:sz w:val="20"/>
                <w:szCs w:val="20"/>
              </w:rPr>
              <w:t>Bouteilles à gaz - Bouteilles à gaz sans soudure en alliage d’aluminium destinées à être rechargées - Conception, construction et essais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2BFD91" w14:textId="77777777" w:rsidR="0018481E" w:rsidRPr="00F03B9A" w:rsidRDefault="0018481E" w:rsidP="0018481E">
            <w:pPr>
              <w:widowControl w:val="0"/>
              <w:ind w:right="282"/>
              <w:rPr>
                <w:rFonts w:asciiTheme="majorBidi" w:hAnsiTheme="majorBidi" w:cstheme="majorBidi"/>
                <w:bCs/>
                <w:sz w:val="20"/>
                <w:szCs w:val="20"/>
              </w:rPr>
            </w:pPr>
            <w:r w:rsidRPr="00F03B9A">
              <w:rPr>
                <w:rFonts w:asciiTheme="majorBidi" w:hAnsiTheme="majorBidi" w:cstheme="majorBidi"/>
                <w:bCs/>
                <w:sz w:val="20"/>
                <w:szCs w:val="20"/>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AB4BFC" w14:textId="77777777" w:rsidR="0018481E" w:rsidRPr="00F03B9A" w:rsidRDefault="0018481E" w:rsidP="001A74DB">
            <w:pPr>
              <w:widowControl w:val="0"/>
              <w:ind w:right="123"/>
              <w:jc w:val="center"/>
              <w:rPr>
                <w:rFonts w:asciiTheme="majorBidi" w:hAnsiTheme="majorBidi" w:cstheme="majorBidi"/>
                <w:bCs/>
                <w:sz w:val="20"/>
                <w:szCs w:val="20"/>
              </w:rPr>
            </w:pPr>
            <w:r w:rsidRPr="00F03B9A">
              <w:rPr>
                <w:rFonts w:asciiTheme="majorBidi" w:hAnsiTheme="majorBidi" w:cstheme="majorBidi"/>
                <w:bCs/>
                <w:sz w:val="20"/>
                <w:szCs w:val="20"/>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8EF81D" w14:textId="77777777" w:rsidR="0018481E" w:rsidRPr="00F03B9A" w:rsidRDefault="0018481E" w:rsidP="0018481E">
            <w:pPr>
              <w:widowControl w:val="0"/>
              <w:ind w:right="282"/>
              <w:rPr>
                <w:rFonts w:asciiTheme="majorBidi" w:hAnsiTheme="majorBidi" w:cstheme="majorBidi"/>
                <w:bCs/>
                <w:sz w:val="20"/>
                <w:szCs w:val="20"/>
              </w:rPr>
            </w:pPr>
          </w:p>
        </w:tc>
      </w:tr>
    </w:tbl>
    <w:p w14:paraId="46599905" w14:textId="77777777" w:rsidR="0018481E" w:rsidRPr="00F03B9A" w:rsidRDefault="0018481E" w:rsidP="0018481E">
      <w:pPr>
        <w:pStyle w:val="SingleTxtG"/>
        <w:ind w:right="282"/>
        <w:rPr>
          <w:bCs/>
          <w:lang w:val="fr-FR"/>
        </w:rPr>
      </w:pPr>
      <w:r w:rsidRPr="00F03B9A">
        <w:rPr>
          <w:bCs/>
          <w:lang w:val="fr-FR"/>
        </w:rPr>
        <w:t> ».</w:t>
      </w:r>
    </w:p>
    <w:p w14:paraId="765041E9" w14:textId="65CE8F17" w:rsidR="0018481E" w:rsidRPr="007F2609" w:rsidRDefault="007F2609" w:rsidP="007F2609">
      <w:pPr>
        <w:pStyle w:val="SingleTxtG"/>
        <w:ind w:left="2268" w:hanging="1134"/>
      </w:pPr>
      <w:r>
        <w:tab/>
      </w:r>
      <w:r w:rsidR="0018481E" w:rsidRPr="007F2609">
        <w:t>[Pour la norme « EN 12245:2002 », dans la colonne (2), insérer le nota suivant :</w:t>
      </w:r>
    </w:p>
    <w:p w14:paraId="7FFD7376" w14:textId="405464E2" w:rsidR="0018481E" w:rsidRPr="007F2609" w:rsidRDefault="007F2609" w:rsidP="007F2609">
      <w:pPr>
        <w:pStyle w:val="SingleTxtG"/>
        <w:ind w:left="2268" w:hanging="1134"/>
      </w:pPr>
      <w:r>
        <w:tab/>
      </w:r>
      <w:r w:rsidR="0018481E" w:rsidRPr="007F2609">
        <w:t>« </w:t>
      </w:r>
      <w:r w:rsidR="0018481E" w:rsidRPr="007F2609">
        <w:rPr>
          <w:b/>
          <w:bCs/>
          <w:i/>
          <w:iCs/>
        </w:rPr>
        <w:t>NOTA :</w:t>
      </w:r>
      <w:r w:rsidR="0018481E" w:rsidRPr="007F2609">
        <w:rPr>
          <w:i/>
          <w:iCs/>
        </w:rPr>
        <w:tab/>
        <w:t>Cette norme ne doit pas être utilisée pour les gaz classés comme GPL.</w:t>
      </w:r>
      <w:r w:rsidR="0018481E" w:rsidRPr="007F2609">
        <w:t> ».</w:t>
      </w:r>
    </w:p>
    <w:p w14:paraId="6E48C8EF" w14:textId="2FC27DDA" w:rsidR="0018481E" w:rsidRPr="007F2609" w:rsidRDefault="007F2609" w:rsidP="007F2609">
      <w:pPr>
        <w:pStyle w:val="SingleTxtG"/>
        <w:ind w:left="2268" w:hanging="1134"/>
      </w:pPr>
      <w:r>
        <w:tab/>
      </w:r>
      <w:r w:rsidR="0018481E" w:rsidRPr="007F2609">
        <w:t>Pour la norme « EN 12245:2002 », dans la colonne (5), insérer</w:t>
      </w:r>
      <w:r>
        <w:t xml:space="preserve"> </w:t>
      </w:r>
      <w:r w:rsidR="0018481E" w:rsidRPr="007F2609">
        <w:t>« 31 décembre 2023, pour les bouteilles pour GPL. ».</w:t>
      </w:r>
    </w:p>
    <w:p w14:paraId="79517D72" w14:textId="5362EEA2" w:rsidR="0018481E" w:rsidRPr="007F2609" w:rsidRDefault="007F2609" w:rsidP="007F2609">
      <w:pPr>
        <w:pStyle w:val="SingleTxtG"/>
        <w:ind w:left="2268" w:hanging="1134"/>
      </w:pPr>
      <w:r>
        <w:tab/>
      </w:r>
      <w:r w:rsidR="0018481E" w:rsidRPr="007F2609">
        <w:t>Pour la norme « EN 12245:2009 + A1:2011 », dans la colonne (2), numéroter le nota existant en tant que nota 1 et insérer le nouveau nota 2 suivant :</w:t>
      </w:r>
    </w:p>
    <w:p w14:paraId="46466BBC" w14:textId="15699FE9" w:rsidR="0018481E" w:rsidRPr="007F2609" w:rsidRDefault="007F2609" w:rsidP="007F2609">
      <w:pPr>
        <w:pStyle w:val="SingleTxtG"/>
        <w:ind w:left="2268" w:hanging="1134"/>
      </w:pPr>
      <w:r>
        <w:tab/>
      </w:r>
      <w:r w:rsidR="0018481E" w:rsidRPr="007F2609">
        <w:t>« </w:t>
      </w:r>
      <w:r w:rsidR="0018481E" w:rsidRPr="007F2609">
        <w:rPr>
          <w:b/>
          <w:bCs/>
          <w:i/>
          <w:iCs/>
        </w:rPr>
        <w:t>NOTA 2 :</w:t>
      </w:r>
      <w:r w:rsidR="0018481E" w:rsidRPr="007F2609">
        <w:rPr>
          <w:i/>
          <w:iCs/>
        </w:rPr>
        <w:tab/>
        <w:t>Cette norme ne doit pas être utilisée pour les gaz classés comme GPL.</w:t>
      </w:r>
      <w:r w:rsidR="0018481E" w:rsidRPr="007F2609">
        <w:t> ».</w:t>
      </w:r>
    </w:p>
    <w:p w14:paraId="0F3D405B" w14:textId="766E8EAB" w:rsidR="0018481E" w:rsidRPr="007F2609" w:rsidRDefault="007F2609" w:rsidP="007F2609">
      <w:pPr>
        <w:pStyle w:val="SingleTxtG"/>
        <w:ind w:left="2268" w:hanging="1134"/>
      </w:pPr>
      <w:r>
        <w:tab/>
      </w:r>
      <w:r w:rsidR="0018481E" w:rsidRPr="007F2609">
        <w:t>Pour la norme « EN 12245:2009 + A1:2011 », dans la colonne (5), insérer</w:t>
      </w:r>
      <w:r>
        <w:t xml:space="preserve"> </w:t>
      </w:r>
      <w:r w:rsidR="0018481E" w:rsidRPr="007F2609">
        <w:t>« 31 décembre 2023, pour les bouteilles pour GPL. ».]</w:t>
      </w:r>
    </w:p>
    <w:p w14:paraId="4C8B8EE8" w14:textId="678BDFDC" w:rsidR="0018481E" w:rsidRPr="007F2609" w:rsidRDefault="007F2609" w:rsidP="007F2609">
      <w:pPr>
        <w:pStyle w:val="SingleTxtG"/>
        <w:ind w:left="2268" w:hanging="1134"/>
      </w:pPr>
      <w:r>
        <w:tab/>
      </w:r>
      <w:r w:rsidR="0018481E" w:rsidRPr="007F2609">
        <w:t>Pour la norme « EN ISO 11118:2015 », dans la colonne (4), remplacer « Jusqu’à nouvel ordre » par</w:t>
      </w:r>
      <w:r>
        <w:t xml:space="preserve"> </w:t>
      </w:r>
      <w:r w:rsidR="0018481E" w:rsidRPr="007F2609">
        <w:t>« Entre le 1er janvier 2017 et le 31 décembre 2024 ».</w:t>
      </w:r>
    </w:p>
    <w:p w14:paraId="20F6303A" w14:textId="7C17F7F9" w:rsidR="0018481E" w:rsidRPr="007F2609" w:rsidRDefault="007F2609" w:rsidP="007F2609">
      <w:pPr>
        <w:pStyle w:val="SingleTxtG"/>
        <w:ind w:left="2268" w:hanging="1134"/>
      </w:pPr>
      <w:r>
        <w:tab/>
      </w:r>
      <w:r w:rsidR="0018481E" w:rsidRPr="007F2609">
        <w:t>Après la ligne pour la norme « EN ISO 11118:2015 », ajouter la nouvelle ligne suivante :</w:t>
      </w:r>
    </w:p>
    <w:p w14:paraId="1FA4E1A9" w14:textId="77777777" w:rsidR="0018481E" w:rsidRPr="007F2609" w:rsidRDefault="0018481E" w:rsidP="007F2609">
      <w:pPr>
        <w:pStyle w:val="SingleTxtG"/>
        <w:ind w:left="2268" w:hanging="1134"/>
      </w:pPr>
      <w:r w:rsidRPr="007F2609">
        <w:t>« </w:t>
      </w:r>
    </w:p>
    <w:tbl>
      <w:tblPr>
        <w:tblW w:w="816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4"/>
        <w:gridCol w:w="1012"/>
        <w:gridCol w:w="956"/>
        <w:gridCol w:w="664"/>
      </w:tblGrid>
      <w:tr w:rsidR="0018481E" w:rsidRPr="00F03B9A" w14:paraId="4F88E4F2" w14:textId="77777777" w:rsidTr="0018481E">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371D9E7" w14:textId="77777777" w:rsidR="0018481E" w:rsidRPr="00F03B9A" w:rsidRDefault="0018481E" w:rsidP="0018481E">
            <w:pPr>
              <w:widowControl w:val="0"/>
              <w:ind w:right="282"/>
              <w:jc w:val="center"/>
              <w:rPr>
                <w:rFonts w:cs="Arial"/>
                <w:bCs/>
              </w:rPr>
            </w:pPr>
            <w:r w:rsidRPr="00F03B9A">
              <w:rPr>
                <w:rFonts w:cs="Arial"/>
                <w:bCs/>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C12DAA" w14:textId="77777777" w:rsidR="0018481E" w:rsidRPr="00F03B9A" w:rsidRDefault="0018481E" w:rsidP="0018481E">
            <w:pPr>
              <w:widowControl w:val="0"/>
              <w:ind w:right="282"/>
              <w:jc w:val="center"/>
              <w:rPr>
                <w:rFonts w:cs="Arial"/>
                <w:bCs/>
              </w:rPr>
            </w:pPr>
            <w:r w:rsidRPr="00F03B9A">
              <w:rPr>
                <w:rFonts w:cs="Arial"/>
                <w:bCs/>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0195D2" w14:textId="77777777" w:rsidR="0018481E" w:rsidRPr="00F03B9A" w:rsidRDefault="0018481E" w:rsidP="0018481E">
            <w:pPr>
              <w:widowControl w:val="0"/>
              <w:ind w:right="282"/>
              <w:jc w:val="center"/>
              <w:rPr>
                <w:rFonts w:cs="Arial"/>
                <w:bCs/>
              </w:rPr>
            </w:pPr>
            <w:r w:rsidRPr="00F03B9A">
              <w:rPr>
                <w:rFonts w:cs="Arial"/>
                <w:bCs/>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DD6292" w14:textId="77777777" w:rsidR="0018481E" w:rsidRPr="00F03B9A" w:rsidRDefault="0018481E" w:rsidP="0018481E">
            <w:pPr>
              <w:widowControl w:val="0"/>
              <w:ind w:right="282"/>
              <w:jc w:val="center"/>
              <w:rPr>
                <w:rFonts w:cs="Arial"/>
                <w:bCs/>
              </w:rPr>
            </w:pPr>
            <w:r w:rsidRPr="00F03B9A">
              <w:rPr>
                <w:rFonts w:cs="Arial"/>
                <w:bCs/>
              </w:rPr>
              <w:t>(4)</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1B473E" w14:textId="77777777" w:rsidR="0018481E" w:rsidRPr="00F03B9A" w:rsidRDefault="0018481E" w:rsidP="0018481E">
            <w:pPr>
              <w:widowControl w:val="0"/>
              <w:ind w:right="282"/>
              <w:jc w:val="center"/>
              <w:rPr>
                <w:rFonts w:cs="Arial"/>
                <w:bCs/>
              </w:rPr>
            </w:pPr>
            <w:r w:rsidRPr="00F03B9A">
              <w:rPr>
                <w:rFonts w:cs="Arial"/>
                <w:bCs/>
              </w:rPr>
              <w:t>(5)</w:t>
            </w:r>
          </w:p>
        </w:tc>
      </w:tr>
      <w:tr w:rsidR="0018481E" w:rsidRPr="00F03B9A" w14:paraId="55BAA2DB" w14:textId="77777777" w:rsidTr="0018481E">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C4066F" w14:textId="77777777" w:rsidR="0018481E" w:rsidRPr="00F03B9A" w:rsidRDefault="0018481E" w:rsidP="0018481E">
            <w:pPr>
              <w:widowControl w:val="0"/>
              <w:ind w:right="282"/>
              <w:rPr>
                <w:rFonts w:asciiTheme="majorBidi" w:hAnsiTheme="majorBidi" w:cstheme="majorBidi"/>
                <w:bCs/>
                <w:sz w:val="20"/>
                <w:szCs w:val="20"/>
              </w:rPr>
            </w:pPr>
            <w:r w:rsidRPr="00F03B9A">
              <w:rPr>
                <w:rFonts w:asciiTheme="majorBidi" w:hAnsiTheme="majorBidi" w:cstheme="majorBidi"/>
                <w:bCs/>
                <w:sz w:val="20"/>
                <w:szCs w:val="20"/>
              </w:rPr>
              <w:t>EN ISO 11118:2015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37A717" w14:textId="77777777" w:rsidR="0018481E" w:rsidRPr="00F03B9A" w:rsidRDefault="0018481E" w:rsidP="0018481E">
            <w:pPr>
              <w:widowControl w:val="0"/>
              <w:ind w:right="282"/>
              <w:rPr>
                <w:rFonts w:asciiTheme="majorBidi" w:hAnsiTheme="majorBidi" w:cstheme="majorBidi"/>
                <w:bCs/>
                <w:sz w:val="20"/>
                <w:szCs w:val="20"/>
              </w:rPr>
            </w:pPr>
            <w:r w:rsidRPr="00F03B9A">
              <w:rPr>
                <w:rFonts w:asciiTheme="majorBidi" w:hAnsiTheme="majorBidi" w:cstheme="majorBidi"/>
                <w:bCs/>
                <w:sz w:val="20"/>
                <w:szCs w:val="20"/>
              </w:rPr>
              <w:t>Bouteilles à gaz - Bouteilles à gaz métalliques non rechargeables - Spécifications et méthodes d'essai</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12043C" w14:textId="77777777" w:rsidR="0018481E" w:rsidRPr="00F03B9A" w:rsidRDefault="0018481E" w:rsidP="0018481E">
            <w:pPr>
              <w:widowControl w:val="0"/>
              <w:ind w:right="282"/>
              <w:rPr>
                <w:rFonts w:asciiTheme="majorBidi" w:hAnsiTheme="majorBidi" w:cstheme="majorBidi"/>
                <w:bCs/>
                <w:sz w:val="20"/>
                <w:szCs w:val="20"/>
              </w:rPr>
            </w:pPr>
            <w:r w:rsidRPr="00F03B9A">
              <w:rPr>
                <w:rFonts w:asciiTheme="majorBidi" w:hAnsiTheme="majorBidi" w:cstheme="majorBidi"/>
                <w:bCs/>
                <w:sz w:val="20"/>
                <w:szCs w:val="20"/>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0393455" w14:textId="77777777" w:rsidR="0018481E" w:rsidRPr="00F03B9A" w:rsidRDefault="0018481E" w:rsidP="001A74DB">
            <w:pPr>
              <w:widowControl w:val="0"/>
              <w:ind w:right="-19"/>
              <w:jc w:val="center"/>
              <w:rPr>
                <w:rFonts w:asciiTheme="majorBidi" w:hAnsiTheme="majorBidi" w:cstheme="majorBidi"/>
                <w:bCs/>
                <w:sz w:val="20"/>
                <w:szCs w:val="20"/>
              </w:rPr>
            </w:pPr>
            <w:r w:rsidRPr="00F03B9A">
              <w:rPr>
                <w:rFonts w:asciiTheme="majorBidi" w:hAnsiTheme="majorBidi" w:cstheme="majorBidi"/>
                <w:bCs/>
                <w:sz w:val="20"/>
                <w:szCs w:val="20"/>
              </w:rPr>
              <w:t>Jusqu’à nouvel ordre</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99861C" w14:textId="77777777" w:rsidR="0018481E" w:rsidRPr="00F03B9A" w:rsidRDefault="0018481E" w:rsidP="0018481E">
            <w:pPr>
              <w:widowControl w:val="0"/>
              <w:ind w:right="282"/>
              <w:rPr>
                <w:rFonts w:asciiTheme="majorBidi" w:hAnsiTheme="majorBidi" w:cstheme="majorBidi"/>
                <w:bCs/>
                <w:sz w:val="20"/>
                <w:szCs w:val="20"/>
              </w:rPr>
            </w:pPr>
          </w:p>
        </w:tc>
      </w:tr>
    </w:tbl>
    <w:p w14:paraId="74069EB8" w14:textId="77777777" w:rsidR="0018481E" w:rsidRPr="00F03B9A" w:rsidRDefault="0018481E" w:rsidP="0018481E">
      <w:pPr>
        <w:pStyle w:val="SingleTxtG"/>
        <w:ind w:right="282"/>
        <w:rPr>
          <w:bCs/>
          <w:lang w:val="fr-FR"/>
        </w:rPr>
      </w:pPr>
      <w:r w:rsidRPr="00F03B9A">
        <w:rPr>
          <w:bCs/>
          <w:lang w:val="fr-FR"/>
        </w:rPr>
        <w:t> ».</w:t>
      </w:r>
    </w:p>
    <w:p w14:paraId="5D816701" w14:textId="7A8672D2" w:rsidR="0018481E" w:rsidRPr="007F2609" w:rsidRDefault="007F2609" w:rsidP="007F2609">
      <w:pPr>
        <w:pStyle w:val="SingleTxtG"/>
        <w:ind w:left="2268" w:hanging="1134"/>
      </w:pPr>
      <w:r>
        <w:tab/>
      </w:r>
      <w:r w:rsidR="0018481E" w:rsidRPr="007F2609">
        <w:t>Pour la norme « EN 14427:2004 + A1 :2005 », dans la colonne (5), insérer</w:t>
      </w:r>
      <w:r>
        <w:t xml:space="preserve"> </w:t>
      </w:r>
      <w:r w:rsidR="0018481E" w:rsidRPr="007F2609">
        <w:t>« 31 décembre 2023, pour les bouteilles sans liner constituées de deux pièces assemblées. ».</w:t>
      </w:r>
    </w:p>
    <w:p w14:paraId="48596B21" w14:textId="162760AA" w:rsidR="0018481E" w:rsidRPr="007F2609" w:rsidRDefault="007F2609" w:rsidP="007F2609">
      <w:pPr>
        <w:pStyle w:val="SingleTxtG"/>
        <w:ind w:left="2268" w:hanging="1134"/>
      </w:pPr>
      <w:r>
        <w:tab/>
      </w:r>
      <w:r w:rsidR="0018481E" w:rsidRPr="007F2609">
        <w:t>Pour la norme « EN 14427:2014 », dans la colonne (2), insérer le nota suivant :</w:t>
      </w:r>
    </w:p>
    <w:p w14:paraId="296F9BB2" w14:textId="7FB40FDA" w:rsidR="0018481E" w:rsidRPr="007F2609" w:rsidRDefault="007F2609" w:rsidP="007F2609">
      <w:pPr>
        <w:pStyle w:val="SingleTxtG"/>
        <w:ind w:left="2268" w:hanging="1134"/>
      </w:pPr>
      <w:r>
        <w:tab/>
      </w:r>
      <w:r w:rsidR="0018481E" w:rsidRPr="007F2609">
        <w:t>« </w:t>
      </w:r>
      <w:r w:rsidR="0018481E" w:rsidRPr="007F2609">
        <w:rPr>
          <w:b/>
          <w:bCs/>
          <w:i/>
          <w:iCs/>
        </w:rPr>
        <w:t>NOTA :</w:t>
      </w:r>
      <w:r w:rsidR="0018481E" w:rsidRPr="007F2609">
        <w:rPr>
          <w:i/>
          <w:iCs/>
        </w:rPr>
        <w:tab/>
        <w:t>Cette norme ne doit pas être utilisée pour les bouteilles sans liner constituées de deux pièces assemblées.</w:t>
      </w:r>
      <w:r w:rsidR="0018481E" w:rsidRPr="007F2609">
        <w:t> ».</w:t>
      </w:r>
    </w:p>
    <w:p w14:paraId="643CA369" w14:textId="5718C22F" w:rsidR="0018481E" w:rsidRPr="007F2609" w:rsidRDefault="007F2609" w:rsidP="007F2609">
      <w:pPr>
        <w:pStyle w:val="SingleTxtG"/>
        <w:ind w:left="2268" w:hanging="1134"/>
      </w:pPr>
      <w:r>
        <w:tab/>
      </w:r>
      <w:r w:rsidR="0018481E" w:rsidRPr="007F2609">
        <w:t>Pour la norme « EN 14427:2014 », dans la colonne (5), insérer</w:t>
      </w:r>
      <w:r>
        <w:t xml:space="preserve"> </w:t>
      </w:r>
      <w:r w:rsidR="0018481E" w:rsidRPr="007F2609">
        <w:t>« 31 décembre 2023, pour les bouteilles sans liner constituées de deux pièces assemblées. ».</w:t>
      </w:r>
    </w:p>
    <w:p w14:paraId="4BD0213D" w14:textId="5B728F46" w:rsidR="0018481E" w:rsidRPr="007F2609" w:rsidRDefault="0018481E" w:rsidP="007F2609">
      <w:pPr>
        <w:pStyle w:val="SingleTxtG"/>
        <w:ind w:left="2268" w:hanging="1134"/>
      </w:pPr>
      <w:r w:rsidRPr="007F2609">
        <w:t>6.2.5.4.2</w:t>
      </w:r>
      <w:r w:rsidRPr="007F2609">
        <w:tab/>
        <w:t>L’amendement dans le rapport ECE/TRANS/WP.15/</w:t>
      </w:r>
      <w:r w:rsidR="00EC569A" w:rsidRPr="007F2609">
        <w:t>251</w:t>
      </w:r>
      <w:r w:rsidR="003F285B" w:rsidRPr="007F2609">
        <w:t>, annexe I,</w:t>
      </w:r>
      <w:r w:rsidRPr="007F2609">
        <w:t xml:space="preserve"> reçoit la teneur suivante :</w:t>
      </w:r>
    </w:p>
    <w:p w14:paraId="044B57C1" w14:textId="6BDE564B" w:rsidR="0018481E" w:rsidRPr="007F2609" w:rsidRDefault="007F2609" w:rsidP="007F2609">
      <w:pPr>
        <w:pStyle w:val="SingleTxtG"/>
        <w:ind w:left="2268" w:hanging="1134"/>
      </w:pPr>
      <w:r>
        <w:tab/>
      </w:r>
      <w:r w:rsidR="0018481E" w:rsidRPr="007F2609">
        <w:t>6.2.5.4.2</w:t>
      </w:r>
      <w:r w:rsidR="0018481E" w:rsidRPr="007F2609">
        <w:tab/>
        <w:t>À la fin de la phrase, remplacer « EN 1975:1999 + A1:2003 » par :</w:t>
      </w:r>
      <w:r w:rsidR="001A74DB" w:rsidRPr="007F2609">
        <w:t xml:space="preserve"> </w:t>
      </w:r>
      <w:r w:rsidR="0018481E" w:rsidRPr="007F2609">
        <w:t>« EN ISO 7866:2012 + A1:2020».</w:t>
      </w:r>
    </w:p>
    <w:p w14:paraId="0BCEC098" w14:textId="77777777" w:rsidR="0018481E" w:rsidRPr="00F03B9A" w:rsidRDefault="0018481E" w:rsidP="0018481E">
      <w:pPr>
        <w:pStyle w:val="H1G"/>
        <w:rPr>
          <w:lang w:val="fr-FR"/>
        </w:rPr>
      </w:pPr>
      <w:r w:rsidRPr="00F03B9A">
        <w:rPr>
          <w:lang w:val="fr-FR"/>
        </w:rPr>
        <w:tab/>
      </w:r>
      <w:r w:rsidRPr="00F03B9A">
        <w:rPr>
          <w:lang w:val="fr-FR"/>
        </w:rPr>
        <w:tab/>
        <w:t>Chapitre 6.8</w:t>
      </w:r>
    </w:p>
    <w:p w14:paraId="65F35C8C" w14:textId="77777777" w:rsidR="0018481E" w:rsidRPr="007F2609" w:rsidRDefault="0018481E" w:rsidP="007F2609">
      <w:pPr>
        <w:pStyle w:val="SingleTxtG"/>
        <w:ind w:left="2268" w:hanging="1134"/>
      </w:pPr>
      <w:r w:rsidRPr="007F2609">
        <w:t>6.8.2.1.23</w:t>
      </w:r>
      <w:r w:rsidRPr="007F2609">
        <w:tab/>
        <w:t>Déplacer la dernière phrase du premier paragraphe à la fin du deuxième paragraphe.</w:t>
      </w:r>
    </w:p>
    <w:p w14:paraId="443255E7" w14:textId="57FDCB4F" w:rsidR="0018481E" w:rsidRPr="007F2609" w:rsidRDefault="0018481E" w:rsidP="007F2609">
      <w:pPr>
        <w:pStyle w:val="SingleTxtG"/>
        <w:ind w:left="2268" w:hanging="1134"/>
      </w:pPr>
      <w:r w:rsidRPr="007F2609">
        <w:tab/>
        <w:t>Avant le dernier paragraphe, ajouter le nouveau paragraphe suivant :</w:t>
      </w:r>
    </w:p>
    <w:p w14:paraId="5A166019" w14:textId="3E6D7C47" w:rsidR="0018481E" w:rsidRPr="007F2609" w:rsidRDefault="007F2609" w:rsidP="007F2609">
      <w:pPr>
        <w:pStyle w:val="SingleTxtG"/>
        <w:ind w:left="2268" w:hanging="1134"/>
      </w:pPr>
      <w:r>
        <w:lastRenderedPageBreak/>
        <w:tab/>
      </w:r>
      <w:r w:rsidR="0018481E" w:rsidRPr="007F2609">
        <w:t>« Les soudures réalisées au cours de réparations ou de modifications sont évaluées comme indiqué ci-dessus et conformément aux contrôles non destructifs spécifiés dans la ou les normes pertinentes telles que référencées au 6.8.2.6.2. ».</w:t>
      </w:r>
    </w:p>
    <w:p w14:paraId="4A9A007B" w14:textId="7760A313" w:rsidR="0018481E" w:rsidRPr="007F2609" w:rsidRDefault="0018481E" w:rsidP="007F2609">
      <w:pPr>
        <w:pStyle w:val="SingleTxtG"/>
        <w:ind w:left="2268" w:hanging="1134"/>
      </w:pPr>
      <w:r w:rsidRPr="007F2609">
        <w:t>6.8.2.2.2</w:t>
      </w:r>
      <w:r w:rsidRPr="007F2609">
        <w:tab/>
        <w:t>À la fin du septième paragraphe, ajouter une référence à la note de bas de page 9 libellée comme suit :</w:t>
      </w:r>
    </w:p>
    <w:p w14:paraId="11113B43" w14:textId="09457CD3" w:rsidR="0018481E" w:rsidRPr="007F2609" w:rsidRDefault="007F2609" w:rsidP="007F2609">
      <w:pPr>
        <w:pStyle w:val="SingleTxtG"/>
        <w:ind w:left="2268" w:hanging="1134"/>
      </w:pPr>
      <w:r>
        <w:tab/>
      </w:r>
      <w:r w:rsidR="0018481E" w:rsidRPr="007F2609">
        <w:t>« </w:t>
      </w:r>
      <w:r w:rsidR="0018481E" w:rsidRPr="007F2609">
        <w:rPr>
          <w:b/>
          <w:bCs/>
          <w:vertAlign w:val="superscript"/>
        </w:rPr>
        <w:t>9</w:t>
      </w:r>
      <w:r w:rsidR="0018481E" w:rsidRPr="007F2609">
        <w:tab/>
      </w:r>
      <w:r w:rsidR="0018481E" w:rsidRPr="007F2609">
        <w:rPr>
          <w:i/>
          <w:iCs/>
        </w:rPr>
        <w:t>Le mode de fonctionnement des systèmes de raccords secs est la fermeture automatique. Par conséquent, un indicateur d’ouverture/fermeture n’est pas nécessaire. Ce type de fermeture ne peut être utilisé que comme deuxième ou troisième fermeture.</w:t>
      </w:r>
      <w:r w:rsidR="0018481E" w:rsidRPr="007F2609">
        <w:t> ».</w:t>
      </w:r>
    </w:p>
    <w:p w14:paraId="7A3C356F" w14:textId="77777777" w:rsidR="0018481E" w:rsidRPr="007F2609" w:rsidRDefault="0018481E" w:rsidP="007F2609">
      <w:pPr>
        <w:pStyle w:val="SingleTxtG"/>
        <w:ind w:left="2268" w:hanging="1134"/>
      </w:pPr>
      <w:r w:rsidRPr="007F2609">
        <w:t>6.8.2.2.4</w:t>
      </w:r>
      <w:r w:rsidRPr="007F2609">
        <w:tab/>
        <w:t>Après la première phrase, dans la colonne de droite, insérer le nouveau paragraphe suivant :</w:t>
      </w:r>
    </w:p>
    <w:tbl>
      <w:tblPr>
        <w:tblStyle w:val="TableGrid"/>
        <w:tblW w:w="0" w:type="auto"/>
        <w:tblInd w:w="1134" w:type="dxa"/>
        <w:tblLook w:val="04A0" w:firstRow="1" w:lastRow="0" w:firstColumn="1" w:lastColumn="0" w:noHBand="0" w:noVBand="1"/>
      </w:tblPr>
      <w:tblGrid>
        <w:gridCol w:w="4158"/>
        <w:gridCol w:w="3213"/>
      </w:tblGrid>
      <w:tr w:rsidR="0018481E" w:rsidRPr="00F03B9A" w14:paraId="1E011E91" w14:textId="77777777" w:rsidTr="007F2609">
        <w:tc>
          <w:tcPr>
            <w:tcW w:w="4158" w:type="dxa"/>
            <w:tcBorders>
              <w:top w:val="nil"/>
              <w:left w:val="nil"/>
              <w:bottom w:val="nil"/>
            </w:tcBorders>
          </w:tcPr>
          <w:p w14:paraId="72DAE253" w14:textId="77777777" w:rsidR="0018481E" w:rsidRPr="00F03B9A" w:rsidRDefault="0018481E" w:rsidP="0018481E">
            <w:pPr>
              <w:pStyle w:val="SingleTxtG"/>
              <w:ind w:left="0"/>
              <w:rPr>
                <w:bCs/>
                <w:lang w:val="fr-FR"/>
              </w:rPr>
            </w:pPr>
          </w:p>
        </w:tc>
        <w:tc>
          <w:tcPr>
            <w:tcW w:w="3213" w:type="dxa"/>
            <w:tcBorders>
              <w:top w:val="nil"/>
              <w:bottom w:val="nil"/>
              <w:right w:val="nil"/>
            </w:tcBorders>
          </w:tcPr>
          <w:p w14:paraId="522985DC" w14:textId="77777777" w:rsidR="0018481E" w:rsidRPr="00F03B9A" w:rsidRDefault="0018481E" w:rsidP="0018481E">
            <w:pPr>
              <w:pStyle w:val="SingleTxtG"/>
              <w:ind w:left="84" w:right="274"/>
              <w:rPr>
                <w:bCs/>
                <w:lang w:val="fr-FR"/>
              </w:rPr>
            </w:pPr>
            <w:r w:rsidRPr="00F03B9A">
              <w:rPr>
                <w:rFonts w:asciiTheme="majorBidi" w:hAnsiTheme="majorBidi" w:cstheme="majorBidi"/>
                <w:bCs/>
                <w:color w:val="000000"/>
                <w:lang w:val="fr-FR" w:eastAsia="fr-FR"/>
              </w:rPr>
              <w:t>[« Pour les conteneurs-citernes d’une capacité de [plus de 40 000 litres / 36 000 kg de masse brute],</w:t>
            </w:r>
            <w:r w:rsidRPr="00F03B9A">
              <w:rPr>
                <w:rFonts w:asciiTheme="majorBidi" w:hAnsiTheme="majorBidi" w:cstheme="majorBidi"/>
                <w:bCs/>
              </w:rPr>
              <w:t xml:space="preserve"> </w:t>
            </w:r>
            <w:r w:rsidRPr="00F03B9A">
              <w:rPr>
                <w:rFonts w:asciiTheme="majorBidi" w:hAnsiTheme="majorBidi" w:cstheme="majorBidi"/>
                <w:bCs/>
                <w:color w:val="000000"/>
                <w:lang w:val="fr-FR" w:eastAsia="fr-FR"/>
              </w:rPr>
              <w:t>destinés au transport [de matières à l’état liquide] / [liquides], qui ne sont pas partagés en sections d’une capacité maximales de 7 500 litres au moyen de cloisons ou de brise-flots, ces ouvertures doivent être munies de fermetures qui sont conçues pour une pression d'épreuve d'au moins 0,4 MPa (4 bar). Les couvercles de dôme articulés pour ces conteneurs-citernes ayant une pression d'épreuve supérieure à 0,6 MPa (6 bar) ne sont pas autorisés. ».]</w:t>
            </w:r>
          </w:p>
        </w:tc>
      </w:tr>
    </w:tbl>
    <w:p w14:paraId="5A78A51A" w14:textId="77777777" w:rsidR="0018481E" w:rsidRPr="007F2609" w:rsidRDefault="0018481E" w:rsidP="007F2609">
      <w:pPr>
        <w:pStyle w:val="SingleTxtG"/>
        <w:ind w:left="2268" w:hanging="1134"/>
      </w:pPr>
      <w:r w:rsidRPr="007F2609">
        <w:t>6.8.2.4.3</w:t>
      </w:r>
      <w:r w:rsidRPr="007F2609">
        <w:tab/>
        <w:t>Au premier paragraphe, dans la première phrase, remplacer « tous les » par « au plus tard ».</w:t>
      </w:r>
    </w:p>
    <w:p w14:paraId="6162B60D" w14:textId="0B6BCC7B" w:rsidR="0018481E" w:rsidRPr="007F2609" w:rsidRDefault="0018481E" w:rsidP="007F2609">
      <w:pPr>
        <w:pStyle w:val="SingleTxtG"/>
        <w:ind w:left="2268" w:hanging="1134"/>
      </w:pPr>
      <w:r w:rsidRPr="007F2609">
        <w:tab/>
      </w:r>
      <w:r w:rsidRPr="007F2609">
        <w:tab/>
        <w:t>Au troisième paragraphe, remplacer « la date prévue » par « la date spécifiée » et remplacer « cette date » par « cette date anticipée ».</w:t>
      </w:r>
    </w:p>
    <w:p w14:paraId="471BB4C5" w14:textId="77777777" w:rsidR="0018481E" w:rsidRPr="007F2609" w:rsidRDefault="0018481E" w:rsidP="007F2609">
      <w:pPr>
        <w:pStyle w:val="SingleTxtG"/>
        <w:ind w:left="2268" w:hanging="1134"/>
      </w:pPr>
      <w:r w:rsidRPr="007F2609">
        <w:t>[6.8.2.6.2</w:t>
      </w:r>
      <w:r w:rsidRPr="007F2609">
        <w:tab/>
        <w:t>Modifier le tableau comme suit :</w:t>
      </w:r>
    </w:p>
    <w:p w14:paraId="0CF2D4A4" w14:textId="77777777" w:rsidR="0018481E" w:rsidRPr="007F2609" w:rsidRDefault="0018481E" w:rsidP="007F2609">
      <w:pPr>
        <w:pStyle w:val="SingleTxtG"/>
        <w:ind w:left="2268" w:hanging="1134"/>
      </w:pPr>
      <w:r w:rsidRPr="007F2609">
        <w:t>–</w:t>
      </w:r>
      <w:r w:rsidRPr="007F2609">
        <w:tab/>
        <w:t>Pour la norme « EN 12972:2018 », dans la colonne (3), avant « 6.8.2.4 », ajouter « 6.8.2.1.23 ».]</w:t>
      </w:r>
    </w:p>
    <w:p w14:paraId="208EE463" w14:textId="12545EBD" w:rsidR="0018481E" w:rsidRPr="007F2609" w:rsidRDefault="0018481E" w:rsidP="007F2609">
      <w:pPr>
        <w:pStyle w:val="SingleTxtG"/>
        <w:ind w:left="2268" w:hanging="1134"/>
      </w:pPr>
      <w:r w:rsidRPr="007F2609">
        <w:t>6.8.3.4.6</w:t>
      </w:r>
      <w:r w:rsidRPr="007F2609">
        <w:tab/>
        <w:t>Dans le rapport ECE/TRANS/WP.15/</w:t>
      </w:r>
      <w:r w:rsidR="00EC569A" w:rsidRPr="007F2609">
        <w:t>251</w:t>
      </w:r>
      <w:r w:rsidR="003F285B" w:rsidRPr="007F2609">
        <w:t>, annexe I</w:t>
      </w:r>
      <w:r w:rsidRPr="007F2609">
        <w:t>, remplacer l’amendement relatif au 6.8.3.4.6 par l’amendement suivant :</w:t>
      </w:r>
    </w:p>
    <w:p w14:paraId="24DC5B45" w14:textId="77777777" w:rsidR="0018481E" w:rsidRPr="007F2609" w:rsidRDefault="0018481E" w:rsidP="007F2609">
      <w:pPr>
        <w:pStyle w:val="SingleTxtG"/>
        <w:ind w:left="2268" w:hanging="1134"/>
      </w:pPr>
      <w:r w:rsidRPr="007F2609">
        <w:t>« 6.8.3.4.6</w:t>
      </w:r>
      <w:r w:rsidRPr="007F2609">
        <w:tab/>
        <w:t>Modifier comme suit :</w:t>
      </w:r>
    </w:p>
    <w:p w14:paraId="779F33CC" w14:textId="6ECE0CE0" w:rsidR="0018481E" w:rsidRPr="007F2609" w:rsidRDefault="007F2609" w:rsidP="007F2609">
      <w:pPr>
        <w:pStyle w:val="SingleTxtG"/>
        <w:ind w:left="2268" w:hanging="1134"/>
      </w:pPr>
      <w:r>
        <w:tab/>
      </w:r>
      <w:r w:rsidR="0018481E" w:rsidRPr="007F2609">
        <w:t>« 6.8.3.4.6</w:t>
      </w:r>
      <w:r w:rsidR="0018481E" w:rsidRPr="007F2609">
        <w:tab/>
        <w:t>Pour les citernes destinées au transport des gaz liquéfiés réfrigérés :</w:t>
      </w:r>
    </w:p>
    <w:p w14:paraId="31931FE8" w14:textId="77777777" w:rsidR="0018481E" w:rsidRPr="007F2609" w:rsidRDefault="0018481E" w:rsidP="007F2609">
      <w:pPr>
        <w:pStyle w:val="SingleTxtG"/>
        <w:ind w:left="3969" w:hanging="369"/>
      </w:pPr>
      <w:r w:rsidRPr="007F2609">
        <w:t>a)</w:t>
      </w:r>
      <w:r w:rsidRPr="007F2609">
        <w:tab/>
        <w:t>Par dérogation aux prescriptions du 6.8.2.4.2, les contrôles périodiques doivent être effectués</w:t>
      </w:r>
    </w:p>
    <w:tbl>
      <w:tblPr>
        <w:tblStyle w:val="TableGrid"/>
        <w:tblW w:w="4819" w:type="dxa"/>
        <w:tblInd w:w="3828" w:type="dxa"/>
        <w:tblLook w:val="04A0" w:firstRow="1" w:lastRow="0" w:firstColumn="1" w:lastColumn="0" w:noHBand="0" w:noVBand="1"/>
      </w:tblPr>
      <w:tblGrid>
        <w:gridCol w:w="2268"/>
        <w:gridCol w:w="2551"/>
      </w:tblGrid>
      <w:tr w:rsidR="0018481E" w:rsidRPr="00F03B9A" w14:paraId="6745360B" w14:textId="77777777" w:rsidTr="007F2609">
        <w:tc>
          <w:tcPr>
            <w:tcW w:w="2268" w:type="dxa"/>
            <w:tcBorders>
              <w:top w:val="nil"/>
              <w:left w:val="nil"/>
              <w:bottom w:val="nil"/>
            </w:tcBorders>
          </w:tcPr>
          <w:p w14:paraId="743BD86D" w14:textId="77777777" w:rsidR="0018481E" w:rsidRPr="00F03B9A" w:rsidRDefault="0018481E" w:rsidP="0018481E">
            <w:pPr>
              <w:pStyle w:val="SingleTxtG"/>
              <w:ind w:left="133" w:right="282"/>
              <w:rPr>
                <w:bCs/>
                <w:iCs/>
              </w:rPr>
            </w:pPr>
            <w:r w:rsidRPr="00F03B9A">
              <w:rPr>
                <w:bCs/>
                <w:iCs/>
              </w:rPr>
              <w:t>au plus tard six ans</w:t>
            </w:r>
          </w:p>
        </w:tc>
        <w:tc>
          <w:tcPr>
            <w:tcW w:w="2551" w:type="dxa"/>
            <w:tcBorders>
              <w:top w:val="nil"/>
              <w:bottom w:val="nil"/>
              <w:right w:val="nil"/>
            </w:tcBorders>
          </w:tcPr>
          <w:p w14:paraId="36EAC2F0" w14:textId="77777777" w:rsidR="0018481E" w:rsidRPr="00F03B9A" w:rsidRDefault="0018481E" w:rsidP="0018481E">
            <w:pPr>
              <w:pStyle w:val="SingleTxtG"/>
              <w:ind w:left="194" w:right="282"/>
              <w:rPr>
                <w:bCs/>
                <w:iCs/>
              </w:rPr>
            </w:pPr>
            <w:r w:rsidRPr="00F03B9A">
              <w:rPr>
                <w:bCs/>
                <w:iCs/>
              </w:rPr>
              <w:t>au plus tard huit ans</w:t>
            </w:r>
          </w:p>
        </w:tc>
      </w:tr>
    </w:tbl>
    <w:p w14:paraId="6537416D" w14:textId="2F2CB998" w:rsidR="0018481E" w:rsidRPr="007F2609" w:rsidRDefault="007F2609" w:rsidP="007F2609">
      <w:pPr>
        <w:pStyle w:val="SingleTxtG"/>
        <w:ind w:left="3969" w:hanging="369"/>
      </w:pPr>
      <w:r>
        <w:tab/>
      </w:r>
      <w:r w:rsidR="0018481E" w:rsidRPr="007F2609">
        <w:t>après le contrôle initial et ensuite, au plus tard tous les douze ans.</w:t>
      </w:r>
    </w:p>
    <w:p w14:paraId="13D5CEFD" w14:textId="77777777" w:rsidR="0018481E" w:rsidRPr="007F2609" w:rsidRDefault="0018481E" w:rsidP="007F2609">
      <w:pPr>
        <w:pStyle w:val="SingleTxtG"/>
        <w:ind w:left="3969" w:hanging="369"/>
      </w:pPr>
      <w:r w:rsidRPr="007F2609">
        <w:t>b)</w:t>
      </w:r>
      <w:r w:rsidRPr="007F2609">
        <w:tab/>
        <w:t>Par dérogation aux prescriptions du 6.8.2.4.3, les contrôles intermédiaires doivent être effectués au plus tard six ans après chaque contrôle périodique. ». ».</w:t>
      </w:r>
    </w:p>
    <w:p w14:paraId="1D8AD119" w14:textId="77777777" w:rsidR="0018481E" w:rsidRPr="007F2609" w:rsidRDefault="0018481E" w:rsidP="007F2609">
      <w:pPr>
        <w:pStyle w:val="SingleTxtG"/>
        <w:ind w:left="2268" w:hanging="1134"/>
      </w:pPr>
      <w:r w:rsidRPr="007F2609">
        <w:t>6.8.4 d)</w:t>
      </w:r>
    </w:p>
    <w:p w14:paraId="718460AE" w14:textId="41904BDF" w:rsidR="0018481E" w:rsidRPr="007F2609" w:rsidRDefault="0018481E" w:rsidP="007F2609">
      <w:pPr>
        <w:pStyle w:val="SingleTxtG"/>
        <w:ind w:left="2268" w:hanging="1134"/>
      </w:pPr>
      <w:r w:rsidRPr="007F2609">
        <w:t>TT3</w:t>
      </w:r>
      <w:r w:rsidRPr="007F2609">
        <w:tab/>
        <w:t>Modifier comme suit :</w:t>
      </w:r>
    </w:p>
    <w:p w14:paraId="66BB7842" w14:textId="563CD342" w:rsidR="0018481E" w:rsidRPr="007F2609" w:rsidRDefault="007F2609" w:rsidP="007F2609">
      <w:pPr>
        <w:pStyle w:val="SingleTxtG"/>
        <w:ind w:left="2268" w:hanging="1134"/>
      </w:pPr>
      <w:r>
        <w:lastRenderedPageBreak/>
        <w:tab/>
      </w:r>
      <w:r w:rsidR="0018481E" w:rsidRPr="007F2609">
        <w:t>« TT3</w:t>
      </w:r>
      <w:r w:rsidR="0018481E" w:rsidRPr="007F2609">
        <w:tab/>
        <w:t>Par dérogation aux prescriptions du 6.8.2.4.2, les contrôles périodiques doivent être effectués au plus tard tous les huit ans et comprennent en outre un contrôle des épaisseurs au moyen d'instruments appropriés. Pour ces citernes, l'épreuve d'étanchéité et la vérification prévues au 6.8.2.4.3 doivent être effectués au plus tard tous les quatre ans. ».</w:t>
      </w:r>
    </w:p>
    <w:p w14:paraId="003FCC69" w14:textId="77777777" w:rsidR="0018481E" w:rsidRPr="007F2609" w:rsidRDefault="0018481E" w:rsidP="007F2609">
      <w:pPr>
        <w:pStyle w:val="SingleTxtG"/>
        <w:ind w:left="2268" w:hanging="1134"/>
      </w:pPr>
      <w:r w:rsidRPr="007F2609">
        <w:t>TT5</w:t>
      </w:r>
      <w:r w:rsidRPr="007F2609">
        <w:tab/>
        <w:t>Remplacer « doivent avoir lieu » par « doivent être effectués ».</w:t>
      </w:r>
    </w:p>
    <w:p w14:paraId="2E806F19" w14:textId="77777777" w:rsidR="0018481E" w:rsidRPr="007F2609" w:rsidRDefault="0018481E" w:rsidP="007F2609">
      <w:pPr>
        <w:pStyle w:val="SingleTxtG"/>
        <w:ind w:left="2268" w:hanging="1134"/>
      </w:pPr>
      <w:r w:rsidRPr="007F2609">
        <w:t>TT6</w:t>
      </w:r>
      <w:r w:rsidRPr="007F2609">
        <w:tab/>
        <w:t>Remplacer « doit avoir lieu » par « doit être effectué ».</w:t>
      </w:r>
    </w:p>
    <w:p w14:paraId="0A7DC656" w14:textId="77777777" w:rsidR="0018481E" w:rsidRPr="007F2609" w:rsidRDefault="0018481E" w:rsidP="007F2609">
      <w:pPr>
        <w:pStyle w:val="SingleTxtG"/>
        <w:ind w:left="2268" w:hanging="1134"/>
      </w:pPr>
      <w:r w:rsidRPr="007F2609">
        <w:t>TT10</w:t>
      </w:r>
      <w:r w:rsidRPr="007F2609">
        <w:tab/>
        <w:t>Remplacer « doivent avoir lieu » par « doivent être effectués ».</w:t>
      </w:r>
    </w:p>
    <w:p w14:paraId="20173B1C" w14:textId="77777777" w:rsidR="0018481E" w:rsidRPr="007F2609" w:rsidRDefault="0018481E" w:rsidP="007F2609">
      <w:pPr>
        <w:pStyle w:val="SingleTxtG"/>
        <w:ind w:left="2268" w:hanging="1134"/>
      </w:pPr>
      <w:r w:rsidRPr="007F2609">
        <w:t>TT11</w:t>
      </w:r>
      <w:r w:rsidRPr="007F2609">
        <w:tab/>
        <w:t>Dans l’énumération des normes après la deuxième phrase :</w:t>
      </w:r>
    </w:p>
    <w:p w14:paraId="5018F5B8" w14:textId="16FCA6A4" w:rsidR="0018481E" w:rsidRPr="007F2609" w:rsidRDefault="0018481E" w:rsidP="007F2609">
      <w:pPr>
        <w:pStyle w:val="SingleTxtG"/>
        <w:ind w:left="2268" w:hanging="1134"/>
      </w:pPr>
      <w:r w:rsidRPr="007F2609">
        <w:tab/>
        <w:t>Remplacer « EN ISO 17640:2010 » par</w:t>
      </w:r>
      <w:r w:rsidR="007F2609">
        <w:t xml:space="preserve"> </w:t>
      </w:r>
      <w:r w:rsidRPr="007F2609">
        <w:t>« EN ISO 17640:2018 ».</w:t>
      </w:r>
    </w:p>
    <w:p w14:paraId="130A3340" w14:textId="76B2FF1B" w:rsidR="0018481E" w:rsidRPr="007F2609" w:rsidRDefault="0018481E" w:rsidP="007F2609">
      <w:pPr>
        <w:pStyle w:val="SingleTxtG"/>
        <w:ind w:left="2268" w:hanging="1134"/>
      </w:pPr>
      <w:r w:rsidRPr="007F2609">
        <w:tab/>
        <w:t>Remplacer « EN ISO 17638:2009 » par</w:t>
      </w:r>
      <w:r w:rsidR="007F2609">
        <w:t xml:space="preserve"> </w:t>
      </w:r>
      <w:r w:rsidRPr="007F2609">
        <w:t>« EN ISO 17638:2016 ».</w:t>
      </w:r>
    </w:p>
    <w:p w14:paraId="4B7BC07F" w14:textId="1F8A5242" w:rsidR="0018481E" w:rsidRPr="007F2609" w:rsidRDefault="0018481E" w:rsidP="007F2609">
      <w:pPr>
        <w:pStyle w:val="SingleTxtG"/>
        <w:ind w:left="2268" w:hanging="1134"/>
      </w:pPr>
      <w:r w:rsidRPr="007F2609">
        <w:tab/>
        <w:t>Remplacer « EN ISO 23278:2009 (Contrôle par magnétoscopie des soudures. Niveaux d’acceptation) » par</w:t>
      </w:r>
      <w:r w:rsidR="007F2609">
        <w:t xml:space="preserve"> </w:t>
      </w:r>
      <w:r w:rsidRPr="007F2609">
        <w:t>« EN ISO 23278:2015 (Contrôle non destructif des assemblages soudés - Contrôle par magnétoscopie - Niveaux d’acceptation) ».</w:t>
      </w:r>
    </w:p>
    <w:p w14:paraId="13B4B2DF" w14:textId="27F63913" w:rsidR="0018481E" w:rsidRPr="007F2609" w:rsidRDefault="007F2609" w:rsidP="007F2609">
      <w:pPr>
        <w:pStyle w:val="SingleTxtG"/>
        <w:ind w:left="2268" w:hanging="1134"/>
      </w:pPr>
      <w:r>
        <w:tab/>
      </w:r>
      <w:r w:rsidR="0018481E" w:rsidRPr="007F2609">
        <w:t>Remplacer « EN 1711:2000 » par</w:t>
      </w:r>
      <w:r>
        <w:t xml:space="preserve"> </w:t>
      </w:r>
      <w:r w:rsidR="0018481E" w:rsidRPr="007F2609">
        <w:t>« EN ISO 17643:2015 ».</w:t>
      </w:r>
    </w:p>
    <w:p w14:paraId="049AD2AF" w14:textId="6C3F19A6" w:rsidR="0018481E" w:rsidRPr="007F2609" w:rsidRDefault="0018481E" w:rsidP="007F2609">
      <w:pPr>
        <w:pStyle w:val="SingleTxtG"/>
        <w:ind w:left="2268" w:hanging="1134"/>
      </w:pPr>
      <w:r w:rsidRPr="007F2609">
        <w:tab/>
        <w:t>Remplacer « EN 14127:2011 − Essais non destructifs − Mesure de l’épaisseur par ultrasons. » par</w:t>
      </w:r>
      <w:r w:rsidR="007F2609">
        <w:t xml:space="preserve"> </w:t>
      </w:r>
      <w:r w:rsidRPr="007F2609">
        <w:t>« EN ISO 16809:2019 − Essais non destructifs − Mesurage de l’épaisseur par ultrasons. ».</w:t>
      </w:r>
    </w:p>
    <w:p w14:paraId="429146EF" w14:textId="4BC7F369" w:rsidR="0018481E" w:rsidRPr="007F2609" w:rsidRDefault="007F2609" w:rsidP="007F2609">
      <w:pPr>
        <w:pStyle w:val="SingleTxtG"/>
        <w:ind w:left="2268" w:hanging="1134"/>
      </w:pPr>
      <w:r>
        <w:tab/>
      </w:r>
      <w:r w:rsidR="0018481E" w:rsidRPr="007F2609">
        <w:t>Dans le paragraphe figurant sous le tableau, remplacer « EN ISO 23278:2009 (Contrôle par magnétoscopie des soudures. Niveaux d’acceptation) » par « EN ISO 23278:2015 (Contrôle non destructif des assemblages soudés - Contrôle par magnétoscopie - Niveaux d’acceptation) ».</w:t>
      </w:r>
      <w:r w:rsidR="0018481E" w:rsidRPr="007F2609" w:rsidDel="006762D3">
        <w:t xml:space="preserve"> </w:t>
      </w:r>
    </w:p>
    <w:p w14:paraId="5A5B23FA" w14:textId="2D129526" w:rsidR="0018481E" w:rsidRPr="00F03B9A" w:rsidRDefault="0018481E" w:rsidP="0018481E">
      <w:pPr>
        <w:pStyle w:val="H1G"/>
        <w:ind w:right="1133"/>
      </w:pPr>
      <w:r w:rsidRPr="00F03B9A">
        <w:rPr>
          <w:bCs/>
          <w:lang w:val="fr-FR"/>
        </w:rPr>
        <w:tab/>
      </w:r>
      <w:r w:rsidRPr="00F03B9A">
        <w:rPr>
          <w:bCs/>
          <w:lang w:val="fr-FR"/>
        </w:rPr>
        <w:tab/>
      </w:r>
      <w:r w:rsidRPr="00F03B9A">
        <w:t>Chapitre 6.10</w:t>
      </w:r>
    </w:p>
    <w:p w14:paraId="75800FE6" w14:textId="57BB84E6" w:rsidR="0018481E" w:rsidRPr="007F2609" w:rsidRDefault="0018481E" w:rsidP="007F2609">
      <w:pPr>
        <w:pStyle w:val="SingleTxtG"/>
        <w:ind w:left="2268" w:hanging="1134"/>
      </w:pPr>
      <w:r w:rsidRPr="007F2609">
        <w:t>6.10.4</w:t>
      </w:r>
      <w:r w:rsidRPr="007F2609">
        <w:tab/>
        <w:t>[Les amendements dans la version anglaise ne s’appliquent pas au texte français.]</w:t>
      </w:r>
    </w:p>
    <w:p w14:paraId="035AD58B" w14:textId="77777777" w:rsidR="0018481E" w:rsidRPr="00F03B9A" w:rsidRDefault="0018481E" w:rsidP="0018481E">
      <w:pPr>
        <w:pStyle w:val="H1G"/>
        <w:ind w:right="1133"/>
      </w:pPr>
      <w:r w:rsidRPr="00F03B9A">
        <w:tab/>
      </w:r>
      <w:r w:rsidRPr="00F03B9A">
        <w:tab/>
        <w:t>Chapitre 6.12</w:t>
      </w:r>
    </w:p>
    <w:p w14:paraId="4EBEE034" w14:textId="77777777" w:rsidR="0018481E" w:rsidRPr="007F2609" w:rsidRDefault="0018481E" w:rsidP="007F2609">
      <w:pPr>
        <w:pStyle w:val="SingleTxtG"/>
        <w:ind w:left="2268" w:hanging="1134"/>
      </w:pPr>
      <w:r w:rsidRPr="007F2609">
        <w:t>6.12.3.2.6</w:t>
      </w:r>
      <w:r w:rsidRPr="007F2609">
        <w:tab/>
        <w:t>Dans la dernière phrase, remplacer « au moins tous les trois ans » par « au plus tard tous les trois ans ».</w:t>
      </w:r>
    </w:p>
    <w:p w14:paraId="6451E82B" w14:textId="77777777" w:rsidR="0018481E" w:rsidRPr="00F03B9A" w:rsidRDefault="0018481E" w:rsidP="0018481E">
      <w:pPr>
        <w:pStyle w:val="H1G"/>
      </w:pPr>
      <w:r w:rsidRPr="00F03B9A">
        <w:tab/>
      </w:r>
      <w:r w:rsidRPr="00F03B9A">
        <w:tab/>
        <w:t>Chapitre 7.4</w:t>
      </w:r>
    </w:p>
    <w:p w14:paraId="72B1EB78" w14:textId="3F1E0492" w:rsidR="0018481E" w:rsidRPr="007F2609" w:rsidRDefault="0018481E" w:rsidP="007F2609">
      <w:pPr>
        <w:pStyle w:val="SingleTxtG"/>
        <w:ind w:left="2268" w:hanging="1134"/>
      </w:pPr>
      <w:r w:rsidRPr="007F2609">
        <w:t>7.4.1</w:t>
      </w:r>
      <w:r w:rsidR="00B60359" w:rsidRPr="007F2609">
        <w:tab/>
      </w:r>
      <w:r w:rsidRPr="007F2609">
        <w:t>Modifier la première phrase comme suit :</w:t>
      </w:r>
      <w:r w:rsidR="00074A56" w:rsidRPr="007F2609">
        <w:t xml:space="preserve"> </w:t>
      </w:r>
      <w:r w:rsidRPr="007F2609">
        <w:t>« Une marchandise dangereuse ne peut être transportée en citernes que lorsqu’une instruction de transport en citernes mobiles est indiquée dans la colonne (10) ou un code-citerne est indiqué dans la colonne (12) du tableau A du chapitre 3.2 sauf si une autorité compétente a délivré une autorisation dans les conditions précisées au 6.7.1.3. ».</w:t>
      </w:r>
    </w:p>
    <w:p w14:paraId="48D418D4" w14:textId="77777777" w:rsidR="0018481E" w:rsidRPr="00F03B9A" w:rsidRDefault="0018481E" w:rsidP="0018481E">
      <w:pPr>
        <w:pStyle w:val="H1G"/>
      </w:pPr>
      <w:r w:rsidRPr="00F03B9A">
        <w:tab/>
      </w:r>
      <w:r w:rsidRPr="00F03B9A">
        <w:tab/>
        <w:t>Chapitre 8.1</w:t>
      </w:r>
    </w:p>
    <w:p w14:paraId="4875863F" w14:textId="48A63297" w:rsidR="0018481E" w:rsidRPr="007F2609" w:rsidRDefault="0018481E" w:rsidP="007F2609">
      <w:pPr>
        <w:pStyle w:val="SingleTxtG"/>
        <w:ind w:left="2268" w:hanging="1134"/>
      </w:pPr>
      <w:r w:rsidRPr="007F2609">
        <w:t>8.1.2.1</w:t>
      </w:r>
      <w:r w:rsidRPr="007F2609">
        <w:tab/>
        <w:t>À l’alinéa a), supprimer</w:t>
      </w:r>
      <w:r w:rsidR="00074A56" w:rsidRPr="007F2609">
        <w:t xml:space="preserve"> </w:t>
      </w:r>
      <w:r w:rsidRPr="007F2609">
        <w:t xml:space="preserve">« et, le cas échéant, le </w:t>
      </w:r>
      <w:r w:rsidR="007F2609">
        <w:t>"</w:t>
      </w:r>
      <w:r w:rsidRPr="007F2609">
        <w:t>certificat d’empotage du conteneur ou du véhicule</w:t>
      </w:r>
      <w:r w:rsidR="007F2609">
        <w:t>"</w:t>
      </w:r>
      <w:r w:rsidRPr="007F2609">
        <w:t> ».</w:t>
      </w:r>
    </w:p>
    <w:p w14:paraId="4A97F3D8" w14:textId="27D443A1" w:rsidR="0018481E" w:rsidRPr="0018481E" w:rsidRDefault="0018481E" w:rsidP="0018481E">
      <w:pPr>
        <w:spacing w:before="240"/>
        <w:jc w:val="center"/>
        <w:rPr>
          <w:u w:val="single"/>
        </w:rPr>
      </w:pPr>
      <w:r>
        <w:rPr>
          <w:u w:val="single"/>
        </w:rPr>
        <w:tab/>
      </w:r>
      <w:r>
        <w:rPr>
          <w:u w:val="single"/>
        </w:rPr>
        <w:tab/>
      </w:r>
      <w:r>
        <w:rPr>
          <w:u w:val="single"/>
        </w:rPr>
        <w:tab/>
      </w:r>
    </w:p>
    <w:sectPr w:rsidR="0018481E" w:rsidRPr="0018481E" w:rsidSect="0018481E">
      <w:headerReference w:type="even" r:id="rId21"/>
      <w:headerReference w:type="default" r:id="rId22"/>
      <w:footerReference w:type="even" r:id="rId23"/>
      <w:footerReference w:type="default" r:id="rId24"/>
      <w:headerReference w:type="first" r:id="rId2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F79F" w14:textId="77777777" w:rsidR="005C7604" w:rsidRDefault="005C7604" w:rsidP="0018481E">
      <w:pPr>
        <w:spacing w:line="240" w:lineRule="auto"/>
      </w:pPr>
      <w:r>
        <w:separator/>
      </w:r>
    </w:p>
  </w:endnote>
  <w:endnote w:type="continuationSeparator" w:id="0">
    <w:p w14:paraId="7EFAFA58" w14:textId="77777777" w:rsidR="005C7604" w:rsidRDefault="005C7604" w:rsidP="00184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724074"/>
      <w:docPartObj>
        <w:docPartGallery w:val="Page Numbers (Bottom of Page)"/>
        <w:docPartUnique/>
      </w:docPartObj>
    </w:sdtPr>
    <w:sdtEndPr>
      <w:rPr>
        <w:noProof/>
      </w:rPr>
    </w:sdtEndPr>
    <w:sdtContent>
      <w:p w14:paraId="05F1E0AE" w14:textId="1776D946" w:rsidR="009F585D" w:rsidRDefault="009F585D" w:rsidP="001B5D36">
        <w:pPr>
          <w:pStyle w:val="Footer"/>
        </w:pPr>
        <w:r w:rsidRPr="001B5D36">
          <w:rPr>
            <w:rFonts w:asciiTheme="majorBidi" w:hAnsiTheme="majorBidi" w:cstheme="majorBidi"/>
            <w:b/>
            <w:bCs/>
            <w:sz w:val="18"/>
            <w:szCs w:val="18"/>
          </w:rPr>
          <w:fldChar w:fldCharType="begin"/>
        </w:r>
        <w:r w:rsidRPr="001B5D36">
          <w:rPr>
            <w:rFonts w:asciiTheme="majorBidi" w:hAnsiTheme="majorBidi" w:cstheme="majorBidi"/>
            <w:b/>
            <w:bCs/>
            <w:sz w:val="18"/>
            <w:szCs w:val="18"/>
          </w:rPr>
          <w:instrText xml:space="preserve"> PAGE   \* MERGEFORMAT </w:instrText>
        </w:r>
        <w:r w:rsidRPr="001B5D36">
          <w:rPr>
            <w:rFonts w:asciiTheme="majorBidi" w:hAnsiTheme="majorBidi" w:cstheme="majorBidi"/>
            <w:b/>
            <w:bCs/>
            <w:sz w:val="18"/>
            <w:szCs w:val="18"/>
          </w:rPr>
          <w:fldChar w:fldCharType="separate"/>
        </w:r>
        <w:r w:rsidRPr="001B5D36">
          <w:rPr>
            <w:rFonts w:asciiTheme="majorBidi" w:hAnsiTheme="majorBidi" w:cstheme="majorBidi"/>
            <w:b/>
            <w:bCs/>
            <w:noProof/>
            <w:sz w:val="18"/>
            <w:szCs w:val="18"/>
          </w:rPr>
          <w:t>2</w:t>
        </w:r>
        <w:r w:rsidRPr="001B5D36">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405618"/>
      <w:docPartObj>
        <w:docPartGallery w:val="Page Numbers (Bottom of Page)"/>
        <w:docPartUnique/>
      </w:docPartObj>
    </w:sdtPr>
    <w:sdtEndPr>
      <w:rPr>
        <w:noProof/>
      </w:rPr>
    </w:sdtEndPr>
    <w:sdtContent>
      <w:p w14:paraId="49E449EC" w14:textId="2A0CD867" w:rsidR="009F585D" w:rsidRDefault="009F585D">
        <w:pPr>
          <w:pStyle w:val="Footer"/>
          <w:jc w:val="right"/>
        </w:pPr>
        <w:r w:rsidRPr="001B5D36">
          <w:rPr>
            <w:rFonts w:asciiTheme="majorBidi" w:hAnsiTheme="majorBidi" w:cstheme="majorBidi"/>
            <w:b/>
            <w:bCs/>
            <w:sz w:val="18"/>
            <w:szCs w:val="18"/>
          </w:rPr>
          <w:fldChar w:fldCharType="begin"/>
        </w:r>
        <w:r w:rsidRPr="001B5D36">
          <w:rPr>
            <w:rFonts w:asciiTheme="majorBidi" w:hAnsiTheme="majorBidi" w:cstheme="majorBidi"/>
            <w:b/>
            <w:bCs/>
            <w:sz w:val="18"/>
            <w:szCs w:val="18"/>
          </w:rPr>
          <w:instrText xml:space="preserve"> PAGE   \* MERGEFORMAT </w:instrText>
        </w:r>
        <w:r w:rsidRPr="001B5D36">
          <w:rPr>
            <w:rFonts w:asciiTheme="majorBidi" w:hAnsiTheme="majorBidi" w:cstheme="majorBidi"/>
            <w:b/>
            <w:bCs/>
            <w:sz w:val="18"/>
            <w:szCs w:val="18"/>
          </w:rPr>
          <w:fldChar w:fldCharType="separate"/>
        </w:r>
        <w:r w:rsidRPr="001B5D36">
          <w:rPr>
            <w:rFonts w:asciiTheme="majorBidi" w:hAnsiTheme="majorBidi" w:cstheme="majorBidi"/>
            <w:b/>
            <w:bCs/>
            <w:noProof/>
            <w:sz w:val="18"/>
            <w:szCs w:val="18"/>
          </w:rPr>
          <w:t>2</w:t>
        </w:r>
        <w:r w:rsidRPr="001B5D36">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30A40" w14:textId="77777777" w:rsidR="005C7604" w:rsidRDefault="005C7604" w:rsidP="0018481E">
      <w:pPr>
        <w:spacing w:line="240" w:lineRule="auto"/>
      </w:pPr>
      <w:r>
        <w:separator/>
      </w:r>
    </w:p>
  </w:footnote>
  <w:footnote w:type="continuationSeparator" w:id="0">
    <w:p w14:paraId="785793BF" w14:textId="77777777" w:rsidR="005C7604" w:rsidRDefault="005C7604" w:rsidP="00184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CEBA" w14:textId="410E92B4" w:rsidR="009F585D" w:rsidRPr="0018481E" w:rsidRDefault="009F585D" w:rsidP="0018481E">
    <w:pPr>
      <w:pStyle w:val="Header"/>
      <w:pBdr>
        <w:bottom w:val="single" w:sz="4" w:space="1" w:color="auto"/>
      </w:pBdr>
      <w:rPr>
        <w:rFonts w:asciiTheme="majorBidi" w:hAnsiTheme="majorBidi" w:cstheme="majorBidi"/>
        <w:b/>
        <w:bCs/>
        <w:sz w:val="18"/>
        <w:szCs w:val="18"/>
        <w:lang w:val="fr-CH"/>
      </w:rPr>
    </w:pPr>
    <w:r w:rsidRPr="0018481E">
      <w:rPr>
        <w:rFonts w:asciiTheme="majorBidi" w:hAnsiTheme="majorBidi" w:cstheme="majorBidi"/>
        <w:b/>
        <w:bCs/>
        <w:sz w:val="18"/>
        <w:szCs w:val="18"/>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3957" w14:textId="6C83A5DC" w:rsidR="009F585D" w:rsidRPr="0018481E" w:rsidRDefault="009F585D" w:rsidP="0018481E">
    <w:pPr>
      <w:pStyle w:val="Header"/>
      <w:pBdr>
        <w:bottom w:val="single" w:sz="4" w:space="1" w:color="auto"/>
      </w:pBdr>
      <w:jc w:val="right"/>
      <w:rPr>
        <w:rFonts w:asciiTheme="majorBidi" w:hAnsiTheme="majorBidi" w:cstheme="majorBidi"/>
        <w:b/>
        <w:bCs/>
        <w:sz w:val="18"/>
        <w:szCs w:val="18"/>
        <w:lang w:val="fr-CH"/>
      </w:rPr>
    </w:pPr>
    <w:r w:rsidRPr="0018481E">
      <w:rPr>
        <w:rFonts w:asciiTheme="majorBidi" w:hAnsiTheme="majorBidi" w:cstheme="majorBidi"/>
        <w:b/>
        <w:bCs/>
        <w:sz w:val="18"/>
        <w:szCs w:val="18"/>
        <w:lang w:val="fr-CH"/>
      </w:rPr>
      <w:t>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41BB" w14:textId="4CE76B29" w:rsidR="009F585D" w:rsidRPr="0018481E" w:rsidRDefault="009F585D" w:rsidP="0018481E">
    <w:pPr>
      <w:pStyle w:val="Header"/>
      <w:pBdr>
        <w:bottom w:val="single" w:sz="4" w:space="1" w:color="auto"/>
      </w:pBdr>
      <w:jc w:val="right"/>
      <w:rPr>
        <w:rFonts w:asciiTheme="majorBidi" w:hAnsiTheme="majorBidi" w:cstheme="majorBidi"/>
        <w:b/>
        <w:bCs/>
        <w:sz w:val="28"/>
        <w:szCs w:val="28"/>
        <w:lang w:val="fr-CH"/>
      </w:rPr>
    </w:pPr>
    <w:r w:rsidRPr="0018481E">
      <w:rPr>
        <w:rFonts w:asciiTheme="majorBidi" w:hAnsiTheme="majorBidi" w:cstheme="majorBidi"/>
        <w:b/>
        <w:bCs/>
        <w:sz w:val="28"/>
        <w:szCs w:val="28"/>
        <w:lang w:val="fr-CH"/>
      </w:rPr>
      <w:t>INF.11/F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1E"/>
    <w:rsid w:val="000006EB"/>
    <w:rsid w:val="00024502"/>
    <w:rsid w:val="00074A56"/>
    <w:rsid w:val="000F21F9"/>
    <w:rsid w:val="0018481E"/>
    <w:rsid w:val="001A42F4"/>
    <w:rsid w:val="001A74DB"/>
    <w:rsid w:val="001B5D36"/>
    <w:rsid w:val="002749D0"/>
    <w:rsid w:val="002F25A0"/>
    <w:rsid w:val="00377557"/>
    <w:rsid w:val="00387730"/>
    <w:rsid w:val="003F285B"/>
    <w:rsid w:val="004435F6"/>
    <w:rsid w:val="00523C7D"/>
    <w:rsid w:val="00545437"/>
    <w:rsid w:val="00551EC3"/>
    <w:rsid w:val="005C7604"/>
    <w:rsid w:val="00674273"/>
    <w:rsid w:val="006B6208"/>
    <w:rsid w:val="007F2609"/>
    <w:rsid w:val="008A58D4"/>
    <w:rsid w:val="00927E93"/>
    <w:rsid w:val="00973120"/>
    <w:rsid w:val="009C39CD"/>
    <w:rsid w:val="009F585D"/>
    <w:rsid w:val="00A237DA"/>
    <w:rsid w:val="00B60359"/>
    <w:rsid w:val="00BD2236"/>
    <w:rsid w:val="00C329BA"/>
    <w:rsid w:val="00C35E6F"/>
    <w:rsid w:val="00E6677E"/>
    <w:rsid w:val="00E741DF"/>
    <w:rsid w:val="00EA4AF6"/>
    <w:rsid w:val="00EC569A"/>
    <w:rsid w:val="00ED300B"/>
    <w:rsid w:val="00F03B9A"/>
    <w:rsid w:val="00F551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826E1"/>
  <w15:chartTrackingRefBased/>
  <w15:docId w15:val="{E8A26D8C-C067-4CF4-ACD8-4DB9911D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1E"/>
    <w:pPr>
      <w:suppressAutoHyphens/>
      <w:kinsoku w:val="0"/>
      <w:overflowPunct w:val="0"/>
      <w:autoSpaceDE w:val="0"/>
      <w:autoSpaceDN w:val="0"/>
      <w:adjustRightInd w:val="0"/>
      <w:snapToGrid w:val="0"/>
      <w:spacing w:after="0" w:line="240" w:lineRule="atLeast"/>
    </w:pPr>
    <w:rPr>
      <w:lang w:val="fr-FR"/>
    </w:rPr>
  </w:style>
  <w:style w:type="paragraph" w:styleId="Heading1">
    <w:name w:val="heading 1"/>
    <w:aliases w:val="Table_G"/>
    <w:basedOn w:val="SingleTxtG"/>
    <w:next w:val="SingleTxtG"/>
    <w:link w:val="Heading1Char"/>
    <w:qFormat/>
    <w:rsid w:val="0018481E"/>
    <w:pPr>
      <w:keepNext/>
      <w:keepLines/>
      <w:spacing w:after="0" w:line="240" w:lineRule="auto"/>
      <w:ind w:right="0"/>
      <w:jc w:val="left"/>
      <w:outlineLvl w:val="0"/>
    </w:pPr>
  </w:style>
  <w:style w:type="paragraph" w:styleId="Heading2">
    <w:name w:val="heading 2"/>
    <w:basedOn w:val="Normal"/>
    <w:next w:val="Normal"/>
    <w:link w:val="Heading2Char"/>
    <w:semiHidden/>
    <w:qFormat/>
    <w:rsid w:val="0018481E"/>
    <w:pPr>
      <w:outlineLvl w:val="1"/>
    </w:pPr>
    <w:rPr>
      <w:rFonts w:ascii="Times New Roman" w:eastAsia="Times New Roman" w:hAnsi="Times New Roman" w:cs="Times New Roman"/>
      <w:sz w:val="20"/>
      <w:szCs w:val="20"/>
      <w:lang w:val="fr-CH"/>
    </w:rPr>
  </w:style>
  <w:style w:type="paragraph" w:styleId="Heading3">
    <w:name w:val="heading 3"/>
    <w:basedOn w:val="Normal"/>
    <w:next w:val="Normal"/>
    <w:link w:val="Heading3Char"/>
    <w:semiHidden/>
    <w:qFormat/>
    <w:rsid w:val="0018481E"/>
    <w:pPr>
      <w:outlineLvl w:val="2"/>
    </w:pPr>
    <w:rPr>
      <w:rFonts w:ascii="Times New Roman" w:eastAsia="Times New Roman" w:hAnsi="Times New Roman" w:cs="Times New Roman"/>
      <w:sz w:val="20"/>
      <w:szCs w:val="20"/>
      <w:lang w:val="fr-CH"/>
    </w:rPr>
  </w:style>
  <w:style w:type="paragraph" w:styleId="Heading4">
    <w:name w:val="heading 4"/>
    <w:basedOn w:val="Normal"/>
    <w:next w:val="Normal"/>
    <w:link w:val="Heading4Char"/>
    <w:semiHidden/>
    <w:qFormat/>
    <w:rsid w:val="0018481E"/>
    <w:pPr>
      <w:outlineLvl w:val="3"/>
    </w:pPr>
    <w:rPr>
      <w:rFonts w:ascii="Times New Roman" w:eastAsia="Times New Roman" w:hAnsi="Times New Roman" w:cs="Times New Roman"/>
      <w:sz w:val="20"/>
      <w:szCs w:val="20"/>
      <w:lang w:val="fr-CH"/>
    </w:rPr>
  </w:style>
  <w:style w:type="paragraph" w:styleId="Heading5">
    <w:name w:val="heading 5"/>
    <w:basedOn w:val="Normal"/>
    <w:next w:val="Normal"/>
    <w:link w:val="Heading5Char"/>
    <w:semiHidden/>
    <w:qFormat/>
    <w:rsid w:val="0018481E"/>
    <w:pPr>
      <w:outlineLvl w:val="4"/>
    </w:pPr>
    <w:rPr>
      <w:rFonts w:ascii="Times New Roman" w:eastAsia="Times New Roman" w:hAnsi="Times New Roman" w:cs="Times New Roman"/>
      <w:sz w:val="20"/>
      <w:szCs w:val="20"/>
      <w:lang w:val="fr-CH"/>
    </w:rPr>
  </w:style>
  <w:style w:type="paragraph" w:styleId="Heading6">
    <w:name w:val="heading 6"/>
    <w:basedOn w:val="Normal"/>
    <w:next w:val="Normal"/>
    <w:link w:val="Heading6Char"/>
    <w:semiHidden/>
    <w:qFormat/>
    <w:rsid w:val="0018481E"/>
    <w:pPr>
      <w:outlineLvl w:val="5"/>
    </w:pPr>
    <w:rPr>
      <w:rFonts w:ascii="Times New Roman" w:eastAsia="Times New Roman" w:hAnsi="Times New Roman" w:cs="Times New Roman"/>
      <w:sz w:val="20"/>
      <w:szCs w:val="20"/>
      <w:lang w:val="fr-CH"/>
    </w:rPr>
  </w:style>
  <w:style w:type="paragraph" w:styleId="Heading7">
    <w:name w:val="heading 7"/>
    <w:basedOn w:val="Normal"/>
    <w:next w:val="Normal"/>
    <w:link w:val="Heading7Char"/>
    <w:semiHidden/>
    <w:qFormat/>
    <w:rsid w:val="0018481E"/>
    <w:pPr>
      <w:outlineLvl w:val="6"/>
    </w:pPr>
    <w:rPr>
      <w:rFonts w:ascii="Times New Roman" w:eastAsia="Times New Roman" w:hAnsi="Times New Roman" w:cs="Times New Roman"/>
      <w:sz w:val="20"/>
      <w:szCs w:val="20"/>
      <w:lang w:val="fr-CH"/>
    </w:rPr>
  </w:style>
  <w:style w:type="paragraph" w:styleId="Heading8">
    <w:name w:val="heading 8"/>
    <w:basedOn w:val="Normal"/>
    <w:next w:val="Normal"/>
    <w:link w:val="Heading8Char"/>
    <w:semiHidden/>
    <w:qFormat/>
    <w:rsid w:val="0018481E"/>
    <w:pPr>
      <w:outlineLvl w:val="7"/>
    </w:pPr>
    <w:rPr>
      <w:rFonts w:ascii="Times New Roman" w:eastAsia="Times New Roman" w:hAnsi="Times New Roman" w:cs="Times New Roman"/>
      <w:sz w:val="20"/>
      <w:szCs w:val="20"/>
      <w:lang w:val="fr-CH"/>
    </w:rPr>
  </w:style>
  <w:style w:type="paragraph" w:styleId="Heading9">
    <w:name w:val="heading 9"/>
    <w:basedOn w:val="Normal"/>
    <w:next w:val="Normal"/>
    <w:link w:val="Heading9Char"/>
    <w:semiHidden/>
    <w:qFormat/>
    <w:rsid w:val="0018481E"/>
    <w:pPr>
      <w:outlineLvl w:val="8"/>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qFormat/>
    <w:rsid w:val="0018481E"/>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18481E"/>
  </w:style>
  <w:style w:type="paragraph" w:styleId="Footer">
    <w:name w:val="footer"/>
    <w:aliases w:val="3_G"/>
    <w:basedOn w:val="Normal"/>
    <w:link w:val="FooterChar"/>
    <w:uiPriority w:val="99"/>
    <w:unhideWhenUsed/>
    <w:qFormat/>
    <w:rsid w:val="0018481E"/>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18481E"/>
  </w:style>
  <w:style w:type="character" w:customStyle="1" w:styleId="Heading1Char">
    <w:name w:val="Heading 1 Char"/>
    <w:aliases w:val="Table_G Char"/>
    <w:basedOn w:val="DefaultParagraphFont"/>
    <w:link w:val="Heading1"/>
    <w:rsid w:val="0018481E"/>
    <w:rPr>
      <w:rFonts w:ascii="Times New Roman" w:eastAsia="Times New Roman" w:hAnsi="Times New Roman" w:cs="Times New Roman"/>
      <w:sz w:val="20"/>
      <w:szCs w:val="20"/>
      <w:lang w:val="fr-CH"/>
    </w:rPr>
  </w:style>
  <w:style w:type="character" w:customStyle="1" w:styleId="Heading2Char">
    <w:name w:val="Heading 2 Char"/>
    <w:basedOn w:val="DefaultParagraphFont"/>
    <w:link w:val="Heading2"/>
    <w:semiHidden/>
    <w:rsid w:val="0018481E"/>
    <w:rPr>
      <w:rFonts w:ascii="Times New Roman" w:eastAsia="Times New Roman" w:hAnsi="Times New Roman" w:cs="Times New Roman"/>
      <w:sz w:val="20"/>
      <w:szCs w:val="20"/>
      <w:lang w:val="fr-CH"/>
    </w:rPr>
  </w:style>
  <w:style w:type="character" w:customStyle="1" w:styleId="Heading3Char">
    <w:name w:val="Heading 3 Char"/>
    <w:basedOn w:val="DefaultParagraphFont"/>
    <w:link w:val="Heading3"/>
    <w:semiHidden/>
    <w:rsid w:val="0018481E"/>
    <w:rPr>
      <w:rFonts w:ascii="Times New Roman" w:eastAsia="Times New Roman" w:hAnsi="Times New Roman" w:cs="Times New Roman"/>
      <w:sz w:val="20"/>
      <w:szCs w:val="20"/>
      <w:lang w:val="fr-CH"/>
    </w:rPr>
  </w:style>
  <w:style w:type="character" w:customStyle="1" w:styleId="Heading4Char">
    <w:name w:val="Heading 4 Char"/>
    <w:basedOn w:val="DefaultParagraphFont"/>
    <w:link w:val="Heading4"/>
    <w:semiHidden/>
    <w:rsid w:val="0018481E"/>
    <w:rPr>
      <w:rFonts w:ascii="Times New Roman" w:eastAsia="Times New Roman" w:hAnsi="Times New Roman" w:cs="Times New Roman"/>
      <w:sz w:val="20"/>
      <w:szCs w:val="20"/>
      <w:lang w:val="fr-CH"/>
    </w:rPr>
  </w:style>
  <w:style w:type="character" w:customStyle="1" w:styleId="Heading5Char">
    <w:name w:val="Heading 5 Char"/>
    <w:basedOn w:val="DefaultParagraphFont"/>
    <w:link w:val="Heading5"/>
    <w:semiHidden/>
    <w:rsid w:val="0018481E"/>
    <w:rPr>
      <w:rFonts w:ascii="Times New Roman" w:eastAsia="Times New Roman" w:hAnsi="Times New Roman" w:cs="Times New Roman"/>
      <w:sz w:val="20"/>
      <w:szCs w:val="20"/>
      <w:lang w:val="fr-CH"/>
    </w:rPr>
  </w:style>
  <w:style w:type="character" w:customStyle="1" w:styleId="Heading6Char">
    <w:name w:val="Heading 6 Char"/>
    <w:basedOn w:val="DefaultParagraphFont"/>
    <w:link w:val="Heading6"/>
    <w:semiHidden/>
    <w:rsid w:val="0018481E"/>
    <w:rPr>
      <w:rFonts w:ascii="Times New Roman" w:eastAsia="Times New Roman" w:hAnsi="Times New Roman" w:cs="Times New Roman"/>
      <w:sz w:val="20"/>
      <w:szCs w:val="20"/>
      <w:lang w:val="fr-CH"/>
    </w:rPr>
  </w:style>
  <w:style w:type="character" w:customStyle="1" w:styleId="Heading7Char">
    <w:name w:val="Heading 7 Char"/>
    <w:basedOn w:val="DefaultParagraphFont"/>
    <w:link w:val="Heading7"/>
    <w:semiHidden/>
    <w:rsid w:val="0018481E"/>
    <w:rPr>
      <w:rFonts w:ascii="Times New Roman" w:eastAsia="Times New Roman" w:hAnsi="Times New Roman" w:cs="Times New Roman"/>
      <w:sz w:val="20"/>
      <w:szCs w:val="20"/>
      <w:lang w:val="fr-CH"/>
    </w:rPr>
  </w:style>
  <w:style w:type="character" w:customStyle="1" w:styleId="Heading8Char">
    <w:name w:val="Heading 8 Char"/>
    <w:basedOn w:val="DefaultParagraphFont"/>
    <w:link w:val="Heading8"/>
    <w:semiHidden/>
    <w:rsid w:val="0018481E"/>
    <w:rPr>
      <w:rFonts w:ascii="Times New Roman" w:eastAsia="Times New Roman" w:hAnsi="Times New Roman" w:cs="Times New Roman"/>
      <w:sz w:val="20"/>
      <w:szCs w:val="20"/>
      <w:lang w:val="fr-CH"/>
    </w:rPr>
  </w:style>
  <w:style w:type="character" w:customStyle="1" w:styleId="Heading9Char">
    <w:name w:val="Heading 9 Char"/>
    <w:basedOn w:val="DefaultParagraphFont"/>
    <w:link w:val="Heading9"/>
    <w:semiHidden/>
    <w:rsid w:val="0018481E"/>
    <w:rPr>
      <w:rFonts w:ascii="Times New Roman" w:eastAsia="Times New Roman" w:hAnsi="Times New Roman" w:cs="Times New Roman"/>
      <w:sz w:val="20"/>
      <w:szCs w:val="20"/>
      <w:lang w:val="fr-CH"/>
    </w:rPr>
  </w:style>
  <w:style w:type="paragraph" w:customStyle="1" w:styleId="HMG">
    <w:name w:val="_ H __M_G"/>
    <w:basedOn w:val="Normal"/>
    <w:next w:val="Normal"/>
    <w:qFormat/>
    <w:rsid w:val="0018481E"/>
    <w:pPr>
      <w:keepNext/>
      <w:keepLines/>
      <w:tabs>
        <w:tab w:val="right" w:pos="851"/>
      </w:tabs>
      <w:spacing w:before="240" w:after="240" w:line="360" w:lineRule="exact"/>
      <w:ind w:left="1134" w:right="1134" w:hanging="1134"/>
    </w:pPr>
    <w:rPr>
      <w:rFonts w:ascii="Times New Roman" w:eastAsia="Times New Roman" w:hAnsi="Times New Roman" w:cs="Times New Roman"/>
      <w:b/>
      <w:sz w:val="34"/>
      <w:szCs w:val="20"/>
      <w:lang w:val="fr-CH"/>
    </w:rPr>
  </w:style>
  <w:style w:type="paragraph" w:customStyle="1" w:styleId="HChG">
    <w:name w:val="_ H _Ch_G"/>
    <w:basedOn w:val="Normal"/>
    <w:next w:val="Normal"/>
    <w:link w:val="HChGChar"/>
    <w:qFormat/>
    <w:rsid w:val="0018481E"/>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H1G">
    <w:name w:val="_ H_1_G"/>
    <w:basedOn w:val="Normal"/>
    <w:next w:val="Normal"/>
    <w:link w:val="H1GChar"/>
    <w:qFormat/>
    <w:rsid w:val="0018481E"/>
    <w:pPr>
      <w:keepNext/>
      <w:keepLines/>
      <w:tabs>
        <w:tab w:val="right" w:pos="851"/>
      </w:tabs>
      <w:spacing w:before="360" w:after="240" w:line="270" w:lineRule="exact"/>
      <w:ind w:left="1134" w:right="1134" w:hanging="1134"/>
    </w:pPr>
    <w:rPr>
      <w:rFonts w:ascii="Times New Roman" w:eastAsia="Times New Roman" w:hAnsi="Times New Roman" w:cs="Times New Roman"/>
      <w:b/>
      <w:sz w:val="24"/>
      <w:szCs w:val="20"/>
      <w:lang w:val="fr-CH"/>
    </w:rPr>
  </w:style>
  <w:style w:type="paragraph" w:customStyle="1" w:styleId="H23G">
    <w:name w:val="_ H_2/3_G"/>
    <w:basedOn w:val="Normal"/>
    <w:next w:val="Normal"/>
    <w:link w:val="H23GChar"/>
    <w:qFormat/>
    <w:rsid w:val="0018481E"/>
    <w:pPr>
      <w:keepNext/>
      <w:keepLines/>
      <w:tabs>
        <w:tab w:val="right" w:pos="851"/>
      </w:tabs>
      <w:spacing w:before="240" w:after="120" w:line="240" w:lineRule="exact"/>
      <w:ind w:left="1134" w:right="1134" w:hanging="1134"/>
    </w:pPr>
    <w:rPr>
      <w:rFonts w:ascii="Times New Roman" w:eastAsia="Times New Roman" w:hAnsi="Times New Roman" w:cs="Times New Roman"/>
      <w:b/>
      <w:sz w:val="20"/>
      <w:szCs w:val="20"/>
      <w:lang w:val="fr-CH"/>
    </w:rPr>
  </w:style>
  <w:style w:type="paragraph" w:customStyle="1" w:styleId="H4G">
    <w:name w:val="_ H_4_G"/>
    <w:basedOn w:val="Normal"/>
    <w:next w:val="Normal"/>
    <w:qFormat/>
    <w:rsid w:val="0018481E"/>
    <w:pPr>
      <w:keepNext/>
      <w:keepLines/>
      <w:tabs>
        <w:tab w:val="right" w:pos="851"/>
      </w:tabs>
      <w:spacing w:before="240" w:after="120" w:line="240" w:lineRule="exact"/>
      <w:ind w:left="1134" w:right="1134" w:hanging="1134"/>
    </w:pPr>
    <w:rPr>
      <w:rFonts w:ascii="Times New Roman" w:eastAsia="Times New Roman" w:hAnsi="Times New Roman" w:cs="Times New Roman"/>
      <w:i/>
      <w:sz w:val="20"/>
      <w:szCs w:val="20"/>
      <w:lang w:val="fr-CH"/>
    </w:rPr>
  </w:style>
  <w:style w:type="paragraph" w:customStyle="1" w:styleId="H56G">
    <w:name w:val="_ H_5/6_G"/>
    <w:basedOn w:val="Normal"/>
    <w:next w:val="Normal"/>
    <w:qFormat/>
    <w:rsid w:val="0018481E"/>
    <w:pPr>
      <w:keepNext/>
      <w:keepLines/>
      <w:tabs>
        <w:tab w:val="right" w:pos="851"/>
      </w:tabs>
      <w:spacing w:before="240" w:after="120" w:line="240" w:lineRule="exact"/>
      <w:ind w:left="1134" w:right="1134" w:hanging="1134"/>
    </w:pPr>
    <w:rPr>
      <w:rFonts w:ascii="Times New Roman" w:eastAsia="Times New Roman" w:hAnsi="Times New Roman" w:cs="Times New Roman"/>
      <w:sz w:val="20"/>
      <w:szCs w:val="20"/>
      <w:lang w:val="fr-CH"/>
    </w:rPr>
  </w:style>
  <w:style w:type="paragraph" w:customStyle="1" w:styleId="SingleTxtG">
    <w:name w:val="_ Single Txt_G"/>
    <w:basedOn w:val="Normal"/>
    <w:link w:val="SingleTxtGChar"/>
    <w:qFormat/>
    <w:rsid w:val="0018481E"/>
    <w:pPr>
      <w:spacing w:after="120"/>
      <w:ind w:left="1134" w:right="1134"/>
      <w:jc w:val="both"/>
    </w:pPr>
    <w:rPr>
      <w:rFonts w:ascii="Times New Roman" w:eastAsia="Times New Roman" w:hAnsi="Times New Roman" w:cs="Times New Roman"/>
      <w:sz w:val="20"/>
      <w:szCs w:val="20"/>
      <w:lang w:val="fr-CH"/>
    </w:rPr>
  </w:style>
  <w:style w:type="paragraph" w:customStyle="1" w:styleId="SLG">
    <w:name w:val="__S_L_G"/>
    <w:basedOn w:val="Normal"/>
    <w:next w:val="Normal"/>
    <w:rsid w:val="0018481E"/>
    <w:pPr>
      <w:keepNext/>
      <w:keepLines/>
      <w:spacing w:before="240" w:after="240" w:line="580" w:lineRule="exact"/>
      <w:ind w:left="1134" w:right="1134"/>
    </w:pPr>
    <w:rPr>
      <w:rFonts w:ascii="Times New Roman" w:eastAsia="Times New Roman" w:hAnsi="Times New Roman" w:cs="Times New Roman"/>
      <w:b/>
      <w:sz w:val="56"/>
      <w:szCs w:val="20"/>
      <w:lang w:val="fr-CH"/>
    </w:rPr>
  </w:style>
  <w:style w:type="paragraph" w:customStyle="1" w:styleId="SMG">
    <w:name w:val="__S_M_G"/>
    <w:basedOn w:val="Normal"/>
    <w:next w:val="Normal"/>
    <w:rsid w:val="0018481E"/>
    <w:pPr>
      <w:keepNext/>
      <w:keepLine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SSG">
    <w:name w:val="__S_S_G"/>
    <w:basedOn w:val="Normal"/>
    <w:next w:val="Normal"/>
    <w:rsid w:val="0018481E"/>
    <w:pPr>
      <w:keepNext/>
      <w:keepLines/>
      <w:spacing w:before="240" w:after="240" w:line="300" w:lineRule="exact"/>
      <w:ind w:left="1134" w:right="1134"/>
    </w:pPr>
    <w:rPr>
      <w:rFonts w:ascii="Times New Roman" w:eastAsia="Times New Roman" w:hAnsi="Times New Roman" w:cs="Times New Roman"/>
      <w:b/>
      <w:sz w:val="28"/>
      <w:szCs w:val="20"/>
      <w:lang w:val="fr-CH"/>
    </w:rPr>
  </w:style>
  <w:style w:type="paragraph" w:customStyle="1" w:styleId="XLargeG">
    <w:name w:val="__XLarge_G"/>
    <w:basedOn w:val="Normal"/>
    <w:next w:val="Normal"/>
    <w:rsid w:val="0018481E"/>
    <w:pPr>
      <w:keepNext/>
      <w:keepLine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Bullet1G">
    <w:name w:val="_Bullet 1_G"/>
    <w:basedOn w:val="Normal"/>
    <w:qFormat/>
    <w:rsid w:val="0018481E"/>
    <w:pPr>
      <w:numPr>
        <w:numId w:val="1"/>
      </w:numPr>
      <w:spacing w:after="120"/>
      <w:ind w:right="1134"/>
      <w:jc w:val="both"/>
    </w:pPr>
    <w:rPr>
      <w:rFonts w:ascii="Times New Roman" w:eastAsia="Times New Roman" w:hAnsi="Times New Roman" w:cs="Times New Roman"/>
      <w:sz w:val="20"/>
      <w:szCs w:val="20"/>
      <w:lang w:val="fr-CH"/>
    </w:rPr>
  </w:style>
  <w:style w:type="paragraph" w:customStyle="1" w:styleId="Bullet2G">
    <w:name w:val="_Bullet 2_G"/>
    <w:basedOn w:val="Normal"/>
    <w:qFormat/>
    <w:rsid w:val="0018481E"/>
    <w:pPr>
      <w:numPr>
        <w:numId w:val="2"/>
      </w:numPr>
      <w:spacing w:after="120"/>
      <w:ind w:right="1134"/>
      <w:jc w:val="both"/>
    </w:pPr>
    <w:rPr>
      <w:rFonts w:ascii="Times New Roman" w:eastAsia="Times New Roman" w:hAnsi="Times New Roman" w:cs="Times New Roman"/>
      <w:sz w:val="20"/>
      <w:szCs w:val="20"/>
      <w:lang w:val="fr-CH"/>
    </w:rPr>
  </w:style>
  <w:style w:type="paragraph" w:customStyle="1" w:styleId="ParNoG">
    <w:name w:val="_ParNo_G"/>
    <w:basedOn w:val="Normal"/>
    <w:qFormat/>
    <w:rsid w:val="0018481E"/>
    <w:pPr>
      <w:numPr>
        <w:numId w:val="3"/>
      </w:numPr>
      <w:tabs>
        <w:tab w:val="clear" w:pos="1701"/>
      </w:tabs>
      <w:spacing w:after="120"/>
      <w:ind w:right="1134"/>
      <w:jc w:val="both"/>
    </w:pPr>
    <w:rPr>
      <w:rFonts w:ascii="Times New Roman" w:eastAsia="Times New Roman" w:hAnsi="Times New Roman" w:cs="Times New Roman"/>
      <w:sz w:val="20"/>
      <w:szCs w:val="20"/>
      <w:lang w:val="fr-CH"/>
    </w:rPr>
  </w:style>
  <w:style w:type="character" w:styleId="FootnoteReference">
    <w:name w:val="footnote reference"/>
    <w:aliases w:val="4_G"/>
    <w:basedOn w:val="DefaultParagraphFont"/>
    <w:qFormat/>
    <w:rsid w:val="0018481E"/>
    <w:rPr>
      <w:rFonts w:ascii="Times New Roman" w:hAnsi="Times New Roman"/>
      <w:sz w:val="18"/>
      <w:vertAlign w:val="superscript"/>
      <w:lang w:val="fr-CH"/>
    </w:rPr>
  </w:style>
  <w:style w:type="character" w:styleId="EndnoteReference">
    <w:name w:val="endnote reference"/>
    <w:aliases w:val="1_G"/>
    <w:basedOn w:val="FootnoteReference"/>
    <w:qFormat/>
    <w:rsid w:val="0018481E"/>
    <w:rPr>
      <w:rFonts w:ascii="Times New Roman" w:hAnsi="Times New Roman"/>
      <w:sz w:val="18"/>
      <w:vertAlign w:val="superscript"/>
      <w:lang w:val="fr-CH"/>
    </w:rPr>
  </w:style>
  <w:style w:type="table" w:styleId="TableGrid">
    <w:name w:val="Table Grid"/>
    <w:basedOn w:val="TableNormal"/>
    <w:rsid w:val="0018481E"/>
    <w:pPr>
      <w:suppressAutoHyphens/>
      <w:spacing w:after="0" w:line="240" w:lineRule="atLeast"/>
    </w:pPr>
    <w:rPr>
      <w:rFonts w:ascii="Times New Roman" w:eastAsia="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18481E"/>
    <w:rPr>
      <w:color w:val="0000FF"/>
      <w:u w:val="none"/>
    </w:rPr>
  </w:style>
  <w:style w:type="character" w:styleId="FollowedHyperlink">
    <w:name w:val="FollowedHyperlink"/>
    <w:basedOn w:val="DefaultParagraphFont"/>
    <w:unhideWhenUsed/>
    <w:rsid w:val="0018481E"/>
    <w:rPr>
      <w:color w:val="0000FF"/>
      <w:u w:val="none"/>
    </w:rPr>
  </w:style>
  <w:style w:type="paragraph" w:styleId="FootnoteText">
    <w:name w:val="footnote text"/>
    <w:aliases w:val="5_G"/>
    <w:basedOn w:val="Normal"/>
    <w:link w:val="FootnoteTextChar"/>
    <w:qFormat/>
    <w:rsid w:val="0018481E"/>
    <w:pPr>
      <w:tabs>
        <w:tab w:val="right" w:pos="1021"/>
      </w:tabs>
      <w:spacing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aliases w:val="5_G Char"/>
    <w:basedOn w:val="DefaultParagraphFont"/>
    <w:link w:val="FootnoteText"/>
    <w:rsid w:val="0018481E"/>
    <w:rPr>
      <w:rFonts w:ascii="Times New Roman" w:eastAsia="Times New Roman" w:hAnsi="Times New Roman" w:cs="Times New Roman"/>
      <w:sz w:val="18"/>
      <w:szCs w:val="20"/>
      <w:lang w:val="fr-CH"/>
    </w:rPr>
  </w:style>
  <w:style w:type="paragraph" w:styleId="EndnoteText">
    <w:name w:val="endnote text"/>
    <w:aliases w:val="2_G"/>
    <w:basedOn w:val="FootnoteText"/>
    <w:link w:val="EndnoteTextChar"/>
    <w:qFormat/>
    <w:rsid w:val="0018481E"/>
  </w:style>
  <w:style w:type="character" w:customStyle="1" w:styleId="EndnoteTextChar">
    <w:name w:val="Endnote Text Char"/>
    <w:aliases w:val="2_G Char"/>
    <w:basedOn w:val="DefaultParagraphFont"/>
    <w:link w:val="EndnoteText"/>
    <w:rsid w:val="0018481E"/>
    <w:rPr>
      <w:rFonts w:ascii="Times New Roman" w:eastAsia="Times New Roman" w:hAnsi="Times New Roman" w:cs="Times New Roman"/>
      <w:sz w:val="18"/>
      <w:szCs w:val="20"/>
      <w:lang w:val="fr-CH"/>
    </w:rPr>
  </w:style>
  <w:style w:type="character" w:styleId="PageNumber">
    <w:name w:val="page number"/>
    <w:aliases w:val="7_G"/>
    <w:basedOn w:val="DefaultParagraphFont"/>
    <w:qFormat/>
    <w:rsid w:val="0018481E"/>
    <w:rPr>
      <w:rFonts w:ascii="Times New Roman" w:hAnsi="Times New Roman"/>
      <w:b/>
      <w:sz w:val="18"/>
      <w:lang w:val="fr-CH"/>
    </w:rPr>
  </w:style>
  <w:style w:type="paragraph" w:styleId="BalloonText">
    <w:name w:val="Balloon Text"/>
    <w:basedOn w:val="Normal"/>
    <w:link w:val="BalloonTextChar"/>
    <w:uiPriority w:val="99"/>
    <w:semiHidden/>
    <w:unhideWhenUsed/>
    <w:rsid w:val="0018481E"/>
    <w:pPr>
      <w:spacing w:line="240" w:lineRule="auto"/>
    </w:pPr>
    <w:rPr>
      <w:rFonts w:ascii="Tahoma" w:eastAsia="Times New Roman" w:hAnsi="Tahoma" w:cs="Tahoma"/>
      <w:sz w:val="16"/>
      <w:szCs w:val="16"/>
      <w:lang w:val="fr-CH"/>
    </w:rPr>
  </w:style>
  <w:style w:type="character" w:customStyle="1" w:styleId="BalloonTextChar">
    <w:name w:val="Balloon Text Char"/>
    <w:basedOn w:val="DefaultParagraphFont"/>
    <w:link w:val="BalloonText"/>
    <w:uiPriority w:val="99"/>
    <w:semiHidden/>
    <w:rsid w:val="0018481E"/>
    <w:rPr>
      <w:rFonts w:ascii="Tahoma" w:eastAsia="Times New Roman" w:hAnsi="Tahoma" w:cs="Tahoma"/>
      <w:sz w:val="16"/>
      <w:szCs w:val="16"/>
      <w:lang w:val="fr-CH"/>
    </w:rPr>
  </w:style>
  <w:style w:type="character" w:customStyle="1" w:styleId="SingleTxtGChar">
    <w:name w:val="_ Single Txt_G Char"/>
    <w:link w:val="SingleTxtG"/>
    <w:qFormat/>
    <w:rsid w:val="0018481E"/>
    <w:rPr>
      <w:rFonts w:ascii="Times New Roman" w:eastAsia="Times New Roman" w:hAnsi="Times New Roman" w:cs="Times New Roman"/>
      <w:sz w:val="20"/>
      <w:szCs w:val="20"/>
      <w:lang w:val="fr-CH"/>
    </w:rPr>
  </w:style>
  <w:style w:type="character" w:customStyle="1" w:styleId="HChGChar">
    <w:name w:val="_ H _Ch_G Char"/>
    <w:link w:val="HChG"/>
    <w:qFormat/>
    <w:rsid w:val="0018481E"/>
    <w:rPr>
      <w:rFonts w:ascii="Times New Roman" w:eastAsia="Times New Roman" w:hAnsi="Times New Roman" w:cs="Times New Roman"/>
      <w:b/>
      <w:sz w:val="28"/>
      <w:szCs w:val="20"/>
      <w:lang w:val="fr-CH"/>
    </w:rPr>
  </w:style>
  <w:style w:type="character" w:customStyle="1" w:styleId="H23GChar">
    <w:name w:val="_ H_2/3_G Char"/>
    <w:link w:val="H23G"/>
    <w:locked/>
    <w:rsid w:val="0018481E"/>
    <w:rPr>
      <w:rFonts w:ascii="Times New Roman" w:eastAsia="Times New Roman" w:hAnsi="Times New Roman" w:cs="Times New Roman"/>
      <w:b/>
      <w:sz w:val="20"/>
      <w:szCs w:val="20"/>
      <w:lang w:val="fr-CH"/>
    </w:rPr>
  </w:style>
  <w:style w:type="character" w:customStyle="1" w:styleId="UnresolvedMention1">
    <w:name w:val="Unresolved Mention1"/>
    <w:basedOn w:val="DefaultParagraphFont"/>
    <w:uiPriority w:val="99"/>
    <w:semiHidden/>
    <w:unhideWhenUsed/>
    <w:rsid w:val="0018481E"/>
    <w:rPr>
      <w:color w:val="605E5C"/>
      <w:shd w:val="clear" w:color="auto" w:fill="E1DFDD"/>
    </w:rPr>
  </w:style>
  <w:style w:type="character" w:styleId="CommentReference">
    <w:name w:val="annotation reference"/>
    <w:basedOn w:val="DefaultParagraphFont"/>
    <w:uiPriority w:val="99"/>
    <w:semiHidden/>
    <w:unhideWhenUsed/>
    <w:rsid w:val="0018481E"/>
    <w:rPr>
      <w:sz w:val="16"/>
      <w:szCs w:val="16"/>
    </w:rPr>
  </w:style>
  <w:style w:type="paragraph" w:styleId="CommentText">
    <w:name w:val="annotation text"/>
    <w:basedOn w:val="Normal"/>
    <w:link w:val="CommentTextChar"/>
    <w:uiPriority w:val="99"/>
    <w:semiHidden/>
    <w:unhideWhenUsed/>
    <w:rsid w:val="0018481E"/>
    <w:pPr>
      <w:spacing w:line="240" w:lineRule="auto"/>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uiPriority w:val="99"/>
    <w:semiHidden/>
    <w:rsid w:val="0018481E"/>
    <w:rPr>
      <w:rFonts w:ascii="Times New Roman" w:eastAsia="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18481E"/>
    <w:rPr>
      <w:b/>
      <w:bCs/>
    </w:rPr>
  </w:style>
  <w:style w:type="character" w:customStyle="1" w:styleId="CommentSubjectChar">
    <w:name w:val="Comment Subject Char"/>
    <w:basedOn w:val="CommentTextChar"/>
    <w:link w:val="CommentSubject"/>
    <w:uiPriority w:val="99"/>
    <w:semiHidden/>
    <w:rsid w:val="0018481E"/>
    <w:rPr>
      <w:rFonts w:ascii="Times New Roman" w:eastAsia="Times New Roman" w:hAnsi="Times New Roman" w:cs="Times New Roman"/>
      <w:b/>
      <w:bCs/>
      <w:sz w:val="20"/>
      <w:szCs w:val="20"/>
      <w:lang w:val="fr-CH"/>
    </w:rPr>
  </w:style>
  <w:style w:type="paragraph" w:styleId="Revision">
    <w:name w:val="Revision"/>
    <w:hidden/>
    <w:uiPriority w:val="99"/>
    <w:semiHidden/>
    <w:rsid w:val="0018481E"/>
    <w:pPr>
      <w:spacing w:after="0" w:line="240" w:lineRule="auto"/>
    </w:pPr>
    <w:rPr>
      <w:rFonts w:ascii="Times New Roman" w:eastAsia="Times New Roman" w:hAnsi="Times New Roman" w:cs="Times New Roman"/>
      <w:sz w:val="20"/>
      <w:szCs w:val="20"/>
      <w:lang w:val="fr-CH"/>
    </w:rPr>
  </w:style>
  <w:style w:type="character" w:customStyle="1" w:styleId="H1GChar">
    <w:name w:val="_ H_1_G Char"/>
    <w:link w:val="H1G"/>
    <w:locked/>
    <w:rsid w:val="0018481E"/>
    <w:rPr>
      <w:rFonts w:ascii="Times New Roman" w:eastAsia="Times New Roman" w:hAnsi="Times New Roman" w:cs="Times New Roman"/>
      <w:b/>
      <w:sz w:val="24"/>
      <w:szCs w:val="20"/>
      <w:lang w:val="fr-CH"/>
    </w:rPr>
  </w:style>
  <w:style w:type="character" w:customStyle="1" w:styleId="normaltextrun">
    <w:name w:val="normaltextrun"/>
    <w:basedOn w:val="DefaultParagraphFont"/>
    <w:rsid w:val="0018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 TargetMode="External"/><Relationship Id="rId18" Type="http://schemas.openxmlformats.org/officeDocument/2006/relationships/hyperlink" Target="http://www.ica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iso.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u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ea.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iga.e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m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anet.co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0E554-8E5C-4586-8B21-2C3E4C029814}">
  <ds:schemaRefs>
    <ds:schemaRef ds:uri="http://schemas.microsoft.com/sharepoint/v3/contenttype/forms"/>
  </ds:schemaRefs>
</ds:datastoreItem>
</file>

<file path=customXml/itemProps2.xml><?xml version="1.0" encoding="utf-8"?>
<ds:datastoreItem xmlns:ds="http://schemas.openxmlformats.org/officeDocument/2006/customXml" ds:itemID="{AE91302D-0338-45A5-874B-59E6908F9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68231-AA2B-4315-8456-872D16B51CE5}">
  <ds:schemaRefs>
    <ds:schemaRef ds:uri="http://schemas.openxmlformats.org/officeDocument/2006/bibliography"/>
  </ds:schemaRefs>
</ds:datastoreItem>
</file>

<file path=customXml/itemProps4.xml><?xml version="1.0" encoding="utf-8"?>
<ds:datastoreItem xmlns:ds="http://schemas.openxmlformats.org/officeDocument/2006/customXml" ds:itemID="{D74F5AFB-98FC-45E5-910D-7133F941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Barrio-Champeau</dc:creator>
  <cp:keywords/>
  <dc:description/>
  <cp:lastModifiedBy>Editorial</cp:lastModifiedBy>
  <cp:revision>28</cp:revision>
  <dcterms:created xsi:type="dcterms:W3CDTF">2021-04-23T11:01:00Z</dcterms:created>
  <dcterms:modified xsi:type="dcterms:W3CDTF">2021-04-28T13:31:00Z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