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16A4F" w:rsidRPr="00C16A4F" w14:paraId="302DB34A" w14:textId="77777777" w:rsidTr="006476E1">
        <w:trPr>
          <w:trHeight w:val="851"/>
        </w:trPr>
        <w:tc>
          <w:tcPr>
            <w:tcW w:w="1259" w:type="dxa"/>
            <w:tcBorders>
              <w:top w:val="nil"/>
              <w:left w:val="nil"/>
              <w:bottom w:val="single" w:sz="4" w:space="0" w:color="auto"/>
              <w:right w:val="nil"/>
            </w:tcBorders>
          </w:tcPr>
          <w:p w14:paraId="0054D42A" w14:textId="77777777" w:rsidR="00E52109" w:rsidRPr="00C16A4F" w:rsidRDefault="00E52109" w:rsidP="004858F5"/>
        </w:tc>
        <w:tc>
          <w:tcPr>
            <w:tcW w:w="2236" w:type="dxa"/>
            <w:tcBorders>
              <w:top w:val="nil"/>
              <w:left w:val="nil"/>
              <w:bottom w:val="single" w:sz="4" w:space="0" w:color="auto"/>
              <w:right w:val="nil"/>
            </w:tcBorders>
            <w:vAlign w:val="bottom"/>
          </w:tcPr>
          <w:p w14:paraId="515BFCF7" w14:textId="77777777" w:rsidR="00E52109" w:rsidRPr="00C16A4F" w:rsidRDefault="00E52109" w:rsidP="006476E1">
            <w:pPr>
              <w:spacing w:after="80" w:line="300" w:lineRule="exact"/>
              <w:rPr>
                <w:sz w:val="28"/>
                <w:szCs w:val="28"/>
              </w:rPr>
            </w:pPr>
            <w:r w:rsidRPr="00C16A4F">
              <w:rPr>
                <w:sz w:val="28"/>
                <w:szCs w:val="28"/>
              </w:rPr>
              <w:t>United Nations</w:t>
            </w:r>
          </w:p>
        </w:tc>
        <w:tc>
          <w:tcPr>
            <w:tcW w:w="6144" w:type="dxa"/>
            <w:gridSpan w:val="2"/>
            <w:tcBorders>
              <w:top w:val="nil"/>
              <w:left w:val="nil"/>
              <w:bottom w:val="single" w:sz="4" w:space="0" w:color="auto"/>
              <w:right w:val="nil"/>
            </w:tcBorders>
            <w:vAlign w:val="bottom"/>
          </w:tcPr>
          <w:p w14:paraId="510461ED" w14:textId="153F68B9" w:rsidR="00E52109" w:rsidRPr="00C16A4F" w:rsidRDefault="00E17B7E" w:rsidP="00E17B7E">
            <w:pPr>
              <w:suppressAutoHyphens w:val="0"/>
              <w:jc w:val="right"/>
            </w:pPr>
            <w:r w:rsidRPr="00C16A4F">
              <w:rPr>
                <w:sz w:val="40"/>
              </w:rPr>
              <w:t>ST</w:t>
            </w:r>
            <w:r w:rsidRPr="00C16A4F">
              <w:t>/SG/AC.10/C.4/2021/4</w:t>
            </w:r>
          </w:p>
        </w:tc>
      </w:tr>
      <w:tr w:rsidR="00C16A4F" w:rsidRPr="00C16A4F" w14:paraId="0F17C790" w14:textId="77777777" w:rsidTr="006476E1">
        <w:trPr>
          <w:trHeight w:val="2835"/>
        </w:trPr>
        <w:tc>
          <w:tcPr>
            <w:tcW w:w="1259" w:type="dxa"/>
            <w:tcBorders>
              <w:top w:val="single" w:sz="4" w:space="0" w:color="auto"/>
              <w:left w:val="nil"/>
              <w:bottom w:val="single" w:sz="12" w:space="0" w:color="auto"/>
              <w:right w:val="nil"/>
            </w:tcBorders>
          </w:tcPr>
          <w:p w14:paraId="6443F0D4" w14:textId="77777777" w:rsidR="00E52109" w:rsidRPr="00C16A4F" w:rsidRDefault="00E52109" w:rsidP="006476E1">
            <w:pPr>
              <w:spacing w:before="120"/>
              <w:jc w:val="center"/>
            </w:pPr>
            <w:r w:rsidRPr="00C16A4F">
              <w:rPr>
                <w:noProof/>
                <w:lang w:val="fr-CH" w:eastAsia="fr-CH"/>
              </w:rPr>
              <w:drawing>
                <wp:inline distT="0" distB="0" distL="0" distR="0" wp14:anchorId="6E321BE1" wp14:editId="13647B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D7AD1C7" w14:textId="77777777" w:rsidR="00E52109" w:rsidRPr="00C16A4F" w:rsidRDefault="00D94B05" w:rsidP="006476E1">
            <w:pPr>
              <w:spacing w:before="120" w:line="420" w:lineRule="exact"/>
              <w:rPr>
                <w:b/>
                <w:sz w:val="40"/>
                <w:szCs w:val="40"/>
              </w:rPr>
            </w:pPr>
            <w:r w:rsidRPr="00C16A4F">
              <w:rPr>
                <w:b/>
                <w:sz w:val="40"/>
                <w:szCs w:val="40"/>
              </w:rPr>
              <w:t>Secretariat</w:t>
            </w:r>
          </w:p>
        </w:tc>
        <w:tc>
          <w:tcPr>
            <w:tcW w:w="2930" w:type="dxa"/>
            <w:tcBorders>
              <w:top w:val="single" w:sz="4" w:space="0" w:color="auto"/>
              <w:left w:val="nil"/>
              <w:bottom w:val="single" w:sz="12" w:space="0" w:color="auto"/>
              <w:right w:val="nil"/>
            </w:tcBorders>
          </w:tcPr>
          <w:p w14:paraId="434E7CB7" w14:textId="77777777" w:rsidR="00D94B05" w:rsidRPr="00C16A4F" w:rsidRDefault="00E17B7E" w:rsidP="00E17B7E">
            <w:pPr>
              <w:suppressAutoHyphens w:val="0"/>
              <w:spacing w:before="240" w:line="240" w:lineRule="exact"/>
            </w:pPr>
            <w:r w:rsidRPr="00C16A4F">
              <w:t>Distr.: General</w:t>
            </w:r>
          </w:p>
          <w:p w14:paraId="2B8D8F62" w14:textId="7BF3A0A0" w:rsidR="00E17B7E" w:rsidRPr="00C16A4F" w:rsidRDefault="00C46AE0" w:rsidP="00E17B7E">
            <w:pPr>
              <w:suppressAutoHyphens w:val="0"/>
              <w:spacing w:line="240" w:lineRule="exact"/>
            </w:pPr>
            <w:r w:rsidRPr="00C16A4F">
              <w:t>21</w:t>
            </w:r>
            <w:r w:rsidR="00E17B7E" w:rsidRPr="00C16A4F">
              <w:t xml:space="preserve"> April 2021</w:t>
            </w:r>
          </w:p>
          <w:p w14:paraId="6B4A64FA" w14:textId="77777777" w:rsidR="00E17B7E" w:rsidRPr="00C16A4F" w:rsidRDefault="00E17B7E" w:rsidP="00E17B7E">
            <w:pPr>
              <w:suppressAutoHyphens w:val="0"/>
              <w:spacing w:line="240" w:lineRule="exact"/>
            </w:pPr>
          </w:p>
          <w:p w14:paraId="0BCE9431" w14:textId="2010C03C" w:rsidR="00E17B7E" w:rsidRPr="00C16A4F" w:rsidRDefault="00E17B7E" w:rsidP="00E17B7E">
            <w:pPr>
              <w:suppressAutoHyphens w:val="0"/>
              <w:spacing w:line="240" w:lineRule="exact"/>
            </w:pPr>
            <w:r w:rsidRPr="00C16A4F">
              <w:t>Original: English</w:t>
            </w:r>
          </w:p>
        </w:tc>
      </w:tr>
    </w:tbl>
    <w:p w14:paraId="010FE231" w14:textId="77777777" w:rsidR="00E17B7E" w:rsidRPr="00C16A4F" w:rsidRDefault="00E17B7E" w:rsidP="004858F5">
      <w:pPr>
        <w:spacing w:before="120"/>
        <w:rPr>
          <w:b/>
          <w:sz w:val="24"/>
          <w:szCs w:val="24"/>
          <w:lang w:val="en-US"/>
        </w:rPr>
      </w:pPr>
      <w:r w:rsidRPr="00C16A4F">
        <w:rPr>
          <w:b/>
          <w:sz w:val="24"/>
          <w:szCs w:val="24"/>
          <w:lang w:val="en-US"/>
        </w:rPr>
        <w:t>Committee of Experts on the Transport of Dangerous Goods</w:t>
      </w:r>
      <w:r w:rsidRPr="00C16A4F">
        <w:rPr>
          <w:b/>
          <w:sz w:val="24"/>
          <w:szCs w:val="24"/>
          <w:lang w:val="en-US"/>
        </w:rPr>
        <w:br/>
        <w:t>and on the Globally Harmonized System of Classification</w:t>
      </w:r>
      <w:r w:rsidRPr="00C16A4F">
        <w:rPr>
          <w:b/>
          <w:sz w:val="24"/>
          <w:szCs w:val="24"/>
          <w:lang w:val="en-US"/>
        </w:rPr>
        <w:br/>
        <w:t>and Labelling of Chemicals</w:t>
      </w:r>
    </w:p>
    <w:p w14:paraId="596520C8" w14:textId="77777777" w:rsidR="00E17B7E" w:rsidRPr="00C16A4F" w:rsidRDefault="00E17B7E" w:rsidP="004858F5">
      <w:pPr>
        <w:spacing w:before="120"/>
        <w:rPr>
          <w:rFonts w:ascii="Helv" w:hAnsi="Helv" w:cs="Helv"/>
          <w:b/>
          <w:lang w:val="en-US"/>
        </w:rPr>
      </w:pPr>
      <w:r w:rsidRPr="00C16A4F">
        <w:rPr>
          <w:b/>
          <w:lang w:val="en-US"/>
        </w:rPr>
        <w:t>Sub-Committee of Experts on the Globally Harmonized</w:t>
      </w:r>
      <w:r w:rsidRPr="00C16A4F">
        <w:rPr>
          <w:b/>
          <w:lang w:val="en-US"/>
        </w:rPr>
        <w:br/>
        <w:t>System of Classification and Labelling of Chemicals</w:t>
      </w:r>
    </w:p>
    <w:p w14:paraId="5C533C6F" w14:textId="77777777" w:rsidR="00163760" w:rsidRPr="00C16A4F" w:rsidRDefault="00163760" w:rsidP="00163760">
      <w:pPr>
        <w:spacing w:before="120"/>
        <w:rPr>
          <w:b/>
        </w:rPr>
      </w:pPr>
      <w:bookmarkStart w:id="0" w:name="_Hlk35441056"/>
      <w:r w:rsidRPr="00C16A4F">
        <w:rPr>
          <w:b/>
          <w:bCs/>
        </w:rPr>
        <w:t>Fortieth</w:t>
      </w:r>
      <w:r w:rsidRPr="00C16A4F" w:rsidDel="00E619AD">
        <w:rPr>
          <w:b/>
          <w:bCs/>
        </w:rPr>
        <w:t xml:space="preserve"> </w:t>
      </w:r>
      <w:r w:rsidRPr="00C16A4F">
        <w:rPr>
          <w:b/>
        </w:rPr>
        <w:t>session</w:t>
      </w:r>
    </w:p>
    <w:bookmarkEnd w:id="0"/>
    <w:p w14:paraId="004252E2" w14:textId="77777777" w:rsidR="00163760" w:rsidRPr="00C16A4F" w:rsidRDefault="00163760" w:rsidP="00163760">
      <w:r w:rsidRPr="00C16A4F">
        <w:t xml:space="preserve">Geneva, 5-7 July 2021 </w:t>
      </w:r>
    </w:p>
    <w:p w14:paraId="0B725271" w14:textId="77777777" w:rsidR="00163760" w:rsidRPr="00C16A4F" w:rsidRDefault="00163760" w:rsidP="00163760">
      <w:r w:rsidRPr="00C16A4F">
        <w:t>Item 2 (c) of the provisional agenda</w:t>
      </w:r>
    </w:p>
    <w:p w14:paraId="3BD15E38" w14:textId="77777777" w:rsidR="00163760" w:rsidRPr="00C16A4F" w:rsidRDefault="00163760" w:rsidP="00163760">
      <w:pPr>
        <w:rPr>
          <w:b/>
          <w:bCs/>
        </w:rPr>
      </w:pPr>
      <w:r w:rsidRPr="00C16A4F">
        <w:rPr>
          <w:b/>
          <w:bCs/>
        </w:rPr>
        <w:t>Classification criteria and related hazard communication:</w:t>
      </w:r>
      <w:r w:rsidRPr="00C16A4F">
        <w:rPr>
          <w:b/>
          <w:bCs/>
        </w:rPr>
        <w:br/>
        <w:t xml:space="preserve">use of non-animal testing methods for classification of health hazards </w:t>
      </w:r>
    </w:p>
    <w:p w14:paraId="03D8AEB3" w14:textId="33C2D3AE" w:rsidR="00163760" w:rsidRPr="00C16A4F" w:rsidRDefault="00163760" w:rsidP="00163760">
      <w:pPr>
        <w:pStyle w:val="HChG"/>
        <w:jc w:val="both"/>
      </w:pPr>
      <w:r w:rsidRPr="00C16A4F">
        <w:tab/>
      </w:r>
      <w:bookmarkStart w:id="1" w:name="_Hlk37755597"/>
      <w:r w:rsidR="00446E59" w:rsidRPr="00C16A4F">
        <w:tab/>
      </w:r>
      <w:r w:rsidRPr="00C16A4F">
        <w:rPr>
          <w:rFonts w:eastAsia="MS Mincho"/>
          <w:lang w:val="en-US" w:eastAsia="ja-JP"/>
        </w:rPr>
        <w:t>Revision of Chapter 3.3 to fully</w:t>
      </w:r>
      <w:r w:rsidRPr="00C16A4F" w:rsidDel="00DA6B99">
        <w:rPr>
          <w:rFonts w:eastAsia="MS Mincho"/>
          <w:lang w:val="en-US" w:eastAsia="ja-JP"/>
        </w:rPr>
        <w:t xml:space="preserve"> </w:t>
      </w:r>
      <w:r w:rsidRPr="00C16A4F">
        <w:rPr>
          <w:rFonts w:eastAsia="MS Mincho"/>
          <w:lang w:val="en-US" w:eastAsia="ja-JP"/>
        </w:rPr>
        <w:t>incorporate non-animal test methods</w:t>
      </w:r>
    </w:p>
    <w:p w14:paraId="2AB2B443" w14:textId="29FCA7E1" w:rsidR="00163760" w:rsidRPr="00C16A4F" w:rsidRDefault="00163760" w:rsidP="00F443D6">
      <w:pPr>
        <w:pStyle w:val="H1G"/>
        <w:tabs>
          <w:tab w:val="left" w:pos="8505"/>
        </w:tabs>
        <w:jc w:val="both"/>
      </w:pPr>
      <w:r w:rsidRPr="00C16A4F">
        <w:tab/>
      </w:r>
      <w:r w:rsidRPr="00C16A4F">
        <w:tab/>
        <w:t>Transmitted by the experts from the United Kingdom and the Netherlands on behalf of the informal working group on the use of non-animal test methods for classification of health hazards</w:t>
      </w:r>
      <w:r w:rsidR="00446E59" w:rsidRPr="00C16A4F">
        <w:rPr>
          <w:rStyle w:val="FootnoteReference"/>
          <w:sz w:val="20"/>
          <w:vertAlign w:val="baseline"/>
        </w:rPr>
        <w:footnoteReference w:customMarkFollows="1" w:id="2"/>
        <w:t>*</w:t>
      </w:r>
    </w:p>
    <w:bookmarkEnd w:id="1"/>
    <w:p w14:paraId="24BA40C3" w14:textId="77777777" w:rsidR="00163760" w:rsidRPr="00C16A4F" w:rsidRDefault="00163760" w:rsidP="00163760">
      <w:pPr>
        <w:pStyle w:val="HChG"/>
        <w:rPr>
          <w:sz w:val="24"/>
          <w:szCs w:val="24"/>
        </w:rPr>
      </w:pPr>
      <w:r w:rsidRPr="00C16A4F">
        <w:tab/>
      </w:r>
      <w:r w:rsidRPr="00C16A4F">
        <w:tab/>
        <w:t xml:space="preserve">Introduction </w:t>
      </w:r>
    </w:p>
    <w:p w14:paraId="18534B30" w14:textId="60B15E31" w:rsidR="00163760" w:rsidRPr="00C16A4F" w:rsidRDefault="00163760" w:rsidP="005C7588">
      <w:pPr>
        <w:pStyle w:val="SingleTxtG"/>
      </w:pPr>
      <w:r w:rsidRPr="00C16A4F">
        <w:t>1.</w:t>
      </w:r>
      <w:r w:rsidRPr="00C16A4F">
        <w:tab/>
        <w:t>This document summarises the work of the informal working group on “Use of non-animal testing methods for classification of health hazards” on Chapter 3.3</w:t>
      </w:r>
      <w:r w:rsidR="00A9749D" w:rsidRPr="00C16A4F">
        <w:t xml:space="preserve"> (</w:t>
      </w:r>
      <w:r w:rsidRPr="00C16A4F">
        <w:t>Serious eye damage/eye irritation</w:t>
      </w:r>
      <w:r w:rsidR="00A9749D" w:rsidRPr="00C16A4F">
        <w:t xml:space="preserve">) in accordance with the </w:t>
      </w:r>
      <w:r w:rsidR="005C7588" w:rsidRPr="00C16A4F">
        <w:t>programme of work of the Sub-Committee</w:t>
      </w:r>
      <w:r w:rsidR="006417E4" w:rsidRPr="00C16A4F">
        <w:rPr>
          <w:rStyle w:val="FootnoteReference"/>
        </w:rPr>
        <w:footnoteReference w:id="3"/>
      </w:r>
      <w:r w:rsidR="00873863" w:rsidRPr="00C16A4F">
        <w:t>.</w:t>
      </w:r>
      <w:r w:rsidR="00AB4479" w:rsidRPr="00C16A4F">
        <w:t xml:space="preserve"> Th</w:t>
      </w:r>
      <w:r w:rsidR="0080456E" w:rsidRPr="00C16A4F">
        <w:t xml:space="preserve">e </w:t>
      </w:r>
      <w:r w:rsidR="00AB4479" w:rsidRPr="00C16A4F">
        <w:t xml:space="preserve">document together </w:t>
      </w:r>
      <w:r w:rsidRPr="00C16A4F">
        <w:t xml:space="preserve">with informal document </w:t>
      </w:r>
      <w:r w:rsidR="009030C5" w:rsidRPr="00C16A4F">
        <w:t>INF.3</w:t>
      </w:r>
      <w:r w:rsidRPr="00C16A4F">
        <w:t xml:space="preserve">, presents for the agreement of the Sub-Committee a revision of this </w:t>
      </w:r>
      <w:r w:rsidR="009030C5" w:rsidRPr="00C16A4F">
        <w:t>c</w:t>
      </w:r>
      <w:r w:rsidRPr="00C16A4F">
        <w:t xml:space="preserve">hapter to better reflect the increased capability, availability and utility for classification of in vitro/ex vivo test methods and of non-test methods such as computer models and read-across. In addition, to align Chapter 3.2 with Chapter 3.3, </w:t>
      </w:r>
      <w:proofErr w:type="gramStart"/>
      <w:r w:rsidRPr="00C16A4F">
        <w:t>a number of</w:t>
      </w:r>
      <w:proofErr w:type="gramEnd"/>
      <w:r w:rsidRPr="00C16A4F">
        <w:t xml:space="preserve"> conforming changes are proposed to Chapter 3.2 and Chapter 1.2 (see </w:t>
      </w:r>
      <w:r w:rsidR="009030C5" w:rsidRPr="00C16A4F">
        <w:t>ST/SG/AC.10/C.4/2021/5</w:t>
      </w:r>
      <w:r w:rsidRPr="00C16A4F">
        <w:t xml:space="preserve"> and </w:t>
      </w:r>
      <w:r w:rsidR="009030C5" w:rsidRPr="00C16A4F">
        <w:t>informal document INF.4</w:t>
      </w:r>
      <w:r w:rsidRPr="00C16A4F">
        <w:t>).</w:t>
      </w:r>
    </w:p>
    <w:p w14:paraId="4E783BD1" w14:textId="77777777" w:rsidR="00163760" w:rsidRPr="00C16A4F" w:rsidRDefault="00163760" w:rsidP="00B1324C">
      <w:pPr>
        <w:pStyle w:val="HChG"/>
      </w:pPr>
      <w:r w:rsidRPr="00C16A4F">
        <w:tab/>
      </w:r>
      <w:r w:rsidRPr="00C16A4F">
        <w:tab/>
        <w:t>Background</w:t>
      </w:r>
    </w:p>
    <w:p w14:paraId="759B906C" w14:textId="77777777" w:rsidR="00163760" w:rsidRPr="00C16A4F" w:rsidRDefault="00163760" w:rsidP="002966C9">
      <w:pPr>
        <w:pStyle w:val="SingleTxtG"/>
      </w:pPr>
      <w:r w:rsidRPr="00C16A4F">
        <w:t>2.</w:t>
      </w:r>
      <w:r w:rsidRPr="00C16A4F">
        <w:tab/>
        <w:t>The terms of reference the Sub-Committee gave to the informal working group (see informal document INF.26 from the thirty-ninth session) set out five main activities:</w:t>
      </w:r>
    </w:p>
    <w:p w14:paraId="6C0074B8" w14:textId="4F4E27A5" w:rsidR="00163760" w:rsidRPr="00C16A4F" w:rsidRDefault="00163760" w:rsidP="00F443D6">
      <w:pPr>
        <w:pStyle w:val="SingleTxtG"/>
        <w:ind w:left="2268" w:hanging="567"/>
        <w:rPr>
          <w:rFonts w:eastAsiaTheme="minorHAnsi"/>
          <w:lang w:val="en-US"/>
        </w:rPr>
      </w:pPr>
      <w:r w:rsidRPr="00C16A4F">
        <w:rPr>
          <w:rFonts w:eastAsiaTheme="minorHAnsi"/>
          <w:lang w:val="en-US"/>
        </w:rPr>
        <w:t>(a)</w:t>
      </w:r>
      <w:r w:rsidRPr="00C16A4F">
        <w:rPr>
          <w:rFonts w:eastAsiaTheme="minorHAnsi"/>
          <w:lang w:val="en-US"/>
        </w:rPr>
        <w:tab/>
        <w:t xml:space="preserve">To identify and evaluate the available </w:t>
      </w:r>
      <w:r w:rsidRPr="00C16A4F">
        <w:rPr>
          <w:rFonts w:eastAsiaTheme="minorHAnsi"/>
          <w:i/>
          <w:lang w:val="en-US"/>
        </w:rPr>
        <w:t>in vitro</w:t>
      </w:r>
      <w:r w:rsidRPr="00C16A4F">
        <w:rPr>
          <w:rFonts w:eastAsiaTheme="minorHAnsi"/>
          <w:lang w:val="en-US"/>
        </w:rPr>
        <w:t xml:space="preserve"> and </w:t>
      </w:r>
      <w:r w:rsidRPr="00C16A4F">
        <w:rPr>
          <w:rFonts w:eastAsiaTheme="minorHAnsi"/>
          <w:i/>
          <w:lang w:val="en-US"/>
        </w:rPr>
        <w:t xml:space="preserve">in </w:t>
      </w:r>
      <w:proofErr w:type="spellStart"/>
      <w:r w:rsidRPr="00C16A4F">
        <w:rPr>
          <w:rFonts w:eastAsiaTheme="minorHAnsi"/>
          <w:i/>
          <w:lang w:val="en-US"/>
        </w:rPr>
        <w:t>chemico</w:t>
      </w:r>
      <w:proofErr w:type="spellEnd"/>
      <w:r w:rsidRPr="00C16A4F">
        <w:rPr>
          <w:rFonts w:eastAsiaTheme="minorHAnsi"/>
          <w:lang w:val="en-US"/>
        </w:rPr>
        <w:t xml:space="preserve"> test methods, validated at the international level, and the existing guidance on </w:t>
      </w:r>
      <w:r w:rsidRPr="00C16A4F">
        <w:rPr>
          <w:rFonts w:eastAsiaTheme="minorHAnsi"/>
          <w:i/>
          <w:lang w:val="en-US"/>
        </w:rPr>
        <w:t xml:space="preserve">in silico </w:t>
      </w:r>
      <w:r w:rsidRPr="00C16A4F">
        <w:rPr>
          <w:rFonts w:eastAsiaTheme="minorHAnsi"/>
          <w:lang w:val="en-US"/>
        </w:rPr>
        <w:t>methods</w:t>
      </w:r>
      <w:r w:rsidRPr="00C16A4F">
        <w:rPr>
          <w:rFonts w:eastAsiaTheme="minorHAnsi"/>
          <w:i/>
          <w:lang w:val="en-US"/>
        </w:rPr>
        <w:t xml:space="preserve">, </w:t>
      </w:r>
      <w:r w:rsidRPr="00C16A4F">
        <w:rPr>
          <w:rFonts w:eastAsiaTheme="minorHAnsi"/>
          <w:lang w:val="en-US"/>
        </w:rPr>
        <w:t>including</w:t>
      </w:r>
      <w:r w:rsidRPr="00C16A4F">
        <w:rPr>
          <w:rFonts w:eastAsiaTheme="minorHAnsi"/>
          <w:i/>
          <w:lang w:val="en-US"/>
        </w:rPr>
        <w:t xml:space="preserve"> </w:t>
      </w:r>
      <w:r w:rsidRPr="00C16A4F">
        <w:rPr>
          <w:rFonts w:eastAsiaTheme="minorHAnsi"/>
          <w:lang w:val="en-US"/>
        </w:rPr>
        <w:t xml:space="preserve">grouping approaches, quantitative structure activity relationship (QSARs) and read-across, that could be useful for GHS hazard </w:t>
      </w:r>
      <w:r w:rsidRPr="00C16A4F">
        <w:rPr>
          <w:rFonts w:eastAsiaTheme="minorHAnsi"/>
          <w:lang w:val="en-US"/>
        </w:rPr>
        <w:lastRenderedPageBreak/>
        <w:t xml:space="preserve">classification for health hazard and environmental hazard classes, using a step-wise approach, starting with a hazard class to be determined by </w:t>
      </w:r>
      <w:r w:rsidR="009030C5" w:rsidRPr="00C16A4F">
        <w:rPr>
          <w:rFonts w:eastAsiaTheme="minorHAnsi"/>
          <w:lang w:val="en-US"/>
        </w:rPr>
        <w:t>group</w:t>
      </w:r>
      <w:r w:rsidRPr="00C16A4F">
        <w:rPr>
          <w:rFonts w:eastAsiaTheme="minorHAnsi"/>
          <w:lang w:val="en-US"/>
        </w:rPr>
        <w:t>;</w:t>
      </w:r>
    </w:p>
    <w:p w14:paraId="688AAFDA" w14:textId="77777777" w:rsidR="00163760" w:rsidRPr="00C16A4F" w:rsidRDefault="00163760" w:rsidP="00F443D6">
      <w:pPr>
        <w:pStyle w:val="SingleTxtG"/>
        <w:ind w:left="2268" w:hanging="567"/>
        <w:rPr>
          <w:rFonts w:eastAsiaTheme="minorHAnsi"/>
          <w:lang w:val="en-US"/>
        </w:rPr>
      </w:pPr>
      <w:r w:rsidRPr="00C16A4F">
        <w:rPr>
          <w:rFonts w:eastAsiaTheme="minorHAnsi"/>
          <w:lang w:val="en-US"/>
        </w:rPr>
        <w:t>(b)</w:t>
      </w:r>
      <w:r w:rsidRPr="00C16A4F">
        <w:rPr>
          <w:rFonts w:eastAsiaTheme="minorHAnsi"/>
          <w:lang w:val="en-US"/>
        </w:rPr>
        <w:tab/>
        <w:t>To assess for each hazard class whether an integrated or tiered evaluation approach should be developed, taking into account all relevant scientific information and combination of methods for hazard classification, and where substances and mixtures may be classified using non-animal methods, whether new or amended GHS classification criteria are needed;</w:t>
      </w:r>
    </w:p>
    <w:p w14:paraId="2B892586" w14:textId="77777777" w:rsidR="00163760" w:rsidRPr="00C16A4F" w:rsidRDefault="00163760" w:rsidP="00F443D6">
      <w:pPr>
        <w:pStyle w:val="SingleTxtG"/>
        <w:ind w:left="2268" w:hanging="567"/>
        <w:rPr>
          <w:rFonts w:eastAsiaTheme="minorHAnsi"/>
          <w:lang w:val="en-US"/>
        </w:rPr>
      </w:pPr>
      <w:r w:rsidRPr="00C16A4F">
        <w:rPr>
          <w:rFonts w:eastAsiaTheme="minorHAnsi"/>
          <w:lang w:val="en-US"/>
        </w:rPr>
        <w:t>(c)</w:t>
      </w:r>
      <w:r w:rsidRPr="00C16A4F">
        <w:rPr>
          <w:rFonts w:eastAsiaTheme="minorHAnsi"/>
          <w:lang w:val="en-US"/>
        </w:rPr>
        <w:tab/>
        <w:t xml:space="preserve">To prepare draft amendments and additions to the GHS to facilitate hazard classification using non-animal methods where appropriate, </w:t>
      </w:r>
      <w:proofErr w:type="gramStart"/>
      <w:r w:rsidRPr="00C16A4F">
        <w:rPr>
          <w:rFonts w:eastAsiaTheme="minorHAnsi"/>
          <w:lang w:val="en-US"/>
        </w:rPr>
        <w:t>taking into account</w:t>
      </w:r>
      <w:proofErr w:type="gramEnd"/>
      <w:r w:rsidRPr="00C16A4F">
        <w:rPr>
          <w:rFonts w:eastAsiaTheme="minorHAnsi"/>
          <w:lang w:val="en-US"/>
        </w:rPr>
        <w:t xml:space="preserve"> relevant limitations and uncertainties. The amendments and additions should include as appropriate classification criteria, notes, decision logics, tiered evaluation and guidance, and should take into account the needs of all sectors;</w:t>
      </w:r>
    </w:p>
    <w:p w14:paraId="47714BAA" w14:textId="77777777" w:rsidR="00163760" w:rsidRPr="00C16A4F" w:rsidRDefault="00163760" w:rsidP="00F443D6">
      <w:pPr>
        <w:pStyle w:val="SingleTxtG"/>
        <w:ind w:left="2268" w:hanging="567"/>
        <w:rPr>
          <w:rFonts w:eastAsiaTheme="minorHAnsi"/>
          <w:lang w:val="en-US"/>
        </w:rPr>
      </w:pPr>
      <w:r w:rsidRPr="00C16A4F">
        <w:rPr>
          <w:rFonts w:eastAsiaTheme="minorHAnsi"/>
          <w:lang w:val="en-US"/>
        </w:rPr>
        <w:t>(d)</w:t>
      </w:r>
      <w:r w:rsidRPr="00C16A4F">
        <w:rPr>
          <w:rFonts w:eastAsiaTheme="minorHAnsi"/>
          <w:lang w:val="en-US"/>
        </w:rPr>
        <w:tab/>
        <w:t>To identify technical errors and/or editorial improvements during the review of chapters that are not related to non-animal criteria and send them to the appropriate workgroup for implementation or present them in a working paper directly to the Sub-Committee;</w:t>
      </w:r>
    </w:p>
    <w:p w14:paraId="60708542" w14:textId="0453CB86" w:rsidR="00163760" w:rsidRPr="00C16A4F" w:rsidRDefault="00163760" w:rsidP="00F443D6">
      <w:pPr>
        <w:pStyle w:val="SingleTxtG"/>
        <w:ind w:left="2268" w:hanging="567"/>
        <w:rPr>
          <w:rFonts w:eastAsiaTheme="minorHAnsi"/>
          <w:lang w:val="en-US"/>
        </w:rPr>
      </w:pPr>
      <w:r w:rsidRPr="00C16A4F">
        <w:rPr>
          <w:rFonts w:eastAsiaTheme="minorHAnsi"/>
          <w:lang w:val="en-US"/>
        </w:rPr>
        <w:t>(e)</w:t>
      </w:r>
      <w:r w:rsidRPr="00C16A4F">
        <w:rPr>
          <w:rFonts w:eastAsiaTheme="minorHAnsi"/>
          <w:lang w:val="en-US"/>
        </w:rPr>
        <w:tab/>
        <w:t>To report progress to the Sub-Committee as appropriate. The latest status update is provided as an informal document for the fortieth session.</w:t>
      </w:r>
    </w:p>
    <w:p w14:paraId="57B52046" w14:textId="3045794C" w:rsidR="00163760" w:rsidRPr="00C16A4F" w:rsidRDefault="00163760" w:rsidP="002966C9">
      <w:pPr>
        <w:pStyle w:val="SingleTxtG"/>
      </w:pPr>
      <w:r w:rsidRPr="00C16A4F">
        <w:t>3.</w:t>
      </w:r>
      <w:r w:rsidRPr="00C16A4F">
        <w:tab/>
        <w:t>The informal working group has around 60 members, reflecting the importance of, and interest in, its work.</w:t>
      </w:r>
      <w:r w:rsidRPr="00C16A4F">
        <w:rPr>
          <w:rFonts w:eastAsiaTheme="minorHAnsi"/>
          <w:lang w:val="en-US"/>
        </w:rPr>
        <w:t xml:space="preserve"> The group’s discussions are very detailed and </w:t>
      </w:r>
      <w:r w:rsidRPr="00C16A4F">
        <w:t>are propelled by a strong desire to make progress on the group’s mandate to ensure that non-animal test methods are consistently incorporated in the GHS in a way that reflects their growing importance and scientific relevance, whilst recogni</w:t>
      </w:r>
      <w:r w:rsidR="00EF2094" w:rsidRPr="00C16A4F">
        <w:t>s</w:t>
      </w:r>
      <w:r w:rsidRPr="00C16A4F">
        <w:t>ing their limitations.</w:t>
      </w:r>
    </w:p>
    <w:p w14:paraId="5AA3FB77" w14:textId="77777777" w:rsidR="00163760" w:rsidRPr="00C16A4F" w:rsidRDefault="00163760" w:rsidP="002966C9">
      <w:pPr>
        <w:pStyle w:val="SingleTxtG"/>
      </w:pPr>
      <w:r w:rsidRPr="00C16A4F">
        <w:t>4.</w:t>
      </w:r>
      <w:r w:rsidRPr="00C16A4F">
        <w:tab/>
        <w:t>In early 2019, the group commenced their work on updating Chapter 3.3 on serious eye damage/eye irritation, alongside continuing its consideration of the pH rule. The informal working group agreed that the update of Chapter 3.3 would be in line with Chapter 3.2 on skin corrosion/irritation that was adopted by the Sub-Committee into the eighth revised edition of the GHS, though there are some proposed differences due to the specific requirements of the hazard classes in Chapter 3.3.</w:t>
      </w:r>
    </w:p>
    <w:p w14:paraId="5FF2DC7F" w14:textId="03FEBB5C" w:rsidR="00163760" w:rsidRPr="00C16A4F" w:rsidRDefault="00163760" w:rsidP="002966C9">
      <w:pPr>
        <w:pStyle w:val="SingleTxtG"/>
      </w:pPr>
      <w:r w:rsidRPr="00C16A4F">
        <w:rPr>
          <w:rFonts w:eastAsiaTheme="minorHAnsi"/>
          <w:lang w:val="en-US"/>
        </w:rPr>
        <w:t>5.</w:t>
      </w:r>
      <w:r w:rsidRPr="00C16A4F">
        <w:rPr>
          <w:rFonts w:eastAsiaTheme="minorHAnsi"/>
          <w:lang w:val="en-US"/>
        </w:rPr>
        <w:tab/>
        <w:t>The group is very active, both via correspondence and through webinar discussions, to resolve the issues. For example, during the 2019-2020 biennium the group held fifteen webinars and two face-to-face meetings, with three more webinars held since January 2021</w:t>
      </w:r>
      <w:r w:rsidRPr="00C16A4F">
        <w:t>, all with a focus on completing the group’s work on Chapter 3.3 by early this biennium. After each meeting, the Netherlands and the United Kingdom, as joint leads, together with the European Commission’s Joint Research Centre, have revised the draft text of Chapter 3.3 and prepared papers on specific topics to take forward the discussions, taking into account written comments and information on specific topics provided by members of the group.</w:t>
      </w:r>
    </w:p>
    <w:p w14:paraId="0301CCEE" w14:textId="3E448CB5" w:rsidR="00163760" w:rsidRPr="00C16A4F" w:rsidRDefault="00163760" w:rsidP="002966C9">
      <w:pPr>
        <w:pStyle w:val="SingleTxtG"/>
        <w:rPr>
          <w:rFonts w:eastAsiaTheme="minorHAnsi"/>
          <w:lang w:val="en-US"/>
        </w:rPr>
      </w:pPr>
      <w:r w:rsidRPr="00C16A4F">
        <w:t>6.</w:t>
      </w:r>
      <w:r w:rsidRPr="00C16A4F">
        <w:tab/>
        <w:t>Paragraphs 7 to 26 below provide the Sub-</w:t>
      </w:r>
      <w:r w:rsidR="00532EFE" w:rsidRPr="00C16A4F">
        <w:t xml:space="preserve">Committee </w:t>
      </w:r>
      <w:r w:rsidRPr="00C16A4F">
        <w:t xml:space="preserve">with an indication of the nature of the work that has been undertaken, the key issues that have been identified, and the solutions that have been adopted. The proposed changes made to Chapter 3.3 are provided in the </w:t>
      </w:r>
      <w:r w:rsidR="00532EFE" w:rsidRPr="00C16A4F">
        <w:t xml:space="preserve">annex </w:t>
      </w:r>
      <w:r w:rsidRPr="00C16A4F">
        <w:t xml:space="preserve">to this </w:t>
      </w:r>
      <w:r w:rsidR="00532EFE" w:rsidRPr="00C16A4F">
        <w:t>document</w:t>
      </w:r>
      <w:r w:rsidRPr="00C16A4F">
        <w:t xml:space="preserve">. For clarity the full text of the revised Chapter 3.3 is set out in informal document </w:t>
      </w:r>
      <w:r w:rsidR="009030C5" w:rsidRPr="00C16A4F">
        <w:t>INF.3</w:t>
      </w:r>
      <w:r w:rsidRPr="00C16A4F">
        <w:t xml:space="preserve"> with indication of where the text has changed relative to the ninth revised edition of GHS. </w:t>
      </w:r>
    </w:p>
    <w:p w14:paraId="771F834D" w14:textId="66D6E241" w:rsidR="00163760" w:rsidRPr="00C16A4F" w:rsidRDefault="00163760" w:rsidP="00163760">
      <w:pPr>
        <w:pStyle w:val="HChG"/>
        <w:ind w:right="567"/>
      </w:pPr>
      <w:r w:rsidRPr="00C16A4F">
        <w:tab/>
      </w:r>
      <w:r w:rsidRPr="00C16A4F">
        <w:tab/>
        <w:t xml:space="preserve">Issues and </w:t>
      </w:r>
      <w:r w:rsidR="00532EFE" w:rsidRPr="00C16A4F">
        <w:t>o</w:t>
      </w:r>
      <w:r w:rsidRPr="00C16A4F">
        <w:t>utcomes</w:t>
      </w:r>
    </w:p>
    <w:p w14:paraId="0EFD0DB3" w14:textId="77777777" w:rsidR="00163760" w:rsidRPr="00C16A4F" w:rsidRDefault="00163760" w:rsidP="00163760">
      <w:pPr>
        <w:pStyle w:val="H1G"/>
        <w:ind w:right="567" w:firstLine="0"/>
      </w:pPr>
      <w:r w:rsidRPr="00C16A4F">
        <w:tab/>
        <w:t xml:space="preserve">Tiered </w:t>
      </w:r>
      <w:r w:rsidRPr="00C16A4F">
        <w:rPr>
          <w:i/>
          <w:iCs/>
        </w:rPr>
        <w:t>versus</w:t>
      </w:r>
      <w:r w:rsidRPr="00C16A4F">
        <w:t xml:space="preserve"> integrated approach</w:t>
      </w:r>
    </w:p>
    <w:p w14:paraId="1D0345A6" w14:textId="77777777" w:rsidR="00163760" w:rsidRPr="00C16A4F" w:rsidRDefault="00163760" w:rsidP="00532EFE">
      <w:pPr>
        <w:pStyle w:val="SingleTxtG"/>
      </w:pPr>
      <w:r w:rsidRPr="00C16A4F">
        <w:t>7.</w:t>
      </w:r>
      <w:r w:rsidRPr="00C16A4F">
        <w:tab/>
        <w:t xml:space="preserve">In line with Chapter 3.2, the tiered approach for serious eye damage/eye irritation is retained with some necessary amendments, including the order of the approach. Similar to Chapter 3.2, a weight of evidence assessment can also be applied where the available information gives inconsistent and/or conflicting results within a tier, and an overall weight of evidence assessment where there are inconsistent and/or conflicting results between tiers. </w:t>
      </w:r>
    </w:p>
    <w:p w14:paraId="2193BEEF" w14:textId="77777777" w:rsidR="00163760" w:rsidRPr="00C16A4F" w:rsidRDefault="00163760" w:rsidP="00532EFE">
      <w:pPr>
        <w:pStyle w:val="SingleTxtG"/>
      </w:pPr>
      <w:r w:rsidRPr="00C16A4F">
        <w:t>8.</w:t>
      </w:r>
      <w:r w:rsidRPr="00C16A4F">
        <w:tab/>
        <w:t xml:space="preserve">The introduction of more detailed classification criteria using </w:t>
      </w:r>
      <w:r w:rsidRPr="00C16A4F">
        <w:rPr>
          <w:i/>
        </w:rPr>
        <w:t>in vitro/ex vivo</w:t>
      </w:r>
      <w:r w:rsidRPr="00C16A4F">
        <w:t xml:space="preserve"> and non-test methods prompted the informal working group to review the order of the tiers. An outcome is that in Figure 3.3.1 the tiered evaluation now follows the order below, and the text in section 3.3.2 ‘Classification criteria for substances’, also reflects this order. </w:t>
      </w:r>
      <w:proofErr w:type="gramStart"/>
      <w:r w:rsidRPr="00C16A4F">
        <w:t xml:space="preserve">In particular, </w:t>
      </w:r>
      <w:r w:rsidRPr="00C16A4F">
        <w:rPr>
          <w:i/>
        </w:rPr>
        <w:t>in vitro/ex</w:t>
      </w:r>
      <w:proofErr w:type="gramEnd"/>
      <w:r w:rsidRPr="00C16A4F">
        <w:rPr>
          <w:i/>
        </w:rPr>
        <w:t xml:space="preserve"> vivo</w:t>
      </w:r>
      <w:r w:rsidRPr="00C16A4F">
        <w:t xml:space="preserve"> data </w:t>
      </w:r>
      <w:r w:rsidRPr="00C16A4F">
        <w:rPr>
          <w:lang w:val="en-US"/>
        </w:rPr>
        <w:t>for serious eye damage/eye irritation</w:t>
      </w:r>
      <w:r w:rsidRPr="00C16A4F">
        <w:t xml:space="preserve"> is now tier 2, whereas in the eighth revised edition of GHS it is in tier 3. The order of the tiers in Chapter 3.3 is as follows:</w:t>
      </w:r>
    </w:p>
    <w:p w14:paraId="3C109132" w14:textId="77777777" w:rsidR="00163760" w:rsidRPr="00C16A4F" w:rsidRDefault="00163760" w:rsidP="00532EFE">
      <w:pPr>
        <w:pStyle w:val="SingleTxtG"/>
        <w:ind w:left="1701"/>
        <w:rPr>
          <w:b/>
          <w:lang w:val="en-US"/>
        </w:rPr>
      </w:pPr>
      <w:r w:rsidRPr="00C16A4F">
        <w:rPr>
          <w:b/>
        </w:rPr>
        <w:t>Tier 1</w:t>
      </w:r>
      <w:r w:rsidRPr="00C16A4F">
        <w:t xml:space="preserve"> - </w:t>
      </w:r>
      <w:r w:rsidRPr="00C16A4F">
        <w:rPr>
          <w:lang w:val="en-US"/>
        </w:rPr>
        <w:t>human data or standard animal data for serious eye damage/eye irritation</w:t>
      </w:r>
      <w:r w:rsidRPr="00C16A4F">
        <w:rPr>
          <w:b/>
          <w:lang w:val="en-US"/>
        </w:rPr>
        <w:t xml:space="preserve"> </w:t>
      </w:r>
    </w:p>
    <w:p w14:paraId="629EF1BF" w14:textId="77777777" w:rsidR="00163760" w:rsidRPr="00C16A4F" w:rsidRDefault="00163760" w:rsidP="00532EFE">
      <w:pPr>
        <w:pStyle w:val="SingleTxtG"/>
        <w:ind w:left="1701"/>
      </w:pPr>
      <w:r w:rsidRPr="00C16A4F">
        <w:rPr>
          <w:b/>
        </w:rPr>
        <w:t>Tier 2</w:t>
      </w:r>
      <w:r w:rsidRPr="00C16A4F">
        <w:t xml:space="preserve"> - </w:t>
      </w:r>
      <w:r w:rsidRPr="00C16A4F">
        <w:rPr>
          <w:lang w:val="en-US"/>
        </w:rPr>
        <w:t xml:space="preserve">defined approaches or </w:t>
      </w:r>
      <w:r w:rsidRPr="00C16A4F">
        <w:rPr>
          <w:i/>
          <w:iCs/>
          <w:lang w:val="en-US"/>
        </w:rPr>
        <w:t>in vitro</w:t>
      </w:r>
      <w:r w:rsidRPr="00C16A4F">
        <w:rPr>
          <w:lang w:val="en-US"/>
        </w:rPr>
        <w:t>/</w:t>
      </w:r>
      <w:r w:rsidRPr="00C16A4F">
        <w:rPr>
          <w:i/>
          <w:iCs/>
          <w:lang w:val="en-US"/>
        </w:rPr>
        <w:t>ex vivo</w:t>
      </w:r>
      <w:r w:rsidRPr="00C16A4F">
        <w:rPr>
          <w:lang w:val="en-US"/>
        </w:rPr>
        <w:t xml:space="preserve"> data for serious eye damage/eye irritation </w:t>
      </w:r>
    </w:p>
    <w:p w14:paraId="06AD0A47" w14:textId="77777777" w:rsidR="00163760" w:rsidRPr="00C16A4F" w:rsidRDefault="00163760" w:rsidP="00532EFE">
      <w:pPr>
        <w:pStyle w:val="SingleTxtG"/>
        <w:ind w:left="1701"/>
        <w:rPr>
          <w:lang w:val="en-US"/>
        </w:rPr>
      </w:pPr>
      <w:r w:rsidRPr="00C16A4F">
        <w:rPr>
          <w:b/>
        </w:rPr>
        <w:t>Tier 3</w:t>
      </w:r>
      <w:r w:rsidRPr="00C16A4F">
        <w:t xml:space="preserve"> – </w:t>
      </w:r>
      <w:r w:rsidRPr="00C16A4F">
        <w:rPr>
          <w:lang w:val="en-US"/>
        </w:rPr>
        <w:t xml:space="preserve">conclusive human data; standard animal data; or </w:t>
      </w:r>
      <w:r w:rsidRPr="00C16A4F">
        <w:rPr>
          <w:i/>
          <w:iCs/>
          <w:lang w:val="en-US"/>
        </w:rPr>
        <w:t>in vitro</w:t>
      </w:r>
      <w:r w:rsidRPr="00C16A4F">
        <w:rPr>
          <w:lang w:val="en-US"/>
        </w:rPr>
        <w:t>/</w:t>
      </w:r>
      <w:r w:rsidRPr="00C16A4F">
        <w:rPr>
          <w:i/>
          <w:iCs/>
          <w:lang w:val="en-US"/>
        </w:rPr>
        <w:t>ex vivo</w:t>
      </w:r>
      <w:r w:rsidRPr="00C16A4F">
        <w:rPr>
          <w:lang w:val="en-US"/>
        </w:rPr>
        <w:t xml:space="preserve"> data for skin corrosion leading to classification for serious eye damage </w:t>
      </w:r>
    </w:p>
    <w:p w14:paraId="376FE9C2" w14:textId="77777777" w:rsidR="00163760" w:rsidRPr="00C16A4F" w:rsidRDefault="00163760" w:rsidP="00532EFE">
      <w:pPr>
        <w:pStyle w:val="SingleTxtG"/>
        <w:ind w:left="1701"/>
      </w:pPr>
      <w:r w:rsidRPr="00C16A4F">
        <w:rPr>
          <w:b/>
        </w:rPr>
        <w:t>Tier 4</w:t>
      </w:r>
      <w:r w:rsidRPr="00C16A4F">
        <w:t xml:space="preserve"> – other existing skin or eye animal data</w:t>
      </w:r>
    </w:p>
    <w:p w14:paraId="5B679882" w14:textId="77777777" w:rsidR="00163760" w:rsidRPr="00C16A4F" w:rsidRDefault="00163760" w:rsidP="00532EFE">
      <w:pPr>
        <w:pStyle w:val="SingleTxtG"/>
        <w:ind w:left="1701"/>
      </w:pPr>
      <w:r w:rsidRPr="00C16A4F">
        <w:rPr>
          <w:b/>
        </w:rPr>
        <w:t>Tier 5</w:t>
      </w:r>
      <w:r w:rsidRPr="00C16A4F">
        <w:t xml:space="preserve"> – pH-based assessment </w:t>
      </w:r>
    </w:p>
    <w:p w14:paraId="305295AF" w14:textId="77777777" w:rsidR="00163760" w:rsidRPr="00C16A4F" w:rsidRDefault="00163760" w:rsidP="00532EFE">
      <w:pPr>
        <w:pStyle w:val="SingleTxtG"/>
        <w:ind w:left="1701"/>
        <w:rPr>
          <w:lang w:val="en-US"/>
        </w:rPr>
      </w:pPr>
      <w:r w:rsidRPr="00C16A4F">
        <w:rPr>
          <w:b/>
        </w:rPr>
        <w:t>Tier 6</w:t>
      </w:r>
      <w:r w:rsidRPr="00C16A4F">
        <w:t xml:space="preserve"> – </w:t>
      </w:r>
      <w:r w:rsidRPr="00C16A4F">
        <w:rPr>
          <w:lang w:val="en-US"/>
        </w:rPr>
        <w:t>non-test methods for serious eye damage/eye irritation or for skin corrosion leading to classification for serious eye damage</w:t>
      </w:r>
    </w:p>
    <w:p w14:paraId="6B4527F9" w14:textId="77777777" w:rsidR="00163760" w:rsidRPr="00C16A4F" w:rsidRDefault="00163760" w:rsidP="00532EFE">
      <w:pPr>
        <w:pStyle w:val="SingleTxtG"/>
        <w:ind w:left="1701"/>
      </w:pPr>
      <w:r w:rsidRPr="00C16A4F">
        <w:rPr>
          <w:b/>
        </w:rPr>
        <w:t>Tier 7</w:t>
      </w:r>
      <w:r w:rsidRPr="00C16A4F">
        <w:t xml:space="preserve"> – consideration of the overall weight of evidence</w:t>
      </w:r>
    </w:p>
    <w:p w14:paraId="524A4C40" w14:textId="77777777" w:rsidR="00163760" w:rsidRPr="00C16A4F" w:rsidRDefault="00163760" w:rsidP="00532EFE">
      <w:pPr>
        <w:pStyle w:val="SingleTxtG"/>
      </w:pPr>
      <w:r w:rsidRPr="00C16A4F">
        <w:t>9.</w:t>
      </w:r>
      <w:r w:rsidRPr="00C16A4F">
        <w:tab/>
        <w:t>In addition, and to assist readers of Chapter 3.3 in the GHS, amendments to section headings under “Classification criteria for substances” are also proposed to include a reference, in brackets, linking the section to the applicable tier in Figure 3.3.1.</w:t>
      </w:r>
    </w:p>
    <w:p w14:paraId="075C1004" w14:textId="229108F8" w:rsidR="00163760" w:rsidRPr="00C16A4F" w:rsidRDefault="00532EFE" w:rsidP="00532EFE">
      <w:pPr>
        <w:pStyle w:val="H1G"/>
      </w:pPr>
      <w:r w:rsidRPr="00C16A4F">
        <w:rPr>
          <w:i/>
        </w:rPr>
        <w:tab/>
      </w:r>
      <w:r w:rsidRPr="00C16A4F">
        <w:rPr>
          <w:i/>
        </w:rPr>
        <w:tab/>
      </w:r>
      <w:r w:rsidR="00163760" w:rsidRPr="00C16A4F">
        <w:rPr>
          <w:i/>
        </w:rPr>
        <w:t>In vitro/ex vivo</w:t>
      </w:r>
      <w:r w:rsidR="00163760" w:rsidRPr="00C16A4F">
        <w:t xml:space="preserve"> and non-test methods</w:t>
      </w:r>
    </w:p>
    <w:p w14:paraId="71DF17FB" w14:textId="2F02E161" w:rsidR="00163760" w:rsidRPr="00C16A4F" w:rsidRDefault="00163760" w:rsidP="00532EFE">
      <w:pPr>
        <w:pStyle w:val="SingleTxtG"/>
      </w:pPr>
      <w:r w:rsidRPr="00C16A4F">
        <w:t>10.</w:t>
      </w:r>
      <w:r w:rsidRPr="00C16A4F">
        <w:tab/>
        <w:t xml:space="preserve">In line with Chapter 3.2, new sub-sections have been added on how to classify for serious eye damage or eye irritation based on </w:t>
      </w:r>
      <w:r w:rsidRPr="00C16A4F">
        <w:rPr>
          <w:i/>
        </w:rPr>
        <w:t>in vitro/ex vivo</w:t>
      </w:r>
      <w:r w:rsidRPr="00C16A4F">
        <w:t xml:space="preserve"> data (3.3.2.4) and on non-test methods (3.3.2.8), including for </w:t>
      </w:r>
      <w:r w:rsidRPr="00C16A4F">
        <w:rPr>
          <w:i/>
        </w:rPr>
        <w:t>in vitro/ex vivo</w:t>
      </w:r>
      <w:r w:rsidRPr="00C16A4F">
        <w:t xml:space="preserve"> skin corrosion data leading to serious eye damage Category 1. The paragraphs on </w:t>
      </w:r>
      <w:r w:rsidRPr="00C16A4F">
        <w:rPr>
          <w:i/>
        </w:rPr>
        <w:t>in vitro/ex vivo</w:t>
      </w:r>
      <w:r w:rsidRPr="00C16A4F">
        <w:t xml:space="preserve"> methods for effects on the eye differ from the corresponding methods for effects on the skin because the OECD adopted test methods do not yet allow classification in all categories. The non-test methods include computer models predicting structure-activity relationships, computer expert systems and read-across using analogue and category approaches. </w:t>
      </w:r>
    </w:p>
    <w:p w14:paraId="16A7F0AC" w14:textId="77777777" w:rsidR="00163760" w:rsidRPr="00C16A4F" w:rsidRDefault="00163760" w:rsidP="00532EFE">
      <w:pPr>
        <w:pStyle w:val="SingleTxtG"/>
      </w:pPr>
      <w:r w:rsidRPr="00C16A4F">
        <w:t>11.</w:t>
      </w:r>
      <w:r w:rsidRPr="00C16A4F">
        <w:tab/>
        <w:t>The criteria for classification for s</w:t>
      </w:r>
      <w:r w:rsidRPr="00C16A4F">
        <w:rPr>
          <w:noProof/>
        </w:rPr>
        <w:t xml:space="preserve">erious eye damage/irreversible effects and for no classification based on OECD </w:t>
      </w:r>
      <w:r w:rsidRPr="00C16A4F">
        <w:rPr>
          <w:i/>
        </w:rPr>
        <w:t>in vitro/ex vivo</w:t>
      </w:r>
      <w:r w:rsidRPr="00C16A4F">
        <w:t xml:space="preserve"> test guideline data are set out in Table 3.3.6 of the background guidance. </w:t>
      </w:r>
    </w:p>
    <w:p w14:paraId="43C8ACF5" w14:textId="6A2103BE" w:rsidR="00163760" w:rsidRPr="00C16A4F" w:rsidRDefault="00532EFE" w:rsidP="00532EFE">
      <w:pPr>
        <w:pStyle w:val="H1G"/>
      </w:pPr>
      <w:r w:rsidRPr="00C16A4F">
        <w:tab/>
      </w:r>
      <w:r w:rsidRPr="00C16A4F">
        <w:tab/>
      </w:r>
      <w:r w:rsidR="00163760" w:rsidRPr="00C16A4F">
        <w:t>Defined approaches</w:t>
      </w:r>
    </w:p>
    <w:p w14:paraId="04A00EDF" w14:textId="7F1B1D6B" w:rsidR="00163760" w:rsidRPr="00C16A4F" w:rsidRDefault="00163760" w:rsidP="00532EFE">
      <w:pPr>
        <w:pStyle w:val="SingleTxtG"/>
      </w:pPr>
      <w:r w:rsidRPr="00C16A4F">
        <w:t>12.</w:t>
      </w:r>
      <w:r w:rsidRPr="00C16A4F">
        <w:tab/>
        <w:t xml:space="preserve">As was outlined in </w:t>
      </w:r>
      <w:r w:rsidR="00532EFE" w:rsidRPr="00C16A4F">
        <w:t xml:space="preserve">informal document </w:t>
      </w:r>
      <w:r w:rsidRPr="00C16A4F">
        <w:t>INF.12</w:t>
      </w:r>
      <w:r w:rsidR="00532EFE" w:rsidRPr="00C16A4F">
        <w:t xml:space="preserve"> (thirty-ninth session)</w:t>
      </w:r>
      <w:r w:rsidRPr="00C16A4F">
        <w:t xml:space="preserve">, defined approaches (DAs) is a new concept that is under development because it was </w:t>
      </w:r>
      <w:r w:rsidR="008E307A" w:rsidRPr="00C16A4F">
        <w:t xml:space="preserve">recognized </w:t>
      </w:r>
      <w:r w:rsidRPr="00C16A4F">
        <w:t xml:space="preserve">that most single </w:t>
      </w:r>
      <w:r w:rsidRPr="00C16A4F">
        <w:rPr>
          <w:i/>
          <w:iCs/>
        </w:rPr>
        <w:t>in vitro/ex vivo</w:t>
      </w:r>
      <w:r w:rsidRPr="00C16A4F">
        <w:t xml:space="preserve"> methods would not be able to replace </w:t>
      </w:r>
      <w:r w:rsidRPr="00C16A4F">
        <w:rPr>
          <w:i/>
          <w:iCs/>
        </w:rPr>
        <w:t>in vivo</w:t>
      </w:r>
      <w:r w:rsidRPr="00C16A4F">
        <w:t xml:space="preserve"> testing. DAs consist of a predefined set of different information sources which, when </w:t>
      </w:r>
      <w:proofErr w:type="gramStart"/>
      <w:r w:rsidRPr="00C16A4F">
        <w:t>combined together</w:t>
      </w:r>
      <w:proofErr w:type="gramEnd"/>
      <w:r w:rsidRPr="00C16A4F">
        <w:t xml:space="preserve">, can provide a conclusion on the classification of a substance or mixture using a prescribed prediction model. These DAs are intended to be validated using the same requirements as for individual </w:t>
      </w:r>
      <w:r w:rsidRPr="00C16A4F">
        <w:rPr>
          <w:i/>
          <w:iCs/>
        </w:rPr>
        <w:t>in vitro/ex vivo</w:t>
      </w:r>
      <w:r w:rsidRPr="00C16A4F">
        <w:t xml:space="preserve"> methods. </w:t>
      </w:r>
    </w:p>
    <w:p w14:paraId="0B6728A7" w14:textId="11A0739C" w:rsidR="00163760" w:rsidRPr="00C16A4F" w:rsidRDefault="00163760" w:rsidP="00532EFE">
      <w:pPr>
        <w:pStyle w:val="SingleTxtG"/>
      </w:pPr>
      <w:r w:rsidRPr="00C16A4F">
        <w:t>13.</w:t>
      </w:r>
      <w:r w:rsidRPr="00C16A4F">
        <w:tab/>
        <w:t xml:space="preserve">The Joint Meeting of the OECD Test Guidelines Programme has agreed to publish validated and internationally accepted DAs in OECD defined approach guidelines which, as test guidelines, fall under </w:t>
      </w:r>
      <w:r w:rsidR="00532EFE" w:rsidRPr="00C16A4F">
        <w:t>m</w:t>
      </w:r>
      <w:r w:rsidRPr="00C16A4F">
        <w:t xml:space="preserve">utual </w:t>
      </w:r>
      <w:r w:rsidR="00532EFE" w:rsidRPr="00C16A4F">
        <w:t>a</w:t>
      </w:r>
      <w:r w:rsidRPr="00C16A4F">
        <w:t xml:space="preserve">cceptance of </w:t>
      </w:r>
      <w:r w:rsidR="00532EFE" w:rsidRPr="00C16A4F">
        <w:t>d</w:t>
      </w:r>
      <w:r w:rsidRPr="00C16A4F">
        <w:t xml:space="preserve">ata. Therefore, it is considered that DAs could be given the same weight and included in the same tier as for validated and internationally accepted </w:t>
      </w:r>
      <w:r w:rsidRPr="00C16A4F">
        <w:rPr>
          <w:i/>
          <w:iCs/>
        </w:rPr>
        <w:t>in vitro/ex vivo</w:t>
      </w:r>
      <w:r w:rsidRPr="00C16A4F">
        <w:t xml:space="preserve"> methods. </w:t>
      </w:r>
    </w:p>
    <w:p w14:paraId="0F8F4585" w14:textId="77777777" w:rsidR="00163760" w:rsidRPr="00C16A4F" w:rsidRDefault="00163760" w:rsidP="00532EFE">
      <w:pPr>
        <w:pStyle w:val="SingleTxtG"/>
      </w:pPr>
      <w:r w:rsidRPr="00C16A4F">
        <w:t>14.</w:t>
      </w:r>
      <w:r w:rsidRPr="00C16A4F">
        <w:tab/>
        <w:t xml:space="preserve">The working group agreed that since several DAs have already been developed/validated for classification for effects on the eyes, are already accepted at the national level, and are under discussion/consideration at the OECD level for international adoption, the use of DAs that are validated according to international procedures such as an OECD defined approach guideline or an equivalent approach could be included within the tiered approach in Chapter 3.3 of the GHS to prevent a further update of the chapter to be done to in the near future. </w:t>
      </w:r>
    </w:p>
    <w:p w14:paraId="066AB14C" w14:textId="77777777" w:rsidR="00163760" w:rsidRPr="00C16A4F" w:rsidRDefault="00163760" w:rsidP="00D07FD5">
      <w:pPr>
        <w:pStyle w:val="SingleTxtG"/>
      </w:pPr>
      <w:r w:rsidRPr="00C16A4F">
        <w:t>15.</w:t>
      </w:r>
      <w:r w:rsidRPr="00C16A4F">
        <w:tab/>
        <w:t xml:space="preserve">The outcomes of the group discussions on the inclusion of DAs are new sub-sections in the main text and background guidance to Chapter 3.3 as follows: </w:t>
      </w:r>
    </w:p>
    <w:p w14:paraId="46206A01" w14:textId="641CCE55" w:rsidR="00163760" w:rsidRPr="00C16A4F" w:rsidRDefault="00163760" w:rsidP="00D07FD5">
      <w:pPr>
        <w:pStyle w:val="SingleTxtG"/>
        <w:ind w:left="2268" w:hanging="567"/>
      </w:pPr>
      <w:r w:rsidRPr="00C16A4F">
        <w:t>(a)</w:t>
      </w:r>
      <w:r w:rsidRPr="00C16A4F">
        <w:tab/>
        <w:t>Classification based on defined approaches (3.3.2.3</w:t>
      </w:r>
      <w:proofErr w:type="gramStart"/>
      <w:r w:rsidRPr="00C16A4F">
        <w:t>)</w:t>
      </w:r>
      <w:r w:rsidR="004F12C7" w:rsidRPr="00C16A4F">
        <w:t>;</w:t>
      </w:r>
      <w:proofErr w:type="gramEnd"/>
    </w:p>
    <w:p w14:paraId="648F8772" w14:textId="40248AEA" w:rsidR="00163760" w:rsidRPr="00C16A4F" w:rsidRDefault="00163760" w:rsidP="00D07FD5">
      <w:pPr>
        <w:pStyle w:val="SingleTxtG"/>
        <w:ind w:left="2268" w:hanging="567"/>
      </w:pPr>
      <w:r w:rsidRPr="00C16A4F">
        <w:t>(b)</w:t>
      </w:r>
      <w:r w:rsidRPr="00C16A4F">
        <w:tab/>
        <w:t>Classification in a tiered approach (3.3.2.10.2</w:t>
      </w:r>
      <w:proofErr w:type="gramStart"/>
      <w:r w:rsidRPr="00C16A4F">
        <w:t>)</w:t>
      </w:r>
      <w:r w:rsidR="004F12C7" w:rsidRPr="00C16A4F">
        <w:t>;</w:t>
      </w:r>
      <w:proofErr w:type="gramEnd"/>
    </w:p>
    <w:p w14:paraId="714C0D82" w14:textId="54F20C65" w:rsidR="00163760" w:rsidRPr="00C16A4F" w:rsidRDefault="00163760" w:rsidP="00D07FD5">
      <w:pPr>
        <w:pStyle w:val="SingleTxtG"/>
        <w:ind w:left="2268" w:hanging="567"/>
      </w:pPr>
      <w:r w:rsidRPr="00C16A4F">
        <w:t>(c)</w:t>
      </w:r>
      <w:r w:rsidRPr="00C16A4F">
        <w:tab/>
        <w:t>Inclusion of defined approaches within Tier 2 on the application of the tiered approach for serious eye damage/eye irritation (Figure 3.3.1</w:t>
      </w:r>
      <w:proofErr w:type="gramStart"/>
      <w:r w:rsidRPr="00C16A4F">
        <w:t>)</w:t>
      </w:r>
      <w:r w:rsidR="004F12C7" w:rsidRPr="00C16A4F">
        <w:t>;</w:t>
      </w:r>
      <w:proofErr w:type="gramEnd"/>
    </w:p>
    <w:p w14:paraId="0DAF200D" w14:textId="64D27347" w:rsidR="00163760" w:rsidRPr="00C16A4F" w:rsidRDefault="00163760" w:rsidP="00D07FD5">
      <w:pPr>
        <w:pStyle w:val="SingleTxtG"/>
        <w:ind w:left="2268" w:hanging="567"/>
      </w:pPr>
      <w:r w:rsidRPr="00C16A4F">
        <w:t>(d)</w:t>
      </w:r>
      <w:r w:rsidRPr="00C16A4F">
        <w:tab/>
        <w:t>Classification criteria for mixtures when the data are available for the complete mixture (3.3.3.1.2</w:t>
      </w:r>
      <w:proofErr w:type="gramStart"/>
      <w:r w:rsidRPr="00C16A4F">
        <w:t>)</w:t>
      </w:r>
      <w:r w:rsidR="004F12C7" w:rsidRPr="00C16A4F">
        <w:t>;</w:t>
      </w:r>
      <w:proofErr w:type="gramEnd"/>
    </w:p>
    <w:p w14:paraId="126D54E3" w14:textId="789D5CE8" w:rsidR="00163760" w:rsidRPr="00C16A4F" w:rsidRDefault="00163760" w:rsidP="00D07FD5">
      <w:pPr>
        <w:pStyle w:val="SingleTxtG"/>
        <w:ind w:left="2268" w:hanging="567"/>
      </w:pPr>
      <w:r w:rsidRPr="00C16A4F">
        <w:t>(e)</w:t>
      </w:r>
      <w:r w:rsidRPr="00C16A4F">
        <w:tab/>
        <w:t>Guidance on the use of defined approaches and/or in vitro/ex vivo data for classification within Tier 2 of Figure 3.3.1 (3.3.5.3.4</w:t>
      </w:r>
      <w:proofErr w:type="gramStart"/>
      <w:r w:rsidRPr="00C16A4F">
        <w:t>)</w:t>
      </w:r>
      <w:r w:rsidR="004F12C7" w:rsidRPr="00C16A4F">
        <w:t>;</w:t>
      </w:r>
      <w:proofErr w:type="gramEnd"/>
    </w:p>
    <w:p w14:paraId="075E4ADB" w14:textId="4802229F" w:rsidR="00163760" w:rsidRPr="00C16A4F" w:rsidRDefault="00163760" w:rsidP="00D07FD5">
      <w:pPr>
        <w:pStyle w:val="SingleTxtG"/>
        <w:ind w:left="2268" w:hanging="567"/>
      </w:pPr>
      <w:r w:rsidRPr="00C16A4F">
        <w:t>(f)</w:t>
      </w:r>
      <w:r w:rsidRPr="00C16A4F">
        <w:tab/>
        <w:t>Classification based on defined approaches and/or in vitro/ex vivo data within Tier 2 of Figure 3.3.1 (Figure 3.3.3</w:t>
      </w:r>
      <w:proofErr w:type="gramStart"/>
      <w:r w:rsidRPr="00C16A4F">
        <w:t>)</w:t>
      </w:r>
      <w:r w:rsidR="004F12C7" w:rsidRPr="00C16A4F">
        <w:t>;</w:t>
      </w:r>
      <w:proofErr w:type="gramEnd"/>
    </w:p>
    <w:p w14:paraId="476A647D" w14:textId="77777777" w:rsidR="00163760" w:rsidRPr="00C16A4F" w:rsidRDefault="00163760" w:rsidP="00D07FD5">
      <w:pPr>
        <w:pStyle w:val="SingleTxtG"/>
      </w:pPr>
      <w:r w:rsidRPr="00C16A4F">
        <w:t>16.</w:t>
      </w:r>
      <w:r w:rsidRPr="00C16A4F">
        <w:tab/>
        <w:t>In addition, as the concept of DAs currently only applies to serious eye damage/eye irritation in Chapter 3.3, the group considered that for the time being, it would not be necessary to include any explanatory text on DAs within Chapter 1.2. However, the group agreed that the concept of DAs also applies to skin sensitisation and therefore, once Chapter 3.4 is opened for revision by this informal working group during the 2021-2022 biennium, then it will be appropriate to include such text in Chapter 1.2.</w:t>
      </w:r>
    </w:p>
    <w:p w14:paraId="579DDA56" w14:textId="77777777" w:rsidR="00163760" w:rsidRPr="00C16A4F" w:rsidRDefault="00163760" w:rsidP="00163760">
      <w:pPr>
        <w:pStyle w:val="H1G"/>
        <w:ind w:right="567" w:firstLine="0"/>
      </w:pPr>
      <w:r w:rsidRPr="00C16A4F">
        <w:t>Application of the pH-rule within the GHS</w:t>
      </w:r>
    </w:p>
    <w:p w14:paraId="5DCE07A8" w14:textId="33FFE7B1" w:rsidR="00163760" w:rsidRPr="00C16A4F" w:rsidRDefault="00163760" w:rsidP="00D07FD5">
      <w:pPr>
        <w:pStyle w:val="SingleTxtG"/>
      </w:pPr>
      <w:r w:rsidRPr="00C16A4F">
        <w:t xml:space="preserve">17. </w:t>
      </w:r>
      <w:r w:rsidRPr="00C16A4F">
        <w:tab/>
        <w:t xml:space="preserve">The </w:t>
      </w:r>
      <w:r w:rsidRPr="00C16A4F">
        <w:rPr>
          <w:szCs w:val="24"/>
        </w:rPr>
        <w:t>informal working group’s</w:t>
      </w:r>
      <w:r w:rsidRPr="00C16A4F">
        <w:t xml:space="preserve"> discussion on classification using the pH-rule, with or without significant acid/alkali reserve, has continued in this biennium based on discussion documents prepared by the Netherlands. These documents indicated the different interpretations of the GHS text, referred to existing guidance documents of the </w:t>
      </w:r>
      <w:r w:rsidR="004F12C7" w:rsidRPr="00C16A4F">
        <w:t>European Union</w:t>
      </w:r>
      <w:r w:rsidRPr="00C16A4F">
        <w:t xml:space="preserve">, </w:t>
      </w:r>
      <w:r w:rsidR="004F12C7" w:rsidRPr="00C16A4F">
        <w:t>the Occupational Safety and Health Administration (</w:t>
      </w:r>
      <w:r w:rsidRPr="00C16A4F">
        <w:t>OSHA</w:t>
      </w:r>
      <w:r w:rsidR="004F12C7" w:rsidRPr="00C16A4F">
        <w:t>) of the</w:t>
      </w:r>
      <w:r w:rsidRPr="00C16A4F">
        <w:t xml:space="preserve"> </w:t>
      </w:r>
      <w:r w:rsidR="004F12C7" w:rsidRPr="00C16A4F">
        <w:t xml:space="preserve">United States Department of </w:t>
      </w:r>
      <w:proofErr w:type="spellStart"/>
      <w:r w:rsidR="004F12C7" w:rsidRPr="00C16A4F">
        <w:t>Labor</w:t>
      </w:r>
      <w:proofErr w:type="spellEnd"/>
      <w:r w:rsidR="004F12C7" w:rsidRPr="00C16A4F">
        <w:t xml:space="preserve"> </w:t>
      </w:r>
      <w:r w:rsidRPr="00C16A4F">
        <w:t xml:space="preserve">and </w:t>
      </w:r>
      <w:r w:rsidR="004F12C7" w:rsidRPr="00C16A4F">
        <w:t xml:space="preserve">the </w:t>
      </w:r>
      <w:r w:rsidRPr="00C16A4F">
        <w:t xml:space="preserve">OECD, and suggested ways forward on identified issues such as dealing with substances and mixtures that have an extreme pH but without significant acid/alkaline reserve (low buffering capacity). </w:t>
      </w:r>
    </w:p>
    <w:p w14:paraId="44089FE2" w14:textId="77777777" w:rsidR="00163760" w:rsidRPr="00C16A4F" w:rsidRDefault="00163760" w:rsidP="00D07FD5">
      <w:pPr>
        <w:pStyle w:val="SingleTxtG"/>
      </w:pPr>
      <w:r w:rsidRPr="00C16A4F">
        <w:t xml:space="preserve">18. </w:t>
      </w:r>
      <w:r w:rsidRPr="00C16A4F">
        <w:tab/>
        <w:t xml:space="preserve">The working group was able to resolve pH-rule issues for substances and mixtures, the outcomes of these discussions on the pH-rule are amended sub-sections and figures within the text of the chapter, and new background guidance to Chapter 3.3, including: </w:t>
      </w:r>
    </w:p>
    <w:p w14:paraId="19EA7181" w14:textId="77777777" w:rsidR="00163760" w:rsidRPr="00C16A4F" w:rsidRDefault="00163760" w:rsidP="00D07FD5">
      <w:pPr>
        <w:pStyle w:val="SingleTxtG"/>
        <w:ind w:left="2268" w:hanging="567"/>
      </w:pPr>
      <w:r w:rsidRPr="00C16A4F">
        <w:t>(a)</w:t>
      </w:r>
      <w:r w:rsidRPr="00C16A4F">
        <w:tab/>
        <w:t>Classification for substances based on chemical properties (3.3.2.7), including an amended text in the section heading; and</w:t>
      </w:r>
    </w:p>
    <w:p w14:paraId="52111184" w14:textId="69B305C9" w:rsidR="00163760" w:rsidRPr="00C16A4F" w:rsidRDefault="00163760" w:rsidP="00D07FD5">
      <w:pPr>
        <w:pStyle w:val="SingleTxtG"/>
        <w:ind w:left="2268" w:hanging="567"/>
      </w:pPr>
      <w:r w:rsidRPr="00C16A4F">
        <w:t>(b)</w:t>
      </w:r>
      <w:r w:rsidRPr="00C16A4F">
        <w:tab/>
        <w:t>Inclusion of classification based on extreme pH and acid/alkaline reserve within Tier</w:t>
      </w:r>
      <w:r w:rsidR="004F12C7" w:rsidRPr="00C16A4F">
        <w:t> </w:t>
      </w:r>
      <w:r w:rsidRPr="00C16A4F">
        <w:t>5 on the application of the tiered approach for serious eye damage/eye irritation (Figure 3.3.1); and</w:t>
      </w:r>
    </w:p>
    <w:p w14:paraId="73D9E2DF" w14:textId="3FA5B9E7" w:rsidR="00163760" w:rsidRPr="00C16A4F" w:rsidRDefault="00163760" w:rsidP="00D07FD5">
      <w:pPr>
        <w:pStyle w:val="SingleTxtG"/>
        <w:ind w:left="2268" w:hanging="567"/>
      </w:pPr>
      <w:r w:rsidRPr="00C16A4F">
        <w:t>(c)</w:t>
      </w:r>
      <w:r w:rsidRPr="00C16A4F">
        <w:tab/>
        <w:t xml:space="preserve">Classification of mixtures when data are available for the complete mixture (3.3.3.1.3) including the introduction of an additional </w:t>
      </w:r>
      <w:r w:rsidR="004F12C7" w:rsidRPr="00C16A4F">
        <w:t>f</w:t>
      </w:r>
      <w:r w:rsidRPr="00C16A4F">
        <w:t xml:space="preserve">igure 3.3.2 to show the difference in the use of the pH rule between substances and mixtures; and </w:t>
      </w:r>
    </w:p>
    <w:p w14:paraId="08E170C3" w14:textId="77777777" w:rsidR="00163760" w:rsidRPr="00C16A4F" w:rsidRDefault="00163760" w:rsidP="00D07FD5">
      <w:pPr>
        <w:pStyle w:val="SingleTxtG"/>
        <w:ind w:left="2268" w:hanging="567"/>
      </w:pPr>
      <w:r w:rsidRPr="00C16A4F">
        <w:t>(d)</w:t>
      </w:r>
      <w:r w:rsidRPr="00C16A4F">
        <w:tab/>
        <w:t>Guidance on the use of pH and acid/alkaline reserve for classification as serious eye damage (3.3.5.3.7).</w:t>
      </w:r>
    </w:p>
    <w:p w14:paraId="4BAFA41C" w14:textId="7C37858B" w:rsidR="00163760" w:rsidRPr="00C16A4F" w:rsidRDefault="00163760" w:rsidP="00D07FD5">
      <w:pPr>
        <w:pStyle w:val="SingleTxtG"/>
      </w:pPr>
      <w:r w:rsidRPr="00C16A4F">
        <w:t>19.</w:t>
      </w:r>
      <w:r w:rsidRPr="00C16A4F">
        <w:tab/>
        <w:t xml:space="preserve">In addition, the proposed changes in Chapter 3.3 in relation to the pH-rule will also necessitate conforming changes to Chapter 3.2 for substances and mixtures that are classified as causing skin corrosion/irritation based on chemical properties, as proposed in </w:t>
      </w:r>
      <w:r w:rsidR="009030C5" w:rsidRPr="00C16A4F">
        <w:t>ST/SG/AC.10/C.4/2021/5</w:t>
      </w:r>
      <w:r w:rsidRPr="00C16A4F">
        <w:t xml:space="preserve"> and </w:t>
      </w:r>
      <w:r w:rsidR="009030C5" w:rsidRPr="00C16A4F">
        <w:t>informal document INF.4</w:t>
      </w:r>
      <w:r w:rsidRPr="00C16A4F">
        <w:t>.</w:t>
      </w:r>
    </w:p>
    <w:p w14:paraId="6B281A19" w14:textId="77777777" w:rsidR="00163760" w:rsidRPr="00C16A4F" w:rsidRDefault="00163760" w:rsidP="004F12C7">
      <w:pPr>
        <w:keepNext/>
        <w:keepLines/>
        <w:spacing w:before="360" w:after="240" w:line="270" w:lineRule="atLeast"/>
        <w:ind w:left="1134" w:right="567"/>
        <w:rPr>
          <w:b/>
          <w:sz w:val="24"/>
          <w:szCs w:val="24"/>
          <w:lang w:eastAsia="en-GB"/>
        </w:rPr>
      </w:pPr>
      <w:r w:rsidRPr="00C16A4F">
        <w:rPr>
          <w:b/>
          <w:sz w:val="24"/>
          <w:szCs w:val="24"/>
          <w:lang w:eastAsia="en-GB"/>
        </w:rPr>
        <w:t xml:space="preserve">Application of a weight-of-evidence evaluation for classification for eye effects based on </w:t>
      </w:r>
      <w:r w:rsidRPr="00C16A4F">
        <w:rPr>
          <w:b/>
          <w:i/>
          <w:iCs/>
          <w:sz w:val="24"/>
          <w:szCs w:val="24"/>
          <w:lang w:eastAsia="en-GB"/>
        </w:rPr>
        <w:t>in vitro/ex vivo</w:t>
      </w:r>
      <w:r w:rsidRPr="00C16A4F">
        <w:rPr>
          <w:b/>
          <w:sz w:val="24"/>
          <w:szCs w:val="24"/>
          <w:lang w:eastAsia="en-GB"/>
        </w:rPr>
        <w:t xml:space="preserve"> methods</w:t>
      </w:r>
    </w:p>
    <w:p w14:paraId="7C7E2644" w14:textId="77777777" w:rsidR="00163760" w:rsidRPr="00C16A4F" w:rsidRDefault="00163760" w:rsidP="00D07FD5">
      <w:pPr>
        <w:pStyle w:val="SingleTxtG"/>
      </w:pPr>
      <w:r w:rsidRPr="00C16A4F">
        <w:t>20.</w:t>
      </w:r>
      <w:r w:rsidRPr="00C16A4F">
        <w:tab/>
        <w:t xml:space="preserve">The limitations of the currently available in vitro and ex vivo test methods for eye irritation and the suggested testing strategies often result in an outcome that is inconclusive according to the test guideline criteria. Where additional in vitro and ex vivo tests are available within a tier, weight-of-evidence would be the next step. When no other conclusive data is available, the suggested tiered approach is an overall weight-of-evidence assessment. However, currently there is limited guidance, </w:t>
      </w:r>
      <w:proofErr w:type="gramStart"/>
      <w:r w:rsidRPr="00C16A4F">
        <w:t>examples</w:t>
      </w:r>
      <w:proofErr w:type="gramEnd"/>
      <w:r w:rsidRPr="00C16A4F">
        <w:t xml:space="preserve"> or criteria available for applying such an assessment. </w:t>
      </w:r>
    </w:p>
    <w:p w14:paraId="0E8F0235" w14:textId="77777777" w:rsidR="00163760" w:rsidRPr="00C16A4F" w:rsidRDefault="00163760" w:rsidP="00D07FD5">
      <w:pPr>
        <w:pStyle w:val="SingleTxtG"/>
      </w:pPr>
      <w:r w:rsidRPr="00C16A4F">
        <w:t>21.</w:t>
      </w:r>
      <w:r w:rsidRPr="00C16A4F">
        <w:tab/>
        <w:t xml:space="preserve">In June 2019, the working group agreed that it was important to explore this issue. To support the discussion, the project leads produced a document that included an overview of existing guidance, publications, and provided examples of classification to assess the outcome of a combination of in vitro/ex vivo studies using this approach. </w:t>
      </w:r>
    </w:p>
    <w:p w14:paraId="1F545657" w14:textId="443D66FC" w:rsidR="00163760" w:rsidRPr="00C16A4F" w:rsidRDefault="00163760" w:rsidP="00D07FD5">
      <w:pPr>
        <w:pStyle w:val="SingleTxtG"/>
      </w:pPr>
      <w:r w:rsidRPr="00C16A4F">
        <w:t>22.</w:t>
      </w:r>
      <w:r w:rsidRPr="00C16A4F">
        <w:tab/>
        <w:t>Following discussion of the document, a new approach for combining certain tests was considered useful. However, before inclusion within Chapter 3.3 it would require review by the OECD or publication in a peer-reviewed journal. Additional examples were requested but the provided examples were unable to be used as they were not limited to a combination of in vitro and ex vivo methods.</w:t>
      </w:r>
    </w:p>
    <w:p w14:paraId="01810C18" w14:textId="77777777" w:rsidR="00163760" w:rsidRPr="00C16A4F" w:rsidRDefault="00163760" w:rsidP="00D07FD5">
      <w:pPr>
        <w:pStyle w:val="SingleTxtG"/>
      </w:pPr>
      <w:r w:rsidRPr="00C16A4F">
        <w:t>23.</w:t>
      </w:r>
      <w:r w:rsidRPr="00C16A4F">
        <w:tab/>
        <w:t>Consequently, although the group intended to consider how to include the application of a weight-of-evidence evaluation for classification for eye effects based on in vitro/ex vivo methods into the GHS in terms of criteria, guidance or examples, no further progress has been made on this issue at this stage. However, if suitable examples became available in the future, then the working group could then consider how this issue could be addressed in the GHS.</w:t>
      </w:r>
    </w:p>
    <w:p w14:paraId="4EB9A8F1" w14:textId="33B9EF4F" w:rsidR="00163760" w:rsidRPr="00C16A4F" w:rsidRDefault="004F12C7" w:rsidP="004F12C7">
      <w:pPr>
        <w:pStyle w:val="H1G"/>
      </w:pPr>
      <w:r w:rsidRPr="00C16A4F">
        <w:tab/>
      </w:r>
      <w:r w:rsidRPr="00C16A4F">
        <w:tab/>
      </w:r>
      <w:r w:rsidR="00163760" w:rsidRPr="00C16A4F">
        <w:t>Classification of mixtures using bridging principles and a weight of evidence assessment</w:t>
      </w:r>
    </w:p>
    <w:p w14:paraId="4393168B" w14:textId="3BE67594" w:rsidR="00163760" w:rsidRPr="00C16A4F" w:rsidRDefault="00163760" w:rsidP="004F12C7">
      <w:pPr>
        <w:pStyle w:val="SingleTxtG"/>
        <w:rPr>
          <w:noProof/>
        </w:rPr>
      </w:pPr>
      <w:r w:rsidRPr="00C16A4F">
        <w:rPr>
          <w:noProof/>
        </w:rPr>
        <w:t>24.</w:t>
      </w:r>
      <w:r w:rsidRPr="00C16A4F">
        <w:rPr>
          <w:noProof/>
        </w:rPr>
        <w:tab/>
      </w:r>
      <w:r w:rsidRPr="00C16A4F">
        <w:t xml:space="preserve">Although members of the informal working group supported exploration of this issue, there was concern that there might be implications for </w:t>
      </w:r>
      <w:proofErr w:type="gramStart"/>
      <w:r w:rsidRPr="00C16A4F">
        <w:t>a number of</w:t>
      </w:r>
      <w:proofErr w:type="gramEnd"/>
      <w:r w:rsidRPr="00C16A4F">
        <w:t xml:space="preserve"> other chapters within the GHS. Consequently, the group considered that further discussion on this issue was beyond the mandate of the group and at the December 2020 session the Sub-Committee agreed that this issue would be considered by the </w:t>
      </w:r>
      <w:r w:rsidR="004F12C7" w:rsidRPr="00C16A4F">
        <w:t>p</w:t>
      </w:r>
      <w:r w:rsidRPr="00C16A4F">
        <w:t xml:space="preserve">ractical </w:t>
      </w:r>
      <w:r w:rsidR="004F12C7" w:rsidRPr="00C16A4F">
        <w:t>c</w:t>
      </w:r>
      <w:r w:rsidRPr="00C16A4F">
        <w:t xml:space="preserve">lassification </w:t>
      </w:r>
      <w:r w:rsidR="004F12C7" w:rsidRPr="00C16A4F">
        <w:t>i</w:t>
      </w:r>
      <w:r w:rsidRPr="00C16A4F">
        <w:t>ssues working group during the 2021-2022 biennium</w:t>
      </w:r>
      <w:r w:rsidR="009E307E" w:rsidRPr="00C16A4F">
        <w:rPr>
          <w:rStyle w:val="FootnoteReference"/>
        </w:rPr>
        <w:footnoteReference w:id="4"/>
      </w:r>
      <w:bookmarkStart w:id="2" w:name="_Hlk69387750"/>
      <w:r w:rsidRPr="00C16A4F">
        <w:t>.</w:t>
      </w:r>
    </w:p>
    <w:bookmarkEnd w:id="2"/>
    <w:p w14:paraId="7CD4B480" w14:textId="77777777" w:rsidR="00163760" w:rsidRPr="00C16A4F" w:rsidRDefault="00163760" w:rsidP="00163760">
      <w:pPr>
        <w:pStyle w:val="H1G"/>
        <w:tabs>
          <w:tab w:val="clear" w:pos="851"/>
        </w:tabs>
        <w:ind w:right="567" w:firstLine="0"/>
      </w:pPr>
      <w:r w:rsidRPr="00C16A4F">
        <w:t>Test method neutrality</w:t>
      </w:r>
    </w:p>
    <w:p w14:paraId="071D82D2" w14:textId="2D4F9F87" w:rsidR="00163760" w:rsidRPr="00C16A4F" w:rsidRDefault="00163760" w:rsidP="004F12C7">
      <w:pPr>
        <w:pStyle w:val="SingleTxtG"/>
        <w:rPr>
          <w:noProof/>
        </w:rPr>
      </w:pPr>
      <w:r w:rsidRPr="00C16A4F">
        <w:t>25.</w:t>
      </w:r>
      <w:r w:rsidRPr="00C16A4F">
        <w:tab/>
        <w:t>For health and environmental hazards, paragraph 1.3.2.4.3 of the GHS sets out the principle that “tests that determine hazardous properties, which are conducted according to internationally recognized scientific principles, can be used for purposes of a hazard determination. The GHS criteria are test method neutral, allowing different approaches as long as they are scientifically sound and validated according to international procedures and criteria already referred to in existing systems for the hazard of concern and produce mutually acceptable data.” Nevertheless, to be helpful to users of the GHS</w:t>
      </w:r>
      <w:r w:rsidR="004F12C7" w:rsidRPr="00C16A4F">
        <w:t>,</w:t>
      </w:r>
      <w:r w:rsidRPr="00C16A4F">
        <w:t xml:space="preserve"> specific examples of such methods are often given. In revising Chapter 3.3 the informal working group has tried hard to maintain this principle, whilst continuing to provide practical information to GHS users.</w:t>
      </w:r>
    </w:p>
    <w:p w14:paraId="1230708F" w14:textId="77777777" w:rsidR="00163760" w:rsidRPr="00C16A4F" w:rsidRDefault="00163760" w:rsidP="00647F35">
      <w:pPr>
        <w:pStyle w:val="H1G"/>
        <w:tabs>
          <w:tab w:val="clear" w:pos="851"/>
        </w:tabs>
        <w:spacing w:before="240" w:after="120"/>
        <w:ind w:right="567" w:firstLine="0"/>
      </w:pPr>
      <w:r w:rsidRPr="00C16A4F">
        <w:t>Presentation of classification criteria and background guidance</w:t>
      </w:r>
    </w:p>
    <w:p w14:paraId="675ACF40" w14:textId="6219A164" w:rsidR="00163760" w:rsidRPr="00C16A4F" w:rsidRDefault="00163760" w:rsidP="00AE7B21">
      <w:pPr>
        <w:pStyle w:val="SingleTxtG"/>
      </w:pPr>
      <w:r w:rsidRPr="00C16A4F">
        <w:t>26.</w:t>
      </w:r>
      <w:r w:rsidRPr="00C16A4F">
        <w:tab/>
        <w:t xml:space="preserve">As well as adding new sub-sections on how to classify for serious eye damage or eye irritation based on </w:t>
      </w:r>
      <w:r w:rsidRPr="00C16A4F">
        <w:rPr>
          <w:i/>
          <w:iCs/>
        </w:rPr>
        <w:t>in</w:t>
      </w:r>
      <w:r w:rsidR="00AE7B21" w:rsidRPr="00C16A4F">
        <w:rPr>
          <w:i/>
          <w:iCs/>
        </w:rPr>
        <w:t> </w:t>
      </w:r>
      <w:r w:rsidRPr="00C16A4F">
        <w:rPr>
          <w:i/>
          <w:iCs/>
        </w:rPr>
        <w:t>vitro/ex</w:t>
      </w:r>
      <w:r w:rsidR="00AE7B21" w:rsidRPr="00C16A4F">
        <w:rPr>
          <w:i/>
          <w:iCs/>
        </w:rPr>
        <w:t> </w:t>
      </w:r>
      <w:r w:rsidRPr="00C16A4F">
        <w:rPr>
          <w:i/>
          <w:iCs/>
        </w:rPr>
        <w:t>vivo</w:t>
      </w:r>
      <w:r w:rsidRPr="00C16A4F">
        <w:t xml:space="preserve"> data (3.3.2.4) and on non-test methods (3.3.2.8), the opportunity has been taken to pull together in one sub-section (3.3.2.1) existing text on classification using human data, with a cross reference to the related background guidance to Chapter 3.3 where six new sub-sections are introduced:</w:t>
      </w:r>
    </w:p>
    <w:p w14:paraId="21CDB806" w14:textId="77777777" w:rsidR="00163760" w:rsidRPr="00C16A4F" w:rsidRDefault="00163760" w:rsidP="00507BDB">
      <w:pPr>
        <w:pStyle w:val="SingleTxtG"/>
        <w:ind w:left="2268" w:hanging="567"/>
      </w:pPr>
      <w:r w:rsidRPr="00C16A4F">
        <w:t>(a)</w:t>
      </w:r>
      <w:r w:rsidRPr="00C16A4F">
        <w:tab/>
        <w:t>A pointer to helpful information on the strengths and weaknesses of the different test and non-test methods, and to useful guidance on how to apply a weight of evidence assessment (3.3.5.3.1); and</w:t>
      </w:r>
    </w:p>
    <w:p w14:paraId="6C1975A0" w14:textId="77777777" w:rsidR="00163760" w:rsidRPr="00C16A4F" w:rsidRDefault="00163760" w:rsidP="00507BDB">
      <w:pPr>
        <w:pStyle w:val="SingleTxtG"/>
        <w:ind w:left="2268" w:hanging="567"/>
      </w:pPr>
      <w:r w:rsidRPr="00C16A4F">
        <w:t>(b)</w:t>
      </w:r>
      <w:r w:rsidRPr="00C16A4F">
        <w:tab/>
        <w:t xml:space="preserve">Guidance on the use of human data for classification as serious eye damage/eye irritation (3.3.5.3.2); and </w:t>
      </w:r>
    </w:p>
    <w:p w14:paraId="27C264DA" w14:textId="2B90B503" w:rsidR="00163760" w:rsidRPr="00C16A4F" w:rsidRDefault="00163760" w:rsidP="00507BDB">
      <w:pPr>
        <w:pStyle w:val="SingleTxtG"/>
        <w:ind w:left="2268" w:hanging="567"/>
      </w:pPr>
      <w:r w:rsidRPr="00C16A4F">
        <w:t>(c)</w:t>
      </w:r>
      <w:r w:rsidRPr="00C16A4F">
        <w:tab/>
        <w:t xml:space="preserve">Guidance on the use of defined approaches and/or </w:t>
      </w:r>
      <w:r w:rsidRPr="00C16A4F">
        <w:rPr>
          <w:i/>
          <w:iCs/>
        </w:rPr>
        <w:t>in vitro/ex</w:t>
      </w:r>
      <w:r w:rsidR="00AE7B21" w:rsidRPr="00C16A4F">
        <w:rPr>
          <w:i/>
          <w:iCs/>
        </w:rPr>
        <w:t> </w:t>
      </w:r>
      <w:r w:rsidRPr="00C16A4F">
        <w:rPr>
          <w:i/>
          <w:iCs/>
        </w:rPr>
        <w:t>vivo</w:t>
      </w:r>
      <w:r w:rsidRPr="00C16A4F">
        <w:t xml:space="preserve"> data for classification within Tier 2 of Figure 3.3.1 (3.3.5.3.4); and </w:t>
      </w:r>
    </w:p>
    <w:p w14:paraId="67A3BE0F" w14:textId="77777777" w:rsidR="00163760" w:rsidRPr="00C16A4F" w:rsidRDefault="00163760" w:rsidP="00507BDB">
      <w:pPr>
        <w:pStyle w:val="SingleTxtG"/>
        <w:ind w:left="2268" w:hanging="567"/>
      </w:pPr>
      <w:r w:rsidRPr="00C16A4F">
        <w:t>(d)</w:t>
      </w:r>
      <w:r w:rsidRPr="00C16A4F">
        <w:tab/>
        <w:t>Guidance on c</w:t>
      </w:r>
      <w:r w:rsidRPr="00C16A4F">
        <w:rPr>
          <w:rFonts w:eastAsiaTheme="minorHAnsi"/>
        </w:rPr>
        <w:t xml:space="preserve">lassification criteria based on </w:t>
      </w:r>
      <w:r w:rsidRPr="00C16A4F">
        <w:rPr>
          <w:rFonts w:eastAsiaTheme="minorHAnsi"/>
          <w:i/>
          <w:iCs/>
        </w:rPr>
        <w:t>in vitro/ex vivo</w:t>
      </w:r>
      <w:r w:rsidRPr="00C16A4F">
        <w:rPr>
          <w:rFonts w:eastAsiaTheme="minorHAnsi"/>
        </w:rPr>
        <w:t xml:space="preserve"> data (3.3.5.3.5); and</w:t>
      </w:r>
    </w:p>
    <w:p w14:paraId="0FBF2E81" w14:textId="77777777" w:rsidR="00163760" w:rsidRPr="00C16A4F" w:rsidRDefault="00163760" w:rsidP="00507BDB">
      <w:pPr>
        <w:pStyle w:val="SingleTxtG"/>
        <w:ind w:left="2268" w:hanging="567"/>
        <w:rPr>
          <w:i/>
          <w:iCs/>
        </w:rPr>
      </w:pPr>
      <w:r w:rsidRPr="00C16A4F">
        <w:t>(e)</w:t>
      </w:r>
      <w:r w:rsidRPr="00C16A4F">
        <w:tab/>
        <w:t>Guidance on the use of other existing skin or eye data in animals for classification as serious eye damage or eye irritation (3.3.5.3.6); and</w:t>
      </w:r>
    </w:p>
    <w:p w14:paraId="3467B14D" w14:textId="77777777" w:rsidR="00163760" w:rsidRPr="00C16A4F" w:rsidRDefault="00163760" w:rsidP="00507BDB">
      <w:pPr>
        <w:pStyle w:val="SingleTxtG"/>
        <w:ind w:left="2268" w:hanging="567"/>
      </w:pPr>
      <w:r w:rsidRPr="00C16A4F">
        <w:t>(f)</w:t>
      </w:r>
      <w:r w:rsidRPr="00C16A4F">
        <w:tab/>
        <w:t>Guidance on the use of pH and acid/alkaline reserve for classification as serious eye damage (3.3.5.3.7).</w:t>
      </w:r>
    </w:p>
    <w:p w14:paraId="0909B7C9" w14:textId="79DEA3C6" w:rsidR="00163760" w:rsidRPr="00C16A4F" w:rsidRDefault="004F12C7" w:rsidP="00647F35">
      <w:pPr>
        <w:pStyle w:val="H1G"/>
        <w:spacing w:before="240" w:after="120"/>
        <w:rPr>
          <w:noProof/>
        </w:rPr>
      </w:pPr>
      <w:r w:rsidRPr="00C16A4F">
        <w:rPr>
          <w:noProof/>
        </w:rPr>
        <w:tab/>
      </w:r>
      <w:r w:rsidRPr="00C16A4F">
        <w:rPr>
          <w:noProof/>
        </w:rPr>
        <w:tab/>
      </w:r>
      <w:r w:rsidR="00163760" w:rsidRPr="00C16A4F">
        <w:rPr>
          <w:noProof/>
        </w:rPr>
        <w:t xml:space="preserve">Conforming changes to </w:t>
      </w:r>
      <w:r w:rsidRPr="00C16A4F">
        <w:rPr>
          <w:noProof/>
        </w:rPr>
        <w:t>c</w:t>
      </w:r>
      <w:r w:rsidR="00163760" w:rsidRPr="00C16A4F">
        <w:rPr>
          <w:noProof/>
        </w:rPr>
        <w:t>hapters 3.2 and 1.2</w:t>
      </w:r>
    </w:p>
    <w:p w14:paraId="54DC4135" w14:textId="329FA849" w:rsidR="00163760" w:rsidRPr="00C16A4F" w:rsidRDefault="00163760" w:rsidP="002966C9">
      <w:pPr>
        <w:pStyle w:val="SingleTxtG"/>
      </w:pPr>
      <w:r w:rsidRPr="00C16A4F">
        <w:t>27.</w:t>
      </w:r>
      <w:r w:rsidRPr="00C16A4F">
        <w:tab/>
        <w:t xml:space="preserve">The proposed changes to Chapter 3.3 necessitate </w:t>
      </w:r>
      <w:proofErr w:type="gramStart"/>
      <w:r w:rsidRPr="00C16A4F">
        <w:t>a number of</w:t>
      </w:r>
      <w:proofErr w:type="gramEnd"/>
      <w:r w:rsidRPr="00C16A4F">
        <w:t xml:space="preserve"> conforming changes to be made to Chapter 3.2 to ensure consistency of approach between the two chapters.</w:t>
      </w:r>
    </w:p>
    <w:p w14:paraId="20BE6805" w14:textId="63D32F6A" w:rsidR="00163760" w:rsidRPr="00C16A4F" w:rsidRDefault="00163760" w:rsidP="00D12CDC">
      <w:pPr>
        <w:pStyle w:val="SingleTxtG"/>
      </w:pPr>
      <w:r w:rsidRPr="00C16A4F">
        <w:t>28.</w:t>
      </w:r>
      <w:r w:rsidRPr="00C16A4F">
        <w:tab/>
        <w:t xml:space="preserve">Specifically, in relation to the proposed changes to the pH rule, amendments will also be required to sub-sections </w:t>
      </w:r>
      <w:r w:rsidRPr="00C16A4F">
        <w:rPr>
          <w:noProof/>
        </w:rPr>
        <w:t xml:space="preserve">3.2.2.5 and 3.2.3.1.3; to Figure 3.2.1; </w:t>
      </w:r>
      <w:r w:rsidRPr="00C16A4F">
        <w:t xml:space="preserve">and </w:t>
      </w:r>
      <w:r w:rsidR="00D12CDC" w:rsidRPr="00C16A4F">
        <w:t>d</w:t>
      </w:r>
      <w:r w:rsidRPr="00C16A4F">
        <w:t xml:space="preserve">ecision logic 3.2.2 </w:t>
      </w:r>
      <w:r w:rsidRPr="00C16A4F">
        <w:rPr>
          <w:noProof/>
        </w:rPr>
        <w:t>of Chapter</w:t>
      </w:r>
      <w:r w:rsidR="00D12CDC" w:rsidRPr="00C16A4F">
        <w:rPr>
          <w:noProof/>
        </w:rPr>
        <w:t> </w:t>
      </w:r>
      <w:r w:rsidRPr="00C16A4F">
        <w:rPr>
          <w:noProof/>
        </w:rPr>
        <w:t xml:space="preserve">3.2, with new guidance provided in section 3.2.5.3.6 </w:t>
      </w:r>
      <w:r w:rsidRPr="00C16A4F">
        <w:t xml:space="preserve">as proposed in </w:t>
      </w:r>
      <w:r w:rsidR="009030C5" w:rsidRPr="00C16A4F">
        <w:t>ST/SG/AC.10/C.4/2021/5</w:t>
      </w:r>
      <w:r w:rsidRPr="00C16A4F">
        <w:t xml:space="preserve"> and </w:t>
      </w:r>
      <w:r w:rsidR="009030C5" w:rsidRPr="00C16A4F">
        <w:t xml:space="preserve">informal document </w:t>
      </w:r>
      <w:r w:rsidR="009030C5" w:rsidRPr="00C16A4F">
        <w:rPr>
          <w:szCs w:val="18"/>
        </w:rPr>
        <w:t>INF.4</w:t>
      </w:r>
      <w:r w:rsidRPr="00C16A4F">
        <w:rPr>
          <w:szCs w:val="18"/>
        </w:rPr>
        <w:t>.</w:t>
      </w:r>
    </w:p>
    <w:p w14:paraId="51CF95D3" w14:textId="3B975626" w:rsidR="00163760" w:rsidRPr="00C16A4F" w:rsidRDefault="00163760" w:rsidP="00D12CDC">
      <w:pPr>
        <w:pStyle w:val="SingleTxtG"/>
      </w:pPr>
      <w:r w:rsidRPr="00C16A4F">
        <w:t>29.</w:t>
      </w:r>
      <w:r w:rsidRPr="00C16A4F">
        <w:tab/>
        <w:t xml:space="preserve">A new figure and amendments will also be required to the following sub-sections of Chapter 3.2, as proposed in </w:t>
      </w:r>
      <w:r w:rsidR="009030C5" w:rsidRPr="00C16A4F">
        <w:t>ST/SG/AC.10/C.4/2021/5</w:t>
      </w:r>
      <w:r w:rsidRPr="00C16A4F">
        <w:t xml:space="preserve"> and </w:t>
      </w:r>
      <w:r w:rsidR="009030C5" w:rsidRPr="00C16A4F">
        <w:t>informal document INF.4</w:t>
      </w:r>
      <w:r w:rsidRPr="00C16A4F">
        <w:t xml:space="preserve"> as follows:</w:t>
      </w:r>
    </w:p>
    <w:p w14:paraId="23B3B3DE" w14:textId="45677A22" w:rsidR="00163760" w:rsidRPr="00C16A4F" w:rsidRDefault="00163760" w:rsidP="00D12CDC">
      <w:pPr>
        <w:pStyle w:val="Bullet1G"/>
        <w:rPr>
          <w:noProof/>
        </w:rPr>
      </w:pPr>
      <w:r w:rsidRPr="00C16A4F">
        <w:rPr>
          <w:szCs w:val="18"/>
        </w:rPr>
        <w:t xml:space="preserve">Section </w:t>
      </w:r>
      <w:r w:rsidRPr="00C16A4F">
        <w:rPr>
          <w:noProof/>
        </w:rPr>
        <w:t xml:space="preserve">3.2.1.2; </w:t>
      </w:r>
    </w:p>
    <w:p w14:paraId="40081AEC" w14:textId="2DC546F7" w:rsidR="00163760" w:rsidRPr="00C16A4F" w:rsidRDefault="00163760" w:rsidP="00D12CDC">
      <w:pPr>
        <w:pStyle w:val="Bullet1G"/>
        <w:rPr>
          <w:noProof/>
        </w:rPr>
      </w:pPr>
      <w:r w:rsidRPr="00C16A4F">
        <w:rPr>
          <w:rFonts w:ascii="Symbol" w:hAnsi="Symbol"/>
          <w:noProof/>
        </w:rPr>
        <w:tab/>
      </w:r>
      <w:r w:rsidRPr="00C16A4F">
        <w:rPr>
          <w:noProof/>
        </w:rPr>
        <w:t xml:space="preserve">Amended section headings (3.2.2.1 to 3.2.2.6; 3.2.2.8 (renumbered from 3.2.2.7)) and a new section (3.2.2.7) on overall weight of evidence assessment to align with the presentation in Chapter 3.3; </w:t>
      </w:r>
    </w:p>
    <w:p w14:paraId="11FDB052" w14:textId="2ECB924D" w:rsidR="00163760" w:rsidRPr="00C16A4F" w:rsidRDefault="00163760" w:rsidP="00D12CDC">
      <w:pPr>
        <w:pStyle w:val="Bullet1G"/>
        <w:rPr>
          <w:noProof/>
        </w:rPr>
      </w:pPr>
      <w:r w:rsidRPr="00C16A4F">
        <w:rPr>
          <w:noProof/>
        </w:rPr>
        <w:t>New Figure 3.2.2 on classification of mixtures;</w:t>
      </w:r>
    </w:p>
    <w:p w14:paraId="4C61F26F" w14:textId="2EF346BF" w:rsidR="00163760" w:rsidRPr="00C16A4F" w:rsidRDefault="00163760" w:rsidP="00D12CDC">
      <w:pPr>
        <w:pStyle w:val="Bullet1G"/>
        <w:rPr>
          <w:noProof/>
        </w:rPr>
      </w:pPr>
      <w:r w:rsidRPr="00C16A4F">
        <w:rPr>
          <w:rFonts w:ascii="Symbol" w:hAnsi="Symbol"/>
          <w:noProof/>
        </w:rPr>
        <w:tab/>
      </w:r>
      <w:r w:rsidRPr="00C16A4F">
        <w:rPr>
          <w:noProof/>
        </w:rPr>
        <w:t xml:space="preserve">Various minor textual alignments throughout </w:t>
      </w:r>
      <w:r w:rsidR="00D12CDC" w:rsidRPr="00C16A4F">
        <w:rPr>
          <w:noProof/>
        </w:rPr>
        <w:t>C</w:t>
      </w:r>
      <w:r w:rsidRPr="00C16A4F">
        <w:rPr>
          <w:noProof/>
        </w:rPr>
        <w:t>hapter 3.2</w:t>
      </w:r>
      <w:r w:rsidR="00D12CDC" w:rsidRPr="00C16A4F">
        <w:rPr>
          <w:noProof/>
        </w:rPr>
        <w:t>.</w:t>
      </w:r>
    </w:p>
    <w:p w14:paraId="649E7273" w14:textId="2B116981" w:rsidR="00163760" w:rsidRPr="00C16A4F" w:rsidRDefault="00163760" w:rsidP="00D12CDC">
      <w:pPr>
        <w:pStyle w:val="SingleTxtG"/>
      </w:pPr>
      <w:r w:rsidRPr="00C16A4F">
        <w:t>30.</w:t>
      </w:r>
      <w:r w:rsidRPr="00C16A4F">
        <w:tab/>
        <w:t xml:space="preserve">In addition, amendments will also be required to Chapter 1.2, as proposed in </w:t>
      </w:r>
      <w:r w:rsidR="009030C5" w:rsidRPr="00C16A4F">
        <w:t>ST/SG/AC.10/C.4/2021/5</w:t>
      </w:r>
      <w:r w:rsidRPr="00C16A4F">
        <w:t xml:space="preserve"> and </w:t>
      </w:r>
      <w:r w:rsidR="009030C5" w:rsidRPr="00C16A4F">
        <w:t>informal document INF.4</w:t>
      </w:r>
      <w:r w:rsidRPr="00C16A4F">
        <w:t xml:space="preserve"> to include abbreviation for integrated approach on testing and assessment as this abbreviation is also used in Chapter</w:t>
      </w:r>
      <w:r w:rsidR="00D12CDC" w:rsidRPr="00C16A4F">
        <w:t> </w:t>
      </w:r>
      <w:r w:rsidRPr="00C16A4F">
        <w:t>3.2.</w:t>
      </w:r>
    </w:p>
    <w:p w14:paraId="2D9995B9" w14:textId="77777777" w:rsidR="00163760" w:rsidRPr="00C16A4F" w:rsidRDefault="00163760" w:rsidP="00647F35">
      <w:pPr>
        <w:pStyle w:val="HChG"/>
        <w:spacing w:before="200" w:after="120"/>
      </w:pPr>
      <w:r w:rsidRPr="00C16A4F">
        <w:tab/>
      </w:r>
      <w:r w:rsidRPr="00C16A4F">
        <w:tab/>
        <w:t>Action and next steps</w:t>
      </w:r>
    </w:p>
    <w:p w14:paraId="78119BEB" w14:textId="7EC09C90" w:rsidR="00163760" w:rsidRPr="00C16A4F" w:rsidRDefault="00163760" w:rsidP="00D12CDC">
      <w:pPr>
        <w:pStyle w:val="SingleTxtG"/>
      </w:pPr>
      <w:r w:rsidRPr="00C16A4F">
        <w:t>31.</w:t>
      </w:r>
      <w:r w:rsidRPr="00C16A4F">
        <w:tab/>
        <w:t xml:space="preserve">The Sub-Committee is invited to agree the revised Chapter 3.3 as set out in the </w:t>
      </w:r>
      <w:r w:rsidR="00D12CDC" w:rsidRPr="00C16A4F">
        <w:t>a</w:t>
      </w:r>
      <w:r w:rsidRPr="00C16A4F">
        <w:t xml:space="preserve">nnex to this document and as provided in full in informal document </w:t>
      </w:r>
      <w:r w:rsidR="009030C5" w:rsidRPr="00C16A4F">
        <w:t>INF.3</w:t>
      </w:r>
      <w:r w:rsidRPr="00C16A4F">
        <w:t>.</w:t>
      </w:r>
    </w:p>
    <w:p w14:paraId="420EE76B" w14:textId="116E6C2B" w:rsidR="00D12CDC" w:rsidRPr="00C16A4F" w:rsidRDefault="00163760" w:rsidP="00D12CDC">
      <w:pPr>
        <w:pStyle w:val="SingleTxtG"/>
      </w:pPr>
      <w:r w:rsidRPr="00C16A4F">
        <w:t>32.</w:t>
      </w:r>
      <w:r w:rsidRPr="00C16A4F">
        <w:tab/>
        <w:t xml:space="preserve">Looking ahead, the informal working group </w:t>
      </w:r>
      <w:r w:rsidR="008E307A" w:rsidRPr="00C16A4F">
        <w:t xml:space="preserve">recognizes </w:t>
      </w:r>
      <w:r w:rsidRPr="00C16A4F">
        <w:t xml:space="preserve">the longer-term nature of this work to ensure that non-animal test methods are consistently incorporated in the GHS in a way that reflects their growing importance and scientific relevance, whilst recognising their limitations. As agreed at the December 2020 session of the Sub-Committee, further activities planned for this biennium include updates to the chapter on the hazard class respiratory or skin sensitisation with a focus on the </w:t>
      </w:r>
      <w:r w:rsidRPr="00C16A4F">
        <w:rPr>
          <w:i/>
        </w:rPr>
        <w:t xml:space="preserve">in </w:t>
      </w:r>
      <w:proofErr w:type="spellStart"/>
      <w:r w:rsidRPr="00C16A4F">
        <w:rPr>
          <w:i/>
        </w:rPr>
        <w:t>chemico</w:t>
      </w:r>
      <w:proofErr w:type="spellEnd"/>
      <w:r w:rsidRPr="00C16A4F">
        <w:t xml:space="preserve"> and </w:t>
      </w:r>
      <w:r w:rsidRPr="00C16A4F">
        <w:rPr>
          <w:i/>
        </w:rPr>
        <w:t>in vitro</w:t>
      </w:r>
      <w:r w:rsidRPr="00C16A4F">
        <w:t xml:space="preserve"> methods for skin sensitisation in line with the informal working group’s mandate and 2021-2022 workplan. </w:t>
      </w:r>
    </w:p>
    <w:p w14:paraId="72D0B813" w14:textId="77777777" w:rsidR="00E007C7" w:rsidRPr="00C16A4F" w:rsidRDefault="00E007C7">
      <w:pPr>
        <w:suppressAutoHyphens w:val="0"/>
        <w:kinsoku/>
        <w:overflowPunct/>
        <w:autoSpaceDE/>
        <w:autoSpaceDN/>
        <w:adjustRightInd/>
        <w:snapToGrid/>
        <w:spacing w:after="200" w:line="276" w:lineRule="auto"/>
        <w:rPr>
          <w:b/>
          <w:sz w:val="28"/>
        </w:rPr>
      </w:pPr>
      <w:r w:rsidRPr="00C16A4F">
        <w:br w:type="page"/>
      </w:r>
    </w:p>
    <w:p w14:paraId="0A0A9581" w14:textId="71F006A8" w:rsidR="00163760" w:rsidRPr="00C16A4F" w:rsidRDefault="00163760" w:rsidP="00D12CDC">
      <w:pPr>
        <w:pStyle w:val="HChG"/>
      </w:pPr>
      <w:r w:rsidRPr="00C16A4F">
        <w:t xml:space="preserve">Annex </w:t>
      </w:r>
    </w:p>
    <w:p w14:paraId="53163E8B" w14:textId="23B5DC35" w:rsidR="00163760" w:rsidRPr="00C16A4F" w:rsidRDefault="00163760" w:rsidP="00163760">
      <w:pPr>
        <w:pStyle w:val="HChG"/>
        <w:rPr>
          <w:rFonts w:eastAsiaTheme="minorHAnsi"/>
        </w:rPr>
      </w:pPr>
      <w:r w:rsidRPr="00C16A4F">
        <w:rPr>
          <w:rFonts w:eastAsiaTheme="minorHAnsi"/>
        </w:rPr>
        <w:tab/>
      </w:r>
      <w:r w:rsidRPr="00C16A4F">
        <w:rPr>
          <w:rFonts w:eastAsiaTheme="minorHAnsi"/>
        </w:rPr>
        <w:tab/>
        <w:t xml:space="preserve">Proposed amendments </w:t>
      </w:r>
      <w:r w:rsidR="00D12CDC" w:rsidRPr="00C16A4F">
        <w:rPr>
          <w:rFonts w:eastAsiaTheme="minorHAnsi"/>
        </w:rPr>
        <w:t>to</w:t>
      </w:r>
      <w:r w:rsidRPr="00C16A4F">
        <w:rPr>
          <w:rFonts w:eastAsiaTheme="minorHAnsi"/>
        </w:rPr>
        <w:t xml:space="preserve"> Chapter 3.3</w:t>
      </w:r>
    </w:p>
    <w:p w14:paraId="323C2527" w14:textId="52A5F038" w:rsidR="00163760" w:rsidRPr="00C16A4F" w:rsidRDefault="00163760" w:rsidP="007206E4">
      <w:pPr>
        <w:pStyle w:val="SingleTxtG"/>
        <w:tabs>
          <w:tab w:val="left" w:pos="2268"/>
        </w:tabs>
      </w:pPr>
      <w:r w:rsidRPr="00C16A4F">
        <w:t>3.3.1.2</w:t>
      </w:r>
      <w:r w:rsidR="0036762A" w:rsidRPr="00C16A4F">
        <w:tab/>
      </w:r>
      <w:r w:rsidRPr="00C16A4F">
        <w:t>Replace with the following:</w:t>
      </w:r>
    </w:p>
    <w:p w14:paraId="165793C9" w14:textId="1B80F0E2" w:rsidR="00163760" w:rsidRPr="00C16A4F" w:rsidRDefault="00163760" w:rsidP="00B60E01">
      <w:pPr>
        <w:pStyle w:val="SingleTxtG"/>
        <w:rPr>
          <w:rFonts w:eastAsiaTheme="minorHAnsi"/>
          <w:sz w:val="24"/>
          <w:lang w:eastAsia="en-GB"/>
        </w:rPr>
      </w:pPr>
      <w:r w:rsidRPr="00C16A4F">
        <w:t>“3.3.1.2</w:t>
      </w:r>
      <w:r w:rsidRPr="00C16A4F">
        <w:tab/>
      </w:r>
      <w:bookmarkStart w:id="3" w:name="_Hlk69397694"/>
      <w:r w:rsidRPr="00C16A4F">
        <w:t>To classify, all available and relevant information on serious eye damage/eye irritation is collected and its quality in terms of adequacy and reliability is assessed. Classification should be based on mutually acceptable data/results generated using methods and/or defined approaches</w:t>
      </w:r>
      <w:r w:rsidRPr="00C16A4F">
        <w:rPr>
          <w:vertAlign w:val="superscript"/>
        </w:rPr>
        <w:t>1</w:t>
      </w:r>
      <w:r w:rsidRPr="00C16A4F">
        <w:t xml:space="preserve"> that are validated according to international procedures. These include both OECD </w:t>
      </w:r>
      <w:r w:rsidR="0036762A" w:rsidRPr="00C16A4F">
        <w:t>g</w:t>
      </w:r>
      <w:r w:rsidRPr="00C16A4F">
        <w:t>uidelines and equivalent methods/defined approaches (see 1.3.2.4.3). Sections 3.3.2.1 to 3.3.2.8 provide classification criteria for the different types of information that may be available.</w:t>
      </w:r>
      <w:bookmarkEnd w:id="3"/>
      <w:r w:rsidRPr="00C16A4F">
        <w:t>”</w:t>
      </w:r>
      <w:r w:rsidR="0036762A" w:rsidRPr="00C16A4F">
        <w:t>.</w:t>
      </w:r>
    </w:p>
    <w:p w14:paraId="25804300" w14:textId="77777777" w:rsidR="00F443D6" w:rsidRPr="00C16A4F" w:rsidRDefault="00163760" w:rsidP="00B60E01">
      <w:pPr>
        <w:pStyle w:val="SingleTxtG"/>
      </w:pPr>
      <w:r w:rsidRPr="00C16A4F">
        <w:t xml:space="preserve">Insert </w:t>
      </w:r>
      <w:r w:rsidR="00EB1292" w:rsidRPr="00C16A4F">
        <w:t>a</w:t>
      </w:r>
      <w:r w:rsidR="0036762A" w:rsidRPr="00C16A4F">
        <w:t xml:space="preserve"> </w:t>
      </w:r>
      <w:r w:rsidR="00F443D6" w:rsidRPr="00C16A4F">
        <w:t>new</w:t>
      </w:r>
      <w:r w:rsidR="008E2F6A" w:rsidRPr="00C16A4F">
        <w:t xml:space="preserve"> </w:t>
      </w:r>
      <w:r w:rsidR="0036762A" w:rsidRPr="00C16A4F">
        <w:t>footnote 1</w:t>
      </w:r>
      <w:r w:rsidR="008E2F6A" w:rsidRPr="00C16A4F">
        <w:t xml:space="preserve"> to read as follows: </w:t>
      </w:r>
    </w:p>
    <w:p w14:paraId="0C633943" w14:textId="0D2A2954" w:rsidR="00163760" w:rsidRPr="00C16A4F" w:rsidRDefault="00163760" w:rsidP="00B60E01">
      <w:pPr>
        <w:pStyle w:val="SingleTxtG"/>
        <w:rPr>
          <w:i/>
          <w:iCs/>
        </w:rPr>
      </w:pPr>
      <w:r w:rsidRPr="00C16A4F">
        <w:rPr>
          <w:i/>
          <w:iCs/>
        </w:rPr>
        <w:t>“</w:t>
      </w:r>
      <w:r w:rsidR="0036762A" w:rsidRPr="00C16A4F">
        <w:rPr>
          <w:vertAlign w:val="superscript"/>
        </w:rPr>
        <w:t>1</w:t>
      </w:r>
      <w:r w:rsidRPr="00C16A4F">
        <w:rPr>
          <w:i/>
          <w:iCs/>
        </w:rPr>
        <w:tab/>
      </w:r>
      <w:bookmarkStart w:id="4" w:name="_Hlk69397713"/>
      <w:r w:rsidRPr="00C16A4F">
        <w:rPr>
          <w:i/>
          <w:iCs/>
        </w:rPr>
        <w:t>According to OECD Guidance Document 255 on the reporting of defined approaches to be used within integrated approaches to testing and assessment, a defined approach to testing and assessment consists of a fixed data interpretation procedure (DIP) applied to data generated with a defined set of information sources to derive a result that can either be used on its own, or together with other information sources within an overall weight of evidence assessment, to satisfy a specific regulatory need.</w:t>
      </w:r>
      <w:bookmarkEnd w:id="4"/>
      <w:r w:rsidRPr="00C16A4F">
        <w:rPr>
          <w:i/>
          <w:iCs/>
        </w:rPr>
        <w:t>”</w:t>
      </w:r>
      <w:r w:rsidR="00D960D0" w:rsidRPr="00C16A4F">
        <w:rPr>
          <w:i/>
          <w:iCs/>
        </w:rPr>
        <w:t>.</w:t>
      </w:r>
    </w:p>
    <w:p w14:paraId="550F06DF" w14:textId="55F1DDA2" w:rsidR="00163760" w:rsidRPr="00C16A4F" w:rsidRDefault="00D960D0" w:rsidP="0036762A">
      <w:pPr>
        <w:pStyle w:val="SingleTxtG"/>
      </w:pPr>
      <w:r w:rsidRPr="00C16A4F">
        <w:t>3.3.1.3 and 3.</w:t>
      </w:r>
      <w:r w:rsidR="004D6506" w:rsidRPr="00C16A4F">
        <w:t>3</w:t>
      </w:r>
      <w:r w:rsidRPr="00C16A4F">
        <w:t>.1.4</w:t>
      </w:r>
      <w:r w:rsidRPr="00C16A4F">
        <w:tab/>
      </w:r>
      <w:r w:rsidR="00163760" w:rsidRPr="00C16A4F">
        <w:t xml:space="preserve">Insert </w:t>
      </w:r>
      <w:r w:rsidR="0043229F" w:rsidRPr="00C16A4F">
        <w:t xml:space="preserve">the following new </w:t>
      </w:r>
      <w:r w:rsidR="00163760" w:rsidRPr="00C16A4F">
        <w:t>two paragraphs:</w:t>
      </w:r>
    </w:p>
    <w:p w14:paraId="359E0C3A" w14:textId="3209C17E" w:rsidR="00163760" w:rsidRPr="00C16A4F" w:rsidRDefault="00163760" w:rsidP="00B60E01">
      <w:pPr>
        <w:pStyle w:val="SingleTxtG"/>
      </w:pPr>
      <w:bookmarkStart w:id="5" w:name="_Hlk69397739"/>
      <w:r w:rsidRPr="00C16A4F">
        <w:rPr>
          <w:rFonts w:eastAsiaTheme="minorHAnsi"/>
        </w:rPr>
        <w:t>“</w:t>
      </w:r>
      <w:r w:rsidRPr="00C16A4F">
        <w:t>3.3.1.3</w:t>
      </w:r>
      <w:r w:rsidRPr="00C16A4F">
        <w:tab/>
        <w:t xml:space="preserve">A </w:t>
      </w:r>
      <w:r w:rsidRPr="00C16A4F">
        <w:rPr>
          <w:i/>
        </w:rPr>
        <w:t>tiered approach</w:t>
      </w:r>
      <w:r w:rsidRPr="00C16A4F">
        <w:t xml:space="preserve"> (see 3.3.2.10) organi</w:t>
      </w:r>
      <w:r w:rsidR="00DB5D5C" w:rsidRPr="00C16A4F">
        <w:t>z</w:t>
      </w:r>
      <w:r w:rsidRPr="00C16A4F">
        <w:t xml:space="preserve">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w:t>
      </w:r>
      <w:proofErr w:type="gramStart"/>
      <w:r w:rsidRPr="00C16A4F">
        <w:t>on the basis of</w:t>
      </w:r>
      <w:proofErr w:type="gramEnd"/>
      <w:r w:rsidRPr="00C16A4F">
        <w:t xml:space="preserve"> the weight of evidence within that tier. In some cases when information from different tiers gives inconsistent and/or conflicting results (see 3.3.2.10.3) or where data individually are insufficient to conclude on the classification, an overall weight of evidence assessment is used (see 1.3.2.4.9, 3.3.2.9 and 3.3.5.3.1).</w:t>
      </w:r>
    </w:p>
    <w:p w14:paraId="5FA353A0" w14:textId="1A45D6F0" w:rsidR="00163760" w:rsidRPr="00C16A4F" w:rsidRDefault="00163760" w:rsidP="00B60E01">
      <w:pPr>
        <w:pStyle w:val="SingleTxtG"/>
      </w:pPr>
      <w:r w:rsidRPr="00C16A4F">
        <w:t>3.3.1.4</w:t>
      </w:r>
      <w:r w:rsidRPr="00C16A4F">
        <w:tab/>
      </w:r>
      <w:r w:rsidR="00782308" w:rsidRPr="00C16A4F">
        <w:tab/>
      </w:r>
      <w:r w:rsidRPr="00C16A4F">
        <w:t>Guidance on the interpretation of criteria and references to relevant guidance documents are provided in 3.3.5.3.”</w:t>
      </w:r>
      <w:r w:rsidR="00D960D0" w:rsidRPr="00C16A4F">
        <w:t>.</w:t>
      </w:r>
    </w:p>
    <w:bookmarkEnd w:id="5"/>
    <w:p w14:paraId="26AFC243" w14:textId="19AD7BD9" w:rsidR="008E2F6A" w:rsidRPr="00C16A4F" w:rsidRDefault="008E2F6A" w:rsidP="00B60E01">
      <w:pPr>
        <w:pStyle w:val="SingleTxtG"/>
      </w:pPr>
      <w:r w:rsidRPr="00C16A4F">
        <w:t>3.3.2</w:t>
      </w:r>
      <w:r w:rsidRPr="00C16A4F">
        <w:tab/>
      </w:r>
      <w:r w:rsidRPr="00C16A4F">
        <w:tab/>
        <w:t xml:space="preserve">Delete “(see Table 3.3.1)” in sub-paragraph (a) and “(see Table 3.3.2)” in sub-paragraph (b) and in the last sentence. </w:t>
      </w:r>
    </w:p>
    <w:p w14:paraId="35335858" w14:textId="7139055F" w:rsidR="008E2F6A" w:rsidRPr="00C16A4F" w:rsidRDefault="008E2F6A" w:rsidP="00770FCF">
      <w:pPr>
        <w:pStyle w:val="SingleTxtG"/>
      </w:pPr>
      <w:r w:rsidRPr="00C16A4F">
        <w:t xml:space="preserve">3.3.2.1 </w:t>
      </w:r>
      <w:r w:rsidR="0043229F" w:rsidRPr="00C16A4F">
        <w:t xml:space="preserve">and 3.3.2.2 </w:t>
      </w:r>
      <w:r w:rsidRPr="00C16A4F">
        <w:t>(new)</w:t>
      </w:r>
      <w:r w:rsidRPr="00C16A4F">
        <w:tab/>
        <w:t xml:space="preserve">Insert </w:t>
      </w:r>
      <w:r w:rsidR="0043229F" w:rsidRPr="00C16A4F">
        <w:t xml:space="preserve">two new </w:t>
      </w:r>
      <w:r w:rsidR="00EB1292" w:rsidRPr="00C16A4F">
        <w:t>paragraphs</w:t>
      </w:r>
      <w:r w:rsidR="0043229F" w:rsidRPr="00C16A4F">
        <w:t xml:space="preserve"> </w:t>
      </w:r>
      <w:r w:rsidRPr="00C16A4F">
        <w:t xml:space="preserve">3.3.2.1 </w:t>
      </w:r>
      <w:r w:rsidR="0043229F" w:rsidRPr="00C16A4F">
        <w:t xml:space="preserve">and 3.3.2.2 </w:t>
      </w:r>
      <w:r w:rsidRPr="00C16A4F">
        <w:t>to read as follows:</w:t>
      </w:r>
    </w:p>
    <w:p w14:paraId="312AF4F5" w14:textId="27A3FD3B" w:rsidR="0043229F" w:rsidRPr="00C16A4F" w:rsidRDefault="002A59F5" w:rsidP="00B60E01">
      <w:pPr>
        <w:pStyle w:val="SingleTxtG"/>
        <w:tabs>
          <w:tab w:val="left" w:pos="2268"/>
          <w:tab w:val="left" w:pos="3402"/>
        </w:tabs>
        <w:rPr>
          <w:b/>
          <w:bCs/>
          <w:i/>
          <w:iCs/>
        </w:rPr>
      </w:pPr>
      <w:r w:rsidRPr="00C16A4F">
        <w:t xml:space="preserve"> </w:t>
      </w:r>
      <w:r w:rsidR="0043229F" w:rsidRPr="00C16A4F">
        <w:t>“</w:t>
      </w:r>
      <w:r w:rsidR="0043229F" w:rsidRPr="00C16A4F">
        <w:rPr>
          <w:b/>
          <w:bCs/>
        </w:rPr>
        <w:t>3.3.2.1</w:t>
      </w:r>
      <w:r w:rsidR="0043229F" w:rsidRPr="00C16A4F">
        <w:tab/>
      </w:r>
      <w:r w:rsidR="0043229F" w:rsidRPr="00C16A4F">
        <w:rPr>
          <w:b/>
          <w:bCs/>
          <w:i/>
          <w:iCs/>
        </w:rPr>
        <w:t>Classification based on human data (Tier 1 in Figure 3.3.1)</w:t>
      </w:r>
    </w:p>
    <w:p w14:paraId="1FD52CAF" w14:textId="69B84E5B" w:rsidR="0043229F" w:rsidRPr="00C16A4F" w:rsidRDefault="0043229F" w:rsidP="00B60E01">
      <w:pPr>
        <w:pStyle w:val="SingleTxtG"/>
        <w:tabs>
          <w:tab w:val="left" w:pos="2268"/>
          <w:tab w:val="left" w:pos="3402"/>
        </w:tabs>
      </w:pPr>
      <w:r w:rsidRPr="00C16A4F">
        <w:tab/>
        <w:t>Existing reliable and good quality human data on serious eye damage/eye irritation should be given high weight where relevant for classification (see 3.3.5.3.2) and should be the first line of evaluation, as this gives information directly relevant to effects on the eye.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57E874A0" w14:textId="21C86B5C" w:rsidR="0043229F" w:rsidRPr="00C16A4F" w:rsidRDefault="0043229F" w:rsidP="00B60E01">
      <w:pPr>
        <w:pStyle w:val="StyleGHSHeading410pt"/>
        <w:tabs>
          <w:tab w:val="clear" w:pos="1985"/>
          <w:tab w:val="clear" w:pos="3119"/>
          <w:tab w:val="clear" w:pos="3686"/>
          <w:tab w:val="left" w:pos="2268"/>
          <w:tab w:val="left" w:pos="3402"/>
        </w:tabs>
        <w:ind w:left="1134" w:right="1134"/>
        <w:rPr>
          <w:color w:val="auto"/>
        </w:rPr>
      </w:pPr>
      <w:r w:rsidRPr="00C16A4F">
        <w:rPr>
          <w:color w:val="auto"/>
        </w:rPr>
        <w:t>3.3.2.2</w:t>
      </w:r>
      <w:r w:rsidRPr="00C16A4F">
        <w:rPr>
          <w:color w:val="auto"/>
        </w:rPr>
        <w:tab/>
      </w:r>
      <w:r w:rsidRPr="00C16A4F">
        <w:rPr>
          <w:i/>
          <w:color w:val="auto"/>
        </w:rPr>
        <w:t>Classification based on standard animal data (Tier 1 in Figure 3.3.1)</w:t>
      </w:r>
    </w:p>
    <w:p w14:paraId="4DFF7B34" w14:textId="5EA2F37D" w:rsidR="008E2F6A" w:rsidRPr="00C16A4F" w:rsidRDefault="000F363C" w:rsidP="00B60E01">
      <w:pPr>
        <w:pStyle w:val="SingleTxtG"/>
        <w:tabs>
          <w:tab w:val="left" w:pos="2268"/>
          <w:tab w:val="left" w:pos="3402"/>
        </w:tabs>
      </w:pPr>
      <w:r w:rsidRPr="00C16A4F">
        <w:tab/>
      </w:r>
      <w:r w:rsidR="0043229F" w:rsidRPr="00C16A4F">
        <w:t>OECD Test Guideline 405 is the currently available and internationally accepted animal test method for classification as serious eye damage or eye irritant (see Tables 3.3.1 and 3.3.2, respectively) and is the standard animal test. The current version of OECD Test Guideline 405 uses a maximum of 3 animals. Results from animal studies conducted under previous versions of OECD Test Guideline 405 that used more than 3 animals are also considered standard animal tests when interpreted in accordance with 3.3.5.3.3.”.</w:t>
      </w:r>
    </w:p>
    <w:p w14:paraId="3CB3414B" w14:textId="18960A2C" w:rsidR="00EB1292" w:rsidRPr="00C16A4F" w:rsidRDefault="00EB1292" w:rsidP="00144EF0">
      <w:pPr>
        <w:pStyle w:val="SingleTxtG"/>
        <w:ind w:left="2268" w:hanging="1134"/>
      </w:pPr>
      <w:r w:rsidRPr="00C16A4F">
        <w:t>3.3.2.1.1 to 3.3.2.1.2.3</w:t>
      </w:r>
      <w:r w:rsidRPr="00C16A4F">
        <w:tab/>
        <w:t>Current paragraphs 3.3.2.1.1 to 3.3.2.1.2.3 become new paragraphs 3.3.2.2.1 to 3.3.2.2.2.3.</w:t>
      </w:r>
    </w:p>
    <w:p w14:paraId="01009ACB" w14:textId="2FB0BBAE" w:rsidR="002A59F5" w:rsidRPr="00C16A4F" w:rsidRDefault="00163760" w:rsidP="00144EF0">
      <w:pPr>
        <w:pStyle w:val="SingleTxtG"/>
        <w:tabs>
          <w:tab w:val="left" w:pos="2268"/>
        </w:tabs>
        <w:ind w:left="2268" w:hanging="1134"/>
      </w:pPr>
      <w:r w:rsidRPr="00C16A4F">
        <w:t>Table 3.3.1</w:t>
      </w:r>
      <w:r w:rsidR="00EB1292" w:rsidRPr="00C16A4F">
        <w:tab/>
        <w:t>Delete note “a” and ren</w:t>
      </w:r>
      <w:r w:rsidR="00DC314A" w:rsidRPr="00C16A4F">
        <w:t xml:space="preserve">ame </w:t>
      </w:r>
      <w:r w:rsidR="00EB1292" w:rsidRPr="00C16A4F">
        <w:t xml:space="preserve">current notes “b” and “c” as “a” and “b” respectively. </w:t>
      </w:r>
    </w:p>
    <w:p w14:paraId="7514C916" w14:textId="1E87CA49" w:rsidR="002A59F5" w:rsidRPr="00C16A4F" w:rsidRDefault="002A59F5" w:rsidP="00144EF0">
      <w:pPr>
        <w:pStyle w:val="SingleTxtG"/>
        <w:ind w:left="2268"/>
      </w:pPr>
      <w:r w:rsidRPr="00C16A4F">
        <w:tab/>
        <w:t>In note “b” replace “3.3.5.3” with “3.3.5.3.3”.</w:t>
      </w:r>
    </w:p>
    <w:p w14:paraId="2D228C5D" w14:textId="6378DE66" w:rsidR="00163760" w:rsidRPr="00C16A4F" w:rsidRDefault="00163760" w:rsidP="002C4DDB">
      <w:pPr>
        <w:pStyle w:val="SingleTxtG"/>
        <w:tabs>
          <w:tab w:val="left" w:pos="4253"/>
        </w:tabs>
        <w:ind w:left="2268" w:hanging="1134"/>
      </w:pPr>
      <w:r w:rsidRPr="00C16A4F">
        <w:t>3.3.2.</w:t>
      </w:r>
      <w:r w:rsidR="002A59F5" w:rsidRPr="00C16A4F">
        <w:t>2</w:t>
      </w:r>
      <w:r w:rsidRPr="00C16A4F">
        <w:t>.2</w:t>
      </w:r>
      <w:r w:rsidR="002A59F5" w:rsidRPr="00C16A4F">
        <w:t>.1 (new</w:t>
      </w:r>
      <w:r w:rsidR="007206E4" w:rsidRPr="00C16A4F">
        <w:t>,</w:t>
      </w:r>
      <w:r w:rsidR="002A59F5" w:rsidRPr="00C16A4F">
        <w:t xml:space="preserve"> former 3.3.2.1.2.1)</w:t>
      </w:r>
      <w:r w:rsidR="00144EF0" w:rsidRPr="00C16A4F">
        <w:tab/>
        <w:t xml:space="preserve"> </w:t>
      </w:r>
      <w:r w:rsidR="00965807" w:rsidRPr="00C16A4F">
        <w:t>In the last sentence, r</w:t>
      </w:r>
      <w:r w:rsidRPr="00C16A4F">
        <w:t>eplace “chemical” with “substance</w:t>
      </w:r>
      <w:r w:rsidR="00DC314A" w:rsidRPr="00C16A4F">
        <w:t>”</w:t>
      </w:r>
      <w:r w:rsidR="00965807" w:rsidRPr="00C16A4F">
        <w:t>.</w:t>
      </w:r>
    </w:p>
    <w:p w14:paraId="321F55E0" w14:textId="577AB26E" w:rsidR="00163760" w:rsidRPr="00C16A4F" w:rsidRDefault="00DC314A" w:rsidP="002C4DDB">
      <w:pPr>
        <w:pStyle w:val="SingleTxtG"/>
        <w:tabs>
          <w:tab w:val="left" w:pos="4253"/>
        </w:tabs>
        <w:ind w:left="2268" w:hanging="1134"/>
      </w:pPr>
      <w:r w:rsidRPr="00C16A4F">
        <w:t>3.3.2.2.2.2 (new</w:t>
      </w:r>
      <w:r w:rsidR="007206E4" w:rsidRPr="00C16A4F">
        <w:t>,</w:t>
      </w:r>
      <w:r w:rsidRPr="00C16A4F">
        <w:t xml:space="preserve"> former </w:t>
      </w:r>
      <w:r w:rsidR="00163760" w:rsidRPr="00C16A4F">
        <w:t>3.3.2.1.2.2</w:t>
      </w:r>
      <w:r w:rsidRPr="00C16A4F">
        <w:t>)</w:t>
      </w:r>
      <w:r w:rsidR="00144EF0" w:rsidRPr="00C16A4F">
        <w:t xml:space="preserve"> </w:t>
      </w:r>
      <w:r w:rsidR="00144EF0" w:rsidRPr="00C16A4F">
        <w:tab/>
      </w:r>
      <w:r w:rsidR="00163760" w:rsidRPr="00C16A4F">
        <w:t>Replace “</w:t>
      </w:r>
      <w:r w:rsidRPr="00C16A4F">
        <w:t>c</w:t>
      </w:r>
      <w:r w:rsidR="00163760" w:rsidRPr="00C16A4F">
        <w:t xml:space="preserve">ategories 2A and 2B” with </w:t>
      </w:r>
      <w:r w:rsidRPr="00C16A4F">
        <w:t>“Category 2A and Category 2B”.</w:t>
      </w:r>
    </w:p>
    <w:p w14:paraId="13B689B3" w14:textId="56493EB2" w:rsidR="00DC314A" w:rsidRPr="00C16A4F" w:rsidRDefault="00163760" w:rsidP="00144EF0">
      <w:pPr>
        <w:pStyle w:val="SingleTxtG"/>
        <w:tabs>
          <w:tab w:val="left" w:pos="2268"/>
        </w:tabs>
        <w:ind w:left="2268" w:hanging="1134"/>
      </w:pPr>
      <w:r w:rsidRPr="00C16A4F">
        <w:t>Table 3.3.2</w:t>
      </w:r>
      <w:r w:rsidR="00DC314A" w:rsidRPr="00C16A4F">
        <w:t>:</w:t>
      </w:r>
      <w:r w:rsidR="00DC314A" w:rsidRPr="00C16A4F">
        <w:tab/>
      </w:r>
      <w:r w:rsidR="00144EF0" w:rsidRPr="00C16A4F">
        <w:tab/>
      </w:r>
      <w:r w:rsidR="00DC314A" w:rsidRPr="00C16A4F">
        <w:t xml:space="preserve">Delete note “a” and rename current notes “b” and “c” as “a” and “b” respectively. </w:t>
      </w:r>
    </w:p>
    <w:p w14:paraId="45E575B4" w14:textId="389ED164" w:rsidR="00163760" w:rsidRPr="00C16A4F" w:rsidRDefault="00DC314A" w:rsidP="00144EF0">
      <w:pPr>
        <w:pStyle w:val="SingleTxtG"/>
        <w:ind w:left="2268"/>
      </w:pPr>
      <w:r w:rsidRPr="00C16A4F">
        <w:t>In note “b”, replace “3.3.5.3” with “</w:t>
      </w:r>
      <w:r w:rsidR="00163760" w:rsidRPr="00C16A4F">
        <w:t>3.3.5.3.3.”</w:t>
      </w:r>
      <w:r w:rsidRPr="00C16A4F">
        <w:t>.</w:t>
      </w:r>
    </w:p>
    <w:p w14:paraId="6EF812B4" w14:textId="481F8180" w:rsidR="00163760" w:rsidRPr="00C16A4F" w:rsidRDefault="00163760" w:rsidP="00144EF0">
      <w:pPr>
        <w:pStyle w:val="SingleTxtG"/>
        <w:ind w:left="2268" w:hanging="1134"/>
      </w:pPr>
      <w:r w:rsidRPr="00C16A4F">
        <w:t>3.3.2.2</w:t>
      </w:r>
      <w:r w:rsidR="007206E4" w:rsidRPr="00C16A4F">
        <w:t xml:space="preserve"> and 3.3.2.2.1 </w:t>
      </w:r>
      <w:r w:rsidR="007206E4" w:rsidRPr="00C16A4F">
        <w:tab/>
      </w:r>
      <w:r w:rsidR="007206E4" w:rsidRPr="00C16A4F">
        <w:tab/>
        <w:t>Current paragraphs 3.3.2.2 and 3.3.2.2.1 become new paragraphs 3.3.2.10 and 3.3.2.10.1.</w:t>
      </w:r>
    </w:p>
    <w:p w14:paraId="46C8A10F" w14:textId="6A77CA83" w:rsidR="00163760" w:rsidRPr="00C16A4F" w:rsidRDefault="007206E4" w:rsidP="001E4AEC">
      <w:pPr>
        <w:pStyle w:val="SingleTxtG"/>
        <w:tabs>
          <w:tab w:val="left" w:pos="5670"/>
        </w:tabs>
      </w:pPr>
      <w:r w:rsidRPr="00C16A4F">
        <w:t xml:space="preserve">Delete paragraphs </w:t>
      </w:r>
      <w:r w:rsidR="00163760" w:rsidRPr="00C16A4F">
        <w:t>3.3.2.2.2</w:t>
      </w:r>
      <w:r w:rsidRPr="00C16A4F">
        <w:t xml:space="preserve">; </w:t>
      </w:r>
      <w:r w:rsidR="00163760" w:rsidRPr="00C16A4F">
        <w:t>3.3.2.2.3</w:t>
      </w:r>
      <w:r w:rsidRPr="00C16A4F">
        <w:t xml:space="preserve">, </w:t>
      </w:r>
      <w:r w:rsidR="00163760" w:rsidRPr="00C16A4F">
        <w:t>3.3.2.2.4</w:t>
      </w:r>
      <w:r w:rsidRPr="00C16A4F">
        <w:t xml:space="preserve">, </w:t>
      </w:r>
      <w:r w:rsidR="00163760" w:rsidRPr="00C16A4F">
        <w:t>3.3.2.2.5</w:t>
      </w:r>
      <w:r w:rsidRPr="00C16A4F">
        <w:t xml:space="preserve"> and </w:t>
      </w:r>
      <w:r w:rsidR="00163760" w:rsidRPr="00C16A4F">
        <w:t>3.3.2.2.6</w:t>
      </w:r>
      <w:r w:rsidRPr="00C16A4F">
        <w:t>.</w:t>
      </w:r>
    </w:p>
    <w:p w14:paraId="7E572A6E" w14:textId="0139EE92" w:rsidR="00163760" w:rsidRPr="00C16A4F" w:rsidRDefault="00C71A98" w:rsidP="000465A2">
      <w:pPr>
        <w:pStyle w:val="SingleTxtG"/>
        <w:tabs>
          <w:tab w:val="left" w:pos="2835"/>
          <w:tab w:val="left" w:pos="5670"/>
        </w:tabs>
      </w:pPr>
      <w:r w:rsidRPr="00C16A4F">
        <w:t>3.3.2.3 to 3.3.2.9</w:t>
      </w:r>
      <w:r w:rsidRPr="00C16A4F">
        <w:tab/>
        <w:t xml:space="preserve">Insert the following new paragraphs (and related footnotes 2 and 3) to read as follows: </w:t>
      </w:r>
    </w:p>
    <w:p w14:paraId="38D9950A" w14:textId="2681F649" w:rsidR="00163760" w:rsidRPr="00C16A4F" w:rsidRDefault="00163760" w:rsidP="001E4AEC">
      <w:pPr>
        <w:pStyle w:val="SingleTxtG"/>
        <w:tabs>
          <w:tab w:val="left" w:pos="2268"/>
        </w:tabs>
        <w:rPr>
          <w:b/>
          <w:i/>
        </w:rPr>
      </w:pPr>
      <w:r w:rsidRPr="00C16A4F">
        <w:rPr>
          <w:b/>
        </w:rPr>
        <w:t>“3.3.2.3</w:t>
      </w:r>
      <w:r w:rsidRPr="00C16A4F">
        <w:rPr>
          <w:b/>
        </w:rPr>
        <w:tab/>
      </w:r>
      <w:r w:rsidRPr="00C16A4F">
        <w:rPr>
          <w:b/>
          <w:i/>
        </w:rPr>
        <w:t>Classification based on defined approaches (Tier 2 in Figure</w:t>
      </w:r>
      <w:r w:rsidR="00C71A98" w:rsidRPr="00C16A4F">
        <w:rPr>
          <w:b/>
          <w:i/>
        </w:rPr>
        <w:t> </w:t>
      </w:r>
      <w:r w:rsidRPr="00C16A4F">
        <w:rPr>
          <w:b/>
          <w:i/>
        </w:rPr>
        <w:t>3.3.1)</w:t>
      </w:r>
    </w:p>
    <w:p w14:paraId="7EE9E214" w14:textId="2C414D0A" w:rsidR="00163760" w:rsidRPr="00C16A4F" w:rsidRDefault="000465A2" w:rsidP="001E4AEC">
      <w:pPr>
        <w:pStyle w:val="SingleTxtG"/>
        <w:tabs>
          <w:tab w:val="left" w:pos="2268"/>
          <w:tab w:val="left" w:pos="3402"/>
        </w:tabs>
      </w:pPr>
      <w:r w:rsidRPr="00C16A4F">
        <w:tab/>
      </w:r>
      <w:r w:rsidR="00163760" w:rsidRPr="00C16A4F">
        <w:t xml:space="preserve">Defined approaches consist of a rule-based combination of data obtained from a predefined set of different information sources (e.g. </w:t>
      </w:r>
      <w:r w:rsidR="00163760" w:rsidRPr="00C16A4F">
        <w:rPr>
          <w:i/>
        </w:rPr>
        <w:t xml:space="preserve">in vitro </w:t>
      </w:r>
      <w:r w:rsidR="00163760" w:rsidRPr="00C16A4F">
        <w:t xml:space="preserve">methods, </w:t>
      </w:r>
      <w:r w:rsidR="00163760" w:rsidRPr="00C16A4F">
        <w:rPr>
          <w:i/>
        </w:rPr>
        <w:t>ex vivo</w:t>
      </w:r>
      <w:r w:rsidR="00163760" w:rsidRPr="00C16A4F">
        <w:t xml:space="preserve"> methods, </w:t>
      </w:r>
      <w:proofErr w:type="spellStart"/>
      <w:r w:rsidR="00163760" w:rsidRPr="00C16A4F">
        <w:t>physico</w:t>
      </w:r>
      <w:proofErr w:type="spellEnd"/>
      <w:r w:rsidR="00163760" w:rsidRPr="00C16A4F">
        <w:t>-chemical properties, non-test methods). It is recogni</w:t>
      </w:r>
      <w:r w:rsidR="009B578D" w:rsidRPr="00C16A4F">
        <w:t>z</w:t>
      </w:r>
      <w:r w:rsidR="00163760" w:rsidRPr="00C16A4F">
        <w:t xml:space="preserve">ed that most single </w:t>
      </w:r>
      <w:r w:rsidR="00163760" w:rsidRPr="00C16A4F">
        <w:rPr>
          <w:i/>
        </w:rPr>
        <w:t>in vitro</w:t>
      </w:r>
      <w:r w:rsidR="00163760" w:rsidRPr="00C16A4F">
        <w:t>/</w:t>
      </w:r>
      <w:r w:rsidR="00163760" w:rsidRPr="00C16A4F">
        <w:rPr>
          <w:i/>
        </w:rPr>
        <w:t>ex vivo</w:t>
      </w:r>
      <w:r w:rsidR="00163760" w:rsidRPr="00C16A4F">
        <w:t xml:space="preserve"> methods are not able to replace </w:t>
      </w:r>
      <w:r w:rsidR="00163760" w:rsidRPr="00C16A4F">
        <w:rPr>
          <w:i/>
        </w:rPr>
        <w:t>in vivo</w:t>
      </w:r>
      <w:r w:rsidR="00163760" w:rsidRPr="00C16A4F">
        <w:t xml:space="preserve"> methods fully for most regulatory endpoints. Thus, defined approaches can be useful strategies of combining data for classifying substances and mixtures. Results obtained with a defined approach validated according to international procedures, such as an OECD defined approach guideline or an equivalent approach, is conclusive for classification for serious eye damage/eye irritation if the criteria of the defined approach are fulfilled (see 3.3.5.3.4)</w:t>
      </w:r>
      <w:r w:rsidR="00C71A98" w:rsidRPr="00C16A4F">
        <w:rPr>
          <w:vertAlign w:val="superscript"/>
        </w:rPr>
        <w:t>2</w:t>
      </w:r>
      <w:r w:rsidR="00163760" w:rsidRPr="00C16A4F">
        <w:t xml:space="preserve">.  </w:t>
      </w:r>
      <w:r w:rsidR="00163760" w:rsidRPr="00C16A4F">
        <w:rPr>
          <w:iCs/>
        </w:rPr>
        <w:t>D</w:t>
      </w:r>
      <w:r w:rsidR="00163760" w:rsidRPr="00C16A4F">
        <w:t>ata from a defined approach can only be used for classification when the tested substance is within the applicability domain of the defined approach used. Additional limitations described in the published literature should also be taken into consideration.</w:t>
      </w:r>
    </w:p>
    <w:p w14:paraId="7FBDAE1E" w14:textId="41C50604" w:rsidR="00163760" w:rsidRPr="00C16A4F" w:rsidRDefault="00163760" w:rsidP="001E4AEC">
      <w:pPr>
        <w:pStyle w:val="SingleTxtG"/>
        <w:tabs>
          <w:tab w:val="left" w:pos="2268"/>
          <w:tab w:val="left" w:pos="2835"/>
          <w:tab w:val="left" w:pos="3402"/>
        </w:tabs>
        <w:rPr>
          <w:b/>
          <w:i/>
        </w:rPr>
      </w:pPr>
      <w:r w:rsidRPr="00C16A4F">
        <w:rPr>
          <w:b/>
        </w:rPr>
        <w:t>3.3.2.4</w:t>
      </w:r>
      <w:r w:rsidRPr="00C16A4F">
        <w:rPr>
          <w:b/>
        </w:rPr>
        <w:tab/>
      </w:r>
      <w:r w:rsidRPr="00C16A4F">
        <w:rPr>
          <w:b/>
          <w:i/>
        </w:rPr>
        <w:t>Classification based on in vitro/ex vivo data (Tier 2 in Figure</w:t>
      </w:r>
      <w:r w:rsidR="00C71A98" w:rsidRPr="00C16A4F">
        <w:rPr>
          <w:b/>
          <w:i/>
        </w:rPr>
        <w:t> </w:t>
      </w:r>
      <w:r w:rsidRPr="00C16A4F">
        <w:rPr>
          <w:b/>
          <w:i/>
        </w:rPr>
        <w:t>3.3.1)</w:t>
      </w:r>
    </w:p>
    <w:p w14:paraId="2DB57A22" w14:textId="77777777" w:rsidR="00163760" w:rsidRPr="00C16A4F" w:rsidRDefault="00163760" w:rsidP="001E4AEC">
      <w:pPr>
        <w:pStyle w:val="SingleTxtG"/>
        <w:tabs>
          <w:tab w:val="left" w:pos="2268"/>
          <w:tab w:val="left" w:pos="3402"/>
        </w:tabs>
      </w:pPr>
      <w:r w:rsidRPr="00C16A4F">
        <w:t>3.3.2.4.1</w:t>
      </w:r>
      <w:r w:rsidRPr="00C16A4F">
        <w:tab/>
        <w:t xml:space="preserve">The classification criteria for the currently available </w:t>
      </w:r>
      <w:r w:rsidRPr="00C16A4F">
        <w:rPr>
          <w:i/>
        </w:rPr>
        <w:t>in vitro</w:t>
      </w:r>
      <w:r w:rsidRPr="00C16A4F">
        <w:t>/</w:t>
      </w:r>
      <w:r w:rsidRPr="00C16A4F">
        <w:rPr>
          <w:i/>
        </w:rPr>
        <w:t>ex vivo</w:t>
      </w:r>
      <w:r w:rsidRPr="00C16A4F">
        <w:t xml:space="preserve"> test methods adopted by the OECD in test guidelines 437, 438, 460, 491, 492, 494 and 496 are described in Table 3.3.6 (see 3.3.5.3.5.1). When considered individually, these </w:t>
      </w:r>
      <w:r w:rsidRPr="00C16A4F">
        <w:rPr>
          <w:i/>
          <w:iCs/>
        </w:rPr>
        <w:t xml:space="preserve">in vitro/ex vivo </w:t>
      </w:r>
      <w:r w:rsidRPr="00C16A4F">
        <w:t xml:space="preserve">OECD test guidelines address serious eye damage and/or no classification for eye hazard, but do not address eye irritation. Therefore, data from a single </w:t>
      </w:r>
      <w:r w:rsidRPr="00C16A4F">
        <w:rPr>
          <w:i/>
          <w:iCs/>
        </w:rPr>
        <w:t xml:space="preserve">in vitro/ex vivo </w:t>
      </w:r>
      <w:r w:rsidRPr="00C16A4F">
        <w:rPr>
          <w:iCs/>
        </w:rPr>
        <w:t>OECD test guideline</w:t>
      </w:r>
      <w:r w:rsidRPr="00C16A4F">
        <w:t xml:space="preserve"> can only be used to conclude on either classification in Category 1 or no classification and cannot be used to conclude on classification in Category 2. When the result of a single </w:t>
      </w:r>
      <w:r w:rsidRPr="00C16A4F">
        <w:rPr>
          <w:i/>
        </w:rPr>
        <w:t>in vitro</w:t>
      </w:r>
      <w:r w:rsidRPr="00C16A4F">
        <w:t>/</w:t>
      </w:r>
      <w:r w:rsidRPr="00C16A4F">
        <w:rPr>
          <w:i/>
        </w:rPr>
        <w:t>ex vivo</w:t>
      </w:r>
      <w:r w:rsidRPr="00C16A4F">
        <w:t xml:space="preserve"> method is “no stand-alone prediction can be made” (e.g. see Table 3.3.6), a conclusion cannot be drawn on the basis of that single result and further data are necessary for classification (see 3.3.5.3.4.3 and 3.3.5.3.4.4).</w:t>
      </w:r>
    </w:p>
    <w:p w14:paraId="7AB5AFC7" w14:textId="77777777" w:rsidR="00163760" w:rsidRPr="00C16A4F" w:rsidRDefault="00163760" w:rsidP="001E4AEC">
      <w:pPr>
        <w:pStyle w:val="SingleTxtG"/>
        <w:tabs>
          <w:tab w:val="left" w:pos="2268"/>
        </w:tabs>
      </w:pPr>
      <w:r w:rsidRPr="00C16A4F">
        <w:t>3.3.2.4.2</w:t>
      </w:r>
      <w:r w:rsidRPr="00C16A4F">
        <w:tab/>
        <w:t xml:space="preserve">Other validated </w:t>
      </w:r>
      <w:r w:rsidRPr="00C16A4F">
        <w:rPr>
          <w:i/>
          <w:iCs/>
        </w:rPr>
        <w:t xml:space="preserve">in vitro/ex vivo </w:t>
      </w:r>
      <w:r w:rsidRPr="00C16A4F">
        <w:t xml:space="preserve">test methods accepted by some competent authorities are described in 3.3.5.3.5.2. Some of these </w:t>
      </w:r>
      <w:r w:rsidRPr="00C16A4F">
        <w:rPr>
          <w:i/>
          <w:iCs/>
        </w:rPr>
        <w:t xml:space="preserve">in vitro/ex vivo </w:t>
      </w:r>
      <w:r w:rsidRPr="00C16A4F">
        <w:t>test methods may be useful to classify in Category 2. A competent authority may decide which classification criteria, if any, should be applied for these test methods to conclude on classification, including that a substance is not classified for effects on the eye.</w:t>
      </w:r>
    </w:p>
    <w:p w14:paraId="5F68F9AE" w14:textId="77777777" w:rsidR="00163760" w:rsidRPr="00C16A4F" w:rsidRDefault="00163760" w:rsidP="001E4AEC">
      <w:pPr>
        <w:pStyle w:val="SingleTxtG"/>
        <w:tabs>
          <w:tab w:val="left" w:pos="2268"/>
        </w:tabs>
      </w:pPr>
      <w:r w:rsidRPr="00C16A4F">
        <w:t>3.3.2.4.3</w:t>
      </w:r>
      <w:r w:rsidRPr="00C16A4F">
        <w:tab/>
      </w:r>
      <w:r w:rsidRPr="00C16A4F">
        <w:rPr>
          <w:i/>
          <w:iCs/>
        </w:rPr>
        <w:t xml:space="preserve">In vitro/ex vivo </w:t>
      </w:r>
      <w:r w:rsidRPr="00C16A4F">
        <w:t>data can only be used for classification when the tested substance is within the applicability domain of the test method(s) used. Additional limitations described in the published literature should also be taken into consideration.</w:t>
      </w:r>
    </w:p>
    <w:p w14:paraId="719867C3" w14:textId="77777777" w:rsidR="00163760" w:rsidRPr="00C16A4F" w:rsidRDefault="00163760" w:rsidP="000465A2">
      <w:pPr>
        <w:pStyle w:val="SingleTxtG"/>
        <w:keepNext/>
        <w:keepLines/>
        <w:tabs>
          <w:tab w:val="left" w:pos="2268"/>
        </w:tabs>
      </w:pPr>
      <w:r w:rsidRPr="00C16A4F">
        <w:t>3.3.2.4.4</w:t>
      </w:r>
      <w:r w:rsidRPr="00C16A4F">
        <w:tab/>
      </w:r>
      <w:r w:rsidRPr="00C16A4F">
        <w:rPr>
          <w:i/>
          <w:iCs/>
        </w:rPr>
        <w:t>Serious eye damage (Category 1)/Irreversible effects on the eye</w:t>
      </w:r>
    </w:p>
    <w:p w14:paraId="46E62157" w14:textId="26829131" w:rsidR="00163760" w:rsidRPr="00C16A4F" w:rsidRDefault="00163760" w:rsidP="000465A2">
      <w:pPr>
        <w:pStyle w:val="SingleTxtG"/>
        <w:keepNext/>
        <w:keepLines/>
        <w:tabs>
          <w:tab w:val="left" w:pos="2268"/>
        </w:tabs>
      </w:pPr>
      <w:r w:rsidRPr="00C16A4F">
        <w:t>3.3.2.4.4.1</w:t>
      </w:r>
      <w:r w:rsidRPr="00C16A4F">
        <w:tab/>
        <w:t>Where tests have been undertaken in accordance with OECD test guidelines 437, 438, 460, 491 and/or 496, a substance is classified for serious eye damage in Category</w:t>
      </w:r>
      <w:r w:rsidR="000465A2" w:rsidRPr="00C16A4F">
        <w:t> </w:t>
      </w:r>
      <w:r w:rsidRPr="00C16A4F">
        <w:t>1 based on the criteria in Table 3.3.6 (see 3.3.5.3.5.1).</w:t>
      </w:r>
    </w:p>
    <w:p w14:paraId="78CBE389" w14:textId="77777777" w:rsidR="00163760" w:rsidRPr="00C16A4F" w:rsidRDefault="00163760" w:rsidP="001E4AEC">
      <w:pPr>
        <w:pStyle w:val="SingleTxtG"/>
        <w:tabs>
          <w:tab w:val="left" w:pos="2268"/>
        </w:tabs>
      </w:pPr>
      <w:r w:rsidRPr="00C16A4F">
        <w:t>3.3.2.4.4.2</w:t>
      </w:r>
      <w:r w:rsidRPr="00C16A4F">
        <w:tab/>
        <w:t xml:space="preserve">Although the currently available OECD </w:t>
      </w:r>
      <w:r w:rsidRPr="00C16A4F">
        <w:rPr>
          <w:i/>
        </w:rPr>
        <w:t>in vitro</w:t>
      </w:r>
      <w:r w:rsidRPr="00C16A4F">
        <w:t>/</w:t>
      </w:r>
      <w:r w:rsidRPr="00C16A4F">
        <w:rPr>
          <w:i/>
        </w:rPr>
        <w:t>ex vivo</w:t>
      </w:r>
      <w:r w:rsidRPr="00C16A4F">
        <w:t xml:space="preserve"> test guidelines and equivalent methods have not been developed to identify substances inducing discolouration of the eye, some comparable effects may be observed in these tests. Therefore, where, after washing, discolouration of the cornea or of the tested cells compared to the control is observed in OECD Test Guideline 437, 438, 492 or 494, or in other equivalent methods, suggesting a permanent effect, a competent authority may require classification of a substance for serious eye damage in Category 1.</w:t>
      </w:r>
    </w:p>
    <w:p w14:paraId="29E8C14B" w14:textId="77777777" w:rsidR="00163760" w:rsidRPr="00C16A4F" w:rsidRDefault="00163760" w:rsidP="001E4AEC">
      <w:pPr>
        <w:pStyle w:val="SingleTxtG"/>
        <w:tabs>
          <w:tab w:val="left" w:pos="2268"/>
        </w:tabs>
        <w:rPr>
          <w:bCs/>
        </w:rPr>
      </w:pPr>
      <w:r w:rsidRPr="00C16A4F">
        <w:rPr>
          <w:bCs/>
        </w:rPr>
        <w:t>3.3.2.4.5</w:t>
      </w:r>
      <w:r w:rsidRPr="00C16A4F">
        <w:rPr>
          <w:bCs/>
        </w:rPr>
        <w:tab/>
      </w:r>
      <w:r w:rsidRPr="00C16A4F">
        <w:rPr>
          <w:bCs/>
          <w:i/>
        </w:rPr>
        <w:t>Eye irritation (Category 2)/Reversible effects on the eye</w:t>
      </w:r>
      <w:r w:rsidRPr="00C16A4F">
        <w:rPr>
          <w:bCs/>
        </w:rPr>
        <w:t xml:space="preserve"> </w:t>
      </w:r>
    </w:p>
    <w:p w14:paraId="614C3475" w14:textId="22DB717C" w:rsidR="00163760" w:rsidRPr="00C16A4F" w:rsidRDefault="00163760" w:rsidP="001E4AEC">
      <w:pPr>
        <w:pStyle w:val="SingleTxtG"/>
        <w:tabs>
          <w:tab w:val="left" w:pos="2268"/>
        </w:tabs>
      </w:pPr>
      <w:bookmarkStart w:id="6" w:name="_Hlk25673670"/>
      <w:r w:rsidRPr="00C16A4F">
        <w:rPr>
          <w:rStyle w:val="Funotenzeichen2"/>
          <w:vertAlign w:val="baseline"/>
        </w:rPr>
        <w:t>3.3.2.4.5.1</w:t>
      </w:r>
      <w:bookmarkEnd w:id="6"/>
      <w:r w:rsidRPr="00C16A4F">
        <w:rPr>
          <w:rStyle w:val="Funotenzeichen2"/>
        </w:rPr>
        <w:tab/>
      </w:r>
      <w:r w:rsidRPr="00C16A4F">
        <w:t xml:space="preserve">A positive result in an </w:t>
      </w:r>
      <w:r w:rsidRPr="00C16A4F">
        <w:rPr>
          <w:i/>
        </w:rPr>
        <w:t>in vitro</w:t>
      </w:r>
      <w:r w:rsidRPr="00C16A4F">
        <w:t>/</w:t>
      </w:r>
      <w:r w:rsidRPr="00C16A4F">
        <w:rPr>
          <w:i/>
        </w:rPr>
        <w:t>ex vivo</w:t>
      </w:r>
      <w:r w:rsidRPr="00C16A4F">
        <w:t xml:space="preserve"> test method that is validated according to international procedures for identification of substances inducing eye irritation can be used to classify for eye irritation in Category</w:t>
      </w:r>
      <w:r w:rsidR="00DB0A71" w:rsidRPr="00C16A4F">
        <w:t> </w:t>
      </w:r>
      <w:r w:rsidRPr="00C16A4F">
        <w:t>2/2A</w:t>
      </w:r>
      <w:r w:rsidR="00C71A98" w:rsidRPr="00C16A4F">
        <w:rPr>
          <w:vertAlign w:val="superscript"/>
        </w:rPr>
        <w:t>3</w:t>
      </w:r>
      <w:r w:rsidRPr="00C16A4F">
        <w:t>.</w:t>
      </w:r>
    </w:p>
    <w:p w14:paraId="03B22910" w14:textId="041E1E6D" w:rsidR="00163760" w:rsidRPr="00C16A4F" w:rsidRDefault="00163760" w:rsidP="001E4AEC">
      <w:pPr>
        <w:pStyle w:val="SingleTxtG"/>
        <w:tabs>
          <w:tab w:val="left" w:pos="2268"/>
        </w:tabs>
      </w:pPr>
      <w:r w:rsidRPr="00C16A4F">
        <w:t>3.3.2.4.5.2</w:t>
      </w:r>
      <w:r w:rsidRPr="00C16A4F">
        <w:tab/>
        <w:t xml:space="preserve">Where competent authorities adopt Category 2A and Category 2B, it is important to note that the currently validated </w:t>
      </w:r>
      <w:r w:rsidRPr="00C16A4F">
        <w:rPr>
          <w:i/>
          <w:iCs/>
        </w:rPr>
        <w:t xml:space="preserve">in vitro/ex vivo </w:t>
      </w:r>
      <w:r w:rsidRPr="00C16A4F">
        <w:t>test methods for effects on the eye do not allow discrimination between these two categories. In this situation, if the criteria for classification in Category 2 have been considered fulfilled, and no other relevant information is available, classification in Category 2/2A should be applied.</w:t>
      </w:r>
    </w:p>
    <w:p w14:paraId="31016A9F" w14:textId="77777777" w:rsidR="00163760" w:rsidRPr="00C16A4F" w:rsidRDefault="00163760" w:rsidP="001E4AEC">
      <w:pPr>
        <w:pStyle w:val="SingleTxtG"/>
        <w:tabs>
          <w:tab w:val="left" w:pos="2268"/>
        </w:tabs>
      </w:pPr>
      <w:r w:rsidRPr="00C16A4F">
        <w:t>3.3.2.4.6</w:t>
      </w:r>
      <w:r w:rsidRPr="00C16A4F">
        <w:tab/>
      </w:r>
      <w:r w:rsidRPr="00C16A4F">
        <w:rPr>
          <w:bCs/>
          <w:i/>
          <w:lang w:eastAsia="fr-FR"/>
        </w:rPr>
        <w:t>No classification for effects on the eye</w:t>
      </w:r>
    </w:p>
    <w:p w14:paraId="007B070D" w14:textId="4E467FC5" w:rsidR="00163760" w:rsidRPr="00C16A4F" w:rsidRDefault="000465A2" w:rsidP="001E4AEC">
      <w:pPr>
        <w:pStyle w:val="SingleTxtG"/>
        <w:tabs>
          <w:tab w:val="left" w:pos="2268"/>
          <w:tab w:val="left" w:pos="3402"/>
        </w:tabs>
      </w:pPr>
      <w:r w:rsidRPr="00C16A4F">
        <w:tab/>
      </w:r>
      <w:r w:rsidR="00163760" w:rsidRPr="00C16A4F">
        <w:t>OECD test guidelines 437, 438, 491, 492, 494 and 496 (see Table 3.3.6 in</w:t>
      </w:r>
      <w:r w:rsidR="002C4DDB" w:rsidRPr="00C16A4F">
        <w:t> </w:t>
      </w:r>
      <w:r w:rsidR="00163760" w:rsidRPr="00C16A4F">
        <w:t>3.3.5.3.5.1) can be used to conclude that a substance is not classified for effects on the eye.</w:t>
      </w:r>
    </w:p>
    <w:p w14:paraId="020E8751" w14:textId="31177D16" w:rsidR="00163760" w:rsidRPr="00C16A4F" w:rsidRDefault="00163760" w:rsidP="001E4AEC">
      <w:pPr>
        <w:pStyle w:val="SingleTxtG"/>
        <w:tabs>
          <w:tab w:val="left" w:pos="2268"/>
        </w:tabs>
      </w:pPr>
      <w:r w:rsidRPr="00C16A4F">
        <w:rPr>
          <w:b/>
          <w:bCs/>
        </w:rPr>
        <w:t>3.3.2.5</w:t>
      </w:r>
      <w:r w:rsidRPr="00C16A4F">
        <w:rPr>
          <w:b/>
          <w:bCs/>
        </w:rPr>
        <w:tab/>
      </w:r>
      <w:r w:rsidRPr="00C16A4F">
        <w:rPr>
          <w:b/>
          <w:bCs/>
        </w:rPr>
        <w:tab/>
      </w:r>
      <w:r w:rsidRPr="00C16A4F">
        <w:rPr>
          <w:b/>
          <w:bCs/>
          <w:i/>
          <w:iCs/>
        </w:rPr>
        <w:t>Classification based on conclusive human data, standard animal data or in vitro/ex vivo data for skin corrosion (Tier 3 in Figure 3.3.1)</w:t>
      </w:r>
    </w:p>
    <w:p w14:paraId="311F32C6" w14:textId="07EFC961" w:rsidR="00163760" w:rsidRPr="00C16A4F" w:rsidRDefault="000465A2" w:rsidP="001E4AEC">
      <w:pPr>
        <w:pStyle w:val="SingleTxtG"/>
        <w:tabs>
          <w:tab w:val="left" w:pos="2268"/>
          <w:tab w:val="left" w:pos="3402"/>
        </w:tabs>
      </w:pPr>
      <w:r w:rsidRPr="00C16A4F">
        <w:tab/>
      </w:r>
      <w:r w:rsidR="00163760" w:rsidRPr="00C16A4F">
        <w:t xml:space="preserve">Substances classified as corrosive to skin (skin Category 1) based on conclusive human data, standard animal data or </w:t>
      </w:r>
      <w:r w:rsidR="00163760" w:rsidRPr="00C16A4F">
        <w:rPr>
          <w:i/>
        </w:rPr>
        <w:t>in vitro</w:t>
      </w:r>
      <w:r w:rsidR="00163760" w:rsidRPr="00C16A4F">
        <w:t>/</w:t>
      </w:r>
      <w:r w:rsidR="00163760" w:rsidRPr="00C16A4F">
        <w:rPr>
          <w:i/>
        </w:rPr>
        <w:t>ex vivo</w:t>
      </w:r>
      <w:r w:rsidR="00163760" w:rsidRPr="00C16A4F">
        <w:t xml:space="preserve"> data for skin corrosion according to the criteria in Chapter 3.2 are also deemed as inducing serious eye damage (eye Category 1). </w:t>
      </w:r>
      <w:r w:rsidR="00163760" w:rsidRPr="00C16A4F" w:rsidDel="00FE1441">
        <w:t>Skin irritation (</w:t>
      </w:r>
      <w:r w:rsidR="00163760" w:rsidRPr="00C16A4F">
        <w:t xml:space="preserve">skin </w:t>
      </w:r>
      <w:r w:rsidR="00163760" w:rsidRPr="00C16A4F" w:rsidDel="00FE1441">
        <w:t>Category 2), mild skin irritation (</w:t>
      </w:r>
      <w:r w:rsidR="00163760" w:rsidRPr="00C16A4F">
        <w:t xml:space="preserve">skin </w:t>
      </w:r>
      <w:r w:rsidR="00163760" w:rsidRPr="00C16A4F" w:rsidDel="00FE1441">
        <w:t xml:space="preserve">Category 3) and no classification for skin irritation, as well as human patch data (as described in Chapter 3.2), cannot be used alone to conclude </w:t>
      </w:r>
      <w:r w:rsidR="00163760" w:rsidRPr="00C16A4F">
        <w:t xml:space="preserve">on </w:t>
      </w:r>
      <w:r w:rsidR="00163760" w:rsidRPr="00C16A4F" w:rsidDel="00FE1441">
        <w:t xml:space="preserve">eye irritation or no classification for effects on the eye, but may be considered in an overall weight of evidence </w:t>
      </w:r>
      <w:r w:rsidR="00163760" w:rsidRPr="00C16A4F">
        <w:t xml:space="preserve">assessment. </w:t>
      </w:r>
    </w:p>
    <w:p w14:paraId="2DF2ACA1" w14:textId="653DB426" w:rsidR="00163760" w:rsidRPr="00C16A4F" w:rsidRDefault="00163760" w:rsidP="001E4AEC">
      <w:pPr>
        <w:pStyle w:val="SingleTxtG"/>
        <w:tabs>
          <w:tab w:val="left" w:pos="2268"/>
          <w:tab w:val="left" w:pos="3402"/>
        </w:tabs>
      </w:pPr>
      <w:r w:rsidRPr="00C16A4F">
        <w:rPr>
          <w:b/>
          <w:bCs/>
        </w:rPr>
        <w:t>3.3.2.6</w:t>
      </w:r>
      <w:r w:rsidRPr="00C16A4F">
        <w:rPr>
          <w:b/>
          <w:bCs/>
        </w:rPr>
        <w:tab/>
      </w:r>
      <w:r w:rsidRPr="00C16A4F">
        <w:rPr>
          <w:b/>
          <w:bCs/>
          <w:i/>
          <w:iCs/>
        </w:rPr>
        <w:t>Classification based on other existing animal skin or eye data (Tier 4 in Figure 3.3.1)</w:t>
      </w:r>
    </w:p>
    <w:p w14:paraId="046A1ECB" w14:textId="77777777" w:rsidR="00163760" w:rsidRPr="00C16A4F" w:rsidRDefault="00163760" w:rsidP="001E4AEC">
      <w:pPr>
        <w:pStyle w:val="SingleTxtG"/>
        <w:tabs>
          <w:tab w:val="left" w:pos="2268"/>
          <w:tab w:val="left" w:pos="3402"/>
        </w:tabs>
      </w:pPr>
      <w:r w:rsidRPr="00C16A4F">
        <w:tab/>
        <w:t>Other existing skin or eye data in animals may be used for classification, but there may be limitations regarding the conclusions that can be drawn (see 3.3.5.3.6). Substances classified as corrosive to skin (skin Category 1) based on other existing skin data according to the criteria in Chapter 3.2 are also deemed as inducing serious eye damage (eye Category 1). Other existing skin data leading to classification in skin Category 2, 3 or no classification, cannot be used alone to conclude on eye irritation or no classification for effects on the eye, but may be considered in an overall weight of evidence assessment.”</w:t>
      </w:r>
    </w:p>
    <w:p w14:paraId="0FB1E5D3" w14:textId="4AE8EFA0" w:rsidR="00163760" w:rsidRPr="00C16A4F" w:rsidRDefault="00163760" w:rsidP="001E4AEC">
      <w:pPr>
        <w:pStyle w:val="SingleTxtG"/>
        <w:tabs>
          <w:tab w:val="left" w:pos="2268"/>
          <w:tab w:val="left" w:pos="3402"/>
        </w:tabs>
      </w:pPr>
      <w:r w:rsidRPr="00C16A4F">
        <w:rPr>
          <w:b/>
          <w:bCs/>
        </w:rPr>
        <w:t>3.3.2.7</w:t>
      </w:r>
      <w:r w:rsidRPr="00C16A4F">
        <w:rPr>
          <w:b/>
          <w:bCs/>
        </w:rPr>
        <w:tab/>
      </w:r>
      <w:r w:rsidRPr="00C16A4F">
        <w:rPr>
          <w:b/>
          <w:bCs/>
          <w:i/>
          <w:iCs/>
        </w:rPr>
        <w:t>Classification based on extreme pH (pH ≤ 2 or ≥ 11.5) and acid/alkaline reserve (Tier 5 in Figure 3.3.1)</w:t>
      </w:r>
    </w:p>
    <w:p w14:paraId="13C48744" w14:textId="45D39019" w:rsidR="00163760" w:rsidRPr="00C16A4F" w:rsidRDefault="00A03638" w:rsidP="001E4AEC">
      <w:pPr>
        <w:pStyle w:val="SingleTxtG"/>
        <w:tabs>
          <w:tab w:val="left" w:pos="2268"/>
          <w:tab w:val="left" w:pos="3402"/>
        </w:tabs>
      </w:pPr>
      <w:r w:rsidRPr="00C16A4F">
        <w:tab/>
      </w:r>
      <w:r w:rsidR="00770FCF" w:rsidRPr="00C16A4F">
        <w:t>I</w:t>
      </w:r>
      <w:r w:rsidR="00163760" w:rsidRPr="00C16A4F">
        <w:t xml:space="preserve">n general, substances with an extreme pH (pH ≤ 2 or ≥ 11.5) are expected to cause significant eye effects, especially when associated with significant acid/alkaline reserve. </w:t>
      </w:r>
      <w:r w:rsidR="00163760" w:rsidRPr="00C16A4F">
        <w:rPr>
          <w:iCs/>
        </w:rPr>
        <w:t xml:space="preserve">A </w:t>
      </w:r>
      <w:r w:rsidR="00163760" w:rsidRPr="00C16A4F">
        <w:t xml:space="preserve">substance with pH ≤ 2 or ≥ 11.5 is therefore considered to cause serious eye damage (Category 1) in this </w:t>
      </w:r>
      <w:r w:rsidR="007C6D20" w:rsidRPr="00C16A4F">
        <w:t>t</w:t>
      </w:r>
      <w:r w:rsidR="00163760" w:rsidRPr="00C16A4F">
        <w:t xml:space="preserve">ier if it has a significant acid/alkaline reserve or if no data for acid/alkaline reserve are available. However, if consideration of acid/alkaline reserve suggests the substance may not cause serious eye damage despite the extreme pH value, the result is considered inconclusive within this </w:t>
      </w:r>
      <w:r w:rsidR="00286E0D" w:rsidRPr="00C16A4F">
        <w:t xml:space="preserve">tier </w:t>
      </w:r>
      <w:r w:rsidR="00163760" w:rsidRPr="00C16A4F">
        <w:t>(see Figure 3.3.1).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can be applied.</w:t>
      </w:r>
    </w:p>
    <w:p w14:paraId="4549D523" w14:textId="7D3A5003" w:rsidR="00163760" w:rsidRPr="00C16A4F" w:rsidRDefault="00163760" w:rsidP="001E4AEC">
      <w:pPr>
        <w:pStyle w:val="SingleTxtG"/>
        <w:tabs>
          <w:tab w:val="left" w:pos="2268"/>
          <w:tab w:val="left" w:pos="3402"/>
        </w:tabs>
      </w:pPr>
      <w:r w:rsidRPr="00C16A4F">
        <w:rPr>
          <w:b/>
          <w:bCs/>
        </w:rPr>
        <w:t>3.3.2.8</w:t>
      </w:r>
      <w:r w:rsidRPr="00C16A4F">
        <w:rPr>
          <w:b/>
          <w:bCs/>
        </w:rPr>
        <w:tab/>
      </w:r>
      <w:r w:rsidRPr="00C16A4F">
        <w:rPr>
          <w:b/>
          <w:bCs/>
          <w:i/>
          <w:iCs/>
        </w:rPr>
        <w:t>Classification based on non-test methods for serious eye damage/eye irritation or for skin corrosion (Tier 6 in Figure 3.3.1)</w:t>
      </w:r>
    </w:p>
    <w:p w14:paraId="76FF116A" w14:textId="77777777" w:rsidR="00163760" w:rsidRPr="00C16A4F" w:rsidRDefault="00163760" w:rsidP="001E4AEC">
      <w:pPr>
        <w:pStyle w:val="SingleTxtG"/>
        <w:tabs>
          <w:tab w:val="left" w:pos="2268"/>
          <w:tab w:val="left" w:pos="3402"/>
        </w:tabs>
      </w:pPr>
      <w:r w:rsidRPr="00C16A4F">
        <w:t>3.3.2.8.1</w:t>
      </w:r>
      <w:r w:rsidRPr="00C16A4F">
        <w:tab/>
        <w:t>Classification, including the conclusion not classified, can be based on non-test methods, with due consideration of reliability and applicability, on a case-by-case basis. Such methods include computer models predicting qualitative structure-activity relationships (structural alerts, SAR) or quantitative structure-activity relationships (QSARs), computer expert systems, and read-across using analogue and category approaches.</w:t>
      </w:r>
    </w:p>
    <w:p w14:paraId="2B346898" w14:textId="77777777" w:rsidR="00163760" w:rsidRPr="00C16A4F" w:rsidRDefault="00163760" w:rsidP="001E4AEC">
      <w:pPr>
        <w:pStyle w:val="SingleTxtG"/>
        <w:tabs>
          <w:tab w:val="left" w:pos="2268"/>
          <w:tab w:val="left" w:pos="3402"/>
        </w:tabs>
      </w:pPr>
      <w:r w:rsidRPr="00C16A4F">
        <w:t>3.3.2.8.2</w:t>
      </w:r>
      <w:r w:rsidRPr="00C16A4F">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71030D99" w14:textId="74628EE6" w:rsidR="00163760" w:rsidRPr="00C16A4F" w:rsidRDefault="00163760" w:rsidP="001E4AEC">
      <w:pPr>
        <w:pStyle w:val="SingleTxtG"/>
        <w:tabs>
          <w:tab w:val="left" w:pos="2268"/>
          <w:tab w:val="left" w:pos="3402"/>
        </w:tabs>
      </w:pPr>
      <w:r w:rsidRPr="00C16A4F">
        <w:t>3.3.2.8.3</w:t>
      </w:r>
      <w:r w:rsidRPr="00C16A4F">
        <w:tab/>
        <w:t>Classification based on (Q)SARs requires sufficient data and validation of the model. The validity of the computer models and the prediction should be assessed using internationally recogni</w:t>
      </w:r>
      <w:r w:rsidR="009B578D" w:rsidRPr="00C16A4F">
        <w:t>z</w:t>
      </w:r>
      <w:r w:rsidRPr="00C16A4F">
        <w:t>ed principles for the validation of (Q)SARs. With respect to reliability, lack of alerts in a SAR or expert system is not sufficient evidence for no classification.</w:t>
      </w:r>
    </w:p>
    <w:p w14:paraId="7BCE99E7" w14:textId="77777777" w:rsidR="00163760" w:rsidRPr="00C16A4F" w:rsidRDefault="00163760" w:rsidP="001E4AEC">
      <w:pPr>
        <w:pStyle w:val="SingleTxtG"/>
        <w:tabs>
          <w:tab w:val="left" w:pos="2268"/>
          <w:tab w:val="left" w:pos="3402"/>
        </w:tabs>
      </w:pPr>
      <w:r w:rsidRPr="00C16A4F">
        <w:t>3.3.2.8.4</w:t>
      </w:r>
      <w:r w:rsidRPr="00C16A4F">
        <w:tab/>
        <w:t>Conclusive non-test data for skin corrosion may be used for classification for effects on the eye. Thus, substances classified as corrosive to skin (skin Category 1) according to the criteria in Chapter 3.2 are also deemed as inducing serious eye damage (eye Category 1). Skin irritation (skin Category 2), mild skin irritation (skin Category 3) and no classification for skin irritation according to Chapter 3.2 cannot be used alone to conclude eye irritation or no classification for effects on the eye, but may be considered in an overall weight of evidence assessment.</w:t>
      </w:r>
    </w:p>
    <w:p w14:paraId="70111D2D" w14:textId="0B350CA5" w:rsidR="00163760" w:rsidRPr="00C16A4F" w:rsidRDefault="00163760" w:rsidP="001E4AEC">
      <w:pPr>
        <w:pStyle w:val="SingleTxtG"/>
        <w:tabs>
          <w:tab w:val="left" w:pos="2268"/>
          <w:tab w:val="left" w:pos="3402"/>
        </w:tabs>
        <w:rPr>
          <w:b/>
          <w:bCs/>
          <w:i/>
          <w:iCs/>
        </w:rPr>
      </w:pPr>
      <w:r w:rsidRPr="00C16A4F">
        <w:rPr>
          <w:b/>
        </w:rPr>
        <w:t>3.3.2.9</w:t>
      </w:r>
      <w:r w:rsidRPr="00C16A4F">
        <w:rPr>
          <w:b/>
        </w:rPr>
        <w:tab/>
      </w:r>
      <w:r w:rsidRPr="00C16A4F">
        <w:rPr>
          <w:b/>
          <w:i/>
        </w:rPr>
        <w:t xml:space="preserve">Classification based on an overall weight of evidence assessment </w:t>
      </w:r>
      <w:r w:rsidRPr="00C16A4F">
        <w:rPr>
          <w:b/>
          <w:bCs/>
          <w:i/>
          <w:iCs/>
        </w:rPr>
        <w:t>(Tier 7 in Figure 3.3.1)</w:t>
      </w:r>
    </w:p>
    <w:p w14:paraId="200D788F" w14:textId="77777777" w:rsidR="00163760" w:rsidRPr="00C16A4F" w:rsidRDefault="00163760" w:rsidP="001E4AEC">
      <w:pPr>
        <w:pStyle w:val="SingleTxtG"/>
        <w:tabs>
          <w:tab w:val="left" w:pos="2268"/>
          <w:tab w:val="left" w:pos="3402"/>
        </w:tabs>
      </w:pPr>
      <w:r w:rsidRPr="00C16A4F">
        <w:t>3.3.2.9.1</w:t>
      </w:r>
      <w:r w:rsidRPr="00C16A4F">
        <w:tab/>
        <w:t>An overall weight of evidence assessment using expert judgement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2DB96392" w14:textId="77F818F1" w:rsidR="00163760" w:rsidRPr="00C16A4F" w:rsidRDefault="00163760" w:rsidP="001E4AEC">
      <w:pPr>
        <w:pStyle w:val="SingleTxtG"/>
        <w:tabs>
          <w:tab w:val="left" w:pos="2268"/>
          <w:tab w:val="left" w:pos="3402"/>
        </w:tabs>
      </w:pPr>
      <w:r w:rsidRPr="00C16A4F">
        <w:t>3.3.2.9.2</w:t>
      </w:r>
      <w:r w:rsidRPr="00C16A4F">
        <w:tab/>
        <w:t>A substance with an extreme pH (pH ≤ 2 or ≥ 11.5) and non-significant acid/alkaline reserve (result considered inconclusive in Tier 5; see</w:t>
      </w:r>
      <w:r w:rsidR="00DB0A71" w:rsidRPr="00C16A4F">
        <w:t> </w:t>
      </w:r>
      <w:r w:rsidRPr="00C16A4F">
        <w:t xml:space="preserve">3.3.2.7) and for which no other information is available, should be classified as serious eye damage Category 1 in this </w:t>
      </w:r>
      <w:r w:rsidR="007C6D20" w:rsidRPr="00C16A4F">
        <w:t>tier</w:t>
      </w:r>
      <w:r w:rsidRPr="00C16A4F">
        <w:t xml:space="preserve">. If inconclusive information is also available from other </w:t>
      </w:r>
      <w:r w:rsidR="007C6D20" w:rsidRPr="00C16A4F">
        <w:t>t</w:t>
      </w:r>
      <w:r w:rsidRPr="00C16A4F">
        <w:t xml:space="preserve">iers but the overall weight of evidence assessment remains inconclusive, the extreme pH (pH ≤ 2 or ≥ 11.5) result should take precedence and the substance should be classified as serious eye damage Category 1 in this </w:t>
      </w:r>
      <w:r w:rsidR="00DB0A71" w:rsidRPr="00C16A4F">
        <w:t>ti</w:t>
      </w:r>
      <w:r w:rsidRPr="00C16A4F">
        <w:t>er independently of its acid/alkaline reserve. For mixtures, the approach is different and is detailed in 3.3.3.1.3.”</w:t>
      </w:r>
      <w:r w:rsidR="00C71A98" w:rsidRPr="00C16A4F">
        <w:t>.</w:t>
      </w:r>
    </w:p>
    <w:p w14:paraId="75389762" w14:textId="48FEC95E" w:rsidR="00C71A98" w:rsidRPr="00C16A4F" w:rsidRDefault="00C71A98" w:rsidP="001E4AEC">
      <w:pPr>
        <w:pStyle w:val="SingleTxtG"/>
        <w:tabs>
          <w:tab w:val="left" w:pos="2268"/>
        </w:tabs>
      </w:pPr>
      <w:r w:rsidRPr="00C16A4F">
        <w:t xml:space="preserve">Insert the following </w:t>
      </w:r>
      <w:r w:rsidR="00A03638" w:rsidRPr="00C16A4F">
        <w:t xml:space="preserve">new </w:t>
      </w:r>
      <w:r w:rsidRPr="00C16A4F">
        <w:t xml:space="preserve">footnotes 2 and 3 </w:t>
      </w:r>
      <w:r w:rsidR="00D720A4" w:rsidRPr="00C16A4F">
        <w:rPr>
          <w:rStyle w:val="Funotenzeichen2"/>
          <w:vertAlign w:val="baseline"/>
        </w:rPr>
        <w:t>at the bottom of the page</w:t>
      </w:r>
      <w:r w:rsidR="00EB04C5" w:rsidRPr="00C16A4F">
        <w:rPr>
          <w:rStyle w:val="Funotenzeichen2"/>
          <w:vertAlign w:val="baseline"/>
        </w:rPr>
        <w:t xml:space="preserve"> in relation to paragraph</w:t>
      </w:r>
      <w:r w:rsidR="001442D8" w:rsidRPr="00C16A4F">
        <w:rPr>
          <w:rStyle w:val="Funotenzeichen2"/>
          <w:vertAlign w:val="baseline"/>
        </w:rPr>
        <w:t xml:space="preserve">s </w:t>
      </w:r>
      <w:r w:rsidR="00EB04C5" w:rsidRPr="00C16A4F">
        <w:t>3.3.2.3</w:t>
      </w:r>
      <w:r w:rsidR="00055DB0" w:rsidRPr="00C16A4F">
        <w:t xml:space="preserve"> (for footnote 2) and 3.3.2.4.5.1 (for footnote 3</w:t>
      </w:r>
      <w:r w:rsidR="00EB04C5" w:rsidRPr="00C16A4F">
        <w:t>)</w:t>
      </w:r>
      <w:r w:rsidR="00EB04C5" w:rsidRPr="00C16A4F">
        <w:rPr>
          <w:rStyle w:val="Funotenzeichen2"/>
          <w:vertAlign w:val="baseline"/>
        </w:rPr>
        <w:t>:</w:t>
      </w:r>
    </w:p>
    <w:p w14:paraId="70162078" w14:textId="17491766" w:rsidR="00C71A98" w:rsidRPr="00C16A4F" w:rsidRDefault="00C71A98" w:rsidP="001E4AEC">
      <w:pPr>
        <w:pStyle w:val="SingleTxtG"/>
        <w:tabs>
          <w:tab w:val="left" w:pos="1560"/>
          <w:tab w:val="left" w:pos="2410"/>
        </w:tabs>
        <w:rPr>
          <w:i/>
        </w:rPr>
      </w:pPr>
      <w:r w:rsidRPr="00C16A4F">
        <w:t>“</w:t>
      </w:r>
      <w:r w:rsidRPr="00C16A4F">
        <w:rPr>
          <w:b/>
          <w:bCs/>
          <w:vertAlign w:val="superscript"/>
        </w:rPr>
        <w:t>2</w:t>
      </w:r>
      <w:r w:rsidRPr="00C16A4F">
        <w:tab/>
      </w:r>
      <w:r w:rsidRPr="00C16A4F">
        <w:rPr>
          <w:i/>
        </w:rPr>
        <w:t>Some defined approaches have been proposed for serious eye damage/eye irritation (</w:t>
      </w:r>
      <w:proofErr w:type="spellStart"/>
      <w:r w:rsidRPr="00C16A4F">
        <w:rPr>
          <w:i/>
        </w:rPr>
        <w:t>Alépée</w:t>
      </w:r>
      <w:proofErr w:type="spellEnd"/>
      <w:r w:rsidRPr="00C16A4F">
        <w:rPr>
          <w:i/>
        </w:rPr>
        <w:t xml:space="preserve"> et al., 2019a, b) but no classification criteria have yet been agreed internationally.</w:t>
      </w:r>
      <w:r w:rsidR="00D720A4" w:rsidRPr="00C16A4F">
        <w:rPr>
          <w:i/>
        </w:rPr>
        <w:t>”</w:t>
      </w:r>
      <w:r w:rsidR="008F6F60" w:rsidRPr="00C16A4F">
        <w:rPr>
          <w:i/>
        </w:rPr>
        <w:t>.</w:t>
      </w:r>
    </w:p>
    <w:p w14:paraId="70510ABE" w14:textId="07561CF0" w:rsidR="00C71A98" w:rsidRPr="00C16A4F" w:rsidRDefault="00D720A4" w:rsidP="00D720A4">
      <w:pPr>
        <w:pStyle w:val="FootnoteText"/>
        <w:tabs>
          <w:tab w:val="clear" w:pos="1021"/>
          <w:tab w:val="left" w:pos="1560"/>
        </w:tabs>
        <w:spacing w:after="240"/>
        <w:ind w:firstLine="0"/>
        <w:jc w:val="both"/>
      </w:pPr>
      <w:r w:rsidRPr="00C16A4F">
        <w:rPr>
          <w:b/>
        </w:rPr>
        <w:t>“</w:t>
      </w:r>
      <w:r w:rsidR="00C71A98" w:rsidRPr="00C16A4F">
        <w:rPr>
          <w:rStyle w:val="FootnoteReference"/>
          <w:b/>
        </w:rPr>
        <w:t>3</w:t>
      </w:r>
      <w:r w:rsidR="00C71A98" w:rsidRPr="00C16A4F">
        <w:tab/>
      </w:r>
      <w:r w:rsidR="00DB0A71" w:rsidRPr="00C16A4F">
        <w:rPr>
          <w:i/>
          <w:sz w:val="20"/>
        </w:rPr>
        <w:t>Although no classification criteria have yet been agreed internationally for some validated and/or accepted in vitro/ex vivo test methods proposed for identifying substances inducing eye irritation, these test methods may still be accepted by some competent authorities (see 3.3.2.4.2). If a defined approach (see 3.3.2.3) is not available or is not adequate for classification, data from these methods may be considered in a weight of evidence assessment within this tier</w:t>
      </w:r>
      <w:r w:rsidR="00DB0A71" w:rsidRPr="00C16A4F">
        <w:rPr>
          <w:i/>
        </w:rPr>
        <w:t>.”.</w:t>
      </w:r>
    </w:p>
    <w:p w14:paraId="3FFDC2BF" w14:textId="41C2A578" w:rsidR="00DB0A71" w:rsidRPr="00C16A4F" w:rsidRDefault="00DB0A71" w:rsidP="00F443D6">
      <w:pPr>
        <w:pStyle w:val="SingleTxtG"/>
        <w:keepNext/>
        <w:keepLines/>
        <w:tabs>
          <w:tab w:val="left" w:pos="2268"/>
        </w:tabs>
      </w:pPr>
      <w:r w:rsidRPr="00C16A4F">
        <w:t>3.3.2.10 and 3.3.2.10.1 (new, former 3.3.2.2 and 3.3.2.2.1)</w:t>
      </w:r>
      <w:r w:rsidRPr="00C16A4F">
        <w:tab/>
        <w:t>Amend to read as follows:</w:t>
      </w:r>
    </w:p>
    <w:p w14:paraId="60B3960B" w14:textId="77777777" w:rsidR="00163760" w:rsidRPr="00C16A4F" w:rsidRDefault="00163760" w:rsidP="00F443D6">
      <w:pPr>
        <w:pStyle w:val="SingleTxtG"/>
        <w:keepNext/>
        <w:keepLines/>
        <w:tabs>
          <w:tab w:val="left" w:pos="2268"/>
        </w:tabs>
        <w:rPr>
          <w:b/>
          <w:i/>
        </w:rPr>
      </w:pPr>
      <w:r w:rsidRPr="00C16A4F">
        <w:rPr>
          <w:b/>
        </w:rPr>
        <w:t>“3.3.2.10</w:t>
      </w:r>
      <w:r w:rsidRPr="00C16A4F">
        <w:rPr>
          <w:b/>
        </w:rPr>
        <w:tab/>
      </w:r>
      <w:r w:rsidRPr="00C16A4F">
        <w:rPr>
          <w:b/>
          <w:i/>
        </w:rPr>
        <w:t>Classification in a tiered approach (Figure 3.3.1)”</w:t>
      </w:r>
    </w:p>
    <w:p w14:paraId="677C25B3" w14:textId="4FDC20DF" w:rsidR="00163760" w:rsidRPr="00C16A4F" w:rsidRDefault="00163760" w:rsidP="001E4AEC">
      <w:pPr>
        <w:pStyle w:val="SingleTxtG"/>
        <w:tabs>
          <w:tab w:val="left" w:pos="2268"/>
        </w:tabs>
      </w:pPr>
      <w:r w:rsidRPr="00C16A4F">
        <w:t xml:space="preserve">3.3.2.10.1 </w:t>
      </w:r>
      <w:r w:rsidR="00DB0A71" w:rsidRPr="00C16A4F">
        <w:tab/>
      </w:r>
      <w:r w:rsidR="002E036F" w:rsidRPr="00C16A4F">
        <w:t xml:space="preserve">A tiered approach to the evaluation of initial information should be considered, where applicable (Figure 3.3.1), recognizing that not all elements may be relevant. </w:t>
      </w:r>
      <w:r w:rsidRPr="00C16A4F">
        <w:t>However, all available and relevant information of sufficient quality needs to be examined for consistency with respect to the resulting classification.”</w:t>
      </w:r>
      <w:r w:rsidR="00DB0A71" w:rsidRPr="00C16A4F">
        <w:t>.</w:t>
      </w:r>
    </w:p>
    <w:p w14:paraId="62C952B3" w14:textId="08B945E9" w:rsidR="00163760" w:rsidRPr="00C16A4F" w:rsidRDefault="00DB0A71" w:rsidP="001E4AEC">
      <w:pPr>
        <w:pStyle w:val="SingleTxtG"/>
        <w:tabs>
          <w:tab w:val="left" w:pos="2268"/>
        </w:tabs>
      </w:pPr>
      <w:r w:rsidRPr="00C16A4F">
        <w:t>3.3.2.10.2 and 3.3.2.10.3</w:t>
      </w:r>
      <w:r w:rsidRPr="00C16A4F">
        <w:tab/>
      </w:r>
      <w:r w:rsidR="00163760" w:rsidRPr="00C16A4F">
        <w:t>Insert two new paragraphs to read as follows:</w:t>
      </w:r>
    </w:p>
    <w:p w14:paraId="60769A75" w14:textId="77777777" w:rsidR="00163760" w:rsidRPr="00C16A4F" w:rsidRDefault="00163760" w:rsidP="001E4AEC">
      <w:pPr>
        <w:pStyle w:val="SingleTxtG"/>
        <w:tabs>
          <w:tab w:val="left" w:pos="2268"/>
        </w:tabs>
      </w:pPr>
      <w:r w:rsidRPr="00C16A4F">
        <w:t>“3.3.2.10.2</w:t>
      </w:r>
      <w:r w:rsidRPr="00C16A4F">
        <w:tab/>
        <w:t xml:space="preserve">In the tiered approach (Figure 3.3.1), existing human and standard animal data for eye effects form the highest tier, followed by defined approaches and </w:t>
      </w:r>
      <w:r w:rsidRPr="00C16A4F">
        <w:rPr>
          <w:i/>
          <w:iCs/>
        </w:rPr>
        <w:t xml:space="preserve">in vitro/ex vivo </w:t>
      </w:r>
      <w:r w:rsidRPr="00C16A4F">
        <w:t>data for eye effects, existing human/standard animal/</w:t>
      </w:r>
      <w:r w:rsidRPr="00C16A4F">
        <w:rPr>
          <w:i/>
        </w:rPr>
        <w:t>in vitro</w:t>
      </w:r>
      <w:r w:rsidRPr="00C16A4F">
        <w:t>/</w:t>
      </w:r>
      <w:r w:rsidRPr="00C16A4F">
        <w:rPr>
          <w:i/>
        </w:rPr>
        <w:t>ex vivo</w:t>
      </w:r>
      <w:r w:rsidRPr="00C16A4F" w:rsidDel="00DB2A3C">
        <w:t xml:space="preserve"> </w:t>
      </w:r>
      <w:r w:rsidRPr="00C16A4F">
        <w:t>data for skin corrosion, other existing animal skin or eye data, extreme pH and acid/alkaline reserve, and finally non-test methods. Where information from data within the same tier is inconsistent and/or conflicting, the conclusion from that tier is determined by a weight of evidence assessment.</w:t>
      </w:r>
    </w:p>
    <w:p w14:paraId="2AE2413F" w14:textId="77777777" w:rsidR="00163760" w:rsidRPr="00C16A4F" w:rsidRDefault="00163760" w:rsidP="001E4AEC">
      <w:pPr>
        <w:pStyle w:val="SingleTxtG"/>
        <w:tabs>
          <w:tab w:val="left" w:pos="2268"/>
        </w:tabs>
        <w:rPr>
          <w:strike/>
        </w:rPr>
      </w:pPr>
      <w:r w:rsidRPr="00C16A4F">
        <w:t>3.3.2.10.3</w:t>
      </w:r>
      <w:r w:rsidRPr="00C16A4F">
        <w:tab/>
        <w:t xml:space="preserve">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For example, having consulted the guidance in 3.3.5.3 as appropriate, classifiers concerned with a negative result for serious eye damage in an </w:t>
      </w:r>
      <w:r w:rsidRPr="00C16A4F">
        <w:rPr>
          <w:i/>
          <w:iCs/>
        </w:rPr>
        <w:t xml:space="preserve">in vitro/ex vivo </w:t>
      </w:r>
      <w:r w:rsidRPr="00C16A4F">
        <w:t xml:space="preserve">study when there is a positive result for serious eye damage in other existing eye data in animals would utilise an overall weight of evidence assessment. The same would apply in the case where there is human data indicating eye irritation but positive results from an </w:t>
      </w:r>
      <w:r w:rsidRPr="00C16A4F">
        <w:rPr>
          <w:i/>
          <w:iCs/>
        </w:rPr>
        <w:t xml:space="preserve">in vitro/ex vivo </w:t>
      </w:r>
      <w:r w:rsidRPr="00C16A4F">
        <w:t>test for serious eye damage are also available.”</w:t>
      </w:r>
    </w:p>
    <w:p w14:paraId="47666F67" w14:textId="77777777" w:rsidR="00E1327F" w:rsidRPr="00C16A4F" w:rsidRDefault="00E1327F">
      <w:pPr>
        <w:suppressAutoHyphens w:val="0"/>
        <w:kinsoku/>
        <w:overflowPunct/>
        <w:autoSpaceDE/>
        <w:autoSpaceDN/>
        <w:adjustRightInd/>
        <w:snapToGrid/>
        <w:spacing w:after="200" w:line="276" w:lineRule="auto"/>
      </w:pPr>
      <w:r w:rsidRPr="00C16A4F">
        <w:br w:type="page"/>
      </w:r>
    </w:p>
    <w:p w14:paraId="16E04E3D" w14:textId="46BBC393" w:rsidR="00DB0A71" w:rsidRPr="00C16A4F" w:rsidRDefault="00163760" w:rsidP="001E4AEC">
      <w:pPr>
        <w:pStyle w:val="SingleTxtG"/>
        <w:keepNext/>
        <w:keepLines/>
        <w:tabs>
          <w:tab w:val="left" w:pos="2268"/>
        </w:tabs>
      </w:pPr>
      <w:r w:rsidRPr="00C16A4F">
        <w:t xml:space="preserve">Figure 3.3.1: </w:t>
      </w:r>
      <w:r w:rsidR="00DB0A71" w:rsidRPr="00C16A4F">
        <w:tab/>
        <w:t xml:space="preserve">Replace with the following: </w:t>
      </w:r>
    </w:p>
    <w:p w14:paraId="720E4836" w14:textId="728FEF68" w:rsidR="00163760" w:rsidRPr="00C16A4F" w:rsidRDefault="00163760" w:rsidP="0005758A">
      <w:pPr>
        <w:pStyle w:val="SingleTxtG"/>
        <w:tabs>
          <w:tab w:val="left" w:pos="2268"/>
        </w:tabs>
        <w:jc w:val="center"/>
      </w:pPr>
      <w:r w:rsidRPr="00C16A4F">
        <w:t>“</w:t>
      </w:r>
      <w:r w:rsidRPr="00C16A4F">
        <w:rPr>
          <w:b/>
        </w:rPr>
        <w:t xml:space="preserve">Figure 3.3.1:  </w:t>
      </w:r>
      <w:r w:rsidRPr="00C16A4F">
        <w:rPr>
          <w:b/>
          <w:bCs/>
        </w:rPr>
        <w:t xml:space="preserve">Application of the tiered approach for </w:t>
      </w:r>
      <w:r w:rsidRPr="00C16A4F">
        <w:rPr>
          <w:b/>
        </w:rPr>
        <w:t xml:space="preserve">serious eye damage/eye </w:t>
      </w:r>
      <w:proofErr w:type="spellStart"/>
      <w:r w:rsidRPr="00C16A4F">
        <w:rPr>
          <w:b/>
        </w:rPr>
        <w:t>irritation</w:t>
      </w:r>
      <w:r w:rsidRPr="00C16A4F">
        <w:rPr>
          <w:b/>
          <w:vertAlign w:val="superscript"/>
        </w:rPr>
        <w:t>a</w:t>
      </w:r>
      <w:proofErr w:type="spellEnd"/>
      <w:r w:rsidRPr="00C16A4F">
        <w:t>”</w:t>
      </w:r>
    </w:p>
    <w:p w14:paraId="68C5C32D" w14:textId="09241812" w:rsidR="00163760" w:rsidRPr="00C16A4F" w:rsidRDefault="00174FF7" w:rsidP="001E4AEC">
      <w:pPr>
        <w:tabs>
          <w:tab w:val="left" w:pos="2268"/>
        </w:tabs>
        <w:suppressAutoHyphens w:val="0"/>
        <w:kinsoku/>
        <w:overflowPunct/>
        <w:autoSpaceDE/>
        <w:autoSpaceDN/>
        <w:adjustRightInd/>
        <w:snapToGrid/>
        <w:spacing w:after="200" w:line="276" w:lineRule="auto"/>
        <w:ind w:left="1134"/>
        <w:jc w:val="center"/>
      </w:pPr>
      <w:r w:rsidRPr="00C16A4F">
        <w:object w:dxaOrig="7153" w:dyaOrig="11017" w14:anchorId="5B3D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66.35pt" o:ole="">
            <v:imagedata r:id="rId12" o:title=""/>
          </v:shape>
          <o:OLEObject Type="Embed" ProgID="Visio.Drawing.15" ShapeID="_x0000_i1025" DrawAspect="Content" ObjectID="_1680518367" r:id="rId13"/>
        </w:object>
      </w:r>
    </w:p>
    <w:p w14:paraId="4FE45023" w14:textId="10D7B899" w:rsidR="00DB0A71" w:rsidRPr="00C16A4F" w:rsidRDefault="00DB0A71" w:rsidP="001E4AEC">
      <w:pPr>
        <w:suppressAutoHyphens w:val="0"/>
        <w:kinsoku/>
        <w:overflowPunct/>
        <w:autoSpaceDE/>
        <w:autoSpaceDN/>
        <w:adjustRightInd/>
        <w:snapToGrid/>
        <w:spacing w:after="200" w:line="276" w:lineRule="auto"/>
        <w:ind w:left="567"/>
        <w:jc w:val="right"/>
      </w:pPr>
      <w:r w:rsidRPr="00C16A4F">
        <w:t>”.</w:t>
      </w:r>
    </w:p>
    <w:p w14:paraId="05DD800D" w14:textId="0CF6737B" w:rsidR="00163760" w:rsidRPr="00C16A4F" w:rsidRDefault="00DB0A71" w:rsidP="001E4AEC">
      <w:pPr>
        <w:pStyle w:val="SingleTxtG"/>
        <w:keepNext/>
        <w:keepLines/>
      </w:pPr>
      <w:bookmarkStart w:id="7" w:name="_Hlk69885616"/>
      <w:r w:rsidRPr="00C16A4F">
        <w:t xml:space="preserve">Replace current notes “a”, “b”, “c” and “d” to </w:t>
      </w:r>
      <w:r w:rsidR="002E036F" w:rsidRPr="00C16A4F">
        <w:t xml:space="preserve">Figure </w:t>
      </w:r>
      <w:r w:rsidRPr="00C16A4F">
        <w:t xml:space="preserve">3.3.1 </w:t>
      </w:r>
      <w:bookmarkEnd w:id="7"/>
      <w:r w:rsidRPr="00C16A4F">
        <w:t xml:space="preserve">with the following: </w:t>
      </w:r>
    </w:p>
    <w:p w14:paraId="3C7A5AF6" w14:textId="77777777" w:rsidR="00163760" w:rsidRPr="00C16A4F" w:rsidRDefault="00163760" w:rsidP="001E4AEC">
      <w:pPr>
        <w:pStyle w:val="SingleTxtG"/>
        <w:keepNext/>
        <w:keepLines/>
        <w:tabs>
          <w:tab w:val="left" w:pos="1701"/>
          <w:tab w:val="left" w:pos="2552"/>
        </w:tabs>
        <w:rPr>
          <w:rFonts w:asciiTheme="majorBidi" w:hAnsiTheme="majorBidi" w:cstheme="majorBidi"/>
          <w:i/>
          <w:iCs/>
        </w:rPr>
      </w:pPr>
      <w:r w:rsidRPr="00C16A4F">
        <w:t>“</w:t>
      </w:r>
      <w:proofErr w:type="spellStart"/>
      <w:r w:rsidRPr="00C16A4F">
        <w:rPr>
          <w:vertAlign w:val="superscript"/>
        </w:rPr>
        <w:t>a</w:t>
      </w:r>
      <w:proofErr w:type="spellEnd"/>
      <w:r w:rsidRPr="00C16A4F">
        <w:tab/>
      </w:r>
      <w:r w:rsidRPr="00C16A4F">
        <w:rPr>
          <w:rFonts w:asciiTheme="majorBidi" w:hAnsiTheme="majorBidi" w:cstheme="majorBidi"/>
          <w:i/>
          <w:iCs/>
        </w:rPr>
        <w:t>Before applying the approach, the explanatory text in 3.3.2.10 as well as the guidance in 3.3.5.3 should be consulted. Only adequate and reliable data of sufficient quality should be included in applying the tiered approach.</w:t>
      </w:r>
    </w:p>
    <w:p w14:paraId="5335AEE9" w14:textId="5471C4D9" w:rsidR="00163760" w:rsidRPr="00C16A4F" w:rsidRDefault="00163760" w:rsidP="00E82E57">
      <w:pPr>
        <w:keepNext/>
        <w:keepLines/>
        <w:ind w:firstLine="1134"/>
        <w:rPr>
          <w:i/>
          <w:iCs/>
        </w:rPr>
      </w:pPr>
      <w:r w:rsidRPr="00C16A4F">
        <w:rPr>
          <w:i/>
          <w:iCs/>
          <w:vertAlign w:val="superscript"/>
        </w:rPr>
        <w:t>b</w:t>
      </w:r>
      <w:r w:rsidRPr="00C16A4F">
        <w:tab/>
      </w:r>
      <w:r w:rsidRPr="00C16A4F">
        <w:rPr>
          <w:i/>
          <w:iCs/>
        </w:rPr>
        <w:t>Information may be inconclusive for various reasons, e.g.:</w:t>
      </w:r>
    </w:p>
    <w:p w14:paraId="4D83F264" w14:textId="4E2358EC" w:rsidR="00163760" w:rsidRPr="00C16A4F" w:rsidRDefault="00DB0A71" w:rsidP="00E82E57">
      <w:pPr>
        <w:pStyle w:val="SingleTxtG"/>
        <w:tabs>
          <w:tab w:val="left" w:pos="1985"/>
        </w:tabs>
        <w:spacing w:before="240"/>
        <w:ind w:left="1985" w:hanging="284"/>
        <w:rPr>
          <w:i/>
          <w:iCs/>
        </w:rPr>
      </w:pPr>
      <w:r w:rsidRPr="00C16A4F">
        <w:rPr>
          <w:i/>
          <w:iCs/>
        </w:rPr>
        <w:t>-</w:t>
      </w:r>
      <w:r w:rsidR="00163760" w:rsidRPr="00C16A4F">
        <w:rPr>
          <w:i/>
          <w:iCs/>
        </w:rPr>
        <w:tab/>
        <w:t xml:space="preserve">The available data may be of insufficient quality, or otherwise insufficient/inadequate for the purpose of classification, e.g. due to quality issues related to experimental design and/or </w:t>
      </w:r>
      <w:proofErr w:type="gramStart"/>
      <w:r w:rsidR="00163760" w:rsidRPr="00C16A4F">
        <w:rPr>
          <w:i/>
          <w:iCs/>
        </w:rPr>
        <w:t>reporting;</w:t>
      </w:r>
      <w:proofErr w:type="gramEnd"/>
    </w:p>
    <w:p w14:paraId="59F6C6AF" w14:textId="3D1743F4" w:rsidR="00163760" w:rsidRPr="00C16A4F" w:rsidRDefault="00DB0A71" w:rsidP="00E82E57">
      <w:pPr>
        <w:pStyle w:val="SingleTxtG"/>
        <w:ind w:left="1985" w:hanging="284"/>
        <w:rPr>
          <w:rFonts w:asciiTheme="majorBidi" w:hAnsiTheme="majorBidi" w:cstheme="majorBidi"/>
          <w:i/>
          <w:iCs/>
        </w:rPr>
      </w:pPr>
      <w:r w:rsidRPr="00C16A4F">
        <w:rPr>
          <w:rFonts w:asciiTheme="majorBidi" w:hAnsiTheme="majorBidi" w:cstheme="majorBidi"/>
          <w:i/>
          <w:iCs/>
        </w:rPr>
        <w:t>-</w:t>
      </w:r>
      <w:r w:rsidR="00163760" w:rsidRPr="00C16A4F">
        <w:rPr>
          <w:rFonts w:asciiTheme="majorBidi" w:hAnsiTheme="majorBidi" w:cstheme="majorBidi" w:hint="eastAsia"/>
          <w:i/>
          <w:iCs/>
        </w:rPr>
        <w:tab/>
      </w:r>
      <w:r w:rsidR="00163760" w:rsidRPr="00C16A4F">
        <w:rPr>
          <w:rFonts w:asciiTheme="majorBidi" w:hAnsiTheme="majorBidi" w:cstheme="majorBidi"/>
          <w:i/>
          <w:iCs/>
        </w:rPr>
        <w:t xml:space="preserve">The available data may be insufficient to conclude on the classification, e.g. they might be indicative for absence of </w:t>
      </w:r>
      <w:r w:rsidR="00163760" w:rsidRPr="00C16A4F">
        <w:rPr>
          <w:rFonts w:asciiTheme="majorBidi" w:hAnsiTheme="majorBidi" w:cstheme="majorBidi"/>
          <w:i/>
          <w:iCs/>
          <w:kern w:val="24"/>
          <w:lang w:val="en-US"/>
        </w:rPr>
        <w:t>serious eye damage</w:t>
      </w:r>
      <w:r w:rsidR="00163760" w:rsidRPr="00C16A4F">
        <w:rPr>
          <w:rFonts w:asciiTheme="majorBidi" w:hAnsiTheme="majorBidi" w:cstheme="majorBidi"/>
          <w:i/>
          <w:iCs/>
        </w:rPr>
        <w:t xml:space="preserve">, but inadequate to demonstrate eye </w:t>
      </w:r>
      <w:proofErr w:type="gramStart"/>
      <w:r w:rsidR="00163760" w:rsidRPr="00C16A4F">
        <w:rPr>
          <w:rFonts w:asciiTheme="majorBidi" w:hAnsiTheme="majorBidi" w:cstheme="majorBidi"/>
          <w:i/>
          <w:iCs/>
        </w:rPr>
        <w:t>irritation;</w:t>
      </w:r>
      <w:proofErr w:type="gramEnd"/>
    </w:p>
    <w:p w14:paraId="6B31180A" w14:textId="4096C8E6" w:rsidR="00163760" w:rsidRPr="00C16A4F" w:rsidRDefault="00DB0A71" w:rsidP="00E82E57">
      <w:pPr>
        <w:pStyle w:val="SingleTxtG"/>
        <w:ind w:left="1985" w:hanging="284"/>
        <w:rPr>
          <w:rFonts w:asciiTheme="majorBidi" w:hAnsiTheme="majorBidi" w:cstheme="majorBidi"/>
          <w:i/>
          <w:iCs/>
        </w:rPr>
      </w:pPr>
      <w:r w:rsidRPr="00C16A4F">
        <w:rPr>
          <w:rFonts w:asciiTheme="majorBidi" w:hAnsiTheme="majorBidi" w:cstheme="majorBidi"/>
          <w:i/>
          <w:iCs/>
        </w:rPr>
        <w:t>-</w:t>
      </w:r>
      <w:r w:rsidR="00163760" w:rsidRPr="00C16A4F">
        <w:rPr>
          <w:rFonts w:asciiTheme="majorBidi" w:hAnsiTheme="majorBidi" w:cstheme="majorBidi" w:hint="eastAsia"/>
          <w:i/>
          <w:iCs/>
        </w:rPr>
        <w:tab/>
      </w:r>
      <w:r w:rsidR="00163760" w:rsidRPr="00C16A4F">
        <w:rPr>
          <w:rFonts w:asciiTheme="majorBidi" w:hAnsiTheme="majorBidi" w:cstheme="majorBidi"/>
          <w:i/>
          <w:iCs/>
        </w:rPr>
        <w:t>Where competent authorities make use of the eye irritation categories 2A and 2B, the available data may not be capable of distinguishing between Category 2A and Category 2B.”</w:t>
      </w:r>
    </w:p>
    <w:p w14:paraId="5B4EFA3E" w14:textId="1CCE02B6" w:rsidR="00163760" w:rsidRPr="00C16A4F" w:rsidRDefault="008F0B67" w:rsidP="00E82E57">
      <w:pPr>
        <w:pStyle w:val="SingleTxtG"/>
        <w:tabs>
          <w:tab w:val="left" w:pos="1701"/>
          <w:tab w:val="left" w:pos="1985"/>
          <w:tab w:val="left" w:pos="2552"/>
        </w:tabs>
        <w:rPr>
          <w:rFonts w:asciiTheme="majorBidi" w:hAnsiTheme="majorBidi" w:cstheme="majorBidi"/>
          <w:i/>
          <w:iCs/>
        </w:rPr>
      </w:pPr>
      <w:r w:rsidRPr="00C16A4F">
        <w:rPr>
          <w:rFonts w:asciiTheme="majorBidi" w:hAnsiTheme="majorBidi" w:cstheme="majorBidi"/>
          <w:i/>
          <w:iCs/>
          <w:vertAlign w:val="superscript"/>
        </w:rPr>
        <w:t>c</w:t>
      </w:r>
      <w:r w:rsidRPr="00C16A4F">
        <w:rPr>
          <w:rFonts w:asciiTheme="majorBidi" w:hAnsiTheme="majorBidi" w:cstheme="majorBidi"/>
          <w:i/>
          <w:iCs/>
        </w:rPr>
        <w:tab/>
      </w:r>
      <w:r w:rsidR="00163760" w:rsidRPr="00C16A4F">
        <w:rPr>
          <w:rStyle w:val="Funotenzeichen2"/>
          <w:rFonts w:asciiTheme="majorBidi" w:hAnsiTheme="majorBidi" w:cstheme="majorBidi"/>
          <w:i/>
          <w:iCs/>
          <w:vertAlign w:val="baseline"/>
        </w:rPr>
        <w:t xml:space="preserve">It is </w:t>
      </w:r>
      <w:r w:rsidR="00163760" w:rsidRPr="00C16A4F">
        <w:rPr>
          <w:rStyle w:val="Funotenzeichen2"/>
          <w:i/>
          <w:vertAlign w:val="baseline"/>
        </w:rPr>
        <w:t>recogni</w:t>
      </w:r>
      <w:r w:rsidR="009B578D" w:rsidRPr="00C16A4F">
        <w:rPr>
          <w:rStyle w:val="Funotenzeichen2"/>
          <w:i/>
          <w:vertAlign w:val="baseline"/>
        </w:rPr>
        <w:t>z</w:t>
      </w:r>
      <w:r w:rsidR="00163760" w:rsidRPr="00C16A4F">
        <w:rPr>
          <w:rStyle w:val="Funotenzeichen2"/>
          <w:i/>
          <w:vertAlign w:val="baseline"/>
        </w:rPr>
        <w:t>ed</w:t>
      </w:r>
      <w:r w:rsidR="00163760" w:rsidRPr="00C16A4F">
        <w:rPr>
          <w:rStyle w:val="Funotenzeichen2"/>
          <w:rFonts w:asciiTheme="majorBidi" w:hAnsiTheme="majorBidi" w:cstheme="majorBidi"/>
          <w:i/>
          <w:iCs/>
          <w:vertAlign w:val="baseline"/>
        </w:rPr>
        <w:t xml:space="preserve"> that not all skin irritants are eye irritants and that not all substances that are non-irritant to skin are non-irritant to the eye (see 3.3.2.5, 3.3.2.6, 3.3.2.8.4 and 3.3.2.9.1).</w:t>
      </w:r>
      <w:r w:rsidR="00163760" w:rsidRPr="00C16A4F">
        <w:rPr>
          <w:rFonts w:asciiTheme="majorBidi" w:hAnsiTheme="majorBidi" w:cstheme="majorBidi"/>
          <w:i/>
          <w:iCs/>
        </w:rPr>
        <w:t>”</w:t>
      </w:r>
    </w:p>
    <w:p w14:paraId="243C2D16" w14:textId="7A604CFE" w:rsidR="00163760" w:rsidRPr="00C16A4F" w:rsidRDefault="00163760" w:rsidP="00E82E57">
      <w:pPr>
        <w:pStyle w:val="SingleTxtG"/>
        <w:ind w:left="1701" w:hanging="567"/>
        <w:rPr>
          <w:rFonts w:asciiTheme="majorBidi" w:hAnsiTheme="majorBidi" w:cstheme="majorBidi"/>
          <w:i/>
          <w:iCs/>
        </w:rPr>
      </w:pPr>
      <w:r w:rsidRPr="00C16A4F">
        <w:rPr>
          <w:rFonts w:asciiTheme="majorBidi" w:hAnsiTheme="majorBidi" w:cstheme="majorBidi"/>
          <w:i/>
          <w:iCs/>
          <w:vertAlign w:val="superscript"/>
        </w:rPr>
        <w:t>d</w:t>
      </w:r>
      <w:r w:rsidRPr="00C16A4F">
        <w:rPr>
          <w:rFonts w:asciiTheme="majorBidi" w:hAnsiTheme="majorBidi" w:cstheme="majorBidi"/>
          <w:i/>
          <w:iCs/>
        </w:rPr>
        <w:tab/>
      </w:r>
      <w:proofErr w:type="gramStart"/>
      <w:r w:rsidRPr="00C16A4F">
        <w:rPr>
          <w:rFonts w:asciiTheme="majorBidi" w:hAnsiTheme="majorBidi" w:cstheme="majorBidi"/>
          <w:i/>
          <w:iCs/>
        </w:rPr>
        <w:t>For</w:t>
      </w:r>
      <w:proofErr w:type="gramEnd"/>
      <w:r w:rsidRPr="00C16A4F">
        <w:rPr>
          <w:rFonts w:asciiTheme="majorBidi" w:hAnsiTheme="majorBidi" w:cstheme="majorBidi"/>
          <w:i/>
          <w:iCs/>
        </w:rPr>
        <w:t xml:space="preserve"> mixtures, the flow chart in Figure 3.3.2 should be followed.”</w:t>
      </w:r>
      <w:r w:rsidR="008F0B67" w:rsidRPr="00C16A4F">
        <w:rPr>
          <w:rFonts w:asciiTheme="majorBidi" w:hAnsiTheme="majorBidi" w:cstheme="majorBidi"/>
          <w:i/>
          <w:iCs/>
        </w:rPr>
        <w:t>.</w:t>
      </w:r>
    </w:p>
    <w:p w14:paraId="58087A49" w14:textId="606092E3" w:rsidR="00DB0A71" w:rsidRPr="00C16A4F" w:rsidRDefault="008F0B67" w:rsidP="0036762A">
      <w:pPr>
        <w:pStyle w:val="SingleTxtG"/>
        <w:rPr>
          <w:iCs/>
        </w:rPr>
      </w:pPr>
      <w:r w:rsidRPr="00C16A4F">
        <w:rPr>
          <w:iCs/>
        </w:rPr>
        <w:t>Delete current notes “e” and “f” to Figure 3.3.1.</w:t>
      </w:r>
    </w:p>
    <w:p w14:paraId="262A3608" w14:textId="6D96FC43" w:rsidR="008F0B67" w:rsidRPr="00C16A4F" w:rsidRDefault="008F0B67" w:rsidP="00E82E57">
      <w:pPr>
        <w:pStyle w:val="SingleTxtG"/>
        <w:tabs>
          <w:tab w:val="left" w:pos="2268"/>
        </w:tabs>
      </w:pPr>
      <w:r w:rsidRPr="00C16A4F">
        <w:t>3.3.3</w:t>
      </w:r>
      <w:r w:rsidRPr="00C16A4F">
        <w:tab/>
        <w:t>Amend to read as follows:</w:t>
      </w:r>
    </w:p>
    <w:p w14:paraId="5B1CA589" w14:textId="4AF64247" w:rsidR="008F0B67" w:rsidRPr="00C16A4F" w:rsidRDefault="008F0B67" w:rsidP="00E82E57">
      <w:pPr>
        <w:pStyle w:val="SingleTxtG"/>
        <w:tabs>
          <w:tab w:val="left" w:pos="2268"/>
        </w:tabs>
        <w:rPr>
          <w:b/>
          <w:bCs/>
        </w:rPr>
      </w:pPr>
      <w:bookmarkStart w:id="8" w:name="_Hlk69885708"/>
      <w:r w:rsidRPr="00C16A4F">
        <w:rPr>
          <w:b/>
          <w:bCs/>
        </w:rPr>
        <w:t>“3.3.3</w:t>
      </w:r>
      <w:r w:rsidRPr="00C16A4F">
        <w:rPr>
          <w:b/>
          <w:bCs/>
        </w:rPr>
        <w:tab/>
      </w:r>
      <w:r w:rsidRPr="00C16A4F">
        <w:rPr>
          <w:b/>
          <w:bCs/>
        </w:rPr>
        <w:tab/>
        <w:t>Classification criteria for mixtures</w:t>
      </w:r>
    </w:p>
    <w:p w14:paraId="10EEFBC4" w14:textId="4886C448" w:rsidR="00163760" w:rsidRPr="00C16A4F" w:rsidRDefault="002E036F" w:rsidP="00E82E57">
      <w:pPr>
        <w:pStyle w:val="SingleTxtG"/>
        <w:tabs>
          <w:tab w:val="left" w:pos="2268"/>
        </w:tabs>
      </w:pPr>
      <w:r w:rsidRPr="00C16A4F">
        <w:tab/>
      </w:r>
      <w:bookmarkEnd w:id="8"/>
      <w:r w:rsidR="00163760" w:rsidRPr="00C16A4F">
        <w:t xml:space="preserve">The approach to classification for serious eye damage/eye irritation is </w:t>
      </w:r>
      <w:proofErr w:type="gramStart"/>
      <w:r w:rsidR="00163760" w:rsidRPr="00C16A4F">
        <w:t>tiered, and</w:t>
      </w:r>
      <w:proofErr w:type="gramEnd"/>
      <w:r w:rsidR="00163760" w:rsidRPr="00C16A4F">
        <w:t xml:space="preserve"> is dependent upon the amount of information available for the mixture itself and for its ingredients. The flow chart of Figure 3.3.2 below outlines the process to be followed.</w:t>
      </w:r>
    </w:p>
    <w:p w14:paraId="405F73D7" w14:textId="58958479" w:rsidR="00163760" w:rsidRPr="00C16A4F" w:rsidRDefault="00163760" w:rsidP="00E82E57">
      <w:pPr>
        <w:pStyle w:val="StyleGHSHeading410pt"/>
        <w:ind w:left="2127" w:right="567"/>
        <w:jc w:val="center"/>
        <w:rPr>
          <w:color w:val="auto"/>
        </w:rPr>
      </w:pPr>
      <w:r w:rsidRPr="00C16A4F">
        <w:rPr>
          <w:color w:val="auto"/>
        </w:rPr>
        <w:t>Figure 3.3.2:  Tiered approach to classification of mixtures for serious eye damage/eye irritation</w:t>
      </w:r>
    </w:p>
    <w:p w14:paraId="28EBD101" w14:textId="64455C65" w:rsidR="00163760" w:rsidRPr="00C16A4F" w:rsidRDefault="008F0B67" w:rsidP="00163760">
      <w:pPr>
        <w:suppressAutoHyphens w:val="0"/>
        <w:kinsoku/>
        <w:overflowPunct/>
        <w:autoSpaceDE/>
        <w:autoSpaceDN/>
        <w:adjustRightInd/>
        <w:snapToGrid/>
        <w:spacing w:after="200" w:line="276" w:lineRule="auto"/>
        <w:ind w:left="567"/>
        <w:jc w:val="center"/>
      </w:pPr>
      <w:r w:rsidRPr="00C16A4F">
        <w:object w:dxaOrig="6856" w:dyaOrig="7800" w14:anchorId="57590B33">
          <v:shape id="_x0000_i1026" type="#_x0000_t75" style="width:373.45pt;height:423.4pt" o:ole="">
            <v:imagedata r:id="rId14" o:title=""/>
          </v:shape>
          <o:OLEObject Type="Embed" ProgID="Visio.Drawing.15" ShapeID="_x0000_i1026" DrawAspect="Content" ObjectID="_1680518368" r:id="rId15"/>
        </w:object>
      </w:r>
      <w:r w:rsidR="00163760" w:rsidRPr="00C16A4F">
        <w:t>”</w:t>
      </w:r>
    </w:p>
    <w:p w14:paraId="2E2252E9" w14:textId="00C3279A" w:rsidR="00163760" w:rsidRPr="00C16A4F" w:rsidRDefault="00163760" w:rsidP="00E82E57">
      <w:pPr>
        <w:pStyle w:val="SingleTxtG"/>
        <w:tabs>
          <w:tab w:val="left" w:pos="1418"/>
        </w:tabs>
        <w:rPr>
          <w:i/>
          <w:iCs/>
          <w:shd w:val="clear" w:color="auto" w:fill="FFFFFF"/>
        </w:rPr>
      </w:pPr>
      <w:proofErr w:type="spellStart"/>
      <w:r w:rsidRPr="00C16A4F">
        <w:rPr>
          <w:b/>
          <w:i/>
          <w:iCs/>
          <w:shd w:val="clear" w:color="auto" w:fill="FFFFFF"/>
          <w:vertAlign w:val="superscript"/>
        </w:rPr>
        <w:t>a</w:t>
      </w:r>
      <w:proofErr w:type="spellEnd"/>
      <w:r w:rsidRPr="00C16A4F">
        <w:rPr>
          <w:i/>
          <w:iCs/>
          <w:shd w:val="clear" w:color="auto" w:fill="FFFFFF"/>
        </w:rPr>
        <w:tab/>
        <w:t xml:space="preserve">The dashed boxes represent an individual tier within conclusive data on the mixture as whole. However, in contrast to substances, mixtures having an "extreme pH value (pH </w:t>
      </w:r>
      <w:r w:rsidRPr="00C16A4F">
        <w:rPr>
          <w:rFonts w:hint="eastAsia"/>
          <w:i/>
          <w:iCs/>
          <w:shd w:val="clear" w:color="auto" w:fill="FFFFFF"/>
        </w:rPr>
        <w:t>≤</w:t>
      </w:r>
      <w:r w:rsidRPr="00C16A4F">
        <w:rPr>
          <w:i/>
          <w:iCs/>
          <w:shd w:val="clear" w:color="auto" w:fill="FFFFFF"/>
        </w:rPr>
        <w:t xml:space="preserve"> 2 or </w:t>
      </w:r>
      <w:r w:rsidRPr="00C16A4F">
        <w:rPr>
          <w:rFonts w:hint="eastAsia"/>
          <w:i/>
          <w:iCs/>
          <w:shd w:val="clear" w:color="auto" w:fill="FFFFFF"/>
        </w:rPr>
        <w:t>≥</w:t>
      </w:r>
      <w:r w:rsidRPr="00C16A4F">
        <w:rPr>
          <w:i/>
          <w:iCs/>
          <w:shd w:val="clear" w:color="auto" w:fill="FFFFFF"/>
        </w:rPr>
        <w:t xml:space="preserve"> 11.5) and non-significant acid/alkaline reserve" but no other conclusive data on the mixture as a whole, or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r w:rsidR="008F0B67" w:rsidRPr="00C16A4F">
        <w:rPr>
          <w:i/>
          <w:iCs/>
          <w:shd w:val="clear" w:color="auto" w:fill="FFFFFF"/>
        </w:rPr>
        <w:t>.</w:t>
      </w:r>
    </w:p>
    <w:p w14:paraId="61EF64C1" w14:textId="7FC6BF70" w:rsidR="008F0B67" w:rsidRPr="00C16A4F" w:rsidRDefault="008F0B67" w:rsidP="008F0B67">
      <w:pPr>
        <w:pStyle w:val="SingleTxtG"/>
      </w:pPr>
      <w:r w:rsidRPr="00C16A4F">
        <w:t>3.3.3.1.1 and 3.3.3.1.2</w:t>
      </w:r>
      <w:r w:rsidRPr="00C16A4F">
        <w:tab/>
        <w:t xml:space="preserve">Amend to read as follows: </w:t>
      </w:r>
    </w:p>
    <w:p w14:paraId="517CEBD4" w14:textId="3A84FD43" w:rsidR="008F0B67" w:rsidRPr="00C16A4F" w:rsidRDefault="008F0B67" w:rsidP="00E82E57">
      <w:pPr>
        <w:pStyle w:val="SingleTxtG"/>
        <w:tabs>
          <w:tab w:val="left" w:pos="2268"/>
        </w:tabs>
      </w:pPr>
      <w:bookmarkStart w:id="9" w:name="_Hlk69885839"/>
      <w:r w:rsidRPr="00C16A4F">
        <w:t>“3.3.3.1.1</w:t>
      </w:r>
      <w:bookmarkEnd w:id="9"/>
      <w:r w:rsidRPr="00C16A4F">
        <w:tab/>
      </w:r>
      <w:r w:rsidR="00163760" w:rsidRPr="00C16A4F">
        <w:t xml:space="preserve">In general, the mixture should be classified using the criteria for substances, </w:t>
      </w:r>
      <w:proofErr w:type="gramStart"/>
      <w:r w:rsidR="00163760" w:rsidRPr="00C16A4F">
        <w:t>taking into account</w:t>
      </w:r>
      <w:proofErr w:type="gramEnd"/>
      <w:r w:rsidR="00163760" w:rsidRPr="00C16A4F">
        <w:t xml:space="preserve"> the tiered approach to evaluate data for this hazard class (as illustrated in Figure 3.3.1) and 3.3.3.1.2 and 3.3.3.1.3 below.</w:t>
      </w:r>
      <w:r w:rsidR="008705E7" w:rsidRPr="00C16A4F">
        <w:t xml:space="preserve"> </w:t>
      </w:r>
      <w:bookmarkStart w:id="10" w:name="_Hlk69885903"/>
      <w:r w:rsidR="008705E7" w:rsidRPr="00C16A4F">
        <w:t>If classification is not possible using the tiered approach, then the approach described in 3.3.3.2 (bridging principles), or, if that is not applicable, 3.3.3.3 (classification based on ingredients) should be followed</w:t>
      </w:r>
      <w:bookmarkEnd w:id="10"/>
      <w:r w:rsidR="008705E7" w:rsidRPr="00C16A4F">
        <w:t>.</w:t>
      </w:r>
    </w:p>
    <w:p w14:paraId="2FFBAE32" w14:textId="0F3362A0" w:rsidR="00163760" w:rsidRPr="00C16A4F" w:rsidRDefault="00163760" w:rsidP="00E82E57">
      <w:pPr>
        <w:pStyle w:val="SingleTxtG"/>
        <w:tabs>
          <w:tab w:val="left" w:pos="2268"/>
        </w:tabs>
        <w:rPr>
          <w:rFonts w:eastAsiaTheme="minorHAnsi"/>
        </w:rPr>
      </w:pPr>
      <w:r w:rsidRPr="00C16A4F">
        <w:t>3.3.3.1.2</w:t>
      </w:r>
      <w:r w:rsidRPr="00C16A4F">
        <w:tab/>
        <w:t xml:space="preserve">Defined approaches and/or in vitro/ex vivo test methods validated according to international procedures may not have been validated using mixtures; although these approaches/methods are considered broadly applicable to mixtures, they can only be used for classification of mixtures when all ingredients of the mixture fall within the applicability domain of the defined approach or test method(s) used. Specific limitations regarding applicability domains are described in the respective defined approaches and test </w:t>
      </w:r>
      <w:proofErr w:type="gramStart"/>
      <w:r w:rsidRPr="00C16A4F">
        <w:t>methods, and</w:t>
      </w:r>
      <w:proofErr w:type="gramEnd"/>
      <w:r w:rsidRPr="00C16A4F">
        <w:t xml:space="preserve"> should be taken into consideration as well as any further information on such limitations from the published literature. Where there is reason to assume or evidence indicating that the applicability domain of a particular defined approach or test method is limited, data interpretation should be exercised with caution, or the results should be considered not applicable.</w:t>
      </w:r>
      <w:r w:rsidRPr="00C16A4F">
        <w:rPr>
          <w:rFonts w:eastAsiaTheme="minorHAnsi"/>
        </w:rPr>
        <w:t>”</w:t>
      </w:r>
      <w:r w:rsidR="008F0B67" w:rsidRPr="00C16A4F">
        <w:rPr>
          <w:rFonts w:eastAsiaTheme="minorHAnsi"/>
        </w:rPr>
        <w:t>.</w:t>
      </w:r>
    </w:p>
    <w:p w14:paraId="4264E720" w14:textId="7E5C12E8" w:rsidR="00163760" w:rsidRPr="00C16A4F" w:rsidRDefault="008F0B67" w:rsidP="001E4AEC">
      <w:pPr>
        <w:pStyle w:val="SingleTxtG"/>
        <w:rPr>
          <w:rFonts w:eastAsiaTheme="minorHAnsi"/>
        </w:rPr>
      </w:pPr>
      <w:r w:rsidRPr="00C16A4F">
        <w:t>3.3.3.1.3</w:t>
      </w:r>
      <w:r w:rsidRPr="00C16A4F">
        <w:tab/>
      </w:r>
      <w:r w:rsidR="00163760" w:rsidRPr="00C16A4F">
        <w:t xml:space="preserve">Insert a new </w:t>
      </w:r>
      <w:r w:rsidR="00163760" w:rsidRPr="00C16A4F">
        <w:rPr>
          <w:rFonts w:eastAsiaTheme="minorHAnsi"/>
        </w:rPr>
        <w:t>paragraph to read as follows:</w:t>
      </w:r>
    </w:p>
    <w:p w14:paraId="06CD0249" w14:textId="0C8A207C" w:rsidR="00163760" w:rsidRPr="00C16A4F" w:rsidRDefault="00163760" w:rsidP="001E4AEC">
      <w:pPr>
        <w:pStyle w:val="SingleTxtG"/>
        <w:rPr>
          <w:rFonts w:eastAsiaTheme="minorHAnsi"/>
        </w:rPr>
      </w:pPr>
      <w:r w:rsidRPr="00C16A4F">
        <w:rPr>
          <w:rFonts w:eastAsiaTheme="minorHAnsi"/>
        </w:rPr>
        <w:t>“</w:t>
      </w:r>
      <w:r w:rsidRPr="00C16A4F">
        <w:t>3.3.3.1.3</w:t>
      </w:r>
      <w:r w:rsidRPr="00C16A4F">
        <w:tab/>
        <w:t>A mixture with an extreme pH (pH ≤ 2 or ≥ 11.5) is considered to cause serious eye damage (Category 1) in Tier 5 if it has a significant acid/alkaline reserve or if no data for acid/alkaline reserve are available. However, if consideration of acid/alkaline reserve suggests the mixture may not cause serious eye damage despite the extreme pH value, the result is considered inconclusive within Tier 5 (see Figure 3.3.1). If the overall weight of evidence assessment remains inconclusive or no data other than pH and acid/alkaline reserve are available, mixtures with an extreme pH (pH ≤ 2 or ≥ 11.5) and non-significant acid/alkaline reserve should be assessed using the bridging principles described in 3.3.3.2. If the bridging principles cannot be applied, mixtures with an extreme pH (pH ≤ 2 or ≥ 11.5) and non-significant acid/alkaline reserve should be classified as eye Category 1 (see Figure 3.3.2).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can be applied.</w:t>
      </w:r>
      <w:r w:rsidRPr="00C16A4F">
        <w:rPr>
          <w:rFonts w:eastAsiaTheme="minorHAnsi"/>
        </w:rPr>
        <w:t>”</w:t>
      </w:r>
      <w:r w:rsidR="008F0B67" w:rsidRPr="00C16A4F">
        <w:rPr>
          <w:rFonts w:eastAsiaTheme="minorHAnsi"/>
        </w:rPr>
        <w:t>.</w:t>
      </w:r>
    </w:p>
    <w:p w14:paraId="75B368D4" w14:textId="7D3969F9" w:rsidR="00163760" w:rsidRPr="00C16A4F" w:rsidRDefault="00163760" w:rsidP="00E82E57">
      <w:pPr>
        <w:pStyle w:val="SingleTxtG"/>
        <w:tabs>
          <w:tab w:val="left" w:pos="2268"/>
        </w:tabs>
      </w:pPr>
      <w:r w:rsidRPr="00C16A4F">
        <w:t>3.3.3.2.7</w:t>
      </w:r>
      <w:r w:rsidR="008F0B67" w:rsidRPr="00C16A4F">
        <w:tab/>
        <w:t>Replace “aerosolized form of mixture” with “aerosoli</w:t>
      </w:r>
      <w:r w:rsidR="005D0E3C" w:rsidRPr="00C16A4F">
        <w:t>z</w:t>
      </w:r>
      <w:r w:rsidR="008F0B67" w:rsidRPr="00C16A4F">
        <w:t>ed form of the mixture”</w:t>
      </w:r>
      <w:r w:rsidR="00D47C4A" w:rsidRPr="00C16A4F">
        <w:t>. Renumber footnote 3 as 4</w:t>
      </w:r>
      <w:r w:rsidR="00D47C4A" w:rsidRPr="00C16A4F">
        <w:rPr>
          <w:i/>
          <w:iCs/>
        </w:rPr>
        <w:t>.</w:t>
      </w:r>
    </w:p>
    <w:p w14:paraId="120C96C0" w14:textId="32C06A1F" w:rsidR="00163760" w:rsidRPr="00C16A4F" w:rsidRDefault="00163760" w:rsidP="00E82E57">
      <w:pPr>
        <w:pStyle w:val="SingleTxtG"/>
        <w:tabs>
          <w:tab w:val="left" w:pos="2268"/>
        </w:tabs>
      </w:pPr>
      <w:r w:rsidRPr="00C16A4F">
        <w:rPr>
          <w:snapToGrid w:val="0"/>
        </w:rPr>
        <w:t>3.3.3.3.4</w:t>
      </w:r>
      <w:r w:rsidR="00D47C4A" w:rsidRPr="00C16A4F">
        <w:rPr>
          <w:snapToGrid w:val="0"/>
        </w:rPr>
        <w:tab/>
        <w:t>In the second sentence, replace “should be used as classification criterion (see 3.3.3.1.2) since pH” with “should be used as the classification criterion (see 3.3.3.1.3) since extreme pH”  and delete “(subject to consideration of acid/alkali reserve).</w:t>
      </w:r>
    </w:p>
    <w:p w14:paraId="353BC881" w14:textId="483686AF" w:rsidR="00163760" w:rsidRPr="00C16A4F" w:rsidRDefault="00163760" w:rsidP="001E4AEC">
      <w:pPr>
        <w:pStyle w:val="SingleTxtG"/>
      </w:pPr>
      <w:r w:rsidRPr="00C16A4F">
        <w:t>Table 3.3.5</w:t>
      </w:r>
      <w:r w:rsidR="00D47C4A" w:rsidRPr="00C16A4F">
        <w:t>, third column</w:t>
      </w:r>
      <w:r w:rsidR="00D47C4A" w:rsidRPr="00C16A4F">
        <w:tab/>
        <w:t>Replace “</w:t>
      </w:r>
      <w:r w:rsidRPr="00C16A4F">
        <w:t>Category 2A</w:t>
      </w:r>
      <w:r w:rsidR="00D47C4A" w:rsidRPr="00C16A4F">
        <w:t>”</w:t>
      </w:r>
      <w:r w:rsidRPr="00C16A4F">
        <w:t xml:space="preserve"> with: “Category 2/2A”</w:t>
      </w:r>
      <w:r w:rsidR="00D47C4A" w:rsidRPr="00C16A4F">
        <w:t>.</w:t>
      </w:r>
    </w:p>
    <w:p w14:paraId="16C94E68" w14:textId="77777777" w:rsidR="00235CF7" w:rsidRPr="00C16A4F" w:rsidRDefault="00235CF7">
      <w:pPr>
        <w:suppressAutoHyphens w:val="0"/>
        <w:kinsoku/>
        <w:overflowPunct/>
        <w:autoSpaceDE/>
        <w:autoSpaceDN/>
        <w:adjustRightInd/>
        <w:snapToGrid/>
        <w:spacing w:after="200" w:line="276" w:lineRule="auto"/>
      </w:pPr>
      <w:r w:rsidRPr="00C16A4F">
        <w:br w:type="page"/>
      </w:r>
    </w:p>
    <w:p w14:paraId="6967E499" w14:textId="684966D3" w:rsidR="00163760" w:rsidRPr="00C16A4F" w:rsidRDefault="00163760" w:rsidP="00E82E57">
      <w:pPr>
        <w:pStyle w:val="SingleTxtG"/>
        <w:tabs>
          <w:tab w:val="left" w:pos="2268"/>
        </w:tabs>
      </w:pPr>
      <w:r w:rsidRPr="00C16A4F">
        <w:t>3.3.5.1</w:t>
      </w:r>
      <w:r w:rsidR="00D47C4A" w:rsidRPr="00C16A4F">
        <w:tab/>
      </w:r>
      <w:r w:rsidR="00D47C4A" w:rsidRPr="00C16A4F">
        <w:tab/>
        <w:t xml:space="preserve">Replace decision logic 3.3.1 with the following: </w:t>
      </w:r>
    </w:p>
    <w:p w14:paraId="52C3F766" w14:textId="77777777" w:rsidR="00163760" w:rsidRPr="00C16A4F" w:rsidRDefault="00163760" w:rsidP="00E82E57">
      <w:pPr>
        <w:pStyle w:val="SingleTxtG"/>
      </w:pPr>
      <w:r w:rsidRPr="00C16A4F">
        <w:t>“</w:t>
      </w:r>
    </w:p>
    <w:p w14:paraId="42F6F81E" w14:textId="05CB3229" w:rsidR="00163760" w:rsidRPr="00C16A4F" w:rsidRDefault="00D47C4A" w:rsidP="009A4659">
      <w:pPr>
        <w:spacing w:line="240" w:lineRule="auto"/>
        <w:ind w:left="567" w:right="141"/>
        <w:jc w:val="right"/>
      </w:pPr>
      <w:r w:rsidRPr="00C16A4F">
        <w:object w:dxaOrig="7635" w:dyaOrig="6900" w14:anchorId="0E0F8F34">
          <v:shape id="_x0000_i1027" type="#_x0000_t75" style="width:418.05pt;height:379.35pt" o:ole="">
            <v:imagedata r:id="rId16" o:title=""/>
          </v:shape>
          <o:OLEObject Type="Embed" ProgID="Visio.Drawing.15" ShapeID="_x0000_i1027" DrawAspect="Content" ObjectID="_1680518369" r:id="rId17"/>
        </w:object>
      </w:r>
      <w:r w:rsidR="00163760" w:rsidRPr="00C16A4F">
        <w:t>”</w:t>
      </w:r>
    </w:p>
    <w:p w14:paraId="17997E9A" w14:textId="77777777" w:rsidR="00163760" w:rsidRPr="00C16A4F" w:rsidRDefault="00163760" w:rsidP="00163760">
      <w:pPr>
        <w:spacing w:line="240" w:lineRule="auto"/>
        <w:ind w:left="1701" w:right="425"/>
      </w:pPr>
    </w:p>
    <w:p w14:paraId="1956C702" w14:textId="77777777" w:rsidR="00163760" w:rsidRPr="00C16A4F" w:rsidRDefault="00163760" w:rsidP="00163760">
      <w:pPr>
        <w:suppressAutoHyphens w:val="0"/>
        <w:kinsoku/>
        <w:overflowPunct/>
        <w:autoSpaceDE/>
        <w:autoSpaceDN/>
        <w:adjustRightInd/>
        <w:snapToGrid/>
        <w:spacing w:after="200" w:line="276" w:lineRule="auto"/>
        <w:rPr>
          <w:highlight w:val="yellow"/>
        </w:rPr>
      </w:pPr>
      <w:r w:rsidRPr="00C16A4F">
        <w:rPr>
          <w:highlight w:val="yellow"/>
        </w:rPr>
        <w:br w:type="page"/>
      </w:r>
    </w:p>
    <w:p w14:paraId="03F42CCE" w14:textId="3A6BAA89" w:rsidR="00D47C4A" w:rsidRPr="00C16A4F" w:rsidRDefault="00D47C4A" w:rsidP="00E82E57">
      <w:pPr>
        <w:tabs>
          <w:tab w:val="left" w:pos="2268"/>
        </w:tabs>
        <w:spacing w:line="240" w:lineRule="auto"/>
        <w:ind w:left="1134" w:right="425"/>
      </w:pPr>
      <w:r w:rsidRPr="00C16A4F">
        <w:t>3.3.5.2</w:t>
      </w:r>
      <w:r w:rsidRPr="00C16A4F">
        <w:tab/>
      </w:r>
      <w:r w:rsidRPr="00C16A4F">
        <w:tab/>
        <w:t>Replace decision logic 3.3.2 with the following:</w:t>
      </w:r>
      <w:r w:rsidRPr="00C16A4F" w:rsidDel="009826A6">
        <w:t xml:space="preserve"> </w:t>
      </w:r>
    </w:p>
    <w:p w14:paraId="4F7A1E37" w14:textId="1AE5F2A8" w:rsidR="00D47C4A" w:rsidRPr="00C16A4F" w:rsidRDefault="00D47C4A" w:rsidP="00E82E57">
      <w:pPr>
        <w:tabs>
          <w:tab w:val="left" w:pos="2268"/>
        </w:tabs>
        <w:spacing w:line="240" w:lineRule="auto"/>
        <w:ind w:left="1134" w:right="425"/>
      </w:pPr>
    </w:p>
    <w:p w14:paraId="029AE63C" w14:textId="16DAC229" w:rsidR="00D47C4A" w:rsidRPr="00C16A4F" w:rsidRDefault="00D47C4A" w:rsidP="00D47C4A">
      <w:pPr>
        <w:spacing w:line="240" w:lineRule="auto"/>
        <w:ind w:left="1701" w:right="425"/>
      </w:pPr>
      <w:r w:rsidRPr="00C16A4F">
        <w:t>“</w:t>
      </w:r>
    </w:p>
    <w:p w14:paraId="4C3117AF" w14:textId="77777777" w:rsidR="00163760" w:rsidRPr="00C16A4F" w:rsidRDefault="00163760" w:rsidP="00163760">
      <w:pPr>
        <w:suppressAutoHyphens w:val="0"/>
        <w:kinsoku/>
        <w:overflowPunct/>
        <w:autoSpaceDE/>
        <w:autoSpaceDN/>
        <w:adjustRightInd/>
        <w:snapToGrid/>
        <w:spacing w:after="200" w:line="276" w:lineRule="auto"/>
        <w:ind w:left="567"/>
        <w:jc w:val="center"/>
        <w:rPr>
          <w:highlight w:val="yellow"/>
        </w:rPr>
      </w:pPr>
      <w:r w:rsidRPr="00C16A4F">
        <w:object w:dxaOrig="7740" w:dyaOrig="9421" w14:anchorId="05F5720B">
          <v:shape id="_x0000_i1028" type="#_x0000_t75" style="width:442.2pt;height:539.45pt;mso-position-vertical:absolute" o:ole="">
            <v:imagedata r:id="rId18" o:title=""/>
          </v:shape>
          <o:OLEObject Type="Embed" ProgID="Visio.Drawing.15" ShapeID="_x0000_i1028" DrawAspect="Content" ObjectID="_1680518370" r:id="rId19"/>
        </w:object>
      </w:r>
      <w:r w:rsidRPr="00C16A4F">
        <w:t>”</w:t>
      </w:r>
    </w:p>
    <w:p w14:paraId="333F04D4" w14:textId="16FE898C" w:rsidR="00163760" w:rsidRPr="00C16A4F" w:rsidRDefault="00D47C4A" w:rsidP="00CD3116">
      <w:pPr>
        <w:pStyle w:val="SingleTxtG"/>
      </w:pPr>
      <w:r w:rsidRPr="00C16A4F">
        <w:t>Current footnotes “4”, “5”, “6” and “7” become “5”, “6”, “7” and “8”</w:t>
      </w:r>
      <w:r w:rsidR="00CD3116" w:rsidRPr="00C16A4F">
        <w:t>.</w:t>
      </w:r>
      <w:r w:rsidRPr="00C16A4F">
        <w:t xml:space="preserve"> </w:t>
      </w:r>
    </w:p>
    <w:p w14:paraId="580C7FFE" w14:textId="2CE04E07" w:rsidR="00DE77DF" w:rsidRPr="00C16A4F" w:rsidRDefault="00163760" w:rsidP="00E82E57">
      <w:pPr>
        <w:pStyle w:val="SingleTxtG"/>
        <w:tabs>
          <w:tab w:val="left" w:pos="3119"/>
          <w:tab w:val="left" w:pos="3686"/>
        </w:tabs>
      </w:pPr>
      <w:r w:rsidRPr="00C16A4F">
        <w:t>3.3.5.3.1</w:t>
      </w:r>
      <w:r w:rsidR="00DE77DF" w:rsidRPr="00C16A4F">
        <w:t xml:space="preserve"> to 3.3.5.3.5</w:t>
      </w:r>
      <w:r w:rsidR="00DE77DF" w:rsidRPr="00C16A4F">
        <w:tab/>
        <w:t>Current paragraphs 3.3.5.3.1 to 3.3.5.3.5 become new paragraphs 3.3.5.3.3.1 to 3.3.5.3.3.5.</w:t>
      </w:r>
    </w:p>
    <w:p w14:paraId="6DC8E566" w14:textId="2EBAD31C" w:rsidR="00163760" w:rsidRPr="00C16A4F" w:rsidRDefault="00DE77DF" w:rsidP="00E82E57">
      <w:pPr>
        <w:pStyle w:val="SingleTxtG"/>
        <w:tabs>
          <w:tab w:val="left" w:pos="3686"/>
        </w:tabs>
      </w:pPr>
      <w:r w:rsidRPr="00C16A4F">
        <w:t>3.3.5.3.1 and 3.3.5.3.2 (new)</w:t>
      </w:r>
      <w:r w:rsidRPr="00C16A4F">
        <w:tab/>
        <w:t xml:space="preserve">Insert the following two new paragraphs: </w:t>
      </w:r>
    </w:p>
    <w:p w14:paraId="37303BED" w14:textId="77777777" w:rsidR="00163760" w:rsidRPr="00C16A4F" w:rsidRDefault="00163760" w:rsidP="00E82E57">
      <w:pPr>
        <w:pStyle w:val="SingleTxtG"/>
        <w:tabs>
          <w:tab w:val="left" w:pos="2268"/>
        </w:tabs>
        <w:rPr>
          <w:i/>
          <w:iCs/>
        </w:rPr>
      </w:pPr>
      <w:bookmarkStart w:id="11" w:name="_Hlk69885998"/>
      <w:r w:rsidRPr="00C16A4F">
        <w:t>“3.3.5.3.1</w:t>
      </w:r>
      <w:r w:rsidRPr="00C16A4F">
        <w:tab/>
      </w:r>
      <w:r w:rsidRPr="00C16A4F">
        <w:rPr>
          <w:i/>
          <w:iCs/>
        </w:rPr>
        <w:t xml:space="preserve">Relevant guidance documents </w:t>
      </w:r>
    </w:p>
    <w:bookmarkEnd w:id="11"/>
    <w:p w14:paraId="1F6B36F3" w14:textId="0F90A948" w:rsidR="00163760" w:rsidRPr="00C16A4F" w:rsidRDefault="001B705E" w:rsidP="00E82E57">
      <w:pPr>
        <w:pStyle w:val="SingleTxtG"/>
        <w:tabs>
          <w:tab w:val="left" w:pos="2268"/>
        </w:tabs>
      </w:pPr>
      <w:r w:rsidRPr="00C16A4F">
        <w:tab/>
      </w:r>
      <w:r w:rsidR="00163760" w:rsidRPr="00C16A4F">
        <w:t>Helpful information on the strengths and weaknesses of the different test and non-test methods, as well as useful guidance on how to apply a weight of evidence assessment, is provided in OECD Guidance Document 263 on an integrated approach on testing and assessment (IATA) for serious eye damage and eye irritation.</w:t>
      </w:r>
    </w:p>
    <w:p w14:paraId="6F27D573" w14:textId="77777777" w:rsidR="00163760" w:rsidRPr="00C16A4F" w:rsidRDefault="00163760" w:rsidP="00E82E57">
      <w:pPr>
        <w:pStyle w:val="SingleTxtG"/>
        <w:tabs>
          <w:tab w:val="left" w:pos="2268"/>
        </w:tabs>
        <w:rPr>
          <w:i/>
          <w:iCs/>
        </w:rPr>
      </w:pPr>
      <w:r w:rsidRPr="00C16A4F">
        <w:t>3.3.5.3.2</w:t>
      </w:r>
      <w:r w:rsidRPr="00C16A4F">
        <w:tab/>
      </w:r>
      <w:r w:rsidRPr="00C16A4F">
        <w:rPr>
          <w:i/>
          <w:iCs/>
        </w:rPr>
        <w:t xml:space="preserve">Guidance on the use of human data for classification as </w:t>
      </w:r>
      <w:r w:rsidRPr="00C16A4F">
        <w:rPr>
          <w:i/>
        </w:rPr>
        <w:t>serious eye damage/eye irritation</w:t>
      </w:r>
    </w:p>
    <w:p w14:paraId="0BFB54FC" w14:textId="3BBAE22F" w:rsidR="00163760" w:rsidRPr="00C16A4F" w:rsidRDefault="001B705E" w:rsidP="00E82E57">
      <w:pPr>
        <w:pStyle w:val="SingleTxtG"/>
        <w:tabs>
          <w:tab w:val="left" w:pos="2268"/>
        </w:tabs>
      </w:pPr>
      <w:r w:rsidRPr="00C16A4F">
        <w:tab/>
      </w:r>
      <w:r w:rsidR="00163760" w:rsidRPr="00C16A4F">
        <w:t>The availability of human data for serious eye damage/eye irritation is limited and the data available may contain some uncertainty. However, where such data exist, they should be considered based on their quality. Human data may be obtained from epidemiological studies, human experience (e.g. consumer experience), poison control centres, national and international home accident surveillance programs, case studies, or worker experience and accidents. Human case studies may have limited predictive value as often the presence of a substance or mixture in the eye will result in pain and quick washing of the eyes. Therefore, the effects observed may underestimate the intrinsic property of the substance or the mixture to affect the eye without washing. Further details on the strengths and limitations of human data for serious eye damage/eye irritation can be found in OECD Guidance Document 263 (section</w:t>
      </w:r>
      <w:r w:rsidR="00DE77DF" w:rsidRPr="00C16A4F">
        <w:t> </w:t>
      </w:r>
      <w:r w:rsidR="00163760" w:rsidRPr="00C16A4F">
        <w:t>4.1. Module 1: Existing human data on serious eye damage and eye irritation).”</w:t>
      </w:r>
      <w:r w:rsidR="00DE77DF" w:rsidRPr="00C16A4F">
        <w:t>.</w:t>
      </w:r>
    </w:p>
    <w:p w14:paraId="2F732B22" w14:textId="77777777" w:rsidR="00DE77DF" w:rsidRPr="00C16A4F" w:rsidRDefault="00DE77DF" w:rsidP="00FA156B">
      <w:pPr>
        <w:pStyle w:val="SingleTxtG"/>
      </w:pPr>
      <w:r w:rsidRPr="00C16A4F">
        <w:t>3.3.5.3.3</w:t>
      </w:r>
      <w:r w:rsidRPr="00C16A4F">
        <w:tab/>
        <w:t>Insert the following new heading:</w:t>
      </w:r>
    </w:p>
    <w:p w14:paraId="43F803CA" w14:textId="0430EE98" w:rsidR="00163760" w:rsidRPr="00C16A4F" w:rsidRDefault="00DE77DF" w:rsidP="001E4AEC">
      <w:pPr>
        <w:pStyle w:val="SingleTxtG"/>
        <w:rPr>
          <w:i/>
          <w:iCs/>
        </w:rPr>
      </w:pPr>
      <w:r w:rsidRPr="00C16A4F">
        <w:t>“</w:t>
      </w:r>
      <w:r w:rsidR="00163760" w:rsidRPr="00C16A4F">
        <w:t>3.3.5.3.3</w:t>
      </w:r>
      <w:r w:rsidR="00163760" w:rsidRPr="00C16A4F">
        <w:tab/>
      </w:r>
      <w:r w:rsidR="00163760" w:rsidRPr="00C16A4F">
        <w:rPr>
          <w:i/>
          <w:iCs/>
        </w:rPr>
        <w:t>Classification based on standard animal tests with more than 3 animals</w:t>
      </w:r>
      <w:r w:rsidR="00163760" w:rsidRPr="00C16A4F">
        <w:t>”</w:t>
      </w:r>
    </w:p>
    <w:p w14:paraId="1CB637B9" w14:textId="683994FA" w:rsidR="00163760" w:rsidRPr="00C16A4F" w:rsidRDefault="00DE77DF" w:rsidP="00E82E57">
      <w:pPr>
        <w:pStyle w:val="SingleTxtG"/>
        <w:rPr>
          <w:lang w:val="en-AU"/>
        </w:rPr>
      </w:pPr>
      <w:r w:rsidRPr="00C16A4F">
        <w:rPr>
          <w:lang w:val="en-AU"/>
        </w:rPr>
        <w:t>3.3.5.3.3.2 (new, former 3.3.5.3.2)</w:t>
      </w:r>
      <w:r w:rsidRPr="00C16A4F">
        <w:rPr>
          <w:lang w:val="en-AU"/>
        </w:rPr>
        <w:tab/>
        <w:t>Replace “3.3.2.1” with “3.3.2.2”, “done” with “performed”</w:t>
      </w:r>
      <w:r w:rsidR="00E26F1A" w:rsidRPr="00C16A4F">
        <w:rPr>
          <w:lang w:val="en-AU"/>
        </w:rPr>
        <w:t xml:space="preserve">. </w:t>
      </w:r>
    </w:p>
    <w:p w14:paraId="04152DC4" w14:textId="7E588DA5" w:rsidR="00E26F1A" w:rsidRPr="00C16A4F" w:rsidRDefault="00E26F1A" w:rsidP="00FA156B">
      <w:pPr>
        <w:pStyle w:val="SingleTxtG"/>
        <w:rPr>
          <w:lang w:val="en-AU"/>
        </w:rPr>
      </w:pPr>
      <w:r w:rsidRPr="00C16A4F">
        <w:rPr>
          <w:lang w:val="en-AU"/>
        </w:rPr>
        <w:t>3.3.5.3.4 to 3.3.5.3.7.2</w:t>
      </w:r>
      <w:r w:rsidRPr="00C16A4F">
        <w:rPr>
          <w:lang w:val="en-AU"/>
        </w:rPr>
        <w:tab/>
        <w:t>Insert the following new sections</w:t>
      </w:r>
      <w:r w:rsidR="00B235CC" w:rsidRPr="00C16A4F">
        <w:rPr>
          <w:lang w:val="en-AU"/>
        </w:rPr>
        <w:t>:</w:t>
      </w:r>
    </w:p>
    <w:p w14:paraId="070F52BE" w14:textId="33795952" w:rsidR="00163760" w:rsidRPr="00C16A4F" w:rsidRDefault="00163760" w:rsidP="001E4AEC">
      <w:pPr>
        <w:pStyle w:val="SingleTxtG"/>
      </w:pPr>
      <w:r w:rsidRPr="00C16A4F">
        <w:t>“3.3.5.3.4</w:t>
      </w:r>
      <w:r w:rsidRPr="00C16A4F">
        <w:tab/>
      </w:r>
      <w:r w:rsidRPr="00C16A4F">
        <w:rPr>
          <w:i/>
          <w:iCs/>
        </w:rPr>
        <w:t>Guidance on the use of defined approaches and/or in vitro/ex vivo data for classification within Tier 2 of Figure 3.3.1</w:t>
      </w:r>
    </w:p>
    <w:p w14:paraId="1F08D458" w14:textId="13B2E86A" w:rsidR="00163760" w:rsidRPr="00C16A4F" w:rsidRDefault="00163760" w:rsidP="001E4AEC">
      <w:pPr>
        <w:pStyle w:val="SingleTxtG"/>
      </w:pPr>
      <w:r w:rsidRPr="00C16A4F">
        <w:t>3.3.5.3.4.1</w:t>
      </w:r>
      <w:r w:rsidRPr="00C16A4F">
        <w:tab/>
        <w:t xml:space="preserve">Defined approaches consist of a predefined set of different information sources (e.g. </w:t>
      </w:r>
      <w:r w:rsidRPr="00C16A4F">
        <w:rPr>
          <w:i/>
        </w:rPr>
        <w:t>in vitro</w:t>
      </w:r>
      <w:r w:rsidRPr="00C16A4F">
        <w:t xml:space="preserve"> methods, </w:t>
      </w:r>
      <w:r w:rsidRPr="00C16A4F">
        <w:rPr>
          <w:i/>
        </w:rPr>
        <w:t>ex vivo</w:t>
      </w:r>
      <w:r w:rsidRPr="00C16A4F">
        <w:t xml:space="preserve"> methods, </w:t>
      </w:r>
      <w:proofErr w:type="spellStart"/>
      <w:r w:rsidRPr="00C16A4F">
        <w:t>physico</w:t>
      </w:r>
      <w:proofErr w:type="spellEnd"/>
      <w:r w:rsidRPr="00C16A4F">
        <w:t xml:space="preserve">-chemical properties, non-test methods) which, combined together through a fixed Data Interpretation Procedure (DIP) to convert input data into a prediction (or result), can provide a conclusion on the classification of a substance or mixture. A fixed DIP is defined as any fixed algorithm for interpreting data from one or typically several information sources and is rule-based in the sense that it is based, for example on a formula or an algorithm (e.g. decision criteria, rule or set of rules) that do not involve expert judgment. The output of a DIP generally is a prediction of a biological effect of interest or regulatory endpoint. Since in a defined approach the information sources are prescribed and the set of rules on how to integrate and interpret them is predetermined, the same conclusion will always be reached by different assessors on the same set of data as there is no room for subjective interpretation. In contrast, in a weight of evidence assessment, expert judgment is applied on an ad hoc basis to the available information, which may lead to different conclusions because there are no fixed rules for interpreting the data. </w:t>
      </w:r>
    </w:p>
    <w:p w14:paraId="5E6C9B40" w14:textId="19906D37" w:rsidR="00163760" w:rsidRPr="00C16A4F" w:rsidRDefault="00163760" w:rsidP="001E4AEC">
      <w:pPr>
        <w:pStyle w:val="SingleTxtG"/>
        <w:rPr>
          <w:rFonts w:eastAsia="Times New Roman"/>
        </w:rPr>
      </w:pPr>
      <w:bookmarkStart w:id="12" w:name="_Hlk69886088"/>
      <w:r w:rsidRPr="00C16A4F">
        <w:t>3.3.5.3.4.2</w:t>
      </w:r>
      <w:bookmarkEnd w:id="12"/>
      <w:r w:rsidRPr="00C16A4F">
        <w:tab/>
        <w:t>A stepwise approach to the evaluation of information derived from Tier</w:t>
      </w:r>
      <w:r w:rsidR="00C71A98" w:rsidRPr="00C16A4F">
        <w:t> </w:t>
      </w:r>
      <w:r w:rsidRPr="00C16A4F">
        <w:t xml:space="preserve">2 of Figure 3.3.1, i.e. defined approaches and/or </w:t>
      </w:r>
      <w:r w:rsidRPr="00C16A4F">
        <w:rPr>
          <w:i/>
        </w:rPr>
        <w:t>in vitro</w:t>
      </w:r>
      <w:r w:rsidRPr="00C16A4F">
        <w:t>/</w:t>
      </w:r>
      <w:r w:rsidRPr="00C16A4F">
        <w:rPr>
          <w:i/>
        </w:rPr>
        <w:t>ex vivo</w:t>
      </w:r>
      <w:r w:rsidRPr="00C16A4F">
        <w:t xml:space="preserve"> test methods, should be considered where applicable (Figure 3.3.3), </w:t>
      </w:r>
      <w:r w:rsidR="00B81CF5" w:rsidRPr="00C16A4F">
        <w:t xml:space="preserve">recognizing </w:t>
      </w:r>
      <w:r w:rsidRPr="00C16A4F">
        <w:t xml:space="preserve">that not all elements may be relevant. However, all available and relevant information of sufficient quality needs to be examined for consistency with respect to the resulting classification. The outcome of a defined approach containing conclusive animal and/or human data may also eventually be considered during the overall weight of evidence in Tier 7 (see Figure 3.3.1). Where information from several steps is inconsistent and/or conflicting with respect to the resulting classification, information of sufficient quality from a higher step is generally given a higher weight than information from a lower step. However, when information from a lower step would result in a stricter classification than information from a higher step and there is concern for misclassification, then classification is determined by a within-tier weight of evidence assessment. For example, classifiers concerned with a negative result for serious eye damage in a defined approach when there is a positive result for serious eye damage in an </w:t>
      </w:r>
      <w:r w:rsidRPr="00C16A4F">
        <w:rPr>
          <w:i/>
        </w:rPr>
        <w:t>in vitro</w:t>
      </w:r>
      <w:r w:rsidRPr="00C16A4F">
        <w:t>/</w:t>
      </w:r>
      <w:r w:rsidRPr="00C16A4F">
        <w:rPr>
          <w:i/>
        </w:rPr>
        <w:t>ex vivo</w:t>
      </w:r>
      <w:r w:rsidRPr="00C16A4F">
        <w:t xml:space="preserve"> method would utilise a within-tier weight of evidence assessment.</w:t>
      </w:r>
    </w:p>
    <w:p w14:paraId="403BA6CD" w14:textId="77777777" w:rsidR="00163760" w:rsidRPr="00C16A4F" w:rsidRDefault="00163760" w:rsidP="00BE52B7">
      <w:pPr>
        <w:pStyle w:val="SingleTxtG"/>
        <w:keepNext/>
        <w:keepLines/>
        <w:tabs>
          <w:tab w:val="left" w:pos="2268"/>
        </w:tabs>
        <w:rPr>
          <w:rFonts w:eastAsia="Times New Roman"/>
        </w:rPr>
      </w:pPr>
      <w:r w:rsidRPr="00C16A4F">
        <w:t>3.3.5.3.4.3</w:t>
      </w:r>
      <w:r w:rsidRPr="00C16A4F">
        <w:tab/>
      </w:r>
      <w:r w:rsidRPr="00C16A4F">
        <w:tab/>
        <w:t xml:space="preserve">Current </w:t>
      </w:r>
      <w:r w:rsidRPr="00C16A4F">
        <w:rPr>
          <w:i/>
        </w:rPr>
        <w:t>in</w:t>
      </w:r>
      <w:r w:rsidRPr="00C16A4F">
        <w:t xml:space="preserve"> </w:t>
      </w:r>
      <w:r w:rsidRPr="00C16A4F">
        <w:rPr>
          <w:i/>
        </w:rPr>
        <w:t>vitro</w:t>
      </w:r>
      <w:r w:rsidRPr="00C16A4F">
        <w:t>/</w:t>
      </w:r>
      <w:r w:rsidRPr="00C16A4F">
        <w:rPr>
          <w:i/>
        </w:rPr>
        <w:t>ex vivo</w:t>
      </w:r>
      <w:r w:rsidRPr="00C16A4F">
        <w:t xml:space="preserve"> test methods are not able to distinguish between certain </w:t>
      </w:r>
      <w:r w:rsidRPr="00C16A4F">
        <w:rPr>
          <w:i/>
        </w:rPr>
        <w:t>in vivo</w:t>
      </w:r>
      <w:r w:rsidRPr="00C16A4F">
        <w:t xml:space="preserve"> effects, such as corneal opacity, iritis, conjunctiva redness or conjunctiva chemosis, but they have shown to correctly predict substances inducing serious eye damage/eye irritation independently of the types of ocular effects observed </w:t>
      </w:r>
      <w:r w:rsidRPr="00C16A4F">
        <w:rPr>
          <w:i/>
        </w:rPr>
        <w:t>in vivo</w:t>
      </w:r>
      <w:r w:rsidRPr="00C16A4F">
        <w:t xml:space="preserve">. Many of the current </w:t>
      </w:r>
      <w:r w:rsidRPr="00C16A4F">
        <w:rPr>
          <w:i/>
        </w:rPr>
        <w:t>in</w:t>
      </w:r>
      <w:r w:rsidRPr="00C16A4F">
        <w:t xml:space="preserve"> </w:t>
      </w:r>
      <w:r w:rsidRPr="00C16A4F">
        <w:rPr>
          <w:i/>
        </w:rPr>
        <w:t>vitro</w:t>
      </w:r>
      <w:r w:rsidRPr="00C16A4F">
        <w:t>/</w:t>
      </w:r>
      <w:r w:rsidRPr="00C16A4F">
        <w:rPr>
          <w:i/>
        </w:rPr>
        <w:t>ex vivo</w:t>
      </w:r>
      <w:r w:rsidRPr="00C16A4F">
        <w:t xml:space="preserve"> test methods can thus identify substances or mixtures not requiring classification with high sensitivity but with limited specificity when used to distinguish not classified from classified substances or mixtures. This means that it is reasonably certain that a substance or mixture identified as not requiring classification by OECD Test Guideline 437, 438, 491, 492, 494 or 496 (see Table 3.3.6) is indeed not inducing eye effects warranting classification, whereas some substances or mixtures not requiring classification will be over-predicted by these </w:t>
      </w:r>
      <w:r w:rsidRPr="00C16A4F">
        <w:rPr>
          <w:i/>
        </w:rPr>
        <w:t>in</w:t>
      </w:r>
      <w:r w:rsidRPr="00C16A4F">
        <w:t xml:space="preserve"> </w:t>
      </w:r>
      <w:r w:rsidRPr="00C16A4F">
        <w:rPr>
          <w:i/>
        </w:rPr>
        <w:t>vitro</w:t>
      </w:r>
      <w:r w:rsidRPr="00C16A4F">
        <w:t>/</w:t>
      </w:r>
      <w:r w:rsidRPr="00C16A4F">
        <w:rPr>
          <w:i/>
        </w:rPr>
        <w:t>ex vivo</w:t>
      </w:r>
      <w:r w:rsidRPr="00C16A4F">
        <w:t xml:space="preserve"> test methods when used in isolation. Furthermore, it should be considered that substances inducing serious eye damage are identified by many of these test methods with a high specificity but a limited sensitivity when used to distinguish Category 1 from Category 2 and not classified. This means that it is reasonably certain that a substance or mixture identified as Category 1 by OECD Test Guideline 437, 438, 460, 491 or 496 (see Table 3.3.6) is indeed inducing irreversible eye effects, whereas some substances or mixtures inducing serious eye damage will be under-predicted by these </w:t>
      </w:r>
      <w:r w:rsidRPr="00C16A4F">
        <w:rPr>
          <w:i/>
        </w:rPr>
        <w:t>in</w:t>
      </w:r>
      <w:r w:rsidRPr="00C16A4F">
        <w:t xml:space="preserve"> </w:t>
      </w:r>
      <w:r w:rsidRPr="00C16A4F">
        <w:rPr>
          <w:i/>
        </w:rPr>
        <w:t>vitro</w:t>
      </w:r>
      <w:r w:rsidRPr="00C16A4F">
        <w:t>/</w:t>
      </w:r>
      <w:r w:rsidRPr="00C16A4F">
        <w:rPr>
          <w:i/>
        </w:rPr>
        <w:t>ex vivo</w:t>
      </w:r>
      <w:r w:rsidRPr="00C16A4F">
        <w:t xml:space="preserve"> test methods when used in isolation. </w:t>
      </w:r>
      <w:proofErr w:type="gramStart"/>
      <w:r w:rsidRPr="00C16A4F">
        <w:t>As a consequence</w:t>
      </w:r>
      <w:proofErr w:type="gramEnd"/>
      <w:r w:rsidRPr="00C16A4F">
        <w:t xml:space="preserve">, a single </w:t>
      </w:r>
      <w:r w:rsidRPr="00C16A4F">
        <w:rPr>
          <w:i/>
        </w:rPr>
        <w:t>in vitro</w:t>
      </w:r>
      <w:r w:rsidRPr="00C16A4F">
        <w:t>/</w:t>
      </w:r>
      <w:r w:rsidRPr="00C16A4F">
        <w:rPr>
          <w:i/>
        </w:rPr>
        <w:t>ex vivo</w:t>
      </w:r>
      <w:r w:rsidRPr="00C16A4F">
        <w:t xml:space="preserve"> OECD test guideline method is currently sufficient to conclude on either Category 1 or no classification according to the criteria defined in Table 3.3.6, but not to conclude Category 2. When the result of an </w:t>
      </w:r>
      <w:r w:rsidRPr="00C16A4F">
        <w:rPr>
          <w:i/>
        </w:rPr>
        <w:t>in vitro</w:t>
      </w:r>
      <w:r w:rsidRPr="00C16A4F">
        <w:t>/</w:t>
      </w:r>
      <w:r w:rsidRPr="00C16A4F">
        <w:rPr>
          <w:i/>
        </w:rPr>
        <w:t>ex vivo</w:t>
      </w:r>
      <w:r w:rsidRPr="00C16A4F">
        <w:t xml:space="preserve"> method is “no stand-alone prediction can be made” (e.g. see Table 3.3.6), a conclusion cannot be drawn </w:t>
      </w:r>
      <w:proofErr w:type="gramStart"/>
      <w:r w:rsidRPr="00C16A4F">
        <w:t>on the basis of</w:t>
      </w:r>
      <w:proofErr w:type="gramEnd"/>
      <w:r w:rsidRPr="00C16A4F">
        <w:t xml:space="preserve"> that single result and further data are necessary for classification. Some </w:t>
      </w:r>
      <w:r w:rsidRPr="00C16A4F">
        <w:rPr>
          <w:i/>
          <w:iCs/>
        </w:rPr>
        <w:t xml:space="preserve">in vitro/ex vivo </w:t>
      </w:r>
      <w:r w:rsidRPr="00C16A4F">
        <w:t xml:space="preserve">test methods validated according to international procedures but not adopted as OECD test guidelines may be accepted by some competent authorities to classify in Category 2 (see 3.3.5.3.5.2). Moreover, combinations of </w:t>
      </w:r>
      <w:r w:rsidRPr="00C16A4F">
        <w:rPr>
          <w:i/>
        </w:rPr>
        <w:t>in vitro</w:t>
      </w:r>
      <w:r w:rsidRPr="00C16A4F">
        <w:t>/</w:t>
      </w:r>
      <w:r w:rsidRPr="00C16A4F">
        <w:rPr>
          <w:i/>
        </w:rPr>
        <w:t xml:space="preserve">ex vivo </w:t>
      </w:r>
      <w:r w:rsidRPr="00C16A4F">
        <w:t>methods in tiered approaches or their integration in defined approaches (see 3.3.2.3) may reduce the number of false predictions and show adequate performance for classification purposes.</w:t>
      </w:r>
    </w:p>
    <w:p w14:paraId="4252C1E0" w14:textId="3E506414" w:rsidR="00163760" w:rsidRPr="00C16A4F" w:rsidRDefault="00163760" w:rsidP="00E82E57">
      <w:pPr>
        <w:pStyle w:val="SingleTxtG"/>
        <w:tabs>
          <w:tab w:val="left" w:pos="2268"/>
        </w:tabs>
      </w:pPr>
      <w:r w:rsidRPr="00C16A4F">
        <w:t>3.3.5.3.4.4</w:t>
      </w:r>
      <w:r w:rsidRPr="00C16A4F">
        <w:tab/>
        <w:t xml:space="preserve">In the absence of an adequate defined approach (see 3.3.2.3) or of conclusive </w:t>
      </w:r>
      <w:r w:rsidRPr="00C16A4F">
        <w:rPr>
          <w:i/>
        </w:rPr>
        <w:t>in vitro</w:t>
      </w:r>
      <w:r w:rsidRPr="00C16A4F">
        <w:t>/</w:t>
      </w:r>
      <w:r w:rsidRPr="00C16A4F">
        <w:rPr>
          <w:i/>
        </w:rPr>
        <w:t>ex vivo</w:t>
      </w:r>
      <w:r w:rsidRPr="00C16A4F">
        <w:t xml:space="preserve"> data (see 3.3.2.4.1 and 3.3.2.4.2), a stand-alone prediction is not possible. In such cases, a within-tier weight of evidence assessment of data from more than one method would be needed to classify within Tier 2. If a within-tier weight of evidence assessment is still not conclusive, then data from lower tiers may be required to reach a conclusion (see Figure 3.3.1).</w:t>
      </w:r>
    </w:p>
    <w:p w14:paraId="05E03406" w14:textId="77777777" w:rsidR="00235CF7" w:rsidRPr="00C16A4F" w:rsidRDefault="00235CF7">
      <w:pPr>
        <w:suppressAutoHyphens w:val="0"/>
        <w:kinsoku/>
        <w:overflowPunct/>
        <w:autoSpaceDE/>
        <w:autoSpaceDN/>
        <w:adjustRightInd/>
        <w:snapToGrid/>
        <w:spacing w:after="200" w:line="276" w:lineRule="auto"/>
        <w:rPr>
          <w:b/>
          <w:bCs/>
          <w:i/>
        </w:rPr>
      </w:pPr>
      <w:r w:rsidRPr="00C16A4F">
        <w:rPr>
          <w:b/>
          <w:bCs/>
          <w:i/>
        </w:rPr>
        <w:br w:type="page"/>
      </w:r>
    </w:p>
    <w:p w14:paraId="0CE91D67" w14:textId="0767FC71" w:rsidR="00163760" w:rsidRPr="00C16A4F" w:rsidRDefault="004A439E" w:rsidP="004A439E">
      <w:pPr>
        <w:ind w:left="2127" w:right="1134"/>
        <w:jc w:val="center"/>
        <w:rPr>
          <w:b/>
          <w:bCs/>
        </w:rPr>
      </w:pPr>
      <w:r w:rsidRPr="00C16A4F">
        <w:rPr>
          <w:b/>
        </w:rPr>
        <w:t xml:space="preserve">Figure 3.3.3:  </w:t>
      </w:r>
      <w:r w:rsidRPr="00C16A4F">
        <w:rPr>
          <w:b/>
          <w:bCs/>
        </w:rPr>
        <w:t xml:space="preserve">Classification based on defined approaches and/or </w:t>
      </w:r>
      <w:r w:rsidRPr="00C16A4F">
        <w:rPr>
          <w:b/>
          <w:bCs/>
        </w:rPr>
        <w:br/>
      </w:r>
      <w:r w:rsidRPr="00C16A4F">
        <w:rPr>
          <w:b/>
          <w:bCs/>
          <w:i/>
        </w:rPr>
        <w:t>in vitro</w:t>
      </w:r>
      <w:r w:rsidRPr="00C16A4F">
        <w:rPr>
          <w:b/>
          <w:bCs/>
        </w:rPr>
        <w:t>/</w:t>
      </w:r>
      <w:r w:rsidRPr="00C16A4F">
        <w:rPr>
          <w:b/>
          <w:bCs/>
          <w:i/>
        </w:rPr>
        <w:t xml:space="preserve">ex </w:t>
      </w:r>
      <w:r w:rsidR="00163760" w:rsidRPr="00C16A4F">
        <w:rPr>
          <w:b/>
          <w:bCs/>
          <w:i/>
        </w:rPr>
        <w:t>vivo</w:t>
      </w:r>
      <w:r w:rsidR="00163760" w:rsidRPr="00C16A4F">
        <w:rPr>
          <w:b/>
          <w:bCs/>
        </w:rPr>
        <w:t xml:space="preserve"> data within Tier 2 of Figure 3.3.1</w:t>
      </w:r>
    </w:p>
    <w:p w14:paraId="3B4C3C77" w14:textId="77777777" w:rsidR="004A439E" w:rsidRPr="00C16A4F" w:rsidRDefault="004A439E" w:rsidP="004A439E">
      <w:pPr>
        <w:ind w:left="2127" w:right="1134"/>
        <w:jc w:val="center"/>
        <w:rPr>
          <w:b/>
          <w:bCs/>
        </w:rPr>
      </w:pPr>
    </w:p>
    <w:p w14:paraId="02A4D934" w14:textId="489CB730" w:rsidR="00163760" w:rsidRPr="00C16A4F" w:rsidRDefault="00317F6C" w:rsidP="00163760">
      <w:pPr>
        <w:ind w:left="567"/>
        <w:jc w:val="center"/>
        <w:rPr>
          <w:rFonts w:eastAsiaTheme="minorHAnsi"/>
        </w:rPr>
      </w:pPr>
      <w:r w:rsidRPr="00C16A4F">
        <w:object w:dxaOrig="8377" w:dyaOrig="12121" w14:anchorId="3424D3A8">
          <v:shape id="_x0000_i1029" type="#_x0000_t75" style="width:394.95pt;height:570.1pt" o:ole="">
            <v:imagedata r:id="rId20" o:title=""/>
          </v:shape>
          <o:OLEObject Type="Embed" ProgID="Visio.Drawing.15" ShapeID="_x0000_i1029" DrawAspect="Content" ObjectID="_1680518371" r:id="rId21"/>
        </w:object>
      </w:r>
    </w:p>
    <w:p w14:paraId="092D4B5A" w14:textId="77777777" w:rsidR="00163760" w:rsidRPr="00C16A4F" w:rsidRDefault="00163760" w:rsidP="00163760">
      <w:pPr>
        <w:tabs>
          <w:tab w:val="left" w:pos="1418"/>
        </w:tabs>
        <w:jc w:val="center"/>
        <w:rPr>
          <w:rFonts w:eastAsia="Times New Roman"/>
        </w:rPr>
      </w:pPr>
    </w:p>
    <w:p w14:paraId="72AB3C5E" w14:textId="2D1C1B20" w:rsidR="00163760" w:rsidRPr="00C16A4F" w:rsidRDefault="00163760" w:rsidP="00FA156B">
      <w:pPr>
        <w:pStyle w:val="SingleTxtG"/>
        <w:rPr>
          <w:rFonts w:eastAsiaTheme="minorHAnsi"/>
          <w:i/>
        </w:rPr>
      </w:pPr>
      <w:proofErr w:type="spellStart"/>
      <w:proofErr w:type="gramStart"/>
      <w:r w:rsidRPr="00C16A4F">
        <w:rPr>
          <w:rFonts w:eastAsiaTheme="minorHAnsi"/>
          <w:b/>
          <w:vertAlign w:val="superscript"/>
        </w:rPr>
        <w:t>a</w:t>
      </w:r>
      <w:proofErr w:type="spellEnd"/>
      <w:proofErr w:type="gramEnd"/>
      <w:r w:rsidRPr="00C16A4F">
        <w:rPr>
          <w:rFonts w:eastAsiaTheme="minorHAnsi"/>
          <w:b/>
          <w:vertAlign w:val="superscript"/>
        </w:rPr>
        <w:tab/>
      </w:r>
      <w:r w:rsidRPr="00C16A4F">
        <w:rPr>
          <w:rFonts w:eastAsiaTheme="minorHAnsi"/>
          <w:i/>
        </w:rPr>
        <w:t>Evidence is considered conclusive if the data fulfil the criteria of the defined approach or of the method and there is no contradicting in vitro/ex vivo information. When information from a lower step would result in a stricter classification than information from a higher step and there is concern for misclassification, then classification is determined by a within-tier weight of evidence assessment.</w:t>
      </w:r>
    </w:p>
    <w:p w14:paraId="1C98F54F" w14:textId="77741845" w:rsidR="00163760" w:rsidRPr="00C16A4F" w:rsidRDefault="00163760" w:rsidP="00F443D6">
      <w:pPr>
        <w:pStyle w:val="SingleTxtG"/>
        <w:keepNext/>
        <w:keepLines/>
        <w:tabs>
          <w:tab w:val="left" w:pos="2268"/>
        </w:tabs>
        <w:rPr>
          <w:rFonts w:eastAsiaTheme="minorHAnsi"/>
          <w:lang w:val="it-IT"/>
        </w:rPr>
      </w:pPr>
      <w:r w:rsidRPr="00C16A4F">
        <w:rPr>
          <w:rFonts w:eastAsiaTheme="minorHAnsi"/>
          <w:lang w:val="it-IT"/>
        </w:rPr>
        <w:t>3.3.5.3.5</w:t>
      </w:r>
      <w:r w:rsidRPr="00C16A4F">
        <w:rPr>
          <w:rFonts w:eastAsiaTheme="minorHAnsi"/>
          <w:lang w:val="it-IT"/>
        </w:rPr>
        <w:tab/>
      </w:r>
      <w:r w:rsidRPr="00C16A4F">
        <w:rPr>
          <w:rFonts w:eastAsiaTheme="minorHAnsi"/>
          <w:i/>
          <w:iCs/>
          <w:lang w:val="it-IT"/>
        </w:rPr>
        <w:t xml:space="preserve">Classification criteria based on in vitro/ex vivo data </w:t>
      </w:r>
    </w:p>
    <w:p w14:paraId="4430C67C" w14:textId="77777777" w:rsidR="00163760" w:rsidRPr="00C16A4F" w:rsidRDefault="00163760" w:rsidP="00E82E57">
      <w:pPr>
        <w:pStyle w:val="SingleTxtG"/>
        <w:tabs>
          <w:tab w:val="left" w:pos="2268"/>
        </w:tabs>
      </w:pPr>
      <w:r w:rsidRPr="00C16A4F">
        <w:rPr>
          <w:rFonts w:eastAsiaTheme="minorHAnsi"/>
        </w:rPr>
        <w:t>3.3.5.3.5.1</w:t>
      </w:r>
      <w:r w:rsidRPr="00C16A4F">
        <w:rPr>
          <w:rFonts w:eastAsiaTheme="minorHAnsi"/>
        </w:rPr>
        <w:tab/>
      </w:r>
      <w:r w:rsidRPr="00C16A4F">
        <w:rPr>
          <w:rFonts w:eastAsiaTheme="minorHAnsi"/>
        </w:rPr>
        <w:tab/>
        <w:t xml:space="preserve">Where </w:t>
      </w:r>
      <w:r w:rsidRPr="00C16A4F">
        <w:rPr>
          <w:rFonts w:eastAsiaTheme="minorHAnsi"/>
          <w:i/>
          <w:iCs/>
        </w:rPr>
        <w:t xml:space="preserve">in vitro/ex vivo </w:t>
      </w:r>
      <w:r w:rsidRPr="00C16A4F">
        <w:rPr>
          <w:rFonts w:eastAsiaTheme="minorHAnsi"/>
        </w:rPr>
        <w:t>tests have been undertaken in accordance with OECD test guidelines 437, 438, 460, 491, 492, 494 and/or 496, the criteria for classification in Category 1 for serious eye damage/irreversible effects on the eye and for no classification are set out in Table 3.3.6.</w:t>
      </w:r>
    </w:p>
    <w:p w14:paraId="4FD577F0" w14:textId="77777777" w:rsidR="0022216F" w:rsidRPr="00C16A4F" w:rsidRDefault="0022216F" w:rsidP="00E82E57">
      <w:pPr>
        <w:tabs>
          <w:tab w:val="left" w:pos="2268"/>
        </w:tabs>
        <w:ind w:left="1134"/>
      </w:pPr>
    </w:p>
    <w:p w14:paraId="2140DF8C" w14:textId="3F4B890C" w:rsidR="009A331B" w:rsidRPr="00C16A4F" w:rsidRDefault="009A331B" w:rsidP="004858F5">
      <w:pPr>
        <w:sectPr w:rsidR="009A331B" w:rsidRPr="00C16A4F" w:rsidSect="00E17B7E">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417" w:right="1134" w:bottom="1134" w:left="1134" w:header="850" w:footer="567" w:gutter="0"/>
          <w:cols w:space="720"/>
          <w:titlePg/>
          <w:docGrid w:linePitch="272"/>
        </w:sectPr>
      </w:pPr>
    </w:p>
    <w:p w14:paraId="5F11A662" w14:textId="77777777" w:rsidR="00E67E6A" w:rsidRPr="00C16A4F" w:rsidRDefault="00E67E6A" w:rsidP="00E82E57">
      <w:pPr>
        <w:jc w:val="center"/>
        <w:rPr>
          <w:rFonts w:eastAsiaTheme="minorHAnsi"/>
        </w:rPr>
      </w:pPr>
      <w:r w:rsidRPr="00C16A4F">
        <w:rPr>
          <w:rFonts w:eastAsiaTheme="minorHAnsi"/>
          <w:b/>
          <w:bCs/>
        </w:rPr>
        <w:t xml:space="preserve">Table 3.3.6:  </w:t>
      </w:r>
      <w:r w:rsidRPr="00C16A4F">
        <w:rPr>
          <w:b/>
          <w:noProof/>
        </w:rPr>
        <w:t>Criteria for serious eye damage/irreversible effects on the eye and for no classification</w:t>
      </w:r>
      <w:r w:rsidRPr="00C16A4F">
        <w:rPr>
          <w:b/>
          <w:noProof/>
          <w:vertAlign w:val="superscript"/>
        </w:rPr>
        <w:t>a</w:t>
      </w:r>
      <w:r w:rsidRPr="00C16A4F">
        <w:rPr>
          <w:rFonts w:eastAsiaTheme="minorHAnsi"/>
          <w:b/>
          <w:bCs/>
          <w:i/>
          <w:iCs/>
        </w:rPr>
        <w:t xml:space="preserve"> </w:t>
      </w:r>
      <w:r w:rsidRPr="00C16A4F">
        <w:rPr>
          <w:rFonts w:eastAsiaTheme="minorHAnsi"/>
          <w:b/>
          <w:bCs/>
          <w:iCs/>
        </w:rPr>
        <w:t xml:space="preserve">for </w:t>
      </w:r>
      <w:r w:rsidRPr="00C16A4F">
        <w:rPr>
          <w:rFonts w:eastAsiaTheme="minorHAnsi"/>
          <w:b/>
          <w:bCs/>
          <w:i/>
          <w:iCs/>
        </w:rPr>
        <w:t>in vitro</w:t>
      </w:r>
      <w:r w:rsidRPr="00C16A4F">
        <w:rPr>
          <w:rFonts w:eastAsiaTheme="minorHAnsi"/>
          <w:b/>
          <w:bCs/>
          <w:iCs/>
        </w:rPr>
        <w:t>/</w:t>
      </w:r>
      <w:r w:rsidRPr="00C16A4F">
        <w:rPr>
          <w:rFonts w:eastAsiaTheme="minorHAnsi"/>
          <w:b/>
          <w:bCs/>
          <w:i/>
          <w:iCs/>
        </w:rPr>
        <w:t xml:space="preserve">ex vivo </w:t>
      </w:r>
      <w:r w:rsidRPr="00C16A4F">
        <w:rPr>
          <w:rFonts w:eastAsiaTheme="minorHAnsi"/>
          <w:b/>
          <w:bCs/>
        </w:rPr>
        <w:t>methods</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5"/>
        <w:gridCol w:w="991"/>
        <w:gridCol w:w="994"/>
        <w:gridCol w:w="1784"/>
        <w:gridCol w:w="1841"/>
        <w:gridCol w:w="1761"/>
        <w:gridCol w:w="708"/>
        <w:gridCol w:w="708"/>
        <w:gridCol w:w="708"/>
        <w:gridCol w:w="711"/>
        <w:gridCol w:w="1288"/>
        <w:gridCol w:w="1960"/>
      </w:tblGrid>
      <w:tr w:rsidR="00C16A4F" w:rsidRPr="00C16A4F" w14:paraId="5C772963" w14:textId="77777777" w:rsidTr="00E82E57">
        <w:trPr>
          <w:tblHeader/>
          <w:jc w:val="center"/>
        </w:trPr>
        <w:tc>
          <w:tcPr>
            <w:tcW w:w="249" w:type="pct"/>
            <w:shd w:val="clear" w:color="auto" w:fill="auto"/>
            <w:tcMar>
              <w:top w:w="57" w:type="dxa"/>
              <w:left w:w="57" w:type="dxa"/>
              <w:bottom w:w="57" w:type="dxa"/>
              <w:right w:w="57" w:type="dxa"/>
            </w:tcMar>
          </w:tcPr>
          <w:p w14:paraId="4328E5FA" w14:textId="77777777" w:rsidR="00E67E6A" w:rsidRPr="00C16A4F" w:rsidRDefault="00E67E6A" w:rsidP="009A093F">
            <w:pPr>
              <w:spacing w:before="120"/>
              <w:ind w:left="-63" w:right="-58"/>
              <w:contextualSpacing/>
              <w:jc w:val="center"/>
              <w:rPr>
                <w:b/>
                <w:bCs/>
                <w:noProof/>
                <w:sz w:val="14"/>
                <w:szCs w:val="14"/>
              </w:rPr>
            </w:pPr>
            <w:r w:rsidRPr="00C16A4F">
              <w:rPr>
                <w:rFonts w:eastAsia="Calibri"/>
                <w:b/>
                <w:bCs/>
                <w:noProof/>
                <w:sz w:val="14"/>
                <w:szCs w:val="14"/>
              </w:rPr>
              <w:t>Category</w:t>
            </w:r>
          </w:p>
        </w:tc>
        <w:tc>
          <w:tcPr>
            <w:tcW w:w="701" w:type="pct"/>
            <w:gridSpan w:val="2"/>
            <w:shd w:val="clear" w:color="auto" w:fill="auto"/>
            <w:tcMar>
              <w:top w:w="57" w:type="dxa"/>
              <w:left w:w="57" w:type="dxa"/>
              <w:bottom w:w="57" w:type="dxa"/>
              <w:right w:w="57" w:type="dxa"/>
            </w:tcMar>
          </w:tcPr>
          <w:p w14:paraId="130B82A3" w14:textId="77777777" w:rsidR="00E67E6A" w:rsidRPr="00C16A4F" w:rsidRDefault="00E67E6A" w:rsidP="009030C5">
            <w:pPr>
              <w:spacing w:before="120"/>
              <w:contextualSpacing/>
              <w:jc w:val="center"/>
              <w:rPr>
                <w:b/>
                <w:bCs/>
                <w:noProof/>
                <w:sz w:val="14"/>
                <w:szCs w:val="14"/>
              </w:rPr>
            </w:pPr>
            <w:r w:rsidRPr="00C16A4F">
              <w:rPr>
                <w:b/>
                <w:bCs/>
                <w:noProof/>
                <w:sz w:val="14"/>
                <w:szCs w:val="14"/>
              </w:rPr>
              <w:t>OECD Test Guideline 437</w:t>
            </w:r>
            <w:r w:rsidRPr="00C16A4F">
              <w:rPr>
                <w:b/>
                <w:bCs/>
                <w:noProof/>
                <w:sz w:val="14"/>
                <w:szCs w:val="14"/>
              </w:rPr>
              <w:br/>
              <w:t>Bovine Corneal Opacity and Permeability test method</w:t>
            </w:r>
          </w:p>
        </w:tc>
        <w:tc>
          <w:tcPr>
            <w:tcW w:w="630" w:type="pct"/>
            <w:shd w:val="clear" w:color="auto" w:fill="auto"/>
            <w:tcMar>
              <w:top w:w="57" w:type="dxa"/>
              <w:left w:w="57" w:type="dxa"/>
              <w:bottom w:w="57" w:type="dxa"/>
              <w:right w:w="57" w:type="dxa"/>
            </w:tcMar>
          </w:tcPr>
          <w:p w14:paraId="3B9F6063" w14:textId="77777777" w:rsidR="00E67E6A" w:rsidRPr="00C16A4F" w:rsidRDefault="00E67E6A" w:rsidP="009030C5">
            <w:pPr>
              <w:spacing w:before="120"/>
              <w:contextualSpacing/>
              <w:jc w:val="center"/>
              <w:rPr>
                <w:b/>
                <w:bCs/>
                <w:noProof/>
                <w:sz w:val="14"/>
                <w:szCs w:val="14"/>
              </w:rPr>
            </w:pPr>
            <w:r w:rsidRPr="00C16A4F">
              <w:rPr>
                <w:b/>
                <w:bCs/>
                <w:noProof/>
                <w:sz w:val="14"/>
                <w:szCs w:val="14"/>
              </w:rPr>
              <w:t>OECD Test Guideline 438</w:t>
            </w:r>
            <w:r w:rsidRPr="00C16A4F">
              <w:rPr>
                <w:b/>
                <w:bCs/>
                <w:noProof/>
                <w:sz w:val="14"/>
                <w:szCs w:val="14"/>
              </w:rPr>
              <w:br/>
              <w:t>Isolated Chicken Eye test method</w:t>
            </w:r>
          </w:p>
        </w:tc>
        <w:tc>
          <w:tcPr>
            <w:tcW w:w="650" w:type="pct"/>
          </w:tcPr>
          <w:p w14:paraId="6C418024" w14:textId="77777777" w:rsidR="00E67E6A" w:rsidRPr="00C16A4F" w:rsidRDefault="00E67E6A" w:rsidP="009030C5">
            <w:pPr>
              <w:spacing w:before="120"/>
              <w:contextualSpacing/>
              <w:jc w:val="center"/>
              <w:rPr>
                <w:b/>
                <w:bCs/>
                <w:noProof/>
                <w:sz w:val="14"/>
                <w:szCs w:val="14"/>
              </w:rPr>
            </w:pPr>
            <w:r w:rsidRPr="00C16A4F">
              <w:rPr>
                <w:b/>
                <w:bCs/>
                <w:noProof/>
                <w:sz w:val="14"/>
                <w:szCs w:val="14"/>
              </w:rPr>
              <w:t>OECD Test Guideline 460</w:t>
            </w:r>
            <w:r w:rsidRPr="00C16A4F">
              <w:rPr>
                <w:b/>
                <w:bCs/>
                <w:noProof/>
                <w:sz w:val="14"/>
                <w:szCs w:val="14"/>
              </w:rPr>
              <w:br/>
              <w:t>Fluorescein Leakage test method</w:t>
            </w:r>
          </w:p>
        </w:tc>
        <w:tc>
          <w:tcPr>
            <w:tcW w:w="622" w:type="pct"/>
            <w:shd w:val="clear" w:color="auto" w:fill="auto"/>
            <w:tcMar>
              <w:top w:w="57" w:type="dxa"/>
              <w:left w:w="57" w:type="dxa"/>
              <w:bottom w:w="57" w:type="dxa"/>
              <w:right w:w="57" w:type="dxa"/>
            </w:tcMar>
          </w:tcPr>
          <w:p w14:paraId="27DDDE8A" w14:textId="77777777" w:rsidR="00E67E6A" w:rsidRPr="00C16A4F" w:rsidRDefault="00E67E6A" w:rsidP="009030C5">
            <w:pPr>
              <w:spacing w:before="120"/>
              <w:contextualSpacing/>
              <w:jc w:val="center"/>
              <w:rPr>
                <w:b/>
                <w:bCs/>
                <w:noProof/>
                <w:sz w:val="14"/>
                <w:szCs w:val="14"/>
              </w:rPr>
            </w:pPr>
            <w:r w:rsidRPr="00C16A4F">
              <w:rPr>
                <w:b/>
                <w:bCs/>
                <w:noProof/>
                <w:sz w:val="14"/>
                <w:szCs w:val="14"/>
              </w:rPr>
              <w:t>OECD Test Guideline 491</w:t>
            </w:r>
          </w:p>
          <w:p w14:paraId="05AF188C" w14:textId="77777777" w:rsidR="00E67E6A" w:rsidRPr="00C16A4F" w:rsidRDefault="00E67E6A" w:rsidP="009030C5">
            <w:pPr>
              <w:spacing w:before="120"/>
              <w:contextualSpacing/>
              <w:jc w:val="center"/>
              <w:rPr>
                <w:b/>
                <w:bCs/>
                <w:noProof/>
                <w:sz w:val="14"/>
                <w:szCs w:val="14"/>
              </w:rPr>
            </w:pPr>
            <w:r w:rsidRPr="00C16A4F">
              <w:rPr>
                <w:b/>
                <w:bCs/>
                <w:noProof/>
                <w:sz w:val="14"/>
                <w:szCs w:val="14"/>
              </w:rPr>
              <w:t>Short Time Exposure test method</w:t>
            </w:r>
          </w:p>
        </w:tc>
        <w:tc>
          <w:tcPr>
            <w:tcW w:w="1001" w:type="pct"/>
            <w:gridSpan w:val="4"/>
            <w:shd w:val="clear" w:color="auto" w:fill="auto"/>
            <w:tcMar>
              <w:top w:w="57" w:type="dxa"/>
              <w:left w:w="57" w:type="dxa"/>
              <w:bottom w:w="57" w:type="dxa"/>
              <w:right w:w="57" w:type="dxa"/>
            </w:tcMar>
          </w:tcPr>
          <w:p w14:paraId="294D601E" w14:textId="77777777" w:rsidR="00E67E6A" w:rsidRPr="00C16A4F" w:rsidRDefault="00E67E6A" w:rsidP="009030C5">
            <w:pPr>
              <w:spacing w:before="120"/>
              <w:contextualSpacing/>
              <w:jc w:val="center"/>
              <w:rPr>
                <w:b/>
                <w:bCs/>
                <w:noProof/>
                <w:sz w:val="14"/>
                <w:szCs w:val="14"/>
              </w:rPr>
            </w:pPr>
            <w:r w:rsidRPr="00C16A4F">
              <w:rPr>
                <w:b/>
                <w:bCs/>
                <w:noProof/>
                <w:sz w:val="14"/>
                <w:szCs w:val="14"/>
              </w:rPr>
              <w:t>OECD Test Guideline 492</w:t>
            </w:r>
            <w:r w:rsidRPr="00C16A4F">
              <w:rPr>
                <w:b/>
                <w:bCs/>
                <w:noProof/>
                <w:sz w:val="14"/>
                <w:szCs w:val="14"/>
              </w:rPr>
              <w:br/>
              <w:t>Reconstructed human Cornea-like Epithelium (RhCE)-based test methods: Methods 1, 2, 3 and 4 as numbered in Annex II of OECD Test Guideline 492</w:t>
            </w:r>
          </w:p>
        </w:tc>
        <w:tc>
          <w:tcPr>
            <w:tcW w:w="455" w:type="pct"/>
          </w:tcPr>
          <w:p w14:paraId="186D2DA7" w14:textId="77777777" w:rsidR="00E67E6A" w:rsidRPr="00C16A4F" w:rsidRDefault="00E67E6A" w:rsidP="009030C5">
            <w:pPr>
              <w:spacing w:before="120"/>
              <w:contextualSpacing/>
              <w:jc w:val="center"/>
              <w:rPr>
                <w:b/>
                <w:bCs/>
                <w:noProof/>
                <w:sz w:val="14"/>
                <w:szCs w:val="14"/>
              </w:rPr>
            </w:pPr>
            <w:r w:rsidRPr="00C16A4F">
              <w:rPr>
                <w:b/>
                <w:bCs/>
                <w:noProof/>
                <w:sz w:val="14"/>
                <w:szCs w:val="14"/>
              </w:rPr>
              <w:t>OECD Test Guideline 494</w:t>
            </w:r>
          </w:p>
          <w:p w14:paraId="2F7D0F79" w14:textId="77777777" w:rsidR="00E67E6A" w:rsidRPr="00C16A4F" w:rsidRDefault="00E67E6A" w:rsidP="009030C5">
            <w:pPr>
              <w:spacing w:before="120"/>
              <w:contextualSpacing/>
              <w:jc w:val="center"/>
              <w:rPr>
                <w:b/>
                <w:bCs/>
                <w:noProof/>
                <w:sz w:val="14"/>
                <w:szCs w:val="14"/>
              </w:rPr>
            </w:pPr>
            <w:r w:rsidRPr="00C16A4F">
              <w:rPr>
                <w:b/>
                <w:bCs/>
                <w:noProof/>
                <w:sz w:val="14"/>
                <w:szCs w:val="14"/>
              </w:rPr>
              <w:t xml:space="preserve">Vitrigel-Eye Irritancy Test Method </w:t>
            </w:r>
          </w:p>
        </w:tc>
        <w:tc>
          <w:tcPr>
            <w:tcW w:w="692" w:type="pct"/>
          </w:tcPr>
          <w:p w14:paraId="6BC76A73" w14:textId="77777777" w:rsidR="00E67E6A" w:rsidRPr="00C16A4F" w:rsidRDefault="00E67E6A" w:rsidP="009030C5">
            <w:pPr>
              <w:spacing w:before="120"/>
              <w:contextualSpacing/>
              <w:jc w:val="center"/>
              <w:rPr>
                <w:b/>
                <w:bCs/>
                <w:noProof/>
                <w:sz w:val="14"/>
                <w:szCs w:val="14"/>
              </w:rPr>
            </w:pPr>
            <w:bookmarkStart w:id="13" w:name="_Hlk69886218"/>
            <w:r w:rsidRPr="00C16A4F">
              <w:rPr>
                <w:b/>
                <w:bCs/>
                <w:noProof/>
                <w:sz w:val="14"/>
                <w:szCs w:val="14"/>
              </w:rPr>
              <w:t>OECD Test Guideline 496</w:t>
            </w:r>
          </w:p>
          <w:p w14:paraId="5C4BA148" w14:textId="713F5D6B" w:rsidR="00E67E6A" w:rsidRPr="00C16A4F" w:rsidRDefault="00E67E6A" w:rsidP="009030C5">
            <w:pPr>
              <w:spacing w:before="120"/>
              <w:contextualSpacing/>
              <w:jc w:val="center"/>
              <w:rPr>
                <w:b/>
                <w:bCs/>
                <w:noProof/>
                <w:sz w:val="14"/>
                <w:szCs w:val="14"/>
              </w:rPr>
            </w:pPr>
            <w:r w:rsidRPr="00C16A4F">
              <w:rPr>
                <w:b/>
                <w:bCs/>
                <w:i/>
                <w:noProof/>
                <w:sz w:val="14"/>
                <w:szCs w:val="14"/>
              </w:rPr>
              <w:t>In vitro</w:t>
            </w:r>
            <w:r w:rsidRPr="00C16A4F">
              <w:rPr>
                <w:b/>
                <w:bCs/>
                <w:noProof/>
                <w:sz w:val="14"/>
                <w:szCs w:val="14"/>
              </w:rPr>
              <w:t xml:space="preserve"> Macromolecular Test Method </w:t>
            </w:r>
            <w:r w:rsidR="00E26F1A" w:rsidRPr="00C16A4F">
              <w:rPr>
                <w:b/>
                <w:bCs/>
                <w:noProof/>
                <w:sz w:val="14"/>
                <w:szCs w:val="14"/>
              </w:rPr>
              <w:br/>
            </w:r>
            <w:r w:rsidRPr="00C16A4F">
              <w:rPr>
                <w:b/>
                <w:bCs/>
                <w:noProof/>
                <w:sz w:val="14"/>
                <w:szCs w:val="14"/>
              </w:rPr>
              <w:t>(test method 1)</w:t>
            </w:r>
            <w:bookmarkEnd w:id="13"/>
          </w:p>
        </w:tc>
      </w:tr>
      <w:tr w:rsidR="00C16A4F" w:rsidRPr="00C16A4F" w14:paraId="1508E95F" w14:textId="77777777" w:rsidTr="00E82E57">
        <w:trPr>
          <w:jc w:val="center"/>
        </w:trPr>
        <w:tc>
          <w:tcPr>
            <w:tcW w:w="249" w:type="pct"/>
            <w:shd w:val="clear" w:color="auto" w:fill="auto"/>
            <w:tcMar>
              <w:top w:w="57" w:type="dxa"/>
              <w:left w:w="57" w:type="dxa"/>
              <w:bottom w:w="57" w:type="dxa"/>
              <w:right w:w="57" w:type="dxa"/>
            </w:tcMar>
          </w:tcPr>
          <w:p w14:paraId="627B99D3" w14:textId="77777777" w:rsidR="00E67E6A" w:rsidRPr="00C16A4F" w:rsidRDefault="00E67E6A" w:rsidP="009A093F">
            <w:pPr>
              <w:spacing w:before="120"/>
              <w:ind w:left="-63" w:right="-58"/>
              <w:contextualSpacing/>
              <w:jc w:val="center"/>
              <w:rPr>
                <w:rFonts w:eastAsia="Calibri"/>
                <w:b/>
                <w:bCs/>
                <w:noProof/>
                <w:sz w:val="14"/>
                <w:szCs w:val="14"/>
              </w:rPr>
            </w:pPr>
          </w:p>
        </w:tc>
        <w:tc>
          <w:tcPr>
            <w:tcW w:w="701" w:type="pct"/>
            <w:gridSpan w:val="2"/>
            <w:shd w:val="clear" w:color="auto" w:fill="auto"/>
            <w:tcMar>
              <w:top w:w="57" w:type="dxa"/>
              <w:left w:w="57" w:type="dxa"/>
              <w:bottom w:w="57" w:type="dxa"/>
              <w:right w:w="57" w:type="dxa"/>
            </w:tcMar>
          </w:tcPr>
          <w:p w14:paraId="3AC90BD8"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 xml:space="preserve">Organotypic </w:t>
            </w:r>
            <w:r w:rsidRPr="00C16A4F">
              <w:rPr>
                <w:rFonts w:eastAsia="Calibri"/>
                <w:bCs/>
                <w:i/>
                <w:noProof/>
                <w:sz w:val="14"/>
                <w:szCs w:val="14"/>
              </w:rPr>
              <w:t>ex vivo</w:t>
            </w:r>
            <w:r w:rsidRPr="00C16A4F">
              <w:rPr>
                <w:rFonts w:eastAsia="Calibri"/>
                <w:bCs/>
                <w:noProof/>
                <w:sz w:val="14"/>
                <w:szCs w:val="14"/>
              </w:rPr>
              <w:t xml:space="preserve"> assay using isolated corneas from the eyes of freshly slaughtered cattle. Test chemicals are applied to the epithelial surface of the cornea. Damage by the test chemical is assessed by quantitative measurements of:</w:t>
            </w:r>
          </w:p>
          <w:p w14:paraId="4DD82F4A"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 Corneal opacity changes measured using a light transmission opacitometer (opacitometer 1) or a laserlight-based opacitometer (LLBO, opacitometer 2)</w:t>
            </w:r>
          </w:p>
          <w:p w14:paraId="799B1135"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 Permeability (sodium fluorescein dye).</w:t>
            </w:r>
          </w:p>
          <w:p w14:paraId="4CF00A9A" w14:textId="77777777" w:rsidR="00E67E6A" w:rsidRPr="00C16A4F" w:rsidRDefault="00E67E6A" w:rsidP="00E82E57">
            <w:pPr>
              <w:spacing w:before="120"/>
              <w:contextualSpacing/>
              <w:rPr>
                <w:rFonts w:eastAsia="Calibri"/>
                <w:b/>
                <w:bCs/>
                <w:noProof/>
                <w:sz w:val="14"/>
                <w:szCs w:val="14"/>
              </w:rPr>
            </w:pPr>
            <w:r w:rsidRPr="00C16A4F">
              <w:rPr>
                <w:rFonts w:eastAsia="Calibri"/>
                <w:bCs/>
                <w:noProof/>
                <w:sz w:val="14"/>
                <w:szCs w:val="14"/>
              </w:rPr>
              <w:t xml:space="preserve">Both measurements are used to calculate an </w:t>
            </w:r>
            <w:r w:rsidRPr="00C16A4F">
              <w:rPr>
                <w:rFonts w:eastAsia="Calibri"/>
                <w:bCs/>
                <w:i/>
                <w:noProof/>
                <w:sz w:val="14"/>
                <w:szCs w:val="14"/>
              </w:rPr>
              <w:t>In Vitro</w:t>
            </w:r>
            <w:r w:rsidRPr="00C16A4F">
              <w:rPr>
                <w:rFonts w:eastAsia="Calibri"/>
                <w:bCs/>
                <w:noProof/>
                <w:sz w:val="14"/>
                <w:szCs w:val="14"/>
              </w:rPr>
              <w:t xml:space="preserve"> Irritancy Score (IVIS) when using opocitometer 1 or a LLBO Irritancy Score (LIS) when using opacitometer 2.</w:t>
            </w:r>
          </w:p>
          <w:p w14:paraId="2FD38299" w14:textId="77777777" w:rsidR="00E67E6A" w:rsidRPr="00C16A4F" w:rsidRDefault="00E67E6A" w:rsidP="00E82E57">
            <w:pPr>
              <w:spacing w:before="120"/>
              <w:contextualSpacing/>
              <w:rPr>
                <w:rFonts w:eastAsia="Calibri"/>
                <w:bCs/>
                <w:noProof/>
                <w:sz w:val="14"/>
                <w:szCs w:val="14"/>
              </w:rPr>
            </w:pPr>
            <w:r w:rsidRPr="00C16A4F">
              <w:rPr>
                <w:rFonts w:eastAsia="Calibri"/>
                <w:b/>
                <w:bCs/>
                <w:noProof/>
                <w:sz w:val="14"/>
                <w:szCs w:val="14"/>
              </w:rPr>
              <w:t>Criteria based on IVIS or LIS.</w:t>
            </w:r>
          </w:p>
        </w:tc>
        <w:tc>
          <w:tcPr>
            <w:tcW w:w="630" w:type="pct"/>
            <w:shd w:val="clear" w:color="auto" w:fill="auto"/>
          </w:tcPr>
          <w:p w14:paraId="6045FA73"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 xml:space="preserve">Organotypic </w:t>
            </w:r>
            <w:r w:rsidRPr="00C16A4F">
              <w:rPr>
                <w:rFonts w:eastAsia="Calibri"/>
                <w:bCs/>
                <w:i/>
                <w:noProof/>
                <w:sz w:val="14"/>
                <w:szCs w:val="14"/>
              </w:rPr>
              <w:t>ex vivo</w:t>
            </w:r>
            <w:r w:rsidRPr="00C16A4F">
              <w:rPr>
                <w:rFonts w:eastAsia="Calibri"/>
                <w:bCs/>
                <w:noProof/>
                <w:sz w:val="14"/>
                <w:szCs w:val="14"/>
              </w:rPr>
              <w:t xml:space="preserve"> assay based on the short-term maintenance of chicken eyes </w:t>
            </w:r>
            <w:r w:rsidRPr="00C16A4F">
              <w:rPr>
                <w:rFonts w:eastAsia="Calibri"/>
                <w:bCs/>
                <w:i/>
                <w:noProof/>
                <w:sz w:val="14"/>
                <w:szCs w:val="14"/>
              </w:rPr>
              <w:t>in vitro</w:t>
            </w:r>
            <w:r w:rsidRPr="00C16A4F">
              <w:rPr>
                <w:rFonts w:eastAsia="Calibri"/>
                <w:bCs/>
                <w:noProof/>
                <w:sz w:val="14"/>
                <w:szCs w:val="14"/>
              </w:rPr>
              <w:t xml:space="preserve">. Test chemicals are applied to the epithelial surface of the cornea. Damage by the test chemical is assessed by (i) a quantitative measurement of increased corneal thickness (swelling), (ii) a qualitative assessment of corneal opacity, (iii) a qualitative assessment of damage to epithelium based on application of fluorescein to the eye, and (iv) a qualitative evaluation of macroscopic morphological damage to the surface. Histopathology can be used to increase the sensitivity of the method for identifying Category 1 non-extreme pH (2 &lt; pH &lt; 11.5) detergents and surfactants. </w:t>
            </w:r>
            <w:r w:rsidRPr="00C16A4F">
              <w:rPr>
                <w:rFonts w:eastAsia="Calibri"/>
                <w:bCs/>
                <w:noProof/>
                <w:sz w:val="14"/>
                <w:szCs w:val="14"/>
                <w:vertAlign w:val="superscript"/>
              </w:rPr>
              <w:t>b</w:t>
            </w:r>
          </w:p>
          <w:p w14:paraId="77A609EE" w14:textId="77777777" w:rsidR="00E67E6A" w:rsidRPr="00C16A4F" w:rsidRDefault="00E67E6A" w:rsidP="00E82E57">
            <w:pPr>
              <w:spacing w:before="120"/>
              <w:contextualSpacing/>
              <w:rPr>
                <w:rFonts w:eastAsia="Calibri"/>
                <w:bCs/>
                <w:noProof/>
                <w:sz w:val="14"/>
                <w:szCs w:val="14"/>
              </w:rPr>
            </w:pPr>
            <w:r w:rsidRPr="00C16A4F">
              <w:rPr>
                <w:rFonts w:eastAsia="Calibri"/>
                <w:b/>
                <w:bCs/>
                <w:noProof/>
                <w:sz w:val="14"/>
                <w:szCs w:val="14"/>
              </w:rPr>
              <w:t xml:space="preserve">Criteria based on the scores of corneal swelling, opacity and fluorescein retention, which are used to assign ICE classes (I, II, III or IV) to each endpoint, and on macroscopic and histopathology assessment </w:t>
            </w:r>
            <w:r w:rsidRPr="00C16A4F">
              <w:rPr>
                <w:rFonts w:eastAsia="Calibri"/>
                <w:b/>
                <w:bCs/>
                <w:noProof/>
                <w:sz w:val="14"/>
                <w:szCs w:val="14"/>
                <w:vertAlign w:val="superscript"/>
              </w:rPr>
              <w:t>b</w:t>
            </w:r>
          </w:p>
        </w:tc>
        <w:tc>
          <w:tcPr>
            <w:tcW w:w="650" w:type="pct"/>
          </w:tcPr>
          <w:p w14:paraId="37D7EED7" w14:textId="77777777" w:rsidR="00E67E6A" w:rsidRPr="00C16A4F" w:rsidRDefault="00E67E6A" w:rsidP="00E82E57">
            <w:pPr>
              <w:spacing w:before="120"/>
              <w:contextualSpacing/>
              <w:rPr>
                <w:rFonts w:eastAsia="Calibri"/>
                <w:b/>
                <w:bCs/>
                <w:noProof/>
                <w:sz w:val="14"/>
                <w:szCs w:val="14"/>
              </w:rPr>
            </w:pPr>
            <w:r w:rsidRPr="00C16A4F">
              <w:rPr>
                <w:rFonts w:eastAsia="Calibri"/>
                <w:bCs/>
                <w:noProof/>
                <w:sz w:val="14"/>
                <w:szCs w:val="14"/>
              </w:rPr>
              <w:t xml:space="preserve">Cytotoxicity and cell-function based </w:t>
            </w:r>
            <w:r w:rsidRPr="00C16A4F">
              <w:rPr>
                <w:rFonts w:eastAsia="Calibri"/>
                <w:bCs/>
                <w:i/>
                <w:noProof/>
                <w:sz w:val="14"/>
                <w:szCs w:val="14"/>
              </w:rPr>
              <w:t>in vitro</w:t>
            </w:r>
            <w:r w:rsidRPr="00C16A4F">
              <w:rPr>
                <w:rFonts w:eastAsia="Calibri"/>
                <w:bCs/>
                <w:noProof/>
                <w:sz w:val="14"/>
                <w:szCs w:val="14"/>
              </w:rPr>
              <w:t xml:space="preserve"> assay that is performed on a confluent monolayer of Madin-Darby Canine Kidney (MDCK) CB997 tubular epithelial cells cultured on permeable inserts. The toxic effects of a test chemical are measured after a short exposure time (1 minute) by an increase in permeability of sodium fluorescein through the epithelial monolayer of MDCK cells. The amount of fluorescein leakage that occurs is proportional to the chemical-induced damage to the tight junctions, desmosomal junctions and cell membranes, and is used to estimate the ocular toxicity potential of a test chemical.</w:t>
            </w:r>
            <w:r w:rsidRPr="00C16A4F">
              <w:rPr>
                <w:rFonts w:eastAsia="Calibri"/>
                <w:b/>
                <w:bCs/>
                <w:noProof/>
                <w:sz w:val="14"/>
                <w:szCs w:val="14"/>
              </w:rPr>
              <w:t xml:space="preserve"> </w:t>
            </w:r>
          </w:p>
          <w:p w14:paraId="71F27FD9" w14:textId="77777777" w:rsidR="00E67E6A" w:rsidRPr="00C16A4F" w:rsidRDefault="00E67E6A" w:rsidP="00E82E57">
            <w:pPr>
              <w:spacing w:before="120"/>
              <w:contextualSpacing/>
              <w:rPr>
                <w:rFonts w:eastAsia="Calibri"/>
                <w:bCs/>
                <w:noProof/>
                <w:sz w:val="14"/>
                <w:szCs w:val="14"/>
              </w:rPr>
            </w:pPr>
            <w:r w:rsidRPr="00C16A4F">
              <w:rPr>
                <w:rFonts w:eastAsia="Calibri"/>
                <w:b/>
                <w:bCs/>
                <w:noProof/>
                <w:sz w:val="14"/>
                <w:szCs w:val="14"/>
              </w:rPr>
              <w:t>Criteria based on mean percent fluorescein leakage following a defined exposure period</w:t>
            </w:r>
            <w:r w:rsidRPr="00C16A4F">
              <w:rPr>
                <w:rFonts w:eastAsia="Calibri"/>
                <w:bCs/>
                <w:noProof/>
                <w:sz w:val="14"/>
                <w:szCs w:val="14"/>
              </w:rPr>
              <w:t xml:space="preserve"> </w:t>
            </w:r>
          </w:p>
        </w:tc>
        <w:tc>
          <w:tcPr>
            <w:tcW w:w="622" w:type="pct"/>
            <w:shd w:val="clear" w:color="auto" w:fill="auto"/>
            <w:tcMar>
              <w:top w:w="57" w:type="dxa"/>
              <w:left w:w="57" w:type="dxa"/>
              <w:bottom w:w="57" w:type="dxa"/>
              <w:right w:w="57" w:type="dxa"/>
            </w:tcMar>
          </w:tcPr>
          <w:p w14:paraId="7F1FAE8D" w14:textId="77777777" w:rsidR="00E67E6A" w:rsidRPr="00C16A4F" w:rsidRDefault="00E67E6A" w:rsidP="00E82E57">
            <w:pPr>
              <w:spacing w:before="120"/>
              <w:contextualSpacing/>
              <w:rPr>
                <w:sz w:val="14"/>
                <w:szCs w:val="14"/>
              </w:rPr>
            </w:pPr>
            <w:r w:rsidRPr="00C16A4F">
              <w:rPr>
                <w:rFonts w:eastAsia="Calibri"/>
                <w:bCs/>
                <w:noProof/>
                <w:sz w:val="14"/>
                <w:szCs w:val="14"/>
              </w:rPr>
              <w:t xml:space="preserve">Cytotoxicity-based </w:t>
            </w:r>
            <w:r w:rsidRPr="00C16A4F">
              <w:rPr>
                <w:rFonts w:eastAsia="Calibri"/>
                <w:bCs/>
                <w:i/>
                <w:noProof/>
                <w:sz w:val="14"/>
                <w:szCs w:val="14"/>
              </w:rPr>
              <w:t>in vitro</w:t>
            </w:r>
            <w:r w:rsidRPr="00C16A4F">
              <w:rPr>
                <w:rFonts w:eastAsia="Calibri"/>
                <w:bCs/>
                <w:noProof/>
                <w:sz w:val="14"/>
                <w:szCs w:val="14"/>
              </w:rPr>
              <w:t xml:space="preserve"> assay that is performed on a confluent monolayer of Statens Seruminstitut Rabbit Cornea (SIRC) cells. Each test chemical is tested at both 5 % and 0.05 % concentrations. Following five-minute exposure, cell viability is assessed by the enzymatic conversion in viable cells of the vital dye MTT into a blue formazan salt that is quantitatively measured after extraction from cells.</w:t>
            </w:r>
          </w:p>
          <w:p w14:paraId="7D7847D6" w14:textId="77777777" w:rsidR="00E67E6A" w:rsidRPr="00C16A4F" w:rsidRDefault="00E67E6A" w:rsidP="00E82E57">
            <w:pPr>
              <w:spacing w:before="120"/>
              <w:contextualSpacing/>
              <w:rPr>
                <w:rFonts w:ascii="Times" w:hAnsi="Times" w:cs="Times"/>
                <w:sz w:val="14"/>
                <w:szCs w:val="14"/>
              </w:rPr>
            </w:pPr>
            <w:r w:rsidRPr="00C16A4F">
              <w:rPr>
                <w:rFonts w:eastAsia="Calibri"/>
                <w:b/>
                <w:bCs/>
                <w:noProof/>
                <w:sz w:val="14"/>
                <w:szCs w:val="14"/>
              </w:rPr>
              <w:t>Criteria based on mean percent cell viability following a defined exposure period</w:t>
            </w:r>
          </w:p>
        </w:tc>
        <w:tc>
          <w:tcPr>
            <w:tcW w:w="1001" w:type="pct"/>
            <w:gridSpan w:val="4"/>
            <w:shd w:val="clear" w:color="auto" w:fill="auto"/>
          </w:tcPr>
          <w:p w14:paraId="0A68DD3F"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Three-dimensional RhCE tissues are reconstructed from either primary human cells or human immortalised corneal epithelial cells, which have been cultured for several days to form a stratified, highly differentiated squamous epithelium, consisting of at least 3 viable layers of cells and a non-keratinised surface, showing a cornea-like structure morphologically similar to that found in the human cornea. Following exposure and post-treatment incubation (where applicable), tissue viability is assessed by the enzymatic conversion in viable cells of the vital dye MTT into a blue formazan salt that is quantitatively measured after extraction from the tissues.</w:t>
            </w:r>
          </w:p>
          <w:p w14:paraId="73FC8124" w14:textId="77777777" w:rsidR="00E67E6A" w:rsidRPr="00C16A4F" w:rsidRDefault="00E67E6A" w:rsidP="00E82E57">
            <w:pPr>
              <w:spacing w:before="120"/>
              <w:contextualSpacing/>
              <w:rPr>
                <w:rFonts w:eastAsia="Calibri"/>
                <w:b/>
                <w:bCs/>
                <w:noProof/>
                <w:sz w:val="14"/>
                <w:szCs w:val="14"/>
              </w:rPr>
            </w:pPr>
            <w:r w:rsidRPr="00C16A4F">
              <w:rPr>
                <w:rFonts w:eastAsia="Calibri"/>
                <w:b/>
                <w:bCs/>
                <w:noProof/>
                <w:sz w:val="14"/>
                <w:szCs w:val="14"/>
              </w:rPr>
              <w:t>Criteria based on mean percent tissue viability following defined exposure and post-exposure (where applicable) periods</w:t>
            </w:r>
          </w:p>
        </w:tc>
        <w:tc>
          <w:tcPr>
            <w:tcW w:w="455" w:type="pct"/>
          </w:tcPr>
          <w:p w14:paraId="35EB7BB0" w14:textId="41DB23D7" w:rsidR="00E67E6A" w:rsidRPr="00C16A4F" w:rsidRDefault="00E67E6A" w:rsidP="00E82E57">
            <w:pPr>
              <w:spacing w:before="120"/>
              <w:contextualSpacing/>
              <w:rPr>
                <w:rFonts w:eastAsia="Calibri"/>
                <w:bCs/>
                <w:noProof/>
                <w:sz w:val="14"/>
                <w:szCs w:val="14"/>
              </w:rPr>
            </w:pPr>
            <w:r w:rsidRPr="00C16A4F">
              <w:rPr>
                <w:rFonts w:eastAsia="Calibri"/>
                <w:bCs/>
                <w:i/>
                <w:noProof/>
                <w:sz w:val="14"/>
                <w:szCs w:val="14"/>
              </w:rPr>
              <w:t>In vitro</w:t>
            </w:r>
            <w:r w:rsidRPr="00C16A4F">
              <w:rPr>
                <w:rFonts w:eastAsia="Calibri"/>
                <w:bCs/>
                <w:noProof/>
                <w:sz w:val="14"/>
                <w:szCs w:val="14"/>
              </w:rPr>
              <w:t xml:space="preserve"> assay using human corneal epithelium models fabricated in a</w:t>
            </w:r>
            <w:r w:rsidR="00E26F1A" w:rsidRPr="00C16A4F">
              <w:rPr>
                <w:rFonts w:eastAsia="Calibri"/>
                <w:bCs/>
                <w:noProof/>
                <w:sz w:val="14"/>
                <w:szCs w:val="14"/>
              </w:rPr>
              <w:t xml:space="preserve"> </w:t>
            </w:r>
            <w:r w:rsidRPr="00C16A4F">
              <w:rPr>
                <w:rFonts w:eastAsia="Calibri"/>
                <w:bCs/>
                <w:noProof/>
                <w:sz w:val="14"/>
                <w:szCs w:val="14"/>
                <w:lang w:val="it-IT"/>
              </w:rPr>
              <w:t xml:space="preserve">collagen vitrigel membrane (CVM) chamber. </w:t>
            </w:r>
            <w:r w:rsidRPr="00C16A4F">
              <w:rPr>
                <w:rFonts w:eastAsia="Calibri"/>
                <w:bCs/>
                <w:noProof/>
                <w:sz w:val="14"/>
                <w:szCs w:val="14"/>
              </w:rPr>
              <w:t>The eye irritation potential of the test</w:t>
            </w:r>
            <w:r w:rsidR="00E26F1A" w:rsidRPr="00C16A4F">
              <w:rPr>
                <w:rFonts w:eastAsia="Calibri"/>
                <w:bCs/>
                <w:noProof/>
                <w:sz w:val="14"/>
                <w:szCs w:val="14"/>
              </w:rPr>
              <w:t xml:space="preserve"> </w:t>
            </w:r>
            <w:r w:rsidRPr="00C16A4F">
              <w:rPr>
                <w:rFonts w:eastAsia="Calibri"/>
                <w:bCs/>
                <w:noProof/>
                <w:sz w:val="14"/>
                <w:szCs w:val="14"/>
              </w:rPr>
              <w:t>chemical is predicted by analysing time-dependent changes in transepithelial electrical resistance values using the value</w:t>
            </w:r>
          </w:p>
          <w:p w14:paraId="25F4EFD2"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 xml:space="preserve">of three indexes. </w:t>
            </w:r>
          </w:p>
          <w:p w14:paraId="40A11FCF"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Resistance values are measured at intervals of 10 seconds for a period of three minutes after exposure to the test chemical</w:t>
            </w:r>
          </w:p>
          <w:p w14:paraId="004E1DD9" w14:textId="77777777" w:rsidR="00E67E6A" w:rsidRPr="00C16A4F" w:rsidRDefault="00E67E6A" w:rsidP="00E82E57">
            <w:pPr>
              <w:spacing w:before="120"/>
              <w:contextualSpacing/>
              <w:rPr>
                <w:rFonts w:eastAsia="Calibri"/>
                <w:bCs/>
                <w:noProof/>
                <w:sz w:val="14"/>
                <w:szCs w:val="14"/>
              </w:rPr>
            </w:pPr>
            <w:r w:rsidRPr="00C16A4F">
              <w:rPr>
                <w:rFonts w:eastAsia="Calibri"/>
                <w:bCs/>
                <w:noProof/>
                <w:sz w:val="14"/>
                <w:szCs w:val="14"/>
              </w:rPr>
              <w:t>preparation.</w:t>
            </w:r>
          </w:p>
          <w:p w14:paraId="4FDBB28C" w14:textId="77777777" w:rsidR="00E67E6A" w:rsidRPr="00C16A4F" w:rsidRDefault="00E67E6A" w:rsidP="00E82E57">
            <w:pPr>
              <w:spacing w:before="120"/>
              <w:contextualSpacing/>
              <w:rPr>
                <w:rFonts w:eastAsia="Calibri"/>
                <w:bCs/>
                <w:noProof/>
                <w:sz w:val="14"/>
                <w:szCs w:val="14"/>
              </w:rPr>
            </w:pPr>
            <w:r w:rsidRPr="00C16A4F">
              <w:rPr>
                <w:rFonts w:eastAsia="Calibri"/>
                <w:b/>
                <w:bCs/>
                <w:noProof/>
                <w:sz w:val="14"/>
                <w:szCs w:val="14"/>
              </w:rPr>
              <w:t>Criteria based on the 3 measured indexes: time lag, intensity and plateau level of electrical resistance</w:t>
            </w:r>
            <w:r w:rsidRPr="00C16A4F">
              <w:rPr>
                <w:rFonts w:eastAsia="Calibri"/>
                <w:bCs/>
                <w:noProof/>
                <w:sz w:val="14"/>
                <w:szCs w:val="14"/>
              </w:rPr>
              <w:t>.</w:t>
            </w:r>
          </w:p>
        </w:tc>
        <w:tc>
          <w:tcPr>
            <w:tcW w:w="692" w:type="pct"/>
          </w:tcPr>
          <w:p w14:paraId="3A5D7EDA" w14:textId="64613546" w:rsidR="00E67E6A" w:rsidRPr="00C16A4F" w:rsidRDefault="00E67E6A" w:rsidP="00E82E57">
            <w:pPr>
              <w:spacing w:before="120"/>
              <w:contextualSpacing/>
              <w:rPr>
                <w:rFonts w:eastAsia="Calibri"/>
                <w:bCs/>
                <w:noProof/>
                <w:sz w:val="14"/>
                <w:szCs w:val="14"/>
              </w:rPr>
            </w:pPr>
            <w:r w:rsidRPr="00C16A4F">
              <w:rPr>
                <w:rFonts w:eastAsia="Calibri"/>
                <w:bCs/>
                <w:i/>
                <w:noProof/>
                <w:sz w:val="14"/>
                <w:szCs w:val="14"/>
              </w:rPr>
              <w:t>In vitro</w:t>
            </w:r>
            <w:r w:rsidRPr="00C16A4F">
              <w:rPr>
                <w:rFonts w:eastAsia="Calibri"/>
                <w:bCs/>
                <w:noProof/>
                <w:sz w:val="14"/>
                <w:szCs w:val="14"/>
              </w:rPr>
              <w:t xml:space="preserve"> assay consisting of a macromolecular plant-based matrix obtained from jack bean </w:t>
            </w:r>
            <w:r w:rsidRPr="00C16A4F">
              <w:rPr>
                <w:rFonts w:eastAsia="Calibri"/>
                <w:bCs/>
                <w:i/>
                <w:noProof/>
                <w:sz w:val="14"/>
                <w:szCs w:val="14"/>
              </w:rPr>
              <w:t>Canavalis enisformis</w:t>
            </w:r>
            <w:r w:rsidRPr="00C16A4F">
              <w:rPr>
                <w:rFonts w:eastAsia="Calibri"/>
                <w:bCs/>
                <w:noProof/>
                <w:sz w:val="14"/>
                <w:szCs w:val="14"/>
              </w:rPr>
              <w:t xml:space="preserve">. This matrix serves as the target for the test chemical and is composed of a mixture of proteins, glycoproteins, carbohydrates, lipids and low molecular weight components, which form a highly ordered and transparent gel structure upon rehydration. Test chemicals causing ocular damage lead to the disruption and disaggregation of the highly </w:t>
            </w:r>
            <w:bookmarkStart w:id="14" w:name="_Hlk69886265"/>
            <w:r w:rsidR="00371BC2" w:rsidRPr="00C16A4F">
              <w:rPr>
                <w:rFonts w:eastAsia="Calibri"/>
                <w:bCs/>
                <w:noProof/>
                <w:sz w:val="14"/>
                <w:szCs w:val="14"/>
              </w:rPr>
              <w:t xml:space="preserve">organized </w:t>
            </w:r>
            <w:bookmarkEnd w:id="14"/>
            <w:r w:rsidRPr="00C16A4F">
              <w:rPr>
                <w:rFonts w:eastAsia="Calibri"/>
                <w:bCs/>
                <w:noProof/>
                <w:sz w:val="14"/>
                <w:szCs w:val="14"/>
              </w:rPr>
              <w:t>macromolecular reagent matrix, and produce turbidity of the macromolecular reagent. Such phenomena is quantified, by measuring changes in light scattering.</w:t>
            </w:r>
          </w:p>
          <w:p w14:paraId="2FD838D4" w14:textId="77777777" w:rsidR="00E67E6A" w:rsidRPr="00C16A4F" w:rsidRDefault="00E67E6A" w:rsidP="00E82E57">
            <w:pPr>
              <w:spacing w:before="120"/>
              <w:contextualSpacing/>
              <w:rPr>
                <w:rFonts w:eastAsia="Calibri"/>
                <w:b/>
                <w:bCs/>
                <w:noProof/>
                <w:sz w:val="14"/>
                <w:szCs w:val="14"/>
              </w:rPr>
            </w:pPr>
            <w:r w:rsidRPr="00C16A4F">
              <w:rPr>
                <w:rFonts w:eastAsia="Calibri"/>
                <w:b/>
                <w:bCs/>
                <w:noProof/>
                <w:sz w:val="14"/>
                <w:szCs w:val="14"/>
              </w:rPr>
              <w:t>Criteria based on a Maximum Qualified Score (MQS) derived from the Optical Density readings at different concentrations, calculated via a software.</w:t>
            </w:r>
          </w:p>
        </w:tc>
      </w:tr>
      <w:tr w:rsidR="00C16A4F" w:rsidRPr="00C16A4F" w14:paraId="0F7CD518" w14:textId="77777777" w:rsidTr="00E82E57">
        <w:trPr>
          <w:trHeight w:val="1454"/>
          <w:jc w:val="center"/>
        </w:trPr>
        <w:tc>
          <w:tcPr>
            <w:tcW w:w="249" w:type="pct"/>
            <w:shd w:val="clear" w:color="auto" w:fill="auto"/>
            <w:tcMar>
              <w:top w:w="57" w:type="dxa"/>
              <w:left w:w="57" w:type="dxa"/>
              <w:bottom w:w="57" w:type="dxa"/>
              <w:right w:w="57" w:type="dxa"/>
            </w:tcMar>
          </w:tcPr>
          <w:p w14:paraId="11ED9883" w14:textId="77777777" w:rsidR="00E67E6A" w:rsidRPr="00C16A4F" w:rsidRDefault="00E67E6A" w:rsidP="009A093F">
            <w:pPr>
              <w:spacing w:before="120"/>
              <w:ind w:left="-63" w:right="-58"/>
              <w:contextualSpacing/>
              <w:jc w:val="center"/>
              <w:rPr>
                <w:rFonts w:eastAsia="Calibri"/>
                <w:b/>
                <w:bCs/>
                <w:noProof/>
                <w:sz w:val="16"/>
                <w:szCs w:val="16"/>
              </w:rPr>
            </w:pPr>
            <w:r w:rsidRPr="00C16A4F">
              <w:rPr>
                <w:rFonts w:eastAsia="Calibri"/>
                <w:b/>
                <w:bCs/>
                <w:noProof/>
                <w:sz w:val="16"/>
                <w:szCs w:val="16"/>
              </w:rPr>
              <w:t>1</w:t>
            </w:r>
          </w:p>
        </w:tc>
        <w:tc>
          <w:tcPr>
            <w:tcW w:w="350" w:type="pct"/>
            <w:shd w:val="clear" w:color="auto" w:fill="auto"/>
            <w:tcMar>
              <w:top w:w="57" w:type="dxa"/>
              <w:left w:w="57" w:type="dxa"/>
              <w:bottom w:w="57" w:type="dxa"/>
              <w:right w:w="57" w:type="dxa"/>
            </w:tcMar>
          </w:tcPr>
          <w:p w14:paraId="63009980"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Opacitometer 1</w:t>
            </w:r>
          </w:p>
          <w:p w14:paraId="67E44697" w14:textId="3F140C06" w:rsidR="00E67E6A" w:rsidRPr="00C16A4F" w:rsidRDefault="00E67E6A" w:rsidP="001E4AEC">
            <w:pPr>
              <w:spacing w:before="120"/>
              <w:contextualSpacing/>
              <w:jc w:val="center"/>
              <w:rPr>
                <w:bCs/>
                <w:noProof/>
                <w:sz w:val="16"/>
                <w:szCs w:val="16"/>
              </w:rPr>
            </w:pPr>
            <w:r w:rsidRPr="00C16A4F">
              <w:rPr>
                <w:rFonts w:eastAsia="Calibri"/>
                <w:bCs/>
                <w:noProof/>
                <w:sz w:val="16"/>
                <w:szCs w:val="16"/>
              </w:rPr>
              <w:t>IVIS &gt; 55</w:t>
            </w:r>
          </w:p>
        </w:tc>
        <w:tc>
          <w:tcPr>
            <w:tcW w:w="351" w:type="pct"/>
            <w:shd w:val="clear" w:color="auto" w:fill="auto"/>
          </w:tcPr>
          <w:p w14:paraId="3B74F7D5" w14:textId="77777777" w:rsidR="00E67E6A" w:rsidRPr="00C16A4F" w:rsidRDefault="00E67E6A" w:rsidP="009030C5">
            <w:pPr>
              <w:tabs>
                <w:tab w:val="left" w:pos="568"/>
              </w:tabs>
              <w:contextualSpacing/>
              <w:jc w:val="center"/>
              <w:rPr>
                <w:rFonts w:eastAsia="Calibri"/>
                <w:bCs/>
                <w:noProof/>
                <w:sz w:val="16"/>
                <w:szCs w:val="16"/>
              </w:rPr>
            </w:pPr>
            <w:r w:rsidRPr="00C16A4F">
              <w:rPr>
                <w:rFonts w:eastAsia="Calibri"/>
                <w:bCs/>
                <w:noProof/>
                <w:sz w:val="16"/>
                <w:szCs w:val="16"/>
              </w:rPr>
              <w:t>Opacitometer 2</w:t>
            </w:r>
          </w:p>
          <w:p w14:paraId="11546C37" w14:textId="77777777" w:rsidR="00E67E6A" w:rsidRPr="00C16A4F" w:rsidRDefault="00E67E6A" w:rsidP="009030C5">
            <w:pPr>
              <w:tabs>
                <w:tab w:val="left" w:pos="568"/>
              </w:tabs>
              <w:contextualSpacing/>
              <w:jc w:val="center"/>
              <w:rPr>
                <w:rFonts w:eastAsia="Calibri"/>
                <w:bCs/>
                <w:noProof/>
                <w:sz w:val="16"/>
                <w:szCs w:val="16"/>
              </w:rPr>
            </w:pPr>
          </w:p>
          <w:p w14:paraId="6EC8388B" w14:textId="77777777" w:rsidR="00E67E6A" w:rsidRPr="00C16A4F" w:rsidRDefault="00E67E6A" w:rsidP="009030C5">
            <w:pPr>
              <w:tabs>
                <w:tab w:val="left" w:pos="568"/>
              </w:tabs>
              <w:contextualSpacing/>
              <w:jc w:val="center"/>
              <w:rPr>
                <w:rFonts w:eastAsia="Calibri"/>
                <w:bCs/>
                <w:noProof/>
                <w:sz w:val="16"/>
                <w:szCs w:val="16"/>
              </w:rPr>
            </w:pPr>
            <w:r w:rsidRPr="00C16A4F">
              <w:rPr>
                <w:rFonts w:eastAsia="Calibri"/>
                <w:bCs/>
                <w:noProof/>
                <w:sz w:val="16"/>
                <w:szCs w:val="16"/>
              </w:rPr>
              <w:t>LIS &gt; 30 and lux/7 ≤ 145 and OD490 &gt; 2.5, OR</w:t>
            </w:r>
          </w:p>
          <w:p w14:paraId="122E200A" w14:textId="77777777" w:rsidR="00E67E6A" w:rsidRPr="00C16A4F" w:rsidRDefault="00E67E6A" w:rsidP="009030C5">
            <w:pPr>
              <w:tabs>
                <w:tab w:val="left" w:pos="568"/>
              </w:tabs>
              <w:contextualSpacing/>
              <w:jc w:val="center"/>
              <w:rPr>
                <w:rFonts w:eastAsia="Calibri"/>
                <w:bCs/>
                <w:noProof/>
                <w:sz w:val="16"/>
                <w:szCs w:val="16"/>
              </w:rPr>
            </w:pPr>
            <w:r w:rsidRPr="00C16A4F">
              <w:rPr>
                <w:rFonts w:eastAsia="Calibri"/>
                <w:bCs/>
                <w:noProof/>
                <w:sz w:val="16"/>
                <w:szCs w:val="16"/>
              </w:rPr>
              <w:t xml:space="preserve">LIS &gt; 30 and lux/7 &gt; 145 </w:t>
            </w:r>
            <w:r w:rsidRPr="00C16A4F" w:rsidDel="00A93821">
              <w:rPr>
                <w:rFonts w:eastAsia="Calibri"/>
                <w:bCs/>
                <w:noProof/>
                <w:sz w:val="16"/>
                <w:szCs w:val="16"/>
              </w:rPr>
              <w:t xml:space="preserve"> </w:t>
            </w:r>
          </w:p>
        </w:tc>
        <w:tc>
          <w:tcPr>
            <w:tcW w:w="630" w:type="pct"/>
            <w:shd w:val="clear" w:color="auto" w:fill="auto"/>
            <w:tcMar>
              <w:top w:w="57" w:type="dxa"/>
              <w:left w:w="57" w:type="dxa"/>
              <w:bottom w:w="57" w:type="dxa"/>
              <w:right w:w="57" w:type="dxa"/>
            </w:tcMar>
          </w:tcPr>
          <w:p w14:paraId="0E8FD6B5"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At least 2 ICE class IV, OR</w:t>
            </w:r>
          </w:p>
          <w:p w14:paraId="3F2CA4A3"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Corneal opacity = 3 at 30 min (in at least 2 eyes), OR</w:t>
            </w:r>
          </w:p>
          <w:p w14:paraId="2EB4D49D"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Corneal opacity = 4 at any time point (in at least 2 eyes), OR</w:t>
            </w:r>
          </w:p>
          <w:p w14:paraId="6A4D44E1"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Severe loosening of the epithelium (in at least 1 eye), OR</w:t>
            </w:r>
          </w:p>
          <w:p w14:paraId="31584E45" w14:textId="77777777" w:rsidR="00E67E6A" w:rsidRPr="00C16A4F" w:rsidRDefault="00E67E6A" w:rsidP="009030C5">
            <w:pPr>
              <w:spacing w:before="120"/>
              <w:contextualSpacing/>
              <w:jc w:val="center"/>
              <w:rPr>
                <w:rFonts w:eastAsia="Calibri"/>
                <w:bCs/>
                <w:noProof/>
                <w:sz w:val="16"/>
                <w:szCs w:val="16"/>
              </w:rPr>
            </w:pPr>
            <w:r w:rsidRPr="00C16A4F">
              <w:rPr>
                <w:sz w:val="16"/>
                <w:szCs w:val="16"/>
              </w:rPr>
              <w:t xml:space="preserve">Certain histopathological </w:t>
            </w:r>
            <w:proofErr w:type="spellStart"/>
            <w:r w:rsidRPr="00C16A4F">
              <w:rPr>
                <w:sz w:val="16"/>
                <w:szCs w:val="16"/>
              </w:rPr>
              <w:t>effects</w:t>
            </w:r>
            <w:r w:rsidRPr="00C16A4F">
              <w:rPr>
                <w:sz w:val="16"/>
                <w:szCs w:val="16"/>
                <w:vertAlign w:val="superscript"/>
              </w:rPr>
              <w:t>b</w:t>
            </w:r>
            <w:proofErr w:type="spellEnd"/>
          </w:p>
        </w:tc>
        <w:tc>
          <w:tcPr>
            <w:tcW w:w="650" w:type="pct"/>
          </w:tcPr>
          <w:p w14:paraId="04D56D66" w14:textId="0F1D19CD" w:rsidR="00E67E6A" w:rsidRPr="00C16A4F" w:rsidRDefault="00E67E6A" w:rsidP="001E4AEC">
            <w:pPr>
              <w:spacing w:before="120"/>
              <w:contextualSpacing/>
              <w:jc w:val="center"/>
              <w:rPr>
                <w:rFonts w:eastAsia="Calibri"/>
                <w:bCs/>
                <w:noProof/>
                <w:sz w:val="16"/>
                <w:szCs w:val="16"/>
              </w:rPr>
            </w:pPr>
            <w:r w:rsidRPr="00C16A4F">
              <w:rPr>
                <w:rFonts w:eastAsia="Calibri"/>
                <w:bCs/>
                <w:noProof/>
                <w:sz w:val="16"/>
                <w:szCs w:val="16"/>
              </w:rPr>
              <w:t>Chemical concentration causing 20 % of Fluorescein Leakage (FL</w:t>
            </w:r>
            <w:r w:rsidRPr="00C16A4F">
              <w:rPr>
                <w:rFonts w:eastAsia="Calibri"/>
                <w:bCs/>
                <w:noProof/>
                <w:sz w:val="16"/>
                <w:szCs w:val="16"/>
                <w:vertAlign w:val="subscript"/>
              </w:rPr>
              <w:t>20</w:t>
            </w:r>
            <w:r w:rsidRPr="00C16A4F">
              <w:rPr>
                <w:rFonts w:eastAsia="Calibri"/>
                <w:bCs/>
                <w:noProof/>
                <w:sz w:val="16"/>
                <w:szCs w:val="16"/>
              </w:rPr>
              <w:t>)  ≤ 100 mg/mL</w:t>
            </w:r>
          </w:p>
        </w:tc>
        <w:tc>
          <w:tcPr>
            <w:tcW w:w="622" w:type="pct"/>
            <w:shd w:val="clear" w:color="auto" w:fill="auto"/>
            <w:tcMar>
              <w:top w:w="57" w:type="dxa"/>
              <w:left w:w="57" w:type="dxa"/>
              <w:bottom w:w="57" w:type="dxa"/>
              <w:right w:w="57" w:type="dxa"/>
            </w:tcMar>
          </w:tcPr>
          <w:p w14:paraId="0C1B602C" w14:textId="46E23DAA" w:rsidR="00E67E6A" w:rsidRPr="00C16A4F" w:rsidRDefault="00E67E6A" w:rsidP="001E4AEC">
            <w:pPr>
              <w:spacing w:before="120"/>
              <w:contextualSpacing/>
              <w:jc w:val="center"/>
              <w:rPr>
                <w:rFonts w:eastAsia="Calibri"/>
                <w:bCs/>
                <w:noProof/>
                <w:sz w:val="16"/>
                <w:szCs w:val="16"/>
              </w:rPr>
            </w:pPr>
            <w:r w:rsidRPr="00C16A4F">
              <w:rPr>
                <w:rFonts w:eastAsia="Calibri"/>
                <w:bCs/>
                <w:noProof/>
                <w:sz w:val="16"/>
                <w:szCs w:val="16"/>
              </w:rPr>
              <w:t>Viability ≤ 70 %</w:t>
            </w:r>
            <w:r w:rsidR="00E26F1A" w:rsidRPr="00C16A4F">
              <w:rPr>
                <w:rFonts w:eastAsia="Calibri"/>
                <w:bCs/>
                <w:noProof/>
                <w:sz w:val="16"/>
                <w:szCs w:val="16"/>
              </w:rPr>
              <w:t xml:space="preserve"> </w:t>
            </w:r>
            <w:r w:rsidRPr="00C16A4F">
              <w:rPr>
                <w:rFonts w:eastAsia="Calibri"/>
                <w:bCs/>
                <w:noProof/>
                <w:sz w:val="16"/>
                <w:szCs w:val="16"/>
              </w:rPr>
              <w:t>at 5 % and 0.05 %</w:t>
            </w:r>
          </w:p>
        </w:tc>
        <w:tc>
          <w:tcPr>
            <w:tcW w:w="1001" w:type="pct"/>
            <w:gridSpan w:val="4"/>
            <w:shd w:val="clear" w:color="auto" w:fill="auto"/>
          </w:tcPr>
          <w:p w14:paraId="1145259E"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No stand-alone prediction can be made</w:t>
            </w:r>
          </w:p>
        </w:tc>
        <w:tc>
          <w:tcPr>
            <w:tcW w:w="455" w:type="pct"/>
          </w:tcPr>
          <w:p w14:paraId="24C0E9A1"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No stand-alone prediction can be made</w:t>
            </w:r>
          </w:p>
        </w:tc>
        <w:tc>
          <w:tcPr>
            <w:tcW w:w="692" w:type="pct"/>
          </w:tcPr>
          <w:p w14:paraId="17CF870E"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MQS</w:t>
            </w:r>
            <w:r w:rsidRPr="00C16A4F">
              <w:rPr>
                <w:sz w:val="16"/>
                <w:szCs w:val="16"/>
              </w:rPr>
              <w:t xml:space="preserve"> </w:t>
            </w:r>
            <w:r w:rsidRPr="00C16A4F">
              <w:rPr>
                <w:rFonts w:eastAsia="Calibri"/>
                <w:bCs/>
                <w:noProof/>
                <w:sz w:val="16"/>
                <w:szCs w:val="16"/>
              </w:rPr>
              <w:t>&gt; 30.0</w:t>
            </w:r>
          </w:p>
        </w:tc>
      </w:tr>
      <w:tr w:rsidR="00C16A4F" w:rsidRPr="00C16A4F" w14:paraId="059D5597" w14:textId="77777777" w:rsidTr="00E82E57">
        <w:trPr>
          <w:trHeight w:val="192"/>
          <w:jc w:val="center"/>
        </w:trPr>
        <w:tc>
          <w:tcPr>
            <w:tcW w:w="249" w:type="pct"/>
            <w:shd w:val="clear" w:color="auto" w:fill="auto"/>
            <w:tcMar>
              <w:top w:w="57" w:type="dxa"/>
              <w:left w:w="57" w:type="dxa"/>
              <w:bottom w:w="57" w:type="dxa"/>
              <w:right w:w="57" w:type="dxa"/>
            </w:tcMar>
          </w:tcPr>
          <w:p w14:paraId="4307A541" w14:textId="77777777" w:rsidR="00E67E6A" w:rsidRPr="00C16A4F" w:rsidRDefault="00E67E6A" w:rsidP="009A093F">
            <w:pPr>
              <w:spacing w:before="120"/>
              <w:ind w:left="-63" w:right="-58"/>
              <w:contextualSpacing/>
              <w:jc w:val="center"/>
              <w:rPr>
                <w:b/>
                <w:bCs/>
                <w:noProof/>
                <w:sz w:val="16"/>
                <w:szCs w:val="16"/>
              </w:rPr>
            </w:pPr>
            <w:r w:rsidRPr="00C16A4F">
              <w:rPr>
                <w:b/>
                <w:bCs/>
                <w:noProof/>
                <w:sz w:val="16"/>
                <w:szCs w:val="16"/>
              </w:rPr>
              <w:t>2/2A/2B</w:t>
            </w:r>
          </w:p>
        </w:tc>
        <w:tc>
          <w:tcPr>
            <w:tcW w:w="350" w:type="pct"/>
            <w:shd w:val="clear" w:color="auto" w:fill="auto"/>
            <w:tcMar>
              <w:top w:w="57" w:type="dxa"/>
              <w:left w:w="57" w:type="dxa"/>
              <w:bottom w:w="57" w:type="dxa"/>
              <w:right w:w="57" w:type="dxa"/>
            </w:tcMar>
            <w:vAlign w:val="center"/>
          </w:tcPr>
          <w:p w14:paraId="175B768C" w14:textId="77777777" w:rsidR="00E67E6A" w:rsidRPr="00C16A4F" w:rsidRDefault="00E67E6A" w:rsidP="009030C5">
            <w:pPr>
              <w:tabs>
                <w:tab w:val="left" w:pos="568"/>
              </w:tabs>
              <w:contextualSpacing/>
              <w:jc w:val="center"/>
              <w:rPr>
                <w:bCs/>
                <w:noProof/>
                <w:sz w:val="16"/>
                <w:szCs w:val="16"/>
              </w:rPr>
            </w:pPr>
            <w:r w:rsidRPr="00C16A4F">
              <w:rPr>
                <w:rFonts w:eastAsia="Calibri"/>
                <w:bCs/>
                <w:noProof/>
                <w:sz w:val="16"/>
                <w:szCs w:val="16"/>
              </w:rPr>
              <w:t>No stand-alone prediction can be made.</w:t>
            </w:r>
          </w:p>
        </w:tc>
        <w:tc>
          <w:tcPr>
            <w:tcW w:w="351" w:type="pct"/>
            <w:shd w:val="clear" w:color="auto" w:fill="auto"/>
            <w:vAlign w:val="center"/>
          </w:tcPr>
          <w:p w14:paraId="2ADF9AB9" w14:textId="77777777" w:rsidR="00E67E6A" w:rsidRPr="00C16A4F" w:rsidRDefault="00E67E6A" w:rsidP="009030C5">
            <w:pPr>
              <w:tabs>
                <w:tab w:val="left" w:pos="568"/>
              </w:tabs>
              <w:contextualSpacing/>
              <w:jc w:val="center"/>
              <w:rPr>
                <w:bCs/>
                <w:noProof/>
                <w:sz w:val="16"/>
                <w:szCs w:val="16"/>
              </w:rPr>
            </w:pPr>
            <w:r w:rsidRPr="00C16A4F">
              <w:rPr>
                <w:rFonts w:eastAsia="Calibri"/>
                <w:bCs/>
                <w:noProof/>
                <w:sz w:val="16"/>
                <w:szCs w:val="16"/>
              </w:rPr>
              <w:t>No stand-alone prediction can be made</w:t>
            </w:r>
          </w:p>
        </w:tc>
        <w:tc>
          <w:tcPr>
            <w:tcW w:w="630" w:type="pct"/>
            <w:shd w:val="clear" w:color="auto" w:fill="auto"/>
            <w:tcMar>
              <w:top w:w="57" w:type="dxa"/>
              <w:left w:w="57" w:type="dxa"/>
              <w:bottom w:w="57" w:type="dxa"/>
              <w:right w:w="57" w:type="dxa"/>
            </w:tcMar>
            <w:vAlign w:val="center"/>
          </w:tcPr>
          <w:p w14:paraId="5F3F7815" w14:textId="77777777" w:rsidR="00E67E6A" w:rsidRPr="00C16A4F" w:rsidRDefault="00E67E6A" w:rsidP="009030C5">
            <w:pPr>
              <w:spacing w:before="120"/>
              <w:contextualSpacing/>
              <w:jc w:val="center"/>
              <w:rPr>
                <w:bCs/>
                <w:noProof/>
                <w:sz w:val="16"/>
                <w:szCs w:val="16"/>
              </w:rPr>
            </w:pPr>
            <w:r w:rsidRPr="00C16A4F">
              <w:rPr>
                <w:rFonts w:eastAsia="Calibri"/>
                <w:bCs/>
                <w:noProof/>
                <w:sz w:val="16"/>
                <w:szCs w:val="16"/>
              </w:rPr>
              <w:t>No stand-alone prediction can be made</w:t>
            </w:r>
          </w:p>
        </w:tc>
        <w:tc>
          <w:tcPr>
            <w:tcW w:w="650" w:type="pct"/>
            <w:vAlign w:val="center"/>
          </w:tcPr>
          <w:p w14:paraId="20EEA568"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No stand-alone prediction can be made</w:t>
            </w:r>
          </w:p>
        </w:tc>
        <w:tc>
          <w:tcPr>
            <w:tcW w:w="622" w:type="pct"/>
            <w:shd w:val="clear" w:color="auto" w:fill="auto"/>
            <w:tcMar>
              <w:top w:w="57" w:type="dxa"/>
              <w:left w:w="57" w:type="dxa"/>
              <w:bottom w:w="57" w:type="dxa"/>
              <w:right w:w="57" w:type="dxa"/>
            </w:tcMar>
            <w:vAlign w:val="center"/>
          </w:tcPr>
          <w:p w14:paraId="7E4C5035" w14:textId="77777777" w:rsidR="00E67E6A" w:rsidRPr="00C16A4F" w:rsidRDefault="00E67E6A" w:rsidP="009030C5">
            <w:pPr>
              <w:spacing w:before="120"/>
              <w:contextualSpacing/>
              <w:jc w:val="center"/>
              <w:rPr>
                <w:bCs/>
                <w:noProof/>
                <w:sz w:val="16"/>
                <w:szCs w:val="16"/>
              </w:rPr>
            </w:pPr>
            <w:r w:rsidRPr="00C16A4F">
              <w:rPr>
                <w:rFonts w:eastAsia="Calibri"/>
                <w:bCs/>
                <w:noProof/>
                <w:sz w:val="16"/>
                <w:szCs w:val="16"/>
              </w:rPr>
              <w:t>No stand-alone prediction can be made</w:t>
            </w:r>
          </w:p>
        </w:tc>
        <w:tc>
          <w:tcPr>
            <w:tcW w:w="1001" w:type="pct"/>
            <w:gridSpan w:val="4"/>
            <w:shd w:val="clear" w:color="auto" w:fill="auto"/>
            <w:tcMar>
              <w:top w:w="57" w:type="dxa"/>
              <w:left w:w="57" w:type="dxa"/>
              <w:bottom w:w="57" w:type="dxa"/>
              <w:right w:w="57" w:type="dxa"/>
            </w:tcMar>
            <w:vAlign w:val="center"/>
          </w:tcPr>
          <w:p w14:paraId="50AE01C1" w14:textId="77777777" w:rsidR="00E67E6A" w:rsidRPr="00C16A4F" w:rsidRDefault="00E67E6A" w:rsidP="009030C5">
            <w:pPr>
              <w:spacing w:before="120"/>
              <w:contextualSpacing/>
              <w:jc w:val="center"/>
              <w:rPr>
                <w:bCs/>
                <w:noProof/>
                <w:sz w:val="16"/>
                <w:szCs w:val="16"/>
              </w:rPr>
            </w:pPr>
            <w:r w:rsidRPr="00C16A4F">
              <w:rPr>
                <w:rFonts w:eastAsia="Calibri"/>
                <w:bCs/>
                <w:noProof/>
                <w:sz w:val="16"/>
                <w:szCs w:val="16"/>
              </w:rPr>
              <w:t>No stand-alone prediction can be made</w:t>
            </w:r>
          </w:p>
        </w:tc>
        <w:tc>
          <w:tcPr>
            <w:tcW w:w="455" w:type="pct"/>
          </w:tcPr>
          <w:p w14:paraId="3E8636BC"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No stand-alone prediction can be made</w:t>
            </w:r>
          </w:p>
        </w:tc>
        <w:tc>
          <w:tcPr>
            <w:tcW w:w="692" w:type="pct"/>
          </w:tcPr>
          <w:p w14:paraId="3DEE9A2C"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No stand-alone prediction can be made</w:t>
            </w:r>
          </w:p>
        </w:tc>
      </w:tr>
      <w:tr w:rsidR="00C16A4F" w:rsidRPr="00C16A4F" w14:paraId="34A5D44C" w14:textId="77777777" w:rsidTr="00E82E57">
        <w:trPr>
          <w:trHeight w:val="399"/>
          <w:jc w:val="center"/>
        </w:trPr>
        <w:tc>
          <w:tcPr>
            <w:tcW w:w="249" w:type="pct"/>
            <w:shd w:val="clear" w:color="auto" w:fill="auto"/>
            <w:tcMar>
              <w:top w:w="57" w:type="dxa"/>
              <w:left w:w="57" w:type="dxa"/>
              <w:bottom w:w="57" w:type="dxa"/>
              <w:right w:w="57" w:type="dxa"/>
            </w:tcMar>
          </w:tcPr>
          <w:p w14:paraId="7FE93FE4" w14:textId="7060F513" w:rsidR="00E67E6A" w:rsidRPr="00C16A4F" w:rsidRDefault="00E67E6A" w:rsidP="009A093F">
            <w:pPr>
              <w:spacing w:before="120"/>
              <w:ind w:left="-63" w:right="-58"/>
              <w:contextualSpacing/>
              <w:jc w:val="center"/>
              <w:rPr>
                <w:b/>
                <w:bCs/>
                <w:noProof/>
                <w:sz w:val="16"/>
                <w:szCs w:val="16"/>
              </w:rPr>
            </w:pPr>
            <w:r w:rsidRPr="00C16A4F">
              <w:rPr>
                <w:rFonts w:eastAsia="Calibri"/>
                <w:b/>
                <w:bCs/>
                <w:noProof/>
                <w:sz w:val="16"/>
                <w:szCs w:val="16"/>
              </w:rPr>
              <w:t xml:space="preserve">Not </w:t>
            </w:r>
            <w:r w:rsidR="009A093F" w:rsidRPr="00C16A4F">
              <w:rPr>
                <w:rFonts w:eastAsia="Calibri"/>
                <w:b/>
                <w:bCs/>
                <w:noProof/>
                <w:sz w:val="16"/>
                <w:szCs w:val="16"/>
              </w:rPr>
              <w:t>c</w:t>
            </w:r>
            <w:r w:rsidRPr="00C16A4F">
              <w:rPr>
                <w:rFonts w:eastAsia="Calibri"/>
                <w:b/>
                <w:bCs/>
                <w:noProof/>
                <w:sz w:val="16"/>
                <w:szCs w:val="16"/>
              </w:rPr>
              <w:t>lassified</w:t>
            </w:r>
          </w:p>
        </w:tc>
        <w:tc>
          <w:tcPr>
            <w:tcW w:w="350" w:type="pct"/>
            <w:shd w:val="clear" w:color="auto" w:fill="auto"/>
            <w:tcMar>
              <w:top w:w="57" w:type="dxa"/>
              <w:left w:w="57" w:type="dxa"/>
              <w:bottom w:w="57" w:type="dxa"/>
              <w:right w:w="57" w:type="dxa"/>
            </w:tcMar>
          </w:tcPr>
          <w:p w14:paraId="32451D51" w14:textId="77777777" w:rsidR="00E67E6A" w:rsidRPr="00C16A4F" w:rsidRDefault="00E67E6A" w:rsidP="009030C5">
            <w:pPr>
              <w:tabs>
                <w:tab w:val="left" w:pos="568"/>
              </w:tabs>
              <w:contextualSpacing/>
              <w:jc w:val="center"/>
              <w:rPr>
                <w:rFonts w:eastAsia="Calibri"/>
                <w:bCs/>
                <w:noProof/>
                <w:sz w:val="16"/>
                <w:szCs w:val="16"/>
              </w:rPr>
            </w:pPr>
            <w:r w:rsidRPr="00C16A4F">
              <w:rPr>
                <w:rFonts w:eastAsia="Calibri"/>
                <w:bCs/>
                <w:noProof/>
                <w:sz w:val="16"/>
                <w:szCs w:val="16"/>
              </w:rPr>
              <w:t>Opacitometer 1</w:t>
            </w:r>
          </w:p>
          <w:p w14:paraId="20828046" w14:textId="77777777" w:rsidR="00E67E6A" w:rsidRPr="00C16A4F" w:rsidRDefault="00E67E6A" w:rsidP="009030C5">
            <w:pPr>
              <w:tabs>
                <w:tab w:val="left" w:pos="568"/>
              </w:tabs>
              <w:contextualSpacing/>
              <w:jc w:val="center"/>
              <w:rPr>
                <w:rFonts w:eastAsia="Calibri"/>
                <w:bCs/>
                <w:noProof/>
                <w:sz w:val="16"/>
                <w:szCs w:val="16"/>
              </w:rPr>
            </w:pPr>
          </w:p>
          <w:p w14:paraId="497FBAB9" w14:textId="77777777" w:rsidR="00E67E6A" w:rsidRPr="00C16A4F" w:rsidRDefault="00E67E6A" w:rsidP="009030C5">
            <w:pPr>
              <w:tabs>
                <w:tab w:val="left" w:pos="568"/>
              </w:tabs>
              <w:contextualSpacing/>
              <w:jc w:val="center"/>
              <w:rPr>
                <w:bCs/>
                <w:noProof/>
                <w:sz w:val="16"/>
                <w:szCs w:val="16"/>
              </w:rPr>
            </w:pPr>
            <w:r w:rsidRPr="00C16A4F">
              <w:rPr>
                <w:rFonts w:eastAsia="Calibri"/>
                <w:bCs/>
                <w:noProof/>
                <w:sz w:val="16"/>
                <w:szCs w:val="16"/>
              </w:rPr>
              <w:t>IVIS ≤ 3</w:t>
            </w:r>
          </w:p>
        </w:tc>
        <w:tc>
          <w:tcPr>
            <w:tcW w:w="351" w:type="pct"/>
            <w:shd w:val="clear" w:color="auto" w:fill="auto"/>
          </w:tcPr>
          <w:p w14:paraId="442B1503" w14:textId="77777777" w:rsidR="00E67E6A" w:rsidRPr="00C16A4F" w:rsidRDefault="00E67E6A" w:rsidP="009030C5">
            <w:pPr>
              <w:tabs>
                <w:tab w:val="left" w:pos="568"/>
              </w:tabs>
              <w:contextualSpacing/>
              <w:jc w:val="center"/>
              <w:rPr>
                <w:bCs/>
                <w:noProof/>
                <w:sz w:val="16"/>
                <w:szCs w:val="16"/>
              </w:rPr>
            </w:pPr>
            <w:r w:rsidRPr="00C16A4F">
              <w:rPr>
                <w:bCs/>
                <w:noProof/>
                <w:sz w:val="16"/>
                <w:szCs w:val="16"/>
              </w:rPr>
              <w:t>Opacitometer 2</w:t>
            </w:r>
          </w:p>
          <w:p w14:paraId="43D1EAB5" w14:textId="77777777" w:rsidR="00E67E6A" w:rsidRPr="00C16A4F" w:rsidRDefault="00E67E6A" w:rsidP="009030C5">
            <w:pPr>
              <w:tabs>
                <w:tab w:val="left" w:pos="568"/>
              </w:tabs>
              <w:contextualSpacing/>
              <w:jc w:val="center"/>
              <w:rPr>
                <w:bCs/>
                <w:noProof/>
                <w:sz w:val="16"/>
                <w:szCs w:val="16"/>
              </w:rPr>
            </w:pPr>
          </w:p>
          <w:p w14:paraId="6725FAB1" w14:textId="77777777" w:rsidR="00E67E6A" w:rsidRPr="00C16A4F" w:rsidRDefault="00E67E6A" w:rsidP="009030C5">
            <w:pPr>
              <w:tabs>
                <w:tab w:val="left" w:pos="568"/>
              </w:tabs>
              <w:contextualSpacing/>
              <w:jc w:val="center"/>
              <w:rPr>
                <w:bCs/>
                <w:noProof/>
                <w:sz w:val="16"/>
                <w:szCs w:val="16"/>
              </w:rPr>
            </w:pPr>
            <w:r w:rsidRPr="00C16A4F">
              <w:rPr>
                <w:bCs/>
                <w:noProof/>
                <w:sz w:val="16"/>
                <w:szCs w:val="16"/>
              </w:rPr>
              <w:t xml:space="preserve">LIS </w:t>
            </w:r>
            <w:r w:rsidRPr="00C16A4F">
              <w:rPr>
                <w:rFonts w:hint="eastAsia"/>
                <w:bCs/>
                <w:noProof/>
                <w:sz w:val="16"/>
                <w:szCs w:val="16"/>
              </w:rPr>
              <w:t>≤</w:t>
            </w:r>
            <w:r w:rsidRPr="00C16A4F">
              <w:rPr>
                <w:bCs/>
                <w:noProof/>
                <w:sz w:val="16"/>
                <w:szCs w:val="16"/>
              </w:rPr>
              <w:t xml:space="preserve"> 30</w:t>
            </w:r>
          </w:p>
        </w:tc>
        <w:tc>
          <w:tcPr>
            <w:tcW w:w="630" w:type="pct"/>
            <w:shd w:val="clear" w:color="auto" w:fill="auto"/>
            <w:tcMar>
              <w:top w:w="57" w:type="dxa"/>
              <w:left w:w="57" w:type="dxa"/>
              <w:bottom w:w="57" w:type="dxa"/>
              <w:right w:w="57" w:type="dxa"/>
            </w:tcMar>
          </w:tcPr>
          <w:p w14:paraId="370F4972"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ICE class I for all 3 endpoints, OR</w:t>
            </w:r>
          </w:p>
          <w:p w14:paraId="60815887"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ICE class I for 2 endpoints and ICE class II for the other endpoint, OR</w:t>
            </w:r>
          </w:p>
          <w:p w14:paraId="5D2E2322" w14:textId="77777777" w:rsidR="00E67E6A" w:rsidRPr="00C16A4F" w:rsidRDefault="00E67E6A" w:rsidP="009030C5">
            <w:pPr>
              <w:spacing w:before="120"/>
              <w:contextualSpacing/>
              <w:jc w:val="center"/>
              <w:rPr>
                <w:noProof/>
                <w:sz w:val="16"/>
                <w:szCs w:val="16"/>
              </w:rPr>
            </w:pPr>
            <w:r w:rsidRPr="00C16A4F">
              <w:rPr>
                <w:rFonts w:eastAsia="Calibri"/>
                <w:bCs/>
                <w:noProof/>
                <w:sz w:val="16"/>
                <w:szCs w:val="16"/>
              </w:rPr>
              <w:t>ICE class II for 2 endpoints and ICE class I for the other endpoint</w:t>
            </w:r>
          </w:p>
        </w:tc>
        <w:tc>
          <w:tcPr>
            <w:tcW w:w="650" w:type="pct"/>
          </w:tcPr>
          <w:p w14:paraId="4E06C55D" w14:textId="77777777" w:rsidR="00E67E6A" w:rsidRPr="00C16A4F" w:rsidRDefault="00E67E6A" w:rsidP="009030C5">
            <w:pPr>
              <w:contextualSpacing/>
              <w:jc w:val="center"/>
              <w:rPr>
                <w:rFonts w:eastAsia="Calibri"/>
                <w:bCs/>
                <w:noProof/>
                <w:sz w:val="16"/>
                <w:szCs w:val="16"/>
              </w:rPr>
            </w:pPr>
            <w:r w:rsidRPr="00C16A4F">
              <w:rPr>
                <w:rFonts w:eastAsia="Calibri"/>
                <w:bCs/>
                <w:noProof/>
                <w:sz w:val="16"/>
                <w:szCs w:val="16"/>
              </w:rPr>
              <w:t>No stand-alone prediction can be made</w:t>
            </w:r>
          </w:p>
        </w:tc>
        <w:tc>
          <w:tcPr>
            <w:tcW w:w="622" w:type="pct"/>
            <w:shd w:val="clear" w:color="auto" w:fill="auto"/>
            <w:tcMar>
              <w:top w:w="57" w:type="dxa"/>
              <w:left w:w="57" w:type="dxa"/>
              <w:bottom w:w="57" w:type="dxa"/>
              <w:right w:w="57" w:type="dxa"/>
            </w:tcMar>
          </w:tcPr>
          <w:p w14:paraId="74CE5DD8" w14:textId="77777777" w:rsidR="00E67E6A" w:rsidRPr="00C16A4F" w:rsidRDefault="00E67E6A" w:rsidP="009030C5">
            <w:pPr>
              <w:contextualSpacing/>
              <w:jc w:val="center"/>
              <w:rPr>
                <w:rFonts w:eastAsia="Calibri"/>
                <w:bCs/>
                <w:noProof/>
                <w:sz w:val="16"/>
                <w:szCs w:val="16"/>
              </w:rPr>
            </w:pPr>
            <w:r w:rsidRPr="00C16A4F">
              <w:rPr>
                <w:rFonts w:eastAsia="Calibri"/>
                <w:bCs/>
                <w:noProof/>
                <w:sz w:val="16"/>
                <w:szCs w:val="16"/>
              </w:rPr>
              <w:t>Viability &gt; 70 %</w:t>
            </w:r>
          </w:p>
          <w:p w14:paraId="2BF3183D" w14:textId="77777777" w:rsidR="00E67E6A" w:rsidRPr="00C16A4F" w:rsidRDefault="00E67E6A" w:rsidP="009030C5">
            <w:pPr>
              <w:contextualSpacing/>
              <w:jc w:val="center"/>
              <w:rPr>
                <w:rFonts w:eastAsia="Calibri"/>
                <w:bCs/>
                <w:noProof/>
                <w:sz w:val="16"/>
                <w:szCs w:val="16"/>
              </w:rPr>
            </w:pPr>
            <w:r w:rsidRPr="00C16A4F">
              <w:rPr>
                <w:rFonts w:eastAsia="Calibri"/>
                <w:bCs/>
                <w:noProof/>
                <w:sz w:val="16"/>
                <w:szCs w:val="16"/>
              </w:rPr>
              <w:t>at 5 % and 0.05 %</w:t>
            </w:r>
          </w:p>
          <w:p w14:paraId="27F59DE0" w14:textId="77777777" w:rsidR="00E67E6A" w:rsidRPr="00C16A4F" w:rsidRDefault="00E67E6A" w:rsidP="009030C5">
            <w:pPr>
              <w:contextualSpacing/>
              <w:jc w:val="center"/>
              <w:rPr>
                <w:bCs/>
                <w:noProof/>
                <w:sz w:val="16"/>
                <w:szCs w:val="16"/>
              </w:rPr>
            </w:pPr>
          </w:p>
        </w:tc>
        <w:tc>
          <w:tcPr>
            <w:tcW w:w="250" w:type="pct"/>
            <w:shd w:val="clear" w:color="auto" w:fill="auto"/>
          </w:tcPr>
          <w:p w14:paraId="14B65951"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Test method 1</w:t>
            </w:r>
          </w:p>
          <w:p w14:paraId="328D4215" w14:textId="77777777" w:rsidR="00E67E6A" w:rsidRPr="00C16A4F" w:rsidRDefault="00E67E6A" w:rsidP="009030C5">
            <w:pPr>
              <w:spacing w:before="120"/>
              <w:contextualSpacing/>
              <w:jc w:val="center"/>
              <w:rPr>
                <w:rFonts w:eastAsia="Calibri"/>
                <w:bCs/>
                <w:noProof/>
                <w:sz w:val="16"/>
                <w:szCs w:val="16"/>
              </w:rPr>
            </w:pPr>
          </w:p>
          <w:p w14:paraId="702CE84F" w14:textId="77777777" w:rsidR="00E67E6A" w:rsidRPr="00C16A4F" w:rsidDel="007B5292" w:rsidRDefault="00E67E6A" w:rsidP="009030C5">
            <w:pPr>
              <w:spacing w:before="120"/>
              <w:contextualSpacing/>
              <w:jc w:val="center"/>
              <w:rPr>
                <w:rFonts w:eastAsia="Calibri"/>
                <w:bCs/>
                <w:noProof/>
                <w:sz w:val="16"/>
                <w:szCs w:val="16"/>
              </w:rPr>
            </w:pPr>
            <w:r w:rsidRPr="00C16A4F">
              <w:rPr>
                <w:rFonts w:eastAsia="Calibri"/>
                <w:bCs/>
                <w:noProof/>
                <w:sz w:val="16"/>
                <w:szCs w:val="16"/>
              </w:rPr>
              <w:t>Liquids and Solids: Viability &gt; 60 %</w:t>
            </w:r>
          </w:p>
        </w:tc>
        <w:tc>
          <w:tcPr>
            <w:tcW w:w="250" w:type="pct"/>
            <w:shd w:val="clear" w:color="auto" w:fill="auto"/>
          </w:tcPr>
          <w:p w14:paraId="05D8FFE3"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 xml:space="preserve">Test method 2 </w:t>
            </w:r>
          </w:p>
          <w:p w14:paraId="70DD4B34" w14:textId="77777777" w:rsidR="00E67E6A" w:rsidRPr="00C16A4F" w:rsidRDefault="00E67E6A" w:rsidP="009030C5">
            <w:pPr>
              <w:spacing w:before="120"/>
              <w:contextualSpacing/>
              <w:jc w:val="center"/>
              <w:rPr>
                <w:rFonts w:eastAsia="Calibri"/>
                <w:bCs/>
                <w:noProof/>
                <w:sz w:val="16"/>
                <w:szCs w:val="16"/>
              </w:rPr>
            </w:pPr>
          </w:p>
          <w:p w14:paraId="749AFC61"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 xml:space="preserve">Liquids:  Viability &gt; 60 %; </w:t>
            </w:r>
          </w:p>
          <w:p w14:paraId="78D1040E"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Solids:</w:t>
            </w:r>
          </w:p>
          <w:p w14:paraId="05957FCE"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lang w:val="pt-PT"/>
              </w:rPr>
              <w:t>Viability &gt; 50 %</w:t>
            </w:r>
          </w:p>
        </w:tc>
        <w:tc>
          <w:tcPr>
            <w:tcW w:w="250" w:type="pct"/>
            <w:shd w:val="clear" w:color="auto" w:fill="auto"/>
          </w:tcPr>
          <w:p w14:paraId="5354B8E8"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 xml:space="preserve">Test method 3 </w:t>
            </w:r>
          </w:p>
          <w:p w14:paraId="74468986" w14:textId="77777777" w:rsidR="00E67E6A" w:rsidRPr="00C16A4F" w:rsidRDefault="00E67E6A" w:rsidP="009030C5">
            <w:pPr>
              <w:spacing w:before="120"/>
              <w:contextualSpacing/>
              <w:jc w:val="center"/>
              <w:rPr>
                <w:rFonts w:eastAsia="Calibri"/>
                <w:bCs/>
                <w:noProof/>
                <w:sz w:val="16"/>
                <w:szCs w:val="16"/>
              </w:rPr>
            </w:pPr>
          </w:p>
          <w:p w14:paraId="5116D370" w14:textId="77777777" w:rsidR="00E67E6A" w:rsidRPr="00C16A4F" w:rsidDel="007B5292" w:rsidRDefault="00E67E6A" w:rsidP="009030C5">
            <w:pPr>
              <w:spacing w:before="120"/>
              <w:contextualSpacing/>
              <w:jc w:val="center"/>
              <w:rPr>
                <w:rFonts w:eastAsia="Calibri"/>
                <w:bCs/>
                <w:noProof/>
                <w:sz w:val="16"/>
                <w:szCs w:val="16"/>
              </w:rPr>
            </w:pPr>
            <w:r w:rsidRPr="00C16A4F">
              <w:rPr>
                <w:rFonts w:eastAsia="Calibri"/>
                <w:bCs/>
                <w:noProof/>
                <w:sz w:val="16"/>
                <w:szCs w:val="16"/>
              </w:rPr>
              <w:t>Liquids and Solids: Viability &gt; 40 %</w:t>
            </w:r>
          </w:p>
        </w:tc>
        <w:tc>
          <w:tcPr>
            <w:tcW w:w="251" w:type="pct"/>
            <w:shd w:val="clear" w:color="auto" w:fill="auto"/>
          </w:tcPr>
          <w:p w14:paraId="73BA4FF8"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 xml:space="preserve">Test method 4 </w:t>
            </w:r>
          </w:p>
          <w:p w14:paraId="4D9AC698" w14:textId="77777777" w:rsidR="00E67E6A" w:rsidRPr="00C16A4F" w:rsidRDefault="00E67E6A" w:rsidP="009030C5">
            <w:pPr>
              <w:spacing w:before="120"/>
              <w:contextualSpacing/>
              <w:jc w:val="center"/>
              <w:rPr>
                <w:rFonts w:eastAsia="Calibri"/>
                <w:bCs/>
                <w:noProof/>
                <w:sz w:val="16"/>
                <w:szCs w:val="16"/>
              </w:rPr>
            </w:pPr>
          </w:p>
          <w:p w14:paraId="45C18578"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 xml:space="preserve">Liquids:  Viability &gt; 35 %; </w:t>
            </w:r>
          </w:p>
          <w:p w14:paraId="2C2A14AD"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Solids:</w:t>
            </w:r>
          </w:p>
          <w:p w14:paraId="656800A5"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lang w:val="pt-PT"/>
              </w:rPr>
              <w:t>Viability &gt; 60 %</w:t>
            </w:r>
          </w:p>
        </w:tc>
        <w:tc>
          <w:tcPr>
            <w:tcW w:w="455" w:type="pct"/>
          </w:tcPr>
          <w:p w14:paraId="61EDA4F0"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Time lag &gt; 180 seconds</w:t>
            </w:r>
          </w:p>
          <w:p w14:paraId="74DD73B6"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and Intensity &lt; 0.05 %/seconds</w:t>
            </w:r>
          </w:p>
          <w:p w14:paraId="6EACF5DD"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and Plateau level ≤ 5.0 %</w:t>
            </w:r>
          </w:p>
        </w:tc>
        <w:tc>
          <w:tcPr>
            <w:tcW w:w="692" w:type="pct"/>
          </w:tcPr>
          <w:p w14:paraId="7C611D16" w14:textId="77777777" w:rsidR="00E67E6A" w:rsidRPr="00C16A4F" w:rsidRDefault="00E67E6A" w:rsidP="009030C5">
            <w:pPr>
              <w:spacing w:before="120"/>
              <w:contextualSpacing/>
              <w:jc w:val="center"/>
              <w:rPr>
                <w:rFonts w:eastAsia="Calibri"/>
                <w:bCs/>
                <w:noProof/>
                <w:sz w:val="16"/>
                <w:szCs w:val="16"/>
              </w:rPr>
            </w:pPr>
            <w:r w:rsidRPr="00C16A4F">
              <w:rPr>
                <w:rFonts w:eastAsia="Calibri"/>
                <w:bCs/>
                <w:noProof/>
                <w:sz w:val="16"/>
                <w:szCs w:val="16"/>
              </w:rPr>
              <w:t>MQS ≤ 12.5</w:t>
            </w:r>
          </w:p>
        </w:tc>
      </w:tr>
    </w:tbl>
    <w:p w14:paraId="58CE3276" w14:textId="77777777" w:rsidR="00E67E6A" w:rsidRPr="00C16A4F" w:rsidRDefault="00E67E6A" w:rsidP="00E67E6A">
      <w:pPr>
        <w:pStyle w:val="ListParagraph"/>
        <w:ind w:left="284" w:hanging="284"/>
        <w:rPr>
          <w:rFonts w:ascii="Times New Roman" w:hAnsi="Times New Roman" w:cs="Times New Roman"/>
          <w:i/>
          <w:sz w:val="18"/>
          <w:szCs w:val="18"/>
        </w:rPr>
      </w:pPr>
      <w:r w:rsidRPr="00C16A4F">
        <w:rPr>
          <w:rFonts w:ascii="Times New Roman" w:hAnsi="Times New Roman" w:cs="Times New Roman"/>
          <w:b/>
          <w:sz w:val="18"/>
          <w:szCs w:val="18"/>
          <w:vertAlign w:val="superscript"/>
        </w:rPr>
        <w:t>a</w:t>
      </w:r>
      <w:r w:rsidRPr="00C16A4F">
        <w:rPr>
          <w:rFonts w:ascii="Times New Roman" w:hAnsi="Times New Roman" w:cs="Times New Roman"/>
          <w:sz w:val="18"/>
          <w:szCs w:val="18"/>
        </w:rPr>
        <w:tab/>
      </w:r>
      <w:proofErr w:type="gramStart"/>
      <w:r w:rsidRPr="00C16A4F">
        <w:rPr>
          <w:rFonts w:ascii="Times New Roman" w:hAnsi="Times New Roman" w:cs="Times New Roman"/>
          <w:i/>
          <w:sz w:val="18"/>
          <w:szCs w:val="18"/>
        </w:rPr>
        <w:t>Grading criteria</w:t>
      </w:r>
      <w:proofErr w:type="gramEnd"/>
      <w:r w:rsidRPr="00C16A4F">
        <w:rPr>
          <w:rFonts w:ascii="Times New Roman" w:hAnsi="Times New Roman" w:cs="Times New Roman"/>
          <w:i/>
          <w:sz w:val="18"/>
          <w:szCs w:val="18"/>
        </w:rPr>
        <w:t xml:space="preserve"> are understood as described in OECD test guidelines 437, 438, 460, 491, 492, 494 and 496.</w:t>
      </w:r>
    </w:p>
    <w:p w14:paraId="103ACB13" w14:textId="7972C450" w:rsidR="009D77FE" w:rsidRPr="00C16A4F" w:rsidRDefault="00E67E6A" w:rsidP="009A093F">
      <w:pPr>
        <w:tabs>
          <w:tab w:val="left" w:pos="284"/>
        </w:tabs>
        <w:suppressAutoHyphens w:val="0"/>
        <w:kinsoku/>
        <w:overflowPunct/>
        <w:autoSpaceDE/>
        <w:autoSpaceDN/>
        <w:adjustRightInd/>
        <w:snapToGrid/>
        <w:spacing w:after="200" w:line="276" w:lineRule="auto"/>
      </w:pPr>
      <w:r w:rsidRPr="00C16A4F">
        <w:rPr>
          <w:b/>
          <w:sz w:val="18"/>
          <w:szCs w:val="18"/>
          <w:vertAlign w:val="superscript"/>
        </w:rPr>
        <w:t>b</w:t>
      </w:r>
      <w:r w:rsidRPr="00C16A4F">
        <w:rPr>
          <w:sz w:val="18"/>
          <w:szCs w:val="18"/>
        </w:rPr>
        <w:tab/>
      </w:r>
      <w:proofErr w:type="gramStart"/>
      <w:r w:rsidRPr="00C16A4F">
        <w:rPr>
          <w:i/>
          <w:sz w:val="18"/>
          <w:szCs w:val="18"/>
        </w:rPr>
        <w:t>For</w:t>
      </w:r>
      <w:proofErr w:type="gramEnd"/>
      <w:r w:rsidRPr="00C16A4F">
        <w:rPr>
          <w:i/>
          <w:sz w:val="18"/>
          <w:szCs w:val="18"/>
        </w:rPr>
        <w:t xml:space="preserve"> criteria, please consult OECD Test Guideline 438</w:t>
      </w:r>
    </w:p>
    <w:p w14:paraId="38654422" w14:textId="77777777" w:rsidR="00F52C2F" w:rsidRPr="00C16A4F" w:rsidRDefault="00F52C2F" w:rsidP="009D77FE"/>
    <w:p w14:paraId="05B3A061" w14:textId="62AD9620" w:rsidR="00F52C2F" w:rsidRPr="00C16A4F" w:rsidRDefault="00F52C2F" w:rsidP="009D77FE">
      <w:pPr>
        <w:sectPr w:rsidR="00F52C2F" w:rsidRPr="00C16A4F" w:rsidSect="009D77FE">
          <w:headerReference w:type="even" r:id="rId28"/>
          <w:headerReference w:type="default" r:id="rId29"/>
          <w:footerReference w:type="even" r:id="rId30"/>
          <w:footerReference w:type="default" r:id="rId31"/>
          <w:endnotePr>
            <w:numFmt w:val="decimal"/>
          </w:endnotePr>
          <w:pgSz w:w="16840" w:h="11907" w:orient="landscape" w:code="9"/>
          <w:pgMar w:top="1134" w:right="1417" w:bottom="1134" w:left="1134" w:header="567" w:footer="567" w:gutter="0"/>
          <w:cols w:space="720"/>
          <w:docGrid w:linePitch="272"/>
        </w:sectPr>
      </w:pPr>
    </w:p>
    <w:p w14:paraId="7719CE10" w14:textId="77777777" w:rsidR="00A1286E" w:rsidRPr="00C16A4F" w:rsidRDefault="00A1286E" w:rsidP="00E82E57">
      <w:pPr>
        <w:pStyle w:val="SingleTxtG"/>
        <w:tabs>
          <w:tab w:val="left" w:pos="2268"/>
        </w:tabs>
      </w:pPr>
      <w:r w:rsidRPr="00C16A4F">
        <w:t>3.3.5.3.5.2</w:t>
      </w:r>
      <w:r w:rsidRPr="00C16A4F">
        <w:tab/>
      </w:r>
      <w:r w:rsidRPr="00C16A4F">
        <w:tab/>
        <w:t xml:space="preserve">A non-exhaustive list of other validated </w:t>
      </w:r>
      <w:r w:rsidRPr="00C16A4F">
        <w:rPr>
          <w:i/>
        </w:rPr>
        <w:t>in vitro</w:t>
      </w:r>
      <w:r w:rsidRPr="00C16A4F">
        <w:t>/</w:t>
      </w:r>
      <w:r w:rsidRPr="00C16A4F">
        <w:rPr>
          <w:i/>
        </w:rPr>
        <w:t>ex vivo</w:t>
      </w:r>
      <w:r w:rsidRPr="00C16A4F">
        <w:t xml:space="preserve"> test methods accepted by some competent authorities but not adopted as OECD test guidelines are listed below. A competent authority may decide which classification criteria, if any, should be applied for these test methods</w:t>
      </w:r>
      <w:r w:rsidRPr="00C16A4F">
        <w:rPr>
          <w:rFonts w:eastAsiaTheme="minorHAnsi"/>
        </w:rPr>
        <w:t>:</w:t>
      </w:r>
    </w:p>
    <w:p w14:paraId="34032563" w14:textId="1F23E6AF" w:rsidR="00A1286E" w:rsidRPr="00C16A4F" w:rsidRDefault="0036762A" w:rsidP="00E82E57">
      <w:pPr>
        <w:pStyle w:val="Bullet1G"/>
        <w:tabs>
          <w:tab w:val="clear" w:pos="1701"/>
        </w:tabs>
        <w:ind w:left="2552" w:hanging="284"/>
      </w:pPr>
      <w:r w:rsidRPr="00C16A4F">
        <w:rPr>
          <w:rFonts w:ascii="Symbol" w:eastAsiaTheme="minorHAnsi" w:hAnsi="Symbol"/>
          <w:lang w:eastAsia="en-US"/>
        </w:rPr>
        <w:t>T</w:t>
      </w:r>
      <w:proofErr w:type="spellStart"/>
      <w:r w:rsidR="00A1286E" w:rsidRPr="00C16A4F">
        <w:t>ime</w:t>
      </w:r>
      <w:proofErr w:type="spellEnd"/>
      <w:r w:rsidR="00A1286E" w:rsidRPr="00C16A4F">
        <w:t xml:space="preserve"> to Toxicity (ET</w:t>
      </w:r>
      <w:r w:rsidR="00A1286E" w:rsidRPr="00C16A4F">
        <w:rPr>
          <w:vertAlign w:val="subscript"/>
        </w:rPr>
        <w:t>50</w:t>
      </w:r>
      <w:r w:rsidR="00A1286E" w:rsidRPr="00C16A4F">
        <w:t>) tests using the Reconstructed human Cornea-like Epithelia (</w:t>
      </w:r>
      <w:proofErr w:type="spellStart"/>
      <w:r w:rsidR="00A1286E" w:rsidRPr="00C16A4F">
        <w:t>RhCE</w:t>
      </w:r>
      <w:proofErr w:type="spellEnd"/>
      <w:r w:rsidR="00A1286E" w:rsidRPr="00C16A4F">
        <w:t>) described in OECD Test Guideline 492 (</w:t>
      </w:r>
      <w:proofErr w:type="spellStart"/>
      <w:r w:rsidR="00A1286E" w:rsidRPr="00C16A4F">
        <w:t>Kandarova</w:t>
      </w:r>
      <w:proofErr w:type="spellEnd"/>
      <w:r w:rsidR="00A1286E" w:rsidRPr="00C16A4F">
        <w:t xml:space="preserve"> et al., 2018; </w:t>
      </w:r>
      <w:proofErr w:type="spellStart"/>
      <w:r w:rsidR="00A1286E" w:rsidRPr="00C16A4F">
        <w:t>Alépée</w:t>
      </w:r>
      <w:proofErr w:type="spellEnd"/>
      <w:r w:rsidR="00A1286E" w:rsidRPr="00C16A4F">
        <w:t xml:space="preserve"> et al., 2020</w:t>
      </w:r>
      <w:proofErr w:type="gramStart"/>
      <w:r w:rsidR="00A1286E" w:rsidRPr="00C16A4F">
        <w:t>);</w:t>
      </w:r>
      <w:proofErr w:type="gramEnd"/>
    </w:p>
    <w:p w14:paraId="77BE1E41" w14:textId="4D58BF27" w:rsidR="00A1286E" w:rsidRPr="00C16A4F" w:rsidRDefault="00A1286E" w:rsidP="00E82E57">
      <w:pPr>
        <w:pStyle w:val="Bullet1G"/>
        <w:tabs>
          <w:tab w:val="clear" w:pos="1701"/>
        </w:tabs>
        <w:ind w:left="2552" w:hanging="284"/>
      </w:pPr>
      <w:r w:rsidRPr="00C16A4F">
        <w:rPr>
          <w:i/>
        </w:rPr>
        <w:t>Ex Vivo</w:t>
      </w:r>
      <w:r w:rsidRPr="00C16A4F">
        <w:t xml:space="preserve"> Eye Irritation Test (EVEIT): an </w:t>
      </w:r>
      <w:r w:rsidRPr="00C16A4F">
        <w:rPr>
          <w:i/>
        </w:rPr>
        <w:t>ex vivo</w:t>
      </w:r>
      <w:r w:rsidRPr="00C16A4F">
        <w:t xml:space="preserve"> assay that uses excised rabbit corneal tissues kept in culture for several days and monitors tissue recovery to model both reversible and non-reversible eye effects. Full-thickness tissue recovery is monitored non-invasively using optical coherence tomography (OCT) (</w:t>
      </w:r>
      <w:proofErr w:type="spellStart"/>
      <w:r w:rsidRPr="00C16A4F">
        <w:t>Frentz</w:t>
      </w:r>
      <w:proofErr w:type="spellEnd"/>
      <w:r w:rsidRPr="00C16A4F">
        <w:t xml:space="preserve"> et al., 2008; </w:t>
      </w:r>
      <w:proofErr w:type="spellStart"/>
      <w:r w:rsidRPr="00C16A4F">
        <w:t>Spöler</w:t>
      </w:r>
      <w:proofErr w:type="spellEnd"/>
      <w:r w:rsidRPr="00C16A4F">
        <w:t xml:space="preserve"> et al., 2007; </w:t>
      </w:r>
      <w:proofErr w:type="spellStart"/>
      <w:r w:rsidRPr="00C16A4F">
        <w:t>Spöler</w:t>
      </w:r>
      <w:proofErr w:type="spellEnd"/>
      <w:r w:rsidRPr="00C16A4F">
        <w:t xml:space="preserve"> et al., 2015</w:t>
      </w:r>
      <w:proofErr w:type="gramStart"/>
      <w:r w:rsidRPr="00C16A4F">
        <w:t>);</w:t>
      </w:r>
      <w:proofErr w:type="gramEnd"/>
    </w:p>
    <w:p w14:paraId="539B94E7" w14:textId="58FBB78A" w:rsidR="00A1286E" w:rsidRPr="00C16A4F" w:rsidRDefault="00A1286E" w:rsidP="00E82E57">
      <w:pPr>
        <w:pStyle w:val="Bullet1G"/>
        <w:tabs>
          <w:tab w:val="clear" w:pos="1701"/>
        </w:tabs>
        <w:ind w:left="2552" w:hanging="284"/>
      </w:pPr>
      <w:r w:rsidRPr="00C16A4F">
        <w:t>Porcine Ocular Cornea Opacity/Reversibility Assay (</w:t>
      </w:r>
      <w:proofErr w:type="spellStart"/>
      <w:r w:rsidRPr="00C16A4F">
        <w:t>PorCORA</w:t>
      </w:r>
      <w:proofErr w:type="spellEnd"/>
      <w:r w:rsidRPr="00C16A4F">
        <w:t xml:space="preserve">): an </w:t>
      </w:r>
      <w:r w:rsidRPr="00C16A4F">
        <w:rPr>
          <w:i/>
        </w:rPr>
        <w:t>ex vivo</w:t>
      </w:r>
      <w:r w:rsidRPr="00C16A4F">
        <w:t xml:space="preserve"> assay that uses excised porcine corneal tissues kept in culture for up to 21 days and monitors tissue recovery to model both reversible and non-reversible eye effects. The tissues are stained with fluorescent dye and effects on the corneal epithelia are visualised by the retention of fluorescent dye (</w:t>
      </w:r>
      <w:proofErr w:type="spellStart"/>
      <w:r w:rsidRPr="00C16A4F">
        <w:t>Piehl</w:t>
      </w:r>
      <w:proofErr w:type="spellEnd"/>
      <w:r w:rsidRPr="00C16A4F">
        <w:t xml:space="preserve"> et al., 2010; </w:t>
      </w:r>
      <w:proofErr w:type="spellStart"/>
      <w:r w:rsidRPr="00C16A4F">
        <w:t>Piehl</w:t>
      </w:r>
      <w:proofErr w:type="spellEnd"/>
      <w:r w:rsidRPr="00C16A4F">
        <w:t xml:space="preserve"> et al., 2011</w:t>
      </w:r>
      <w:proofErr w:type="gramStart"/>
      <w:r w:rsidRPr="00C16A4F">
        <w:t>);</w:t>
      </w:r>
      <w:proofErr w:type="gramEnd"/>
    </w:p>
    <w:p w14:paraId="12AC5456" w14:textId="4BBD0A77" w:rsidR="00A1286E" w:rsidRPr="00C16A4F" w:rsidRDefault="00A1286E" w:rsidP="00E82E57">
      <w:pPr>
        <w:pStyle w:val="Bullet1G"/>
        <w:tabs>
          <w:tab w:val="clear" w:pos="1701"/>
        </w:tabs>
        <w:ind w:left="2552" w:hanging="284"/>
      </w:pPr>
      <w:proofErr w:type="spellStart"/>
      <w:r w:rsidRPr="00C16A4F">
        <w:t>EyeIRR</w:t>
      </w:r>
      <w:proofErr w:type="spellEnd"/>
      <w:r w:rsidRPr="00C16A4F">
        <w:t xml:space="preserve">-IS assay: a genomic approach applied to a </w:t>
      </w:r>
      <w:proofErr w:type="spellStart"/>
      <w:r w:rsidRPr="00C16A4F">
        <w:t>RhCE</w:t>
      </w:r>
      <w:proofErr w:type="spellEnd"/>
      <w:r w:rsidRPr="00C16A4F">
        <w:t xml:space="preserve"> model (</w:t>
      </w:r>
      <w:proofErr w:type="spellStart"/>
      <w:r w:rsidRPr="00C16A4F">
        <w:t>Cottrez</w:t>
      </w:r>
      <w:proofErr w:type="spellEnd"/>
      <w:r w:rsidRPr="00C16A4F">
        <w:t xml:space="preserve"> et al., 2021</w:t>
      </w:r>
      <w:proofErr w:type="gramStart"/>
      <w:r w:rsidRPr="00C16A4F">
        <w:t>);</w:t>
      </w:r>
      <w:proofErr w:type="gramEnd"/>
    </w:p>
    <w:p w14:paraId="782C28BA" w14:textId="2E474F33" w:rsidR="00A1286E" w:rsidRPr="00C16A4F" w:rsidRDefault="00A1286E" w:rsidP="00E82E57">
      <w:pPr>
        <w:pStyle w:val="Bullet1G"/>
        <w:tabs>
          <w:tab w:val="clear" w:pos="1701"/>
        </w:tabs>
        <w:ind w:left="2552" w:hanging="284"/>
      </w:pPr>
      <w:r w:rsidRPr="00C16A4F">
        <w:rPr>
          <w:i/>
        </w:rPr>
        <w:t>In vitro</w:t>
      </w:r>
      <w:r w:rsidRPr="00C16A4F">
        <w:t xml:space="preserve"> Macromolecular Test Method (test method 2), similar to test method 1 described in OECD Test Guideline 496 (Choksi et al., 2020</w:t>
      </w:r>
      <w:proofErr w:type="gramStart"/>
      <w:r w:rsidRPr="00C16A4F">
        <w:t>);</w:t>
      </w:r>
      <w:proofErr w:type="gramEnd"/>
    </w:p>
    <w:p w14:paraId="51235E55" w14:textId="00B61473" w:rsidR="00A1286E" w:rsidRPr="00C16A4F" w:rsidRDefault="00A1286E" w:rsidP="00E82E57">
      <w:pPr>
        <w:pStyle w:val="Bullet1G"/>
        <w:tabs>
          <w:tab w:val="clear" w:pos="1701"/>
        </w:tabs>
        <w:ind w:left="2552" w:hanging="284"/>
      </w:pPr>
      <w:r w:rsidRPr="00C16A4F">
        <w:t xml:space="preserve">Metabolic activity assay: </w:t>
      </w:r>
      <w:r w:rsidRPr="00C16A4F">
        <w:rPr>
          <w:i/>
        </w:rPr>
        <w:t>In vitro</w:t>
      </w:r>
      <w:r w:rsidRPr="00C16A4F">
        <w:t xml:space="preserve"> assay consisting of measuring changes to metabolic rate in test-material treated L929 cell monolayer (</w:t>
      </w:r>
      <w:proofErr w:type="spellStart"/>
      <w:r w:rsidRPr="00C16A4F">
        <w:t>Harbell</w:t>
      </w:r>
      <w:proofErr w:type="spellEnd"/>
      <w:r w:rsidRPr="00C16A4F">
        <w:t xml:space="preserve"> et al., 1999; EURL ECVAM, 2004a; Hartung et al., 2010; Nash et al., 2014</w:t>
      </w:r>
      <w:proofErr w:type="gramStart"/>
      <w:r w:rsidRPr="00C16A4F">
        <w:t>);</w:t>
      </w:r>
      <w:proofErr w:type="gramEnd"/>
    </w:p>
    <w:p w14:paraId="54E6B8F8" w14:textId="643B26BD" w:rsidR="00A1286E" w:rsidRPr="00C16A4F" w:rsidRDefault="00A1286E" w:rsidP="00E82E57">
      <w:pPr>
        <w:pStyle w:val="Bullet1G"/>
        <w:tabs>
          <w:tab w:val="clear" w:pos="1701"/>
        </w:tabs>
        <w:ind w:left="2552" w:hanging="284"/>
      </w:pPr>
      <w:r w:rsidRPr="00C16A4F">
        <w:t xml:space="preserve">Hen’s Egg Test on the </w:t>
      </w:r>
      <w:proofErr w:type="spellStart"/>
      <w:r w:rsidRPr="00C16A4F">
        <w:t>Chorio-Allantoic</w:t>
      </w:r>
      <w:proofErr w:type="spellEnd"/>
      <w:r w:rsidRPr="00C16A4F">
        <w:t xml:space="preserve"> Membrane (HET-CAM): an organotypic assay that uses the vascularised membrane of fertile chicken eggs to assess a test material's potential to cause vascular changes (</w:t>
      </w:r>
      <w:proofErr w:type="spellStart"/>
      <w:r w:rsidRPr="00C16A4F">
        <w:t>Spielmann</w:t>
      </w:r>
      <w:proofErr w:type="spellEnd"/>
      <w:r w:rsidRPr="00C16A4F">
        <w:t xml:space="preserve"> et al., 1993; Balls et al., 1995; </w:t>
      </w:r>
      <w:proofErr w:type="spellStart"/>
      <w:r w:rsidRPr="00C16A4F">
        <w:t>Spielmann</w:t>
      </w:r>
      <w:proofErr w:type="spellEnd"/>
      <w:r w:rsidRPr="00C16A4F">
        <w:t xml:space="preserve"> et al., 1996; </w:t>
      </w:r>
      <w:proofErr w:type="spellStart"/>
      <w:r w:rsidRPr="00C16A4F">
        <w:t>Brantom</w:t>
      </w:r>
      <w:proofErr w:type="spellEnd"/>
      <w:r w:rsidRPr="00C16A4F">
        <w:t xml:space="preserve"> et al., 1997; ICCVAM, 2007; ICCVAM, 2010);</w:t>
      </w:r>
    </w:p>
    <w:p w14:paraId="3252F6FC" w14:textId="4C4A0BE2" w:rsidR="00A1286E" w:rsidRPr="00C16A4F" w:rsidRDefault="00A1286E" w:rsidP="00E82E57">
      <w:pPr>
        <w:pStyle w:val="Bullet1G"/>
        <w:tabs>
          <w:tab w:val="clear" w:pos="1701"/>
        </w:tabs>
        <w:ind w:left="2552" w:hanging="284"/>
      </w:pPr>
      <w:proofErr w:type="spellStart"/>
      <w:r w:rsidRPr="00C16A4F">
        <w:t>Chorio-Allantoic</w:t>
      </w:r>
      <w:proofErr w:type="spellEnd"/>
      <w:r w:rsidRPr="00C16A4F">
        <w:t xml:space="preserve"> Membrane Vascular Assay (CAMVA): an organotypic assay that uses the vascularised membrane of fertile chicken eggs to assess a test material's potential to cause vascular changes (Bagley et al., 1994; </w:t>
      </w:r>
      <w:proofErr w:type="spellStart"/>
      <w:r w:rsidRPr="00C16A4F">
        <w:t>Brantom</w:t>
      </w:r>
      <w:proofErr w:type="spellEnd"/>
      <w:r w:rsidRPr="00C16A4F">
        <w:t xml:space="preserve"> et al., 1997; Bagley et al., 1999; Donahue et al., 2011);</w:t>
      </w:r>
    </w:p>
    <w:p w14:paraId="33D9E2CF" w14:textId="10C723A0" w:rsidR="00A1286E" w:rsidRPr="00C16A4F" w:rsidRDefault="00A1286E" w:rsidP="00E82E57">
      <w:pPr>
        <w:pStyle w:val="Bullet1G"/>
        <w:tabs>
          <w:tab w:val="clear" w:pos="1701"/>
        </w:tabs>
        <w:ind w:left="2552" w:hanging="284"/>
      </w:pPr>
      <w:r w:rsidRPr="00C16A4F">
        <w:rPr>
          <w:rFonts w:ascii="Symbol" w:eastAsiaTheme="minorHAnsi" w:hAnsi="Symbol"/>
          <w:lang w:eastAsia="en-US"/>
        </w:rPr>
        <w:tab/>
      </w:r>
      <w:r w:rsidRPr="00C16A4F">
        <w:t xml:space="preserve">Neutral Red Release (NRR) assay: </w:t>
      </w:r>
      <w:r w:rsidRPr="00C16A4F">
        <w:rPr>
          <w:i/>
        </w:rPr>
        <w:t>In vitro</w:t>
      </w:r>
      <w:r w:rsidRPr="00C16A4F">
        <w:t xml:space="preserve"> assay that quantitatively measures a substance’s ability to induce damage to cell membranes in a monolayer of normal human epidermal keratinocytes (NHEK) (Reader et al. 1989; Reader et al., 1990; </w:t>
      </w:r>
      <w:proofErr w:type="spellStart"/>
      <w:r w:rsidRPr="00C16A4F">
        <w:t>Zuang</w:t>
      </w:r>
      <w:proofErr w:type="spellEnd"/>
      <w:r w:rsidRPr="00C16A4F">
        <w:t xml:space="preserve">, 2001; EURL ECVAM, 2004b; </w:t>
      </w:r>
      <w:proofErr w:type="spellStart"/>
      <w:r w:rsidRPr="00C16A4F">
        <w:t>Settivari</w:t>
      </w:r>
      <w:proofErr w:type="spellEnd"/>
      <w:r w:rsidRPr="00C16A4F">
        <w:t xml:space="preserve"> et al., 2016); and</w:t>
      </w:r>
    </w:p>
    <w:p w14:paraId="2E385878" w14:textId="4FB6BFA2" w:rsidR="00A1286E" w:rsidRPr="00C16A4F" w:rsidRDefault="00A1286E" w:rsidP="00E82E57">
      <w:pPr>
        <w:pStyle w:val="Bullet1G"/>
        <w:tabs>
          <w:tab w:val="clear" w:pos="1701"/>
        </w:tabs>
        <w:ind w:left="2552" w:hanging="284"/>
        <w:rPr>
          <w:rFonts w:eastAsiaTheme="minorHAnsi"/>
        </w:rPr>
      </w:pPr>
      <w:r w:rsidRPr="00C16A4F">
        <w:t xml:space="preserve">Isolated Rabbit Eye (IRE) test, similar to OECD Test Guideline 438 but using isolated rabbit eyes instead of isolated chicken eyes (Burton et al., 1981; Whittle et al. 1992; Balls et al., 1995; </w:t>
      </w:r>
      <w:proofErr w:type="spellStart"/>
      <w:r w:rsidRPr="00C16A4F">
        <w:t>Brantom</w:t>
      </w:r>
      <w:proofErr w:type="spellEnd"/>
      <w:r w:rsidRPr="00C16A4F">
        <w:t xml:space="preserve"> et al., 1997; ICCVAM, 2007; ICCVAM, 2010).</w:t>
      </w:r>
    </w:p>
    <w:p w14:paraId="42A6BA07" w14:textId="77777777" w:rsidR="00A1286E" w:rsidRPr="00C16A4F" w:rsidRDefault="00A1286E" w:rsidP="00E82E57">
      <w:pPr>
        <w:pStyle w:val="SingleTxtG"/>
        <w:tabs>
          <w:tab w:val="left" w:pos="2268"/>
        </w:tabs>
        <w:rPr>
          <w:rFonts w:eastAsia="Times New Roman"/>
          <w:i/>
          <w:iCs/>
        </w:rPr>
      </w:pPr>
      <w:r w:rsidRPr="00C16A4F">
        <w:t>3.3.5.3.6</w:t>
      </w:r>
      <w:r w:rsidRPr="00C16A4F">
        <w:tab/>
      </w:r>
      <w:r w:rsidRPr="00C16A4F">
        <w:tab/>
      </w:r>
      <w:r w:rsidRPr="00C16A4F">
        <w:rPr>
          <w:i/>
          <w:iCs/>
        </w:rPr>
        <w:t>Guidance on the use of other existing skin or eye data in animals for classification as serious eye damage or eye irritation</w:t>
      </w:r>
    </w:p>
    <w:p w14:paraId="300AAA59" w14:textId="30E27E39" w:rsidR="00A1286E" w:rsidRPr="00C16A4F" w:rsidRDefault="00A1286E" w:rsidP="00E82E57">
      <w:pPr>
        <w:pStyle w:val="SingleTxtG"/>
        <w:tabs>
          <w:tab w:val="left" w:pos="2268"/>
          <w:tab w:val="left" w:pos="3402"/>
        </w:tabs>
      </w:pPr>
      <w:r w:rsidRPr="00C16A4F">
        <w:t>3.3.5.3.6.1</w:t>
      </w:r>
      <w:r w:rsidRPr="00C16A4F">
        <w:tab/>
        <w:t>The availability of other animal data for serious eye damage/eye irritation may be limited as tests with the eye as the route of exposure are not normally performed. An exception could be historical data from the Low Volume Eye Test (LVET) that might be used in a weight of evidence assessment. The LVET is a modification of the standard OECD Test Guideline 405 test method.</w:t>
      </w:r>
    </w:p>
    <w:p w14:paraId="3FCFCAC0" w14:textId="68423072" w:rsidR="00A1286E" w:rsidRPr="00C16A4F" w:rsidRDefault="00A1286E" w:rsidP="00E82E57">
      <w:pPr>
        <w:pStyle w:val="SingleTxtG"/>
        <w:tabs>
          <w:tab w:val="left" w:pos="2268"/>
          <w:tab w:val="left" w:pos="3402"/>
        </w:tabs>
        <w:rPr>
          <w:rFonts w:eastAsiaTheme="minorHAnsi"/>
        </w:rPr>
      </w:pPr>
      <w:r w:rsidRPr="00C16A4F">
        <w:t>3.3.5.3.6.2</w:t>
      </w:r>
      <w:r w:rsidRPr="00C16A4F">
        <w:tab/>
        <w:t>Existing data from the LVET test could be considered for the purpose of classification and labelling but must be carefully evaluated. The differences between the LVET and OECD Test Guideline 405 may result in a classification in a lower category (or no classification) based on LVET data, than if the classification was based on data derived from the standard in vivo test (OECD Test Guideline 405). Thus, positive data from the LVET test could be a trigger for considering classification in Category 1 on its own, but data from this test are not conclusive for a Category 2 classification or no classification (ECHA, 2017). Such data may</w:t>
      </w:r>
      <w:r w:rsidR="00EE748C" w:rsidRPr="00C16A4F">
        <w:t>,</w:t>
      </w:r>
      <w:r w:rsidRPr="00C16A4F">
        <w:t xml:space="preserve"> however, be used in an overall weight of evidence assessment. It is noted that the applicability domain of the LVET is limited to household detergent and cleaning products and their main ingredients (surfactants) (ESAC, 2009).</w:t>
      </w:r>
    </w:p>
    <w:p w14:paraId="5DB3E014" w14:textId="36E26DD4" w:rsidR="00A1286E" w:rsidRPr="00C16A4F" w:rsidRDefault="00A1286E" w:rsidP="00E82E57">
      <w:pPr>
        <w:pStyle w:val="SingleTxtG"/>
        <w:tabs>
          <w:tab w:val="left" w:pos="2268"/>
        </w:tabs>
      </w:pPr>
      <w:r w:rsidRPr="00C16A4F">
        <w:t>3.3.5.3.6.3</w:t>
      </w:r>
      <w:r w:rsidRPr="00C16A4F">
        <w:tab/>
        <w:t>Effects on the eyes may be observed in acute or repeated dose inhalation studies with full body exposure. However, normally no scoring according to the Draize criteria is performed and the follow-up period may be shorter than 21 days. Also, the effects on the eyes will likely depend upon the concentration of the substance/mixture and the exposure duration. As there are no criteria for minimal concentration and duration, the absence of effects on the eyes or eye irritation may not be conclusive for the absence of serious eye damage. The presence of irreversible effects on the eye should be considered within a weight of evidence assessment.</w:t>
      </w:r>
    </w:p>
    <w:p w14:paraId="4CE22198" w14:textId="279C3742" w:rsidR="00A1286E" w:rsidRPr="00C16A4F" w:rsidRDefault="00A1286E" w:rsidP="00E82E57">
      <w:pPr>
        <w:pStyle w:val="SingleTxtG"/>
        <w:tabs>
          <w:tab w:val="left" w:pos="2268"/>
          <w:tab w:val="left" w:pos="3402"/>
        </w:tabs>
        <w:rPr>
          <w:i/>
          <w:iCs/>
        </w:rPr>
      </w:pPr>
      <w:r w:rsidRPr="00C16A4F">
        <w:t>3.3.5.3.7</w:t>
      </w:r>
      <w:r w:rsidRPr="00C16A4F">
        <w:tab/>
      </w:r>
      <w:r w:rsidRPr="00C16A4F">
        <w:rPr>
          <w:i/>
          <w:iCs/>
        </w:rPr>
        <w:t>Guidance on the use of pH and acid/alkaline reserve for classification as serious eye damage</w:t>
      </w:r>
    </w:p>
    <w:p w14:paraId="3202DDC6" w14:textId="2F009F44" w:rsidR="00A1286E" w:rsidRPr="00C16A4F" w:rsidRDefault="00A1286E" w:rsidP="00E82E57">
      <w:pPr>
        <w:pStyle w:val="SingleTxtG"/>
        <w:tabs>
          <w:tab w:val="left" w:pos="2268"/>
          <w:tab w:val="left" w:pos="3402"/>
        </w:tabs>
      </w:pPr>
      <w:r w:rsidRPr="00C16A4F">
        <w:t>3.3.5.3.7.1</w:t>
      </w:r>
      <w:r w:rsidRPr="00C16A4F">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0D6171A4" w14:textId="5AFBE941" w:rsidR="00A1286E" w:rsidRPr="00C16A4F" w:rsidRDefault="00A1286E" w:rsidP="00E82E57">
      <w:pPr>
        <w:pStyle w:val="SingleTxtG"/>
        <w:tabs>
          <w:tab w:val="left" w:pos="2268"/>
          <w:tab w:val="left" w:pos="3402"/>
        </w:tabs>
      </w:pPr>
      <w:r w:rsidRPr="00C16A4F">
        <w:t>3.3.5.3.7.2</w:t>
      </w:r>
      <w:r w:rsidRPr="00C16A4F">
        <w:tab/>
        <w:t>Criteria to identify substances and mixtures requiring classification in Category 1 based on pH and acid/alkaline reserve have been developed for effects on the skin (Young et al., 1988) and the same criteria are applied for effects on the eye.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eye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6CBB18BE" w14:textId="53A67EC5" w:rsidR="00E26F1A" w:rsidRPr="00C16A4F" w:rsidRDefault="00ED1705" w:rsidP="00E82E57">
      <w:pPr>
        <w:pStyle w:val="SingleTxtG"/>
        <w:tabs>
          <w:tab w:val="left" w:pos="1560"/>
          <w:tab w:val="left" w:pos="2835"/>
        </w:tabs>
        <w:rPr>
          <w:lang w:val="en-AU"/>
        </w:rPr>
      </w:pPr>
      <w:r w:rsidRPr="00C16A4F">
        <w:t>________________</w:t>
      </w:r>
    </w:p>
    <w:p w14:paraId="1824EA4F" w14:textId="355A3EE2" w:rsidR="00A1286E" w:rsidRPr="00C16A4F" w:rsidRDefault="00A1286E" w:rsidP="00E82E57">
      <w:pPr>
        <w:tabs>
          <w:tab w:val="left" w:pos="1276"/>
          <w:tab w:val="left" w:pos="1560"/>
          <w:tab w:val="left" w:pos="2835"/>
        </w:tabs>
        <w:spacing w:after="240" w:line="240" w:lineRule="auto"/>
        <w:ind w:left="1134" w:right="1134"/>
        <w:rPr>
          <w:b/>
          <w:i/>
          <w:iCs/>
        </w:rPr>
      </w:pPr>
      <w:r w:rsidRPr="00C16A4F">
        <w:t>*</w:t>
      </w:r>
      <w:r w:rsidRPr="00C16A4F">
        <w:tab/>
      </w:r>
      <w:r w:rsidR="00B235CC" w:rsidRPr="00C16A4F">
        <w:tab/>
      </w:r>
      <w:r w:rsidRPr="00C16A4F">
        <w:rPr>
          <w:i/>
          <w:iCs/>
        </w:rPr>
        <w:t>References:</w:t>
      </w:r>
    </w:p>
    <w:p w14:paraId="5B3D9803" w14:textId="77777777" w:rsidR="00A1286E" w:rsidRPr="00C16A4F" w:rsidRDefault="00A1286E" w:rsidP="00E82E57">
      <w:pPr>
        <w:tabs>
          <w:tab w:val="left" w:pos="1560"/>
        </w:tabs>
        <w:spacing w:after="240"/>
        <w:ind w:left="1134" w:right="1134"/>
        <w:jc w:val="both"/>
        <w:rPr>
          <w:i/>
        </w:rPr>
      </w:pPr>
      <w:proofErr w:type="spellStart"/>
      <w:r w:rsidRPr="00C16A4F">
        <w:rPr>
          <w:i/>
        </w:rPr>
        <w:t>Alépée</w:t>
      </w:r>
      <w:proofErr w:type="spellEnd"/>
      <w:r w:rsidRPr="00C16A4F">
        <w:rPr>
          <w:i/>
        </w:rPr>
        <w:t xml:space="preserve">, N., E. </w:t>
      </w:r>
      <w:proofErr w:type="spellStart"/>
      <w:r w:rsidRPr="00C16A4F">
        <w:rPr>
          <w:i/>
        </w:rPr>
        <w:t>Adriaens</w:t>
      </w:r>
      <w:proofErr w:type="spellEnd"/>
      <w:r w:rsidRPr="00C16A4F">
        <w:rPr>
          <w:i/>
        </w:rPr>
        <w:t xml:space="preserve">, T. Abo, D. Bagley, B. </w:t>
      </w:r>
      <w:proofErr w:type="spellStart"/>
      <w:r w:rsidRPr="00C16A4F">
        <w:rPr>
          <w:i/>
        </w:rPr>
        <w:t>Desprez</w:t>
      </w:r>
      <w:proofErr w:type="spellEnd"/>
      <w:r w:rsidRPr="00C16A4F">
        <w:rPr>
          <w:i/>
        </w:rPr>
        <w:t xml:space="preserve">, J. </w:t>
      </w:r>
      <w:proofErr w:type="spellStart"/>
      <w:r w:rsidRPr="00C16A4F">
        <w:rPr>
          <w:i/>
        </w:rPr>
        <w:t>Hibatallah</w:t>
      </w:r>
      <w:proofErr w:type="spellEnd"/>
      <w:r w:rsidRPr="00C16A4F">
        <w:rPr>
          <w:i/>
        </w:rPr>
        <w:t xml:space="preserve">, K. </w:t>
      </w:r>
      <w:proofErr w:type="spellStart"/>
      <w:r w:rsidRPr="00C16A4F">
        <w:rPr>
          <w:i/>
        </w:rPr>
        <w:t>Mewes</w:t>
      </w:r>
      <w:proofErr w:type="spellEnd"/>
      <w:r w:rsidRPr="00C16A4F">
        <w:rPr>
          <w:i/>
        </w:rPr>
        <w:t xml:space="preserve">, U. </w:t>
      </w:r>
      <w:proofErr w:type="spellStart"/>
      <w:r w:rsidRPr="00C16A4F">
        <w:rPr>
          <w:i/>
        </w:rPr>
        <w:t>Pfannenbecker</w:t>
      </w:r>
      <w:proofErr w:type="spellEnd"/>
      <w:r w:rsidRPr="00C16A4F">
        <w:rPr>
          <w:i/>
        </w:rPr>
        <w:t xml:space="preserve">, À. Sala, A.R. Van </w:t>
      </w:r>
      <w:proofErr w:type="spellStart"/>
      <w:r w:rsidRPr="00C16A4F">
        <w:rPr>
          <w:i/>
        </w:rPr>
        <w:t>Rompay</w:t>
      </w:r>
      <w:proofErr w:type="spellEnd"/>
      <w:r w:rsidRPr="00C16A4F">
        <w:rPr>
          <w:i/>
        </w:rPr>
        <w:t xml:space="preserve">, S. </w:t>
      </w:r>
      <w:proofErr w:type="spellStart"/>
      <w:r w:rsidRPr="00C16A4F">
        <w:rPr>
          <w:i/>
        </w:rPr>
        <w:t>Verstraelen</w:t>
      </w:r>
      <w:proofErr w:type="spellEnd"/>
      <w:r w:rsidRPr="00C16A4F">
        <w:rPr>
          <w:i/>
        </w:rPr>
        <w:t xml:space="preserve">, and P. McNamee. 2019a. Development of a defined approach for eye irritation or serious eye damage for liquids, neat and in dilution, based on Cosmetics Europe analysis of in vitro STE and BCOP test methods. </w:t>
      </w:r>
      <w:proofErr w:type="spellStart"/>
      <w:r w:rsidRPr="00C16A4F">
        <w:rPr>
          <w:i/>
        </w:rPr>
        <w:t>Toxicol</w:t>
      </w:r>
      <w:proofErr w:type="spellEnd"/>
      <w:r w:rsidRPr="00C16A4F">
        <w:rPr>
          <w:i/>
        </w:rPr>
        <w:t xml:space="preserve">. In Vitro, 57: 154-163. </w:t>
      </w:r>
      <w:proofErr w:type="spellStart"/>
      <w:r w:rsidRPr="00C16A4F">
        <w:rPr>
          <w:i/>
        </w:rPr>
        <w:t>doi</w:t>
      </w:r>
      <w:proofErr w:type="spellEnd"/>
      <w:r w:rsidRPr="00C16A4F">
        <w:rPr>
          <w:i/>
        </w:rPr>
        <w:t>: 10.1016/j.tiv.2019.02.019.</w:t>
      </w:r>
    </w:p>
    <w:p w14:paraId="64FD9796" w14:textId="77777777" w:rsidR="00A1286E" w:rsidRPr="00C16A4F" w:rsidRDefault="00A1286E" w:rsidP="00E82E57">
      <w:pPr>
        <w:tabs>
          <w:tab w:val="left" w:pos="1560"/>
        </w:tabs>
        <w:spacing w:after="240"/>
        <w:ind w:left="1134" w:right="1134"/>
        <w:jc w:val="both"/>
        <w:rPr>
          <w:i/>
        </w:rPr>
      </w:pPr>
      <w:proofErr w:type="spellStart"/>
      <w:r w:rsidRPr="00C16A4F">
        <w:rPr>
          <w:i/>
        </w:rPr>
        <w:t>Alépée</w:t>
      </w:r>
      <w:proofErr w:type="spellEnd"/>
      <w:r w:rsidRPr="00C16A4F">
        <w:rPr>
          <w:i/>
        </w:rPr>
        <w:t xml:space="preserve">, N., E. </w:t>
      </w:r>
      <w:proofErr w:type="spellStart"/>
      <w:r w:rsidRPr="00C16A4F">
        <w:rPr>
          <w:i/>
        </w:rPr>
        <w:t>Adriaens</w:t>
      </w:r>
      <w:proofErr w:type="spellEnd"/>
      <w:r w:rsidRPr="00C16A4F">
        <w:rPr>
          <w:i/>
        </w:rPr>
        <w:t xml:space="preserve">, T. Abo, D. Bagley, B. </w:t>
      </w:r>
      <w:proofErr w:type="spellStart"/>
      <w:r w:rsidRPr="00C16A4F">
        <w:rPr>
          <w:i/>
        </w:rPr>
        <w:t>Desprez</w:t>
      </w:r>
      <w:proofErr w:type="spellEnd"/>
      <w:r w:rsidRPr="00C16A4F">
        <w:rPr>
          <w:i/>
        </w:rPr>
        <w:t xml:space="preserve">, J. </w:t>
      </w:r>
      <w:proofErr w:type="spellStart"/>
      <w:r w:rsidRPr="00C16A4F">
        <w:rPr>
          <w:i/>
        </w:rPr>
        <w:t>Hibatallah</w:t>
      </w:r>
      <w:proofErr w:type="spellEnd"/>
      <w:r w:rsidRPr="00C16A4F">
        <w:rPr>
          <w:i/>
        </w:rPr>
        <w:t xml:space="preserve">, K. </w:t>
      </w:r>
      <w:proofErr w:type="spellStart"/>
      <w:r w:rsidRPr="00C16A4F">
        <w:rPr>
          <w:i/>
        </w:rPr>
        <w:t>Mewes</w:t>
      </w:r>
      <w:proofErr w:type="spellEnd"/>
      <w:r w:rsidRPr="00C16A4F">
        <w:rPr>
          <w:i/>
        </w:rPr>
        <w:t xml:space="preserve">, U. </w:t>
      </w:r>
      <w:proofErr w:type="spellStart"/>
      <w:r w:rsidRPr="00C16A4F">
        <w:rPr>
          <w:i/>
        </w:rPr>
        <w:t>Pfannenbecker</w:t>
      </w:r>
      <w:proofErr w:type="spellEnd"/>
      <w:r w:rsidRPr="00C16A4F">
        <w:rPr>
          <w:i/>
        </w:rPr>
        <w:t xml:space="preserve">, À. Sala, A.R. Van </w:t>
      </w:r>
      <w:proofErr w:type="spellStart"/>
      <w:r w:rsidRPr="00C16A4F">
        <w:rPr>
          <w:i/>
        </w:rPr>
        <w:t>Rompay</w:t>
      </w:r>
      <w:proofErr w:type="spellEnd"/>
      <w:r w:rsidRPr="00C16A4F">
        <w:rPr>
          <w:i/>
        </w:rPr>
        <w:t xml:space="preserve">, S. </w:t>
      </w:r>
      <w:proofErr w:type="spellStart"/>
      <w:r w:rsidRPr="00C16A4F">
        <w:rPr>
          <w:i/>
        </w:rPr>
        <w:t>Verstraelen</w:t>
      </w:r>
      <w:proofErr w:type="spellEnd"/>
      <w:r w:rsidRPr="00C16A4F">
        <w:rPr>
          <w:i/>
        </w:rPr>
        <w:t xml:space="preserve">, and P. McNamee. 2019b. Development of a defined approach for eye irritation or serious eye damage for neat liquids based on Cosmetics Europe analysis of in vitro </w:t>
      </w:r>
      <w:proofErr w:type="spellStart"/>
      <w:r w:rsidRPr="00C16A4F">
        <w:rPr>
          <w:i/>
        </w:rPr>
        <w:t>RhCE</w:t>
      </w:r>
      <w:proofErr w:type="spellEnd"/>
      <w:r w:rsidRPr="00C16A4F">
        <w:rPr>
          <w:i/>
        </w:rPr>
        <w:t xml:space="preserve"> and BCOP test methods. </w:t>
      </w:r>
      <w:proofErr w:type="spellStart"/>
      <w:r w:rsidRPr="00C16A4F">
        <w:rPr>
          <w:i/>
        </w:rPr>
        <w:t>Toxicol</w:t>
      </w:r>
      <w:proofErr w:type="spellEnd"/>
      <w:r w:rsidRPr="00C16A4F">
        <w:rPr>
          <w:i/>
        </w:rPr>
        <w:t xml:space="preserve">. In Vitro, 59: 100-114. </w:t>
      </w:r>
      <w:proofErr w:type="spellStart"/>
      <w:r w:rsidRPr="00C16A4F">
        <w:rPr>
          <w:i/>
        </w:rPr>
        <w:t>doi</w:t>
      </w:r>
      <w:proofErr w:type="spellEnd"/>
      <w:r w:rsidRPr="00C16A4F">
        <w:rPr>
          <w:i/>
        </w:rPr>
        <w:t>: 10.1016/j.tiv.2019.04.011.</w:t>
      </w:r>
    </w:p>
    <w:p w14:paraId="6FAD2FEE" w14:textId="77777777" w:rsidR="00A1286E" w:rsidRPr="00C16A4F" w:rsidRDefault="00A1286E" w:rsidP="00E82E57">
      <w:pPr>
        <w:tabs>
          <w:tab w:val="left" w:pos="1560"/>
        </w:tabs>
        <w:spacing w:after="240"/>
        <w:ind w:left="1134" w:right="1134"/>
        <w:jc w:val="both"/>
        <w:rPr>
          <w:i/>
        </w:rPr>
      </w:pPr>
      <w:proofErr w:type="spellStart"/>
      <w:r w:rsidRPr="00C16A4F">
        <w:rPr>
          <w:i/>
        </w:rPr>
        <w:t>Alépée</w:t>
      </w:r>
      <w:proofErr w:type="spellEnd"/>
      <w:r w:rsidRPr="00C16A4F">
        <w:rPr>
          <w:i/>
        </w:rPr>
        <w:t xml:space="preserve">, N., V. Leblanc, M.H. </w:t>
      </w:r>
      <w:proofErr w:type="spellStart"/>
      <w:r w:rsidRPr="00C16A4F">
        <w:rPr>
          <w:i/>
        </w:rPr>
        <w:t>Grandidier</w:t>
      </w:r>
      <w:proofErr w:type="spellEnd"/>
      <w:r w:rsidRPr="00C16A4F">
        <w:rPr>
          <w:i/>
        </w:rPr>
        <w:t xml:space="preserve">, S. </w:t>
      </w:r>
      <w:proofErr w:type="spellStart"/>
      <w:r w:rsidRPr="00C16A4F">
        <w:rPr>
          <w:i/>
        </w:rPr>
        <w:t>Teluob</w:t>
      </w:r>
      <w:proofErr w:type="spellEnd"/>
      <w:r w:rsidRPr="00C16A4F">
        <w:rPr>
          <w:i/>
        </w:rPr>
        <w:t xml:space="preserve">, V. </w:t>
      </w:r>
      <w:proofErr w:type="spellStart"/>
      <w:r w:rsidRPr="00C16A4F">
        <w:rPr>
          <w:i/>
        </w:rPr>
        <w:t>Tagliati</w:t>
      </w:r>
      <w:proofErr w:type="spellEnd"/>
      <w:r w:rsidRPr="00C16A4F">
        <w:rPr>
          <w:i/>
        </w:rPr>
        <w:t xml:space="preserve">, E. </w:t>
      </w:r>
      <w:proofErr w:type="spellStart"/>
      <w:r w:rsidRPr="00C16A4F">
        <w:rPr>
          <w:i/>
        </w:rPr>
        <w:t>Adriaens</w:t>
      </w:r>
      <w:proofErr w:type="spellEnd"/>
      <w:r w:rsidRPr="00C16A4F">
        <w:rPr>
          <w:i/>
        </w:rPr>
        <w:t xml:space="preserve">, and V. </w:t>
      </w:r>
      <w:proofErr w:type="spellStart"/>
      <w:r w:rsidRPr="00C16A4F">
        <w:rPr>
          <w:i/>
        </w:rPr>
        <w:t>Michaut</w:t>
      </w:r>
      <w:proofErr w:type="spellEnd"/>
      <w:r w:rsidRPr="00C16A4F">
        <w:rPr>
          <w:i/>
        </w:rPr>
        <w:t xml:space="preserve">. </w:t>
      </w:r>
      <w:r w:rsidRPr="00C16A4F">
        <w:rPr>
          <w:i/>
          <w:lang w:val="en-CA"/>
        </w:rPr>
        <w:t xml:space="preserve">2020. </w:t>
      </w:r>
      <w:r w:rsidRPr="00C16A4F">
        <w:rPr>
          <w:i/>
        </w:rPr>
        <w:t xml:space="preserve">Development of the </w:t>
      </w:r>
      <w:proofErr w:type="spellStart"/>
      <w:r w:rsidRPr="00C16A4F">
        <w:rPr>
          <w:i/>
        </w:rPr>
        <w:t>SkinEthic</w:t>
      </w:r>
      <w:proofErr w:type="spellEnd"/>
      <w:r w:rsidRPr="00C16A4F">
        <w:rPr>
          <w:i/>
        </w:rPr>
        <w:t xml:space="preserve"> HCE Time-to-Toxicity test method for identifying liquid chemicals not requiring classification and labelling and liquids inducing serious eye damage and eye irritation. </w:t>
      </w:r>
      <w:proofErr w:type="spellStart"/>
      <w:r w:rsidRPr="00C16A4F">
        <w:rPr>
          <w:i/>
        </w:rPr>
        <w:t>Toxicol</w:t>
      </w:r>
      <w:proofErr w:type="spellEnd"/>
      <w:r w:rsidRPr="00C16A4F">
        <w:rPr>
          <w:i/>
        </w:rPr>
        <w:t xml:space="preserve">. In Vitro, 69: 104960. </w:t>
      </w:r>
      <w:proofErr w:type="spellStart"/>
      <w:r w:rsidRPr="00C16A4F">
        <w:rPr>
          <w:i/>
        </w:rPr>
        <w:t>doi</w:t>
      </w:r>
      <w:proofErr w:type="spellEnd"/>
      <w:r w:rsidRPr="00C16A4F">
        <w:rPr>
          <w:i/>
        </w:rPr>
        <w:t>: 10.1016/j.tiv.2020.104960.</w:t>
      </w:r>
    </w:p>
    <w:p w14:paraId="6214A084" w14:textId="77777777" w:rsidR="00A1286E" w:rsidRPr="00C16A4F" w:rsidRDefault="00A1286E" w:rsidP="00E82E57">
      <w:pPr>
        <w:tabs>
          <w:tab w:val="left" w:pos="1560"/>
        </w:tabs>
        <w:spacing w:after="240"/>
        <w:ind w:left="1134" w:right="1134"/>
        <w:jc w:val="both"/>
        <w:rPr>
          <w:i/>
        </w:rPr>
      </w:pPr>
      <w:r w:rsidRPr="00C16A4F">
        <w:rPr>
          <w:i/>
        </w:rPr>
        <w:t xml:space="preserve">Bagley, D.M., D. Waters, and B.M. Kong. 1994. Development of a 10-day </w:t>
      </w:r>
      <w:proofErr w:type="spellStart"/>
      <w:r w:rsidRPr="00C16A4F">
        <w:rPr>
          <w:i/>
        </w:rPr>
        <w:t>chorioallantoic</w:t>
      </w:r>
      <w:proofErr w:type="spellEnd"/>
      <w:r w:rsidRPr="00C16A4F">
        <w:rPr>
          <w:i/>
        </w:rPr>
        <w:t xml:space="preserve"> membrane vascular assay as an alternative to the Draize rabbit eye irritation test. Food Chem. </w:t>
      </w:r>
      <w:proofErr w:type="spellStart"/>
      <w:r w:rsidRPr="00C16A4F">
        <w:rPr>
          <w:i/>
        </w:rPr>
        <w:t>Toxicol</w:t>
      </w:r>
      <w:proofErr w:type="spellEnd"/>
      <w:r w:rsidRPr="00C16A4F">
        <w:rPr>
          <w:i/>
        </w:rPr>
        <w:t xml:space="preserve">., 32(12): 1155-1160. </w:t>
      </w:r>
      <w:proofErr w:type="spellStart"/>
      <w:r w:rsidRPr="00C16A4F">
        <w:rPr>
          <w:i/>
        </w:rPr>
        <w:t>doi</w:t>
      </w:r>
      <w:proofErr w:type="spellEnd"/>
      <w:r w:rsidRPr="00C16A4F">
        <w:rPr>
          <w:i/>
        </w:rPr>
        <w:t>: 10.1016/0278-6915(94)90131-7.</w:t>
      </w:r>
    </w:p>
    <w:p w14:paraId="4C5EC6E3" w14:textId="77777777" w:rsidR="00A1286E" w:rsidRPr="00C16A4F" w:rsidRDefault="00A1286E" w:rsidP="00E82E57">
      <w:pPr>
        <w:tabs>
          <w:tab w:val="left" w:pos="1560"/>
        </w:tabs>
        <w:spacing w:after="240"/>
        <w:ind w:left="1134" w:right="1134"/>
        <w:jc w:val="both"/>
        <w:rPr>
          <w:i/>
        </w:rPr>
      </w:pPr>
      <w:r w:rsidRPr="00C16A4F">
        <w:rPr>
          <w:i/>
        </w:rPr>
        <w:t xml:space="preserve">Bagley, D.M., D. </w:t>
      </w:r>
      <w:proofErr w:type="spellStart"/>
      <w:r w:rsidRPr="00C16A4F">
        <w:rPr>
          <w:i/>
        </w:rPr>
        <w:t>Cerven</w:t>
      </w:r>
      <w:proofErr w:type="spellEnd"/>
      <w:r w:rsidRPr="00C16A4F">
        <w:rPr>
          <w:i/>
        </w:rPr>
        <w:t xml:space="preserve">, and J. </w:t>
      </w:r>
      <w:proofErr w:type="spellStart"/>
      <w:r w:rsidRPr="00C16A4F">
        <w:rPr>
          <w:i/>
        </w:rPr>
        <w:t>Harbell</w:t>
      </w:r>
      <w:proofErr w:type="spellEnd"/>
      <w:r w:rsidRPr="00C16A4F">
        <w:rPr>
          <w:i/>
        </w:rPr>
        <w:t xml:space="preserve">. 1999. Assessment of the </w:t>
      </w:r>
      <w:proofErr w:type="spellStart"/>
      <w:r w:rsidRPr="00C16A4F">
        <w:rPr>
          <w:i/>
        </w:rPr>
        <w:t>chorioallantoic</w:t>
      </w:r>
      <w:proofErr w:type="spellEnd"/>
      <w:r w:rsidRPr="00C16A4F">
        <w:rPr>
          <w:i/>
        </w:rPr>
        <w:t xml:space="preserve"> membrane vascular assay (CAMVA) in the COLIPA in vitro eye irritation validation study. </w:t>
      </w:r>
      <w:proofErr w:type="spellStart"/>
      <w:r w:rsidRPr="00C16A4F">
        <w:rPr>
          <w:i/>
        </w:rPr>
        <w:t>Toxicol</w:t>
      </w:r>
      <w:proofErr w:type="spellEnd"/>
      <w:r w:rsidRPr="00C16A4F">
        <w:rPr>
          <w:i/>
        </w:rPr>
        <w:t xml:space="preserve">. In Vitro, 13(2): 285-293. </w:t>
      </w:r>
      <w:proofErr w:type="spellStart"/>
      <w:r w:rsidRPr="00C16A4F">
        <w:rPr>
          <w:i/>
        </w:rPr>
        <w:t>doi</w:t>
      </w:r>
      <w:proofErr w:type="spellEnd"/>
      <w:r w:rsidRPr="00C16A4F">
        <w:rPr>
          <w:i/>
        </w:rPr>
        <w:t>: 10.1016/s0887-2333(98)00089-7.</w:t>
      </w:r>
    </w:p>
    <w:p w14:paraId="6B00D19F" w14:textId="77777777" w:rsidR="00A1286E" w:rsidRPr="00C16A4F" w:rsidRDefault="00A1286E" w:rsidP="00E82E57">
      <w:pPr>
        <w:tabs>
          <w:tab w:val="left" w:pos="1560"/>
        </w:tabs>
        <w:spacing w:after="240"/>
        <w:ind w:left="1134" w:right="1134"/>
        <w:jc w:val="both"/>
        <w:rPr>
          <w:i/>
        </w:rPr>
      </w:pPr>
      <w:r w:rsidRPr="00C16A4F">
        <w:rPr>
          <w:i/>
        </w:rPr>
        <w:t xml:space="preserve">Balls, M., P.A. Botham, L.H. Bruner, and H. </w:t>
      </w:r>
      <w:proofErr w:type="spellStart"/>
      <w:r w:rsidRPr="00C16A4F">
        <w:rPr>
          <w:i/>
        </w:rPr>
        <w:t>Spielmann</w:t>
      </w:r>
      <w:proofErr w:type="spellEnd"/>
      <w:r w:rsidRPr="00C16A4F">
        <w:rPr>
          <w:i/>
        </w:rPr>
        <w:t xml:space="preserve">. 1995. The EC/HO international validation study on alternatives to the </w:t>
      </w:r>
      <w:proofErr w:type="spellStart"/>
      <w:r w:rsidRPr="00C16A4F">
        <w:rPr>
          <w:i/>
        </w:rPr>
        <w:t>draize</w:t>
      </w:r>
      <w:proofErr w:type="spellEnd"/>
      <w:r w:rsidRPr="00C16A4F">
        <w:rPr>
          <w:i/>
        </w:rPr>
        <w:t xml:space="preserve"> eye irritation test. </w:t>
      </w:r>
      <w:proofErr w:type="spellStart"/>
      <w:r w:rsidRPr="00C16A4F">
        <w:rPr>
          <w:i/>
        </w:rPr>
        <w:t>Toxicol</w:t>
      </w:r>
      <w:proofErr w:type="spellEnd"/>
      <w:r w:rsidRPr="00C16A4F">
        <w:rPr>
          <w:i/>
        </w:rPr>
        <w:t xml:space="preserve">. In Vitro, 9(6): 871-929. </w:t>
      </w:r>
      <w:proofErr w:type="spellStart"/>
      <w:r w:rsidRPr="00C16A4F">
        <w:rPr>
          <w:i/>
        </w:rPr>
        <w:t>doi</w:t>
      </w:r>
      <w:proofErr w:type="spellEnd"/>
      <w:r w:rsidRPr="00C16A4F">
        <w:rPr>
          <w:i/>
        </w:rPr>
        <w:t>: 10.1016/0887-2333(95)00092-5.</w:t>
      </w:r>
    </w:p>
    <w:p w14:paraId="1976B4D4" w14:textId="77777777" w:rsidR="00A1286E" w:rsidRPr="00C16A4F" w:rsidRDefault="00A1286E" w:rsidP="00E82E57">
      <w:pPr>
        <w:tabs>
          <w:tab w:val="left" w:pos="1560"/>
        </w:tabs>
        <w:spacing w:after="240"/>
        <w:ind w:left="1134" w:right="1134"/>
        <w:jc w:val="both"/>
        <w:rPr>
          <w:i/>
        </w:rPr>
      </w:pPr>
      <w:proofErr w:type="spellStart"/>
      <w:r w:rsidRPr="00C16A4F">
        <w:rPr>
          <w:i/>
        </w:rPr>
        <w:t>Brantom</w:t>
      </w:r>
      <w:proofErr w:type="spellEnd"/>
      <w:r w:rsidRPr="00C16A4F">
        <w:rPr>
          <w:i/>
        </w:rPr>
        <w:t xml:space="preserve">, P.G., L.H. Bruner, M. Chamberlain, O. De Silva, J. Dupuis, L.K. Earl, D.P. Lovell, W.J. Pape, M. </w:t>
      </w:r>
      <w:proofErr w:type="spellStart"/>
      <w:r w:rsidRPr="00C16A4F">
        <w:rPr>
          <w:i/>
        </w:rPr>
        <w:t>Uttley</w:t>
      </w:r>
      <w:proofErr w:type="spellEnd"/>
      <w:r w:rsidRPr="00C16A4F">
        <w:rPr>
          <w:i/>
        </w:rPr>
        <w:t xml:space="preserve">, D.M. Bagley, F.W. Baker, M. </w:t>
      </w:r>
      <w:proofErr w:type="spellStart"/>
      <w:r w:rsidRPr="00C16A4F">
        <w:rPr>
          <w:i/>
        </w:rPr>
        <w:t>Bracher</w:t>
      </w:r>
      <w:proofErr w:type="spellEnd"/>
      <w:r w:rsidRPr="00C16A4F">
        <w:rPr>
          <w:i/>
        </w:rPr>
        <w:t xml:space="preserve">, P. </w:t>
      </w:r>
      <w:proofErr w:type="spellStart"/>
      <w:r w:rsidRPr="00C16A4F">
        <w:rPr>
          <w:i/>
        </w:rPr>
        <w:t>Courtellemont</w:t>
      </w:r>
      <w:proofErr w:type="spellEnd"/>
      <w:r w:rsidRPr="00C16A4F">
        <w:rPr>
          <w:i/>
        </w:rPr>
        <w:t xml:space="preserve">, L. </w:t>
      </w:r>
      <w:proofErr w:type="spellStart"/>
      <w:r w:rsidRPr="00C16A4F">
        <w:rPr>
          <w:i/>
        </w:rPr>
        <w:t>Declercq</w:t>
      </w:r>
      <w:proofErr w:type="spellEnd"/>
      <w:r w:rsidRPr="00C16A4F">
        <w:rPr>
          <w:i/>
        </w:rPr>
        <w:t xml:space="preserve">, S. Freeman, W. </w:t>
      </w:r>
      <w:proofErr w:type="spellStart"/>
      <w:r w:rsidRPr="00C16A4F">
        <w:rPr>
          <w:i/>
        </w:rPr>
        <w:t>Steiling</w:t>
      </w:r>
      <w:proofErr w:type="spellEnd"/>
      <w:r w:rsidRPr="00C16A4F">
        <w:rPr>
          <w:i/>
        </w:rPr>
        <w:t xml:space="preserve">, A.P. Walker, G.J. </w:t>
      </w:r>
      <w:proofErr w:type="spellStart"/>
      <w:r w:rsidRPr="00C16A4F">
        <w:rPr>
          <w:i/>
        </w:rPr>
        <w:t>Carr</w:t>
      </w:r>
      <w:proofErr w:type="spellEnd"/>
      <w:r w:rsidRPr="00C16A4F">
        <w:rPr>
          <w:i/>
        </w:rPr>
        <w:t xml:space="preserve">, N. </w:t>
      </w:r>
      <w:proofErr w:type="spellStart"/>
      <w:r w:rsidRPr="00C16A4F">
        <w:rPr>
          <w:i/>
        </w:rPr>
        <w:t>Dami</w:t>
      </w:r>
      <w:proofErr w:type="spellEnd"/>
      <w:r w:rsidRPr="00C16A4F">
        <w:rPr>
          <w:i/>
        </w:rPr>
        <w:t xml:space="preserve">, G. Thomas, J. </w:t>
      </w:r>
      <w:proofErr w:type="spellStart"/>
      <w:r w:rsidRPr="00C16A4F">
        <w:rPr>
          <w:i/>
        </w:rPr>
        <w:t>Harbell</w:t>
      </w:r>
      <w:proofErr w:type="spellEnd"/>
      <w:r w:rsidRPr="00C16A4F">
        <w:rPr>
          <w:i/>
        </w:rPr>
        <w:t xml:space="preserve">, P.A. Jones, U. </w:t>
      </w:r>
      <w:proofErr w:type="spellStart"/>
      <w:r w:rsidRPr="00C16A4F">
        <w:rPr>
          <w:i/>
        </w:rPr>
        <w:t>Pfannenbecker</w:t>
      </w:r>
      <w:proofErr w:type="spellEnd"/>
      <w:r w:rsidRPr="00C16A4F">
        <w:rPr>
          <w:i/>
        </w:rPr>
        <w:t xml:space="preserve">, J.A. Southee, M. </w:t>
      </w:r>
      <w:proofErr w:type="spellStart"/>
      <w:r w:rsidRPr="00C16A4F">
        <w:rPr>
          <w:i/>
        </w:rPr>
        <w:t>Tcheng</w:t>
      </w:r>
      <w:proofErr w:type="spellEnd"/>
      <w:r w:rsidRPr="00C16A4F">
        <w:rPr>
          <w:i/>
        </w:rPr>
        <w:t xml:space="preserve">, H. </w:t>
      </w:r>
      <w:proofErr w:type="spellStart"/>
      <w:r w:rsidRPr="00C16A4F">
        <w:rPr>
          <w:i/>
        </w:rPr>
        <w:t>Argembeaux</w:t>
      </w:r>
      <w:proofErr w:type="spellEnd"/>
      <w:r w:rsidRPr="00C16A4F">
        <w:rPr>
          <w:i/>
        </w:rPr>
        <w:t xml:space="preserve">, D. Castelli, R. Clothier, D.J. Esdaile, H. </w:t>
      </w:r>
      <w:proofErr w:type="spellStart"/>
      <w:r w:rsidRPr="00C16A4F">
        <w:rPr>
          <w:i/>
        </w:rPr>
        <w:t>Itigaki</w:t>
      </w:r>
      <w:proofErr w:type="spellEnd"/>
      <w:r w:rsidRPr="00C16A4F">
        <w:rPr>
          <w:i/>
        </w:rPr>
        <w:t xml:space="preserve">, K. Jung, Y. Kasai, H. Kojima, U. Kristen, M. </w:t>
      </w:r>
      <w:proofErr w:type="spellStart"/>
      <w:r w:rsidRPr="00C16A4F">
        <w:rPr>
          <w:i/>
        </w:rPr>
        <w:t>Larnicol</w:t>
      </w:r>
      <w:proofErr w:type="spellEnd"/>
      <w:r w:rsidRPr="00C16A4F">
        <w:rPr>
          <w:i/>
        </w:rPr>
        <w:t xml:space="preserve">, R.W. Lewis, K. </w:t>
      </w:r>
      <w:proofErr w:type="spellStart"/>
      <w:r w:rsidRPr="00C16A4F">
        <w:rPr>
          <w:i/>
        </w:rPr>
        <w:t>Marenus</w:t>
      </w:r>
      <w:proofErr w:type="spellEnd"/>
      <w:r w:rsidRPr="00C16A4F">
        <w:rPr>
          <w:i/>
        </w:rPr>
        <w:t xml:space="preserve">, O. Moreno, A. Peterson, E.S. Rasmussen, C. Robles, and M. Stern. 1997. A summary report of the COLIPA international </w:t>
      </w:r>
      <w:proofErr w:type="spellStart"/>
      <w:proofErr w:type="gramStart"/>
      <w:r w:rsidRPr="00C16A4F">
        <w:rPr>
          <w:i/>
        </w:rPr>
        <w:t>validation.study</w:t>
      </w:r>
      <w:proofErr w:type="spellEnd"/>
      <w:proofErr w:type="gramEnd"/>
      <w:r w:rsidRPr="00C16A4F">
        <w:rPr>
          <w:i/>
        </w:rPr>
        <w:t xml:space="preserve"> on alternatives to the </w:t>
      </w:r>
      <w:proofErr w:type="spellStart"/>
      <w:r w:rsidRPr="00C16A4F">
        <w:rPr>
          <w:i/>
        </w:rPr>
        <w:t>draize</w:t>
      </w:r>
      <w:proofErr w:type="spellEnd"/>
      <w:r w:rsidRPr="00C16A4F">
        <w:rPr>
          <w:i/>
        </w:rPr>
        <w:t xml:space="preserve"> rabbit eye irritation test. </w:t>
      </w:r>
      <w:proofErr w:type="spellStart"/>
      <w:r w:rsidRPr="00C16A4F">
        <w:rPr>
          <w:i/>
        </w:rPr>
        <w:t>Toxicol</w:t>
      </w:r>
      <w:proofErr w:type="spellEnd"/>
      <w:r w:rsidRPr="00C16A4F">
        <w:rPr>
          <w:i/>
        </w:rPr>
        <w:t>. In Vitro, 11: 141-179. doi:10.1016/S0887-2333(96)00069-0.</w:t>
      </w:r>
    </w:p>
    <w:p w14:paraId="7A03EA6D" w14:textId="77777777" w:rsidR="00A1286E" w:rsidRPr="00C16A4F" w:rsidRDefault="00A1286E" w:rsidP="00E82E57">
      <w:pPr>
        <w:tabs>
          <w:tab w:val="left" w:pos="1560"/>
        </w:tabs>
        <w:spacing w:after="240"/>
        <w:ind w:left="1134" w:right="1134"/>
        <w:jc w:val="both"/>
        <w:rPr>
          <w:i/>
        </w:rPr>
      </w:pPr>
      <w:r w:rsidRPr="00C16A4F">
        <w:rPr>
          <w:i/>
        </w:rPr>
        <w:t xml:space="preserve">Burton, A.B., M. York, and R.S. Lawrence. 1981. The in vitro assessment of severe eye irritants. Food </w:t>
      </w:r>
      <w:proofErr w:type="spellStart"/>
      <w:r w:rsidRPr="00C16A4F">
        <w:rPr>
          <w:i/>
        </w:rPr>
        <w:t>Cosmet</w:t>
      </w:r>
      <w:proofErr w:type="spellEnd"/>
      <w:r w:rsidRPr="00C16A4F">
        <w:rPr>
          <w:i/>
        </w:rPr>
        <w:t xml:space="preserve">. </w:t>
      </w:r>
      <w:proofErr w:type="spellStart"/>
      <w:r w:rsidRPr="00C16A4F">
        <w:rPr>
          <w:i/>
        </w:rPr>
        <w:t>Toxicol</w:t>
      </w:r>
      <w:proofErr w:type="spellEnd"/>
      <w:r w:rsidRPr="00C16A4F">
        <w:rPr>
          <w:i/>
        </w:rPr>
        <w:t xml:space="preserve">., 19(4): 471-480. </w:t>
      </w:r>
      <w:proofErr w:type="spellStart"/>
      <w:r w:rsidRPr="00C16A4F">
        <w:rPr>
          <w:i/>
        </w:rPr>
        <w:t>doi</w:t>
      </w:r>
      <w:proofErr w:type="spellEnd"/>
      <w:r w:rsidRPr="00C16A4F">
        <w:rPr>
          <w:i/>
        </w:rPr>
        <w:t>: 10.1016/0015-6264(81)90452-1.</w:t>
      </w:r>
    </w:p>
    <w:p w14:paraId="03454765" w14:textId="77777777" w:rsidR="00A1286E" w:rsidRPr="00C16A4F" w:rsidRDefault="00A1286E" w:rsidP="00E82E57">
      <w:pPr>
        <w:tabs>
          <w:tab w:val="left" w:pos="1560"/>
        </w:tabs>
        <w:spacing w:after="240"/>
        <w:ind w:left="1134" w:right="1134"/>
        <w:jc w:val="both"/>
        <w:rPr>
          <w:i/>
        </w:rPr>
      </w:pPr>
      <w:r w:rsidRPr="00C16A4F">
        <w:rPr>
          <w:i/>
        </w:rPr>
        <w:t xml:space="preserve">Choksi, N., S. Lebrun, M. Nguyen, A. Daniel, G. </w:t>
      </w:r>
      <w:proofErr w:type="spellStart"/>
      <w:r w:rsidRPr="00C16A4F">
        <w:rPr>
          <w:i/>
        </w:rPr>
        <w:t>DeGeorge</w:t>
      </w:r>
      <w:proofErr w:type="spellEnd"/>
      <w:r w:rsidRPr="00C16A4F">
        <w:rPr>
          <w:i/>
        </w:rPr>
        <w:t>, J. Willoughby, A.</w:t>
      </w:r>
      <w:r w:rsidRPr="00C16A4F">
        <w:t xml:space="preserve"> </w:t>
      </w:r>
      <w:r w:rsidRPr="00C16A4F">
        <w:rPr>
          <w:i/>
        </w:rPr>
        <w:t xml:space="preserve">Layton, D. Lowther, J. Merrill, J. Matheson, J. Barroso, K. </w:t>
      </w:r>
      <w:proofErr w:type="spellStart"/>
      <w:r w:rsidRPr="00C16A4F">
        <w:rPr>
          <w:i/>
        </w:rPr>
        <w:t>Yozzo</w:t>
      </w:r>
      <w:proofErr w:type="spellEnd"/>
      <w:r w:rsidRPr="00C16A4F">
        <w:rPr>
          <w:i/>
        </w:rPr>
        <w:t xml:space="preserve">, W. Casey, and D. Allen. 2020. Validation of the </w:t>
      </w:r>
      <w:proofErr w:type="spellStart"/>
      <w:r w:rsidRPr="00C16A4F">
        <w:rPr>
          <w:i/>
        </w:rPr>
        <w:t>OptiSafe</w:t>
      </w:r>
      <w:proofErr w:type="spellEnd"/>
      <w:r w:rsidRPr="00C16A4F">
        <w:rPr>
          <w:i/>
        </w:rPr>
        <w:t xml:space="preserve">™ eye irritation test. </w:t>
      </w:r>
      <w:proofErr w:type="spellStart"/>
      <w:r w:rsidRPr="00C16A4F">
        <w:rPr>
          <w:i/>
        </w:rPr>
        <w:t>Cutan</w:t>
      </w:r>
      <w:proofErr w:type="spellEnd"/>
      <w:r w:rsidRPr="00C16A4F">
        <w:rPr>
          <w:i/>
        </w:rPr>
        <w:t xml:space="preserve">. </w:t>
      </w:r>
      <w:proofErr w:type="spellStart"/>
      <w:r w:rsidRPr="00C16A4F">
        <w:rPr>
          <w:i/>
        </w:rPr>
        <w:t>Ocul</w:t>
      </w:r>
      <w:proofErr w:type="spellEnd"/>
      <w:r w:rsidRPr="00C16A4F">
        <w:rPr>
          <w:i/>
        </w:rPr>
        <w:t xml:space="preserve">. </w:t>
      </w:r>
      <w:proofErr w:type="spellStart"/>
      <w:r w:rsidRPr="00C16A4F">
        <w:rPr>
          <w:i/>
        </w:rPr>
        <w:t>Toxicol</w:t>
      </w:r>
      <w:proofErr w:type="spellEnd"/>
      <w:r w:rsidRPr="00C16A4F">
        <w:rPr>
          <w:i/>
        </w:rPr>
        <w:t xml:space="preserve">., 39(3): 180-192. </w:t>
      </w:r>
      <w:proofErr w:type="spellStart"/>
      <w:r w:rsidRPr="00C16A4F">
        <w:rPr>
          <w:i/>
        </w:rPr>
        <w:t>doi</w:t>
      </w:r>
      <w:proofErr w:type="spellEnd"/>
      <w:r w:rsidRPr="00C16A4F">
        <w:rPr>
          <w:i/>
        </w:rPr>
        <w:t>: 10.1080/15569527.2020.1787431.</w:t>
      </w:r>
    </w:p>
    <w:p w14:paraId="13D0A178" w14:textId="77777777" w:rsidR="00A1286E" w:rsidRPr="00C16A4F" w:rsidRDefault="00A1286E" w:rsidP="00E82E57">
      <w:pPr>
        <w:tabs>
          <w:tab w:val="left" w:pos="1560"/>
        </w:tabs>
        <w:spacing w:after="240"/>
        <w:ind w:left="1134" w:right="1134"/>
        <w:jc w:val="both"/>
        <w:rPr>
          <w:i/>
        </w:rPr>
      </w:pPr>
      <w:proofErr w:type="spellStart"/>
      <w:r w:rsidRPr="00C16A4F">
        <w:rPr>
          <w:i/>
        </w:rPr>
        <w:t>Cottrez</w:t>
      </w:r>
      <w:proofErr w:type="spellEnd"/>
      <w:r w:rsidRPr="00C16A4F">
        <w:rPr>
          <w:i/>
        </w:rPr>
        <w:t xml:space="preserve">, F., V. Leblanc, E. </w:t>
      </w:r>
      <w:proofErr w:type="spellStart"/>
      <w:r w:rsidRPr="00C16A4F">
        <w:rPr>
          <w:i/>
        </w:rPr>
        <w:t>Boitel</w:t>
      </w:r>
      <w:proofErr w:type="spellEnd"/>
      <w:r w:rsidRPr="00C16A4F">
        <w:rPr>
          <w:i/>
        </w:rPr>
        <w:t xml:space="preserve">, H. </w:t>
      </w:r>
      <w:proofErr w:type="spellStart"/>
      <w:r w:rsidRPr="00C16A4F">
        <w:rPr>
          <w:i/>
        </w:rPr>
        <w:t>Groux</w:t>
      </w:r>
      <w:proofErr w:type="spellEnd"/>
      <w:r w:rsidRPr="00C16A4F">
        <w:rPr>
          <w:i/>
        </w:rPr>
        <w:t xml:space="preserve">, and N. </w:t>
      </w:r>
      <w:proofErr w:type="spellStart"/>
      <w:r w:rsidRPr="00C16A4F">
        <w:rPr>
          <w:i/>
        </w:rPr>
        <w:t>Alépée</w:t>
      </w:r>
      <w:proofErr w:type="spellEnd"/>
      <w:r w:rsidRPr="00C16A4F">
        <w:rPr>
          <w:i/>
        </w:rPr>
        <w:t xml:space="preserve">. 2021. The </w:t>
      </w:r>
      <w:proofErr w:type="spellStart"/>
      <w:r w:rsidRPr="00C16A4F">
        <w:rPr>
          <w:i/>
        </w:rPr>
        <w:t>EyeIRR</w:t>
      </w:r>
      <w:proofErr w:type="spellEnd"/>
      <w:r w:rsidRPr="00C16A4F">
        <w:rPr>
          <w:i/>
        </w:rPr>
        <w:t xml:space="preserve">-IS assay: Development and evaluation of an in vitro assay to measure the eye irritation sub-categorization of liquid chemicals. </w:t>
      </w:r>
      <w:proofErr w:type="spellStart"/>
      <w:r w:rsidRPr="00C16A4F">
        <w:rPr>
          <w:i/>
        </w:rPr>
        <w:t>Toxicol</w:t>
      </w:r>
      <w:proofErr w:type="spellEnd"/>
      <w:r w:rsidRPr="00C16A4F">
        <w:rPr>
          <w:i/>
        </w:rPr>
        <w:t xml:space="preserve">. In Vitro, 71: 105072. </w:t>
      </w:r>
      <w:proofErr w:type="spellStart"/>
      <w:r w:rsidRPr="00C16A4F">
        <w:rPr>
          <w:i/>
        </w:rPr>
        <w:t>doi</w:t>
      </w:r>
      <w:proofErr w:type="spellEnd"/>
      <w:r w:rsidRPr="00C16A4F">
        <w:rPr>
          <w:i/>
        </w:rPr>
        <w:t>: 10.1016/j.tiv.2020.105072.</w:t>
      </w:r>
    </w:p>
    <w:p w14:paraId="45CF3FC7" w14:textId="77777777" w:rsidR="00A1286E" w:rsidRPr="00C16A4F" w:rsidRDefault="00A1286E" w:rsidP="00E82E57">
      <w:pPr>
        <w:tabs>
          <w:tab w:val="left" w:pos="1560"/>
        </w:tabs>
        <w:spacing w:after="240"/>
        <w:ind w:left="1134" w:right="1134"/>
        <w:jc w:val="both"/>
        <w:rPr>
          <w:i/>
        </w:rPr>
      </w:pPr>
      <w:r w:rsidRPr="00C16A4F">
        <w:rPr>
          <w:i/>
        </w:rPr>
        <w:t xml:space="preserve">Donahue, D.A., L.E. Kaufman, J. Avalos, F.A. </w:t>
      </w:r>
      <w:proofErr w:type="spellStart"/>
      <w:r w:rsidRPr="00C16A4F">
        <w:rPr>
          <w:i/>
        </w:rPr>
        <w:t>Simion</w:t>
      </w:r>
      <w:proofErr w:type="spellEnd"/>
      <w:r w:rsidRPr="00C16A4F">
        <w:rPr>
          <w:i/>
        </w:rPr>
        <w:t xml:space="preserve">, and D.R </w:t>
      </w:r>
      <w:proofErr w:type="spellStart"/>
      <w:r w:rsidRPr="00C16A4F">
        <w:rPr>
          <w:i/>
        </w:rPr>
        <w:t>Cerven</w:t>
      </w:r>
      <w:proofErr w:type="spellEnd"/>
      <w:r w:rsidRPr="00C16A4F">
        <w:rPr>
          <w:i/>
        </w:rPr>
        <w:t xml:space="preserve">. </w:t>
      </w:r>
      <w:r w:rsidRPr="00C16A4F">
        <w:rPr>
          <w:i/>
          <w:lang w:val="en-CA"/>
        </w:rPr>
        <w:t xml:space="preserve">2011. </w:t>
      </w:r>
      <w:r w:rsidRPr="00C16A4F">
        <w:rPr>
          <w:i/>
        </w:rPr>
        <w:t xml:space="preserve">Survey of ocular irritation predictive capacity using </w:t>
      </w:r>
      <w:proofErr w:type="spellStart"/>
      <w:r w:rsidRPr="00C16A4F">
        <w:rPr>
          <w:i/>
        </w:rPr>
        <w:t>Chorioallantoic</w:t>
      </w:r>
      <w:proofErr w:type="spellEnd"/>
      <w:r w:rsidRPr="00C16A4F">
        <w:rPr>
          <w:i/>
        </w:rPr>
        <w:t xml:space="preserve"> Membrane Vascular Assay (CAMVA) and Bovine Corneal Opacity and Permeability (BCOP) test historical data for 319 personal care products over fourteen years. </w:t>
      </w:r>
      <w:proofErr w:type="spellStart"/>
      <w:r w:rsidRPr="00C16A4F">
        <w:rPr>
          <w:i/>
        </w:rPr>
        <w:t>Toxicol</w:t>
      </w:r>
      <w:proofErr w:type="spellEnd"/>
      <w:r w:rsidRPr="00C16A4F">
        <w:rPr>
          <w:i/>
        </w:rPr>
        <w:t xml:space="preserve">. In Vitro, 25(2): 563-572. </w:t>
      </w:r>
      <w:proofErr w:type="spellStart"/>
      <w:r w:rsidRPr="00C16A4F">
        <w:rPr>
          <w:i/>
        </w:rPr>
        <w:t>doi</w:t>
      </w:r>
      <w:proofErr w:type="spellEnd"/>
      <w:r w:rsidRPr="00C16A4F">
        <w:rPr>
          <w:i/>
        </w:rPr>
        <w:t>: 10.1016/j.tiv.2010.12.003.</w:t>
      </w:r>
    </w:p>
    <w:p w14:paraId="3ACE9534" w14:textId="77777777" w:rsidR="00A1286E" w:rsidRPr="00C16A4F" w:rsidRDefault="00A1286E" w:rsidP="00E82E57">
      <w:pPr>
        <w:tabs>
          <w:tab w:val="left" w:pos="1560"/>
        </w:tabs>
        <w:spacing w:after="240"/>
        <w:ind w:left="1134" w:right="1134"/>
        <w:jc w:val="both"/>
        <w:rPr>
          <w:i/>
        </w:rPr>
      </w:pPr>
      <w:r w:rsidRPr="00C16A4F">
        <w:rPr>
          <w:i/>
        </w:rPr>
        <w:t xml:space="preserve">ECHA. 2017. Guidance on the Application of the CLP Criteria. Version 5.0. Reference ECHA-17-G-21-EN. </w:t>
      </w:r>
      <w:proofErr w:type="spellStart"/>
      <w:r w:rsidRPr="00C16A4F">
        <w:rPr>
          <w:i/>
        </w:rPr>
        <w:t>doi</w:t>
      </w:r>
      <w:proofErr w:type="spellEnd"/>
      <w:r w:rsidRPr="00C16A4F">
        <w:rPr>
          <w:i/>
        </w:rPr>
        <w:t xml:space="preserve">: 10.2823/124801. Available at: </w:t>
      </w:r>
      <w:hyperlink r:id="rId32" w:history="1">
        <w:r w:rsidRPr="00C16A4F">
          <w:rPr>
            <w:rStyle w:val="Hyperlink"/>
            <w:i/>
            <w:color w:val="auto"/>
          </w:rPr>
          <w:t>https://echa.europa.eu/guidance-documents/guidance-on-clp</w:t>
        </w:r>
      </w:hyperlink>
      <w:r w:rsidRPr="00C16A4F">
        <w:rPr>
          <w:i/>
        </w:rPr>
        <w:t xml:space="preserve">. </w:t>
      </w:r>
    </w:p>
    <w:p w14:paraId="223EB28D" w14:textId="77777777" w:rsidR="00A1286E" w:rsidRPr="00C16A4F" w:rsidRDefault="00A1286E" w:rsidP="00E82E57">
      <w:pPr>
        <w:tabs>
          <w:tab w:val="left" w:pos="1560"/>
        </w:tabs>
        <w:spacing w:after="240"/>
        <w:ind w:left="1134" w:right="1134"/>
        <w:jc w:val="both"/>
        <w:rPr>
          <w:i/>
        </w:rPr>
      </w:pPr>
      <w:r w:rsidRPr="00C16A4F">
        <w:rPr>
          <w:i/>
          <w:iCs/>
        </w:rPr>
        <w:t>ESAC.</w:t>
      </w:r>
      <w:r w:rsidRPr="00C16A4F">
        <w:rPr>
          <w:i/>
        </w:rPr>
        <w:t xml:space="preserve"> 2019. Statement on </w:t>
      </w:r>
      <w:r w:rsidRPr="00C16A4F">
        <w:rPr>
          <w:i/>
          <w:iCs/>
        </w:rPr>
        <w:t>the</w:t>
      </w:r>
      <w:r w:rsidRPr="00C16A4F">
        <w:t xml:space="preserve"> </w:t>
      </w:r>
      <w:r w:rsidRPr="00C16A4F">
        <w:rPr>
          <w:i/>
          <w:iCs/>
        </w:rPr>
        <w:t>use of existing low volume eye test (LVET) data for weight of evidence decisions on classification and labelling of cleaning products and their main ingredients. Statement of the ECVAM Scientific Advisory Committee (ESAC) of 9</w:t>
      </w:r>
      <w:r w:rsidRPr="00C16A4F">
        <w:rPr>
          <w:i/>
          <w:iCs/>
          <w:vertAlign w:val="superscript"/>
        </w:rPr>
        <w:t>th</w:t>
      </w:r>
      <w:r w:rsidRPr="00C16A4F">
        <w:rPr>
          <w:i/>
          <w:iCs/>
        </w:rPr>
        <w:t xml:space="preserve"> July 2009. Available at:</w:t>
      </w:r>
      <w:r w:rsidRPr="00C16A4F">
        <w:t xml:space="preserve"> </w:t>
      </w:r>
      <w:hyperlink r:id="rId33" w:history="1">
        <w:r w:rsidRPr="00C16A4F">
          <w:rPr>
            <w:rStyle w:val="Hyperlink"/>
            <w:i/>
            <w:iCs/>
            <w:color w:val="auto"/>
          </w:rPr>
          <w:t>https://ec.europa.eu/jrc/sites/jrcsh/files/esac31_lvet_20090922.pdf</w:t>
        </w:r>
      </w:hyperlink>
      <w:r w:rsidRPr="00C16A4F">
        <w:rPr>
          <w:i/>
          <w:iCs/>
        </w:rPr>
        <w:t xml:space="preserve">. </w:t>
      </w:r>
    </w:p>
    <w:p w14:paraId="7CB1FC57" w14:textId="77777777" w:rsidR="00A1286E" w:rsidRPr="00C16A4F" w:rsidRDefault="00A1286E" w:rsidP="00E82E57">
      <w:pPr>
        <w:tabs>
          <w:tab w:val="left" w:pos="1560"/>
        </w:tabs>
        <w:spacing w:after="240"/>
        <w:ind w:left="1134" w:right="1134"/>
        <w:jc w:val="both"/>
        <w:rPr>
          <w:i/>
        </w:rPr>
      </w:pPr>
      <w:r w:rsidRPr="00C16A4F">
        <w:rPr>
          <w:i/>
        </w:rPr>
        <w:t xml:space="preserve">EURL ECAM. 2004a. Tracking System for Alternative Methods Towards Regulatory Acceptance (TSAR). Method TM2004-01. The </w:t>
      </w:r>
      <w:proofErr w:type="spellStart"/>
      <w:r w:rsidRPr="00C16A4F">
        <w:rPr>
          <w:i/>
        </w:rPr>
        <w:t>cytosensor</w:t>
      </w:r>
      <w:proofErr w:type="spellEnd"/>
      <w:r w:rsidRPr="00C16A4F">
        <w:rPr>
          <w:i/>
        </w:rPr>
        <w:t xml:space="preserve"> </w:t>
      </w:r>
      <w:proofErr w:type="spellStart"/>
      <w:r w:rsidRPr="00C16A4F">
        <w:rPr>
          <w:i/>
        </w:rPr>
        <w:t>microphysiometer</w:t>
      </w:r>
      <w:proofErr w:type="spellEnd"/>
      <w:r w:rsidRPr="00C16A4F">
        <w:rPr>
          <w:i/>
        </w:rPr>
        <w:t xml:space="preserve"> toxicity test. Available at: </w:t>
      </w:r>
      <w:hyperlink r:id="rId34" w:history="1">
        <w:r w:rsidRPr="00C16A4F">
          <w:rPr>
            <w:rStyle w:val="Hyperlink"/>
            <w:i/>
            <w:color w:val="auto"/>
          </w:rPr>
          <w:t>https://tsar.jrc.ec.europa.eu/test-method/tm2004-01</w:t>
        </w:r>
      </w:hyperlink>
      <w:r w:rsidRPr="00C16A4F">
        <w:rPr>
          <w:i/>
        </w:rPr>
        <w:t>.</w:t>
      </w:r>
    </w:p>
    <w:p w14:paraId="532A9AE7" w14:textId="77777777" w:rsidR="00A1286E" w:rsidRPr="00C16A4F" w:rsidRDefault="00A1286E" w:rsidP="00E82E57">
      <w:pPr>
        <w:tabs>
          <w:tab w:val="left" w:pos="1560"/>
        </w:tabs>
        <w:spacing w:after="240"/>
        <w:ind w:left="1134" w:right="1134"/>
        <w:jc w:val="both"/>
        <w:rPr>
          <w:i/>
        </w:rPr>
      </w:pPr>
      <w:r w:rsidRPr="00C16A4F">
        <w:rPr>
          <w:i/>
        </w:rPr>
        <w:t xml:space="preserve">EURL ECAM. 2004b. Tracking System for Alternative Methods Towards Regulatory Acceptance (TSAR). Method TM2004-03. Neutral Red Release Assay. Available at: </w:t>
      </w:r>
      <w:hyperlink r:id="rId35" w:history="1">
        <w:r w:rsidRPr="00C16A4F">
          <w:rPr>
            <w:rStyle w:val="Hyperlink"/>
            <w:i/>
            <w:color w:val="auto"/>
          </w:rPr>
          <w:t>https://tsar.jrc.ec.europa.eu/test-method/tm2004-03</w:t>
        </w:r>
      </w:hyperlink>
      <w:r w:rsidRPr="00C16A4F">
        <w:rPr>
          <w:i/>
        </w:rPr>
        <w:t>.</w:t>
      </w:r>
    </w:p>
    <w:p w14:paraId="24856F27" w14:textId="77777777" w:rsidR="00A1286E" w:rsidRPr="00C16A4F" w:rsidRDefault="00A1286E" w:rsidP="00E82E57">
      <w:pPr>
        <w:tabs>
          <w:tab w:val="left" w:pos="1560"/>
        </w:tabs>
        <w:spacing w:after="240"/>
        <w:ind w:left="1134" w:right="1134"/>
        <w:jc w:val="both"/>
        <w:rPr>
          <w:i/>
        </w:rPr>
      </w:pPr>
      <w:proofErr w:type="spellStart"/>
      <w:r w:rsidRPr="00C16A4F">
        <w:rPr>
          <w:i/>
        </w:rPr>
        <w:t>Frentz</w:t>
      </w:r>
      <w:proofErr w:type="spellEnd"/>
      <w:r w:rsidRPr="00C16A4F">
        <w:rPr>
          <w:i/>
        </w:rPr>
        <w:t xml:space="preserve">, M., M. Goss, M. </w:t>
      </w:r>
      <w:proofErr w:type="spellStart"/>
      <w:r w:rsidRPr="00C16A4F">
        <w:rPr>
          <w:i/>
        </w:rPr>
        <w:t>Reim</w:t>
      </w:r>
      <w:proofErr w:type="spellEnd"/>
      <w:r w:rsidRPr="00C16A4F">
        <w:rPr>
          <w:i/>
        </w:rPr>
        <w:t xml:space="preserve">, and N.F. Schrage. 2008. Repeated exposure to benzalkonium chloride in the Ex Vivo Eye Irritation Test (EVEIT): observation of isolated corneal damage and healing. Altern. Lab. Anim., 36(1): 25-32. </w:t>
      </w:r>
      <w:proofErr w:type="spellStart"/>
      <w:r w:rsidRPr="00C16A4F">
        <w:rPr>
          <w:i/>
        </w:rPr>
        <w:t>doi</w:t>
      </w:r>
      <w:proofErr w:type="spellEnd"/>
      <w:r w:rsidRPr="00C16A4F">
        <w:rPr>
          <w:i/>
        </w:rPr>
        <w:t>: 10.1177/026119290803600105.</w:t>
      </w:r>
    </w:p>
    <w:p w14:paraId="2E05FFD7" w14:textId="77777777" w:rsidR="00A1286E" w:rsidRPr="00C16A4F" w:rsidRDefault="00A1286E" w:rsidP="00E82E57">
      <w:pPr>
        <w:tabs>
          <w:tab w:val="left" w:pos="1560"/>
        </w:tabs>
        <w:spacing w:after="240"/>
        <w:ind w:left="1134" w:right="1134"/>
        <w:jc w:val="both"/>
        <w:rPr>
          <w:i/>
        </w:rPr>
      </w:pPr>
      <w:proofErr w:type="spellStart"/>
      <w:r w:rsidRPr="00C16A4F">
        <w:rPr>
          <w:i/>
        </w:rPr>
        <w:t>Harbell</w:t>
      </w:r>
      <w:proofErr w:type="spellEnd"/>
      <w:r w:rsidRPr="00C16A4F">
        <w:rPr>
          <w:i/>
        </w:rPr>
        <w:t xml:space="preserve">, J.W., R. Osborne, G.J. </w:t>
      </w:r>
      <w:proofErr w:type="spellStart"/>
      <w:r w:rsidRPr="00C16A4F">
        <w:rPr>
          <w:i/>
        </w:rPr>
        <w:t>Carr</w:t>
      </w:r>
      <w:proofErr w:type="spellEnd"/>
      <w:r w:rsidRPr="00C16A4F">
        <w:rPr>
          <w:i/>
        </w:rPr>
        <w:t xml:space="preserve">, and A. Peterson. 1999. Assessment of the </w:t>
      </w:r>
      <w:proofErr w:type="spellStart"/>
      <w:r w:rsidRPr="00C16A4F">
        <w:rPr>
          <w:i/>
        </w:rPr>
        <w:t>Cytosensor</w:t>
      </w:r>
      <w:proofErr w:type="spellEnd"/>
      <w:r w:rsidRPr="00C16A4F">
        <w:rPr>
          <w:i/>
        </w:rPr>
        <w:t xml:space="preserve"> </w:t>
      </w:r>
      <w:proofErr w:type="spellStart"/>
      <w:r w:rsidRPr="00C16A4F">
        <w:rPr>
          <w:i/>
        </w:rPr>
        <w:t>Microphysiometer</w:t>
      </w:r>
      <w:proofErr w:type="spellEnd"/>
      <w:r w:rsidRPr="00C16A4F">
        <w:rPr>
          <w:i/>
        </w:rPr>
        <w:t xml:space="preserve"> Assay in the COLIPA In Vitro Eye Irritation Validation Study. </w:t>
      </w:r>
      <w:proofErr w:type="spellStart"/>
      <w:r w:rsidRPr="00C16A4F">
        <w:rPr>
          <w:i/>
        </w:rPr>
        <w:t>Toxicol</w:t>
      </w:r>
      <w:proofErr w:type="spellEnd"/>
      <w:r w:rsidRPr="00C16A4F">
        <w:rPr>
          <w:i/>
        </w:rPr>
        <w:t xml:space="preserve">. In Vitro, 13(2): 313-323. </w:t>
      </w:r>
      <w:proofErr w:type="spellStart"/>
      <w:r w:rsidRPr="00C16A4F">
        <w:rPr>
          <w:i/>
        </w:rPr>
        <w:t>doi</w:t>
      </w:r>
      <w:proofErr w:type="spellEnd"/>
      <w:r w:rsidRPr="00C16A4F">
        <w:rPr>
          <w:i/>
        </w:rPr>
        <w:t>: 10.1016/s0887-2333(98)00090-3.</w:t>
      </w:r>
    </w:p>
    <w:p w14:paraId="37349853" w14:textId="77777777" w:rsidR="00A1286E" w:rsidRPr="00C16A4F" w:rsidRDefault="00A1286E" w:rsidP="00E82E57">
      <w:pPr>
        <w:tabs>
          <w:tab w:val="left" w:pos="1560"/>
        </w:tabs>
        <w:spacing w:after="240"/>
        <w:ind w:left="1134" w:right="1134"/>
        <w:jc w:val="both"/>
        <w:rPr>
          <w:i/>
        </w:rPr>
      </w:pPr>
      <w:r w:rsidRPr="00C16A4F">
        <w:rPr>
          <w:i/>
        </w:rPr>
        <w:t xml:space="preserve">Hartung, T., L. Bruner, R. </w:t>
      </w:r>
      <w:proofErr w:type="spellStart"/>
      <w:r w:rsidRPr="00C16A4F">
        <w:rPr>
          <w:i/>
        </w:rPr>
        <w:t>Curren</w:t>
      </w:r>
      <w:proofErr w:type="spellEnd"/>
      <w:r w:rsidRPr="00C16A4F">
        <w:rPr>
          <w:i/>
        </w:rPr>
        <w:t xml:space="preserve">, C. </w:t>
      </w:r>
      <w:proofErr w:type="spellStart"/>
      <w:r w:rsidRPr="00C16A4F">
        <w:rPr>
          <w:i/>
        </w:rPr>
        <w:t>Eskes</w:t>
      </w:r>
      <w:proofErr w:type="spellEnd"/>
      <w:r w:rsidRPr="00C16A4F">
        <w:rPr>
          <w:i/>
        </w:rPr>
        <w:t xml:space="preserve">, A. Goldberg, P. McNamee, L. Scott, and V. </w:t>
      </w:r>
      <w:proofErr w:type="spellStart"/>
      <w:r w:rsidRPr="00C16A4F">
        <w:rPr>
          <w:i/>
        </w:rPr>
        <w:t>Zuang</w:t>
      </w:r>
      <w:proofErr w:type="spellEnd"/>
      <w:r w:rsidRPr="00C16A4F">
        <w:rPr>
          <w:i/>
        </w:rPr>
        <w:t xml:space="preserve">. 2010. First alternative method validated by a retrospective weight-of-evidence approach to replace the Draize eye test for the identification of non-irritant substances for a defined applicability domain. ALTEX, 27(1): 43-51. </w:t>
      </w:r>
      <w:proofErr w:type="spellStart"/>
      <w:r w:rsidRPr="00C16A4F">
        <w:rPr>
          <w:i/>
        </w:rPr>
        <w:t>doi</w:t>
      </w:r>
      <w:proofErr w:type="spellEnd"/>
      <w:r w:rsidRPr="00C16A4F">
        <w:rPr>
          <w:i/>
        </w:rPr>
        <w:t>: 10.14573/altex.2010.1.43.</w:t>
      </w:r>
    </w:p>
    <w:p w14:paraId="77C46AFC" w14:textId="77777777" w:rsidR="00A1286E" w:rsidRPr="00C16A4F" w:rsidRDefault="00A1286E" w:rsidP="00E82E57">
      <w:pPr>
        <w:tabs>
          <w:tab w:val="left" w:pos="1560"/>
        </w:tabs>
        <w:spacing w:after="240"/>
        <w:ind w:left="1134" w:right="1134"/>
        <w:jc w:val="both"/>
        <w:rPr>
          <w:i/>
        </w:rPr>
      </w:pPr>
      <w:r w:rsidRPr="00C16A4F">
        <w:rPr>
          <w:i/>
        </w:rPr>
        <w:t>ICCVAM. 2007. ICCVAM test method evaluation report: in vitro ocular toxicity test methods for identifying ocular severe irritants and corrosives. NIH Publication No. 07–4517. National institute of environmental health sciences, research Triangle Park, North Carolina, USA.</w:t>
      </w:r>
    </w:p>
    <w:p w14:paraId="454946A6" w14:textId="77777777" w:rsidR="00A1286E" w:rsidRPr="00C16A4F" w:rsidRDefault="00A1286E" w:rsidP="00E82E57">
      <w:pPr>
        <w:tabs>
          <w:tab w:val="left" w:pos="1560"/>
        </w:tabs>
        <w:spacing w:after="240"/>
        <w:ind w:left="1134" w:right="1134"/>
        <w:jc w:val="both"/>
        <w:rPr>
          <w:i/>
        </w:rPr>
      </w:pPr>
      <w:r w:rsidRPr="00C16A4F">
        <w:rPr>
          <w:i/>
        </w:rPr>
        <w:t>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North Carolina, USA.</w:t>
      </w:r>
    </w:p>
    <w:p w14:paraId="272826F2" w14:textId="77777777" w:rsidR="00A1286E" w:rsidRPr="00C16A4F" w:rsidRDefault="00A1286E" w:rsidP="00E82E57">
      <w:pPr>
        <w:tabs>
          <w:tab w:val="left" w:pos="1560"/>
        </w:tabs>
        <w:spacing w:after="240"/>
        <w:ind w:left="1134" w:right="1134"/>
        <w:jc w:val="both"/>
        <w:rPr>
          <w:i/>
        </w:rPr>
      </w:pPr>
      <w:proofErr w:type="spellStart"/>
      <w:r w:rsidRPr="00C16A4F">
        <w:rPr>
          <w:i/>
        </w:rPr>
        <w:t>Kandarova</w:t>
      </w:r>
      <w:proofErr w:type="spellEnd"/>
      <w:r w:rsidRPr="00C16A4F">
        <w:rPr>
          <w:i/>
        </w:rPr>
        <w:t xml:space="preserve">, H., S. </w:t>
      </w:r>
      <w:proofErr w:type="spellStart"/>
      <w:r w:rsidRPr="00C16A4F">
        <w:rPr>
          <w:i/>
        </w:rPr>
        <w:t>Letasiova</w:t>
      </w:r>
      <w:proofErr w:type="spellEnd"/>
      <w:r w:rsidRPr="00C16A4F">
        <w:rPr>
          <w:i/>
        </w:rPr>
        <w:t xml:space="preserve">, E. </w:t>
      </w:r>
      <w:proofErr w:type="spellStart"/>
      <w:r w:rsidRPr="00C16A4F">
        <w:rPr>
          <w:i/>
        </w:rPr>
        <w:t>Adriaens</w:t>
      </w:r>
      <w:proofErr w:type="spellEnd"/>
      <w:r w:rsidRPr="00C16A4F">
        <w:rPr>
          <w:i/>
        </w:rPr>
        <w:t xml:space="preserve">, R. Guest, J.A. Willoughby Sr., A. </w:t>
      </w:r>
      <w:proofErr w:type="spellStart"/>
      <w:r w:rsidRPr="00C16A4F">
        <w:rPr>
          <w:i/>
        </w:rPr>
        <w:t>Drzewiecka</w:t>
      </w:r>
      <w:proofErr w:type="spellEnd"/>
      <w:r w:rsidRPr="00C16A4F">
        <w:rPr>
          <w:i/>
        </w:rPr>
        <w:t xml:space="preserve">, K. </w:t>
      </w:r>
      <w:proofErr w:type="spellStart"/>
      <w:r w:rsidRPr="00C16A4F">
        <w:rPr>
          <w:i/>
        </w:rPr>
        <w:t>Gruszka</w:t>
      </w:r>
      <w:proofErr w:type="spellEnd"/>
      <w:r w:rsidRPr="00C16A4F">
        <w:rPr>
          <w:i/>
        </w:rPr>
        <w:t xml:space="preserve">, N. </w:t>
      </w:r>
      <w:proofErr w:type="spellStart"/>
      <w:r w:rsidRPr="00C16A4F">
        <w:rPr>
          <w:i/>
        </w:rPr>
        <w:t>Alépée</w:t>
      </w:r>
      <w:proofErr w:type="spellEnd"/>
      <w:r w:rsidRPr="00C16A4F">
        <w:rPr>
          <w:i/>
        </w:rPr>
        <w:t xml:space="preserve">, S. </w:t>
      </w:r>
      <w:proofErr w:type="spellStart"/>
      <w:r w:rsidRPr="00C16A4F">
        <w:rPr>
          <w:i/>
        </w:rPr>
        <w:t>Verstraelen</w:t>
      </w:r>
      <w:proofErr w:type="spellEnd"/>
      <w:r w:rsidRPr="00C16A4F">
        <w:rPr>
          <w:i/>
        </w:rPr>
        <w:t xml:space="preserve">, and A.R. Van </w:t>
      </w:r>
      <w:proofErr w:type="spellStart"/>
      <w:r w:rsidRPr="00C16A4F">
        <w:rPr>
          <w:i/>
        </w:rPr>
        <w:t>Rompay</w:t>
      </w:r>
      <w:proofErr w:type="spellEnd"/>
      <w:r w:rsidRPr="00C16A4F">
        <w:rPr>
          <w:i/>
        </w:rPr>
        <w:t xml:space="preserve">. 2018. CON4EI: </w:t>
      </w:r>
      <w:proofErr w:type="spellStart"/>
      <w:r w:rsidRPr="00C16A4F">
        <w:rPr>
          <w:i/>
        </w:rPr>
        <w:t>CONsortium</w:t>
      </w:r>
      <w:proofErr w:type="spellEnd"/>
      <w:r w:rsidRPr="00C16A4F">
        <w:rPr>
          <w:i/>
        </w:rPr>
        <w:t xml:space="preserve"> for in vitro Eye Irritation testing strategy - </w:t>
      </w:r>
      <w:proofErr w:type="spellStart"/>
      <w:r w:rsidRPr="00C16A4F">
        <w:rPr>
          <w:i/>
        </w:rPr>
        <w:t>EpiOcular</w:t>
      </w:r>
      <w:proofErr w:type="spellEnd"/>
      <w:r w:rsidRPr="00C16A4F">
        <w:rPr>
          <w:i/>
        </w:rPr>
        <w:t>™ time-to-toxicity (</w:t>
      </w:r>
      <w:proofErr w:type="spellStart"/>
      <w:r w:rsidRPr="00C16A4F">
        <w:rPr>
          <w:i/>
        </w:rPr>
        <w:t>EpiOcular</w:t>
      </w:r>
      <w:proofErr w:type="spellEnd"/>
      <w:r w:rsidRPr="00C16A4F">
        <w:rPr>
          <w:i/>
        </w:rPr>
        <w:t xml:space="preserve"> ET-50) protocols for hazard identification and labelling of eye irritating chemicals. </w:t>
      </w:r>
      <w:proofErr w:type="spellStart"/>
      <w:r w:rsidRPr="00C16A4F">
        <w:rPr>
          <w:i/>
        </w:rPr>
        <w:t>Toxicol</w:t>
      </w:r>
      <w:proofErr w:type="spellEnd"/>
      <w:r w:rsidRPr="00C16A4F">
        <w:rPr>
          <w:i/>
        </w:rPr>
        <w:t xml:space="preserve">. In Vitro, 49: 34-52. </w:t>
      </w:r>
      <w:proofErr w:type="spellStart"/>
      <w:r w:rsidRPr="00C16A4F">
        <w:rPr>
          <w:i/>
        </w:rPr>
        <w:t>doi</w:t>
      </w:r>
      <w:proofErr w:type="spellEnd"/>
      <w:r w:rsidRPr="00C16A4F">
        <w:rPr>
          <w:i/>
        </w:rPr>
        <w:t>: 10.1016/j.tiv.2017.08.019.</w:t>
      </w:r>
    </w:p>
    <w:p w14:paraId="4A6AE72F" w14:textId="77777777" w:rsidR="00A1286E" w:rsidRPr="00C16A4F" w:rsidRDefault="00A1286E" w:rsidP="00E82E57">
      <w:pPr>
        <w:tabs>
          <w:tab w:val="left" w:pos="1560"/>
        </w:tabs>
        <w:spacing w:after="240"/>
        <w:ind w:left="1134" w:right="1134"/>
        <w:jc w:val="both"/>
        <w:rPr>
          <w:i/>
        </w:rPr>
      </w:pPr>
      <w:r w:rsidRPr="00C16A4F">
        <w:rPr>
          <w:i/>
        </w:rPr>
        <w:t xml:space="preserve">Nash, J.R., G. Mun, H.A. Raabe, and R. </w:t>
      </w:r>
      <w:proofErr w:type="spellStart"/>
      <w:r w:rsidRPr="00C16A4F">
        <w:rPr>
          <w:i/>
        </w:rPr>
        <w:t>Curren</w:t>
      </w:r>
      <w:proofErr w:type="spellEnd"/>
      <w:r w:rsidRPr="00C16A4F">
        <w:rPr>
          <w:i/>
        </w:rPr>
        <w:t xml:space="preserve">. 2014. Using the </w:t>
      </w:r>
      <w:proofErr w:type="spellStart"/>
      <w:r w:rsidRPr="00C16A4F">
        <w:rPr>
          <w:i/>
        </w:rPr>
        <w:t>cytosensor</w:t>
      </w:r>
      <w:proofErr w:type="spellEnd"/>
      <w:r w:rsidRPr="00C16A4F">
        <w:rPr>
          <w:i/>
        </w:rPr>
        <w:t xml:space="preserve"> </w:t>
      </w:r>
      <w:proofErr w:type="spellStart"/>
      <w:r w:rsidRPr="00C16A4F">
        <w:rPr>
          <w:i/>
        </w:rPr>
        <w:t>microphysiometer</w:t>
      </w:r>
      <w:proofErr w:type="spellEnd"/>
      <w:r w:rsidRPr="00C16A4F">
        <w:rPr>
          <w:i/>
        </w:rPr>
        <w:t xml:space="preserve"> to assess ocular toxicity. </w:t>
      </w:r>
      <w:proofErr w:type="spellStart"/>
      <w:r w:rsidRPr="00C16A4F">
        <w:rPr>
          <w:i/>
        </w:rPr>
        <w:t>Curr</w:t>
      </w:r>
      <w:proofErr w:type="spellEnd"/>
      <w:r w:rsidRPr="00C16A4F">
        <w:rPr>
          <w:i/>
        </w:rPr>
        <w:t xml:space="preserve">. </w:t>
      </w:r>
      <w:proofErr w:type="spellStart"/>
      <w:r w:rsidRPr="00C16A4F">
        <w:rPr>
          <w:i/>
        </w:rPr>
        <w:t>Protoc</w:t>
      </w:r>
      <w:proofErr w:type="spellEnd"/>
      <w:r w:rsidRPr="00C16A4F">
        <w:rPr>
          <w:i/>
        </w:rPr>
        <w:t xml:space="preserve">. </w:t>
      </w:r>
      <w:proofErr w:type="spellStart"/>
      <w:r w:rsidRPr="00C16A4F">
        <w:rPr>
          <w:i/>
        </w:rPr>
        <w:t>Toxicol</w:t>
      </w:r>
      <w:proofErr w:type="spellEnd"/>
      <w:r w:rsidRPr="00C16A4F">
        <w:rPr>
          <w:i/>
        </w:rPr>
        <w:t xml:space="preserve">. 61: 1.13.1-11. </w:t>
      </w:r>
      <w:proofErr w:type="spellStart"/>
      <w:r w:rsidRPr="00C16A4F">
        <w:rPr>
          <w:i/>
        </w:rPr>
        <w:t>doi</w:t>
      </w:r>
      <w:proofErr w:type="spellEnd"/>
      <w:r w:rsidRPr="00C16A4F">
        <w:rPr>
          <w:i/>
        </w:rPr>
        <w:t>: 10.1002/0471140856.tx0113s61.</w:t>
      </w:r>
    </w:p>
    <w:p w14:paraId="0233C4AE" w14:textId="77777777" w:rsidR="00A1286E" w:rsidRPr="00C16A4F" w:rsidRDefault="00A1286E" w:rsidP="00E82E57">
      <w:pPr>
        <w:tabs>
          <w:tab w:val="left" w:pos="1560"/>
        </w:tabs>
        <w:spacing w:after="240"/>
        <w:ind w:left="1134" w:right="1134"/>
        <w:jc w:val="both"/>
        <w:rPr>
          <w:i/>
        </w:rPr>
      </w:pPr>
      <w:proofErr w:type="spellStart"/>
      <w:r w:rsidRPr="00C16A4F">
        <w:rPr>
          <w:i/>
        </w:rPr>
        <w:t>Piehl</w:t>
      </w:r>
      <w:proofErr w:type="spellEnd"/>
      <w:r w:rsidRPr="00C16A4F">
        <w:rPr>
          <w:i/>
        </w:rPr>
        <w:t xml:space="preserve">, M., A. </w:t>
      </w:r>
      <w:proofErr w:type="spellStart"/>
      <w:r w:rsidRPr="00C16A4F">
        <w:rPr>
          <w:i/>
        </w:rPr>
        <w:t>Gilotti</w:t>
      </w:r>
      <w:proofErr w:type="spellEnd"/>
      <w:r w:rsidRPr="00C16A4F">
        <w:rPr>
          <w:i/>
        </w:rPr>
        <w:t xml:space="preserve">, A. Donovan, G. </w:t>
      </w:r>
      <w:proofErr w:type="spellStart"/>
      <w:r w:rsidRPr="00C16A4F">
        <w:rPr>
          <w:i/>
        </w:rPr>
        <w:t>DeGeorge</w:t>
      </w:r>
      <w:proofErr w:type="spellEnd"/>
      <w:r w:rsidRPr="00C16A4F">
        <w:rPr>
          <w:i/>
        </w:rPr>
        <w:t xml:space="preserve">, and D. </w:t>
      </w:r>
      <w:proofErr w:type="spellStart"/>
      <w:r w:rsidRPr="00C16A4F">
        <w:rPr>
          <w:i/>
        </w:rPr>
        <w:t>Cerven</w:t>
      </w:r>
      <w:proofErr w:type="spellEnd"/>
      <w:r w:rsidRPr="00C16A4F">
        <w:rPr>
          <w:i/>
        </w:rPr>
        <w:t xml:space="preserve">. 2010. Novel cultured porcine corneal irritancy assay with reversibility endpoint. </w:t>
      </w:r>
      <w:proofErr w:type="spellStart"/>
      <w:r w:rsidRPr="00C16A4F">
        <w:rPr>
          <w:i/>
        </w:rPr>
        <w:t>Toxicol</w:t>
      </w:r>
      <w:proofErr w:type="spellEnd"/>
      <w:r w:rsidRPr="00C16A4F">
        <w:rPr>
          <w:i/>
        </w:rPr>
        <w:t xml:space="preserve">. In Vitro 24: 231-239. </w:t>
      </w:r>
      <w:proofErr w:type="gramStart"/>
      <w:r w:rsidRPr="00C16A4F">
        <w:rPr>
          <w:i/>
        </w:rPr>
        <w:t>doi:10.1016/j.tiv</w:t>
      </w:r>
      <w:proofErr w:type="gramEnd"/>
      <w:r w:rsidRPr="00C16A4F">
        <w:rPr>
          <w:i/>
        </w:rPr>
        <w:t>.2009.08.033.</w:t>
      </w:r>
    </w:p>
    <w:p w14:paraId="170CE915" w14:textId="77777777" w:rsidR="00A1286E" w:rsidRPr="00C16A4F" w:rsidRDefault="00A1286E" w:rsidP="00E82E57">
      <w:pPr>
        <w:tabs>
          <w:tab w:val="left" w:pos="1560"/>
        </w:tabs>
        <w:spacing w:after="240"/>
        <w:ind w:left="1134" w:right="1134"/>
        <w:jc w:val="both"/>
        <w:rPr>
          <w:i/>
        </w:rPr>
      </w:pPr>
      <w:proofErr w:type="spellStart"/>
      <w:r w:rsidRPr="00C16A4F">
        <w:rPr>
          <w:i/>
        </w:rPr>
        <w:t>Piehl</w:t>
      </w:r>
      <w:proofErr w:type="spellEnd"/>
      <w:r w:rsidRPr="00C16A4F">
        <w:rPr>
          <w:i/>
        </w:rPr>
        <w:t xml:space="preserve">, M., M. </w:t>
      </w:r>
      <w:proofErr w:type="spellStart"/>
      <w:r w:rsidRPr="00C16A4F">
        <w:rPr>
          <w:i/>
        </w:rPr>
        <w:t>Carathers</w:t>
      </w:r>
      <w:proofErr w:type="spellEnd"/>
      <w:r w:rsidRPr="00C16A4F">
        <w:rPr>
          <w:i/>
        </w:rPr>
        <w:t xml:space="preserve">, R. Soda, D. </w:t>
      </w:r>
      <w:proofErr w:type="spellStart"/>
      <w:r w:rsidRPr="00C16A4F">
        <w:rPr>
          <w:i/>
        </w:rPr>
        <w:t>Cerven</w:t>
      </w:r>
      <w:proofErr w:type="spellEnd"/>
      <w:r w:rsidRPr="00C16A4F">
        <w:rPr>
          <w:i/>
        </w:rPr>
        <w:t xml:space="preserve">, and G. </w:t>
      </w:r>
      <w:proofErr w:type="spellStart"/>
      <w:r w:rsidRPr="00C16A4F">
        <w:rPr>
          <w:i/>
        </w:rPr>
        <w:t>DeGeorge</w:t>
      </w:r>
      <w:proofErr w:type="spellEnd"/>
      <w:r w:rsidRPr="00C16A4F">
        <w:rPr>
          <w:i/>
        </w:rPr>
        <w:t>. 2011. Porcine corneal ocular reversibility assay (</w:t>
      </w:r>
      <w:proofErr w:type="spellStart"/>
      <w:r w:rsidRPr="00C16A4F">
        <w:rPr>
          <w:i/>
        </w:rPr>
        <w:t>PorCORA</w:t>
      </w:r>
      <w:proofErr w:type="spellEnd"/>
      <w:r w:rsidRPr="00C16A4F">
        <w:rPr>
          <w:i/>
        </w:rPr>
        <w:t xml:space="preserve">) predicts ocular damage and recovery for global regulatory agency hazard categories. </w:t>
      </w:r>
      <w:proofErr w:type="spellStart"/>
      <w:r w:rsidRPr="00C16A4F">
        <w:rPr>
          <w:i/>
        </w:rPr>
        <w:t>Toxicol</w:t>
      </w:r>
      <w:proofErr w:type="spellEnd"/>
      <w:r w:rsidRPr="00C16A4F">
        <w:rPr>
          <w:i/>
        </w:rPr>
        <w:t xml:space="preserve">. In Vitro, 25: 1912-1918. </w:t>
      </w:r>
      <w:proofErr w:type="gramStart"/>
      <w:r w:rsidRPr="00C16A4F">
        <w:rPr>
          <w:i/>
        </w:rPr>
        <w:t>doi:10.1016/j.tiv</w:t>
      </w:r>
      <w:proofErr w:type="gramEnd"/>
      <w:r w:rsidRPr="00C16A4F">
        <w:rPr>
          <w:i/>
        </w:rPr>
        <w:t>.2011.06.008.</w:t>
      </w:r>
    </w:p>
    <w:p w14:paraId="65568200" w14:textId="77777777" w:rsidR="00A1286E" w:rsidRPr="00C16A4F" w:rsidRDefault="00A1286E" w:rsidP="00E82E57">
      <w:pPr>
        <w:tabs>
          <w:tab w:val="left" w:pos="1560"/>
        </w:tabs>
        <w:spacing w:after="240"/>
        <w:ind w:left="1134" w:right="1134"/>
        <w:jc w:val="both"/>
        <w:rPr>
          <w:i/>
        </w:rPr>
      </w:pPr>
      <w:r w:rsidRPr="00C16A4F">
        <w:rPr>
          <w:i/>
        </w:rPr>
        <w:t xml:space="preserve">Reader, S.J., V. Blackwell, R. O’Hara, R.H. Clothier, G. Griffin, and M. Balls. 1989. A vital dye release method for assessing the short-term cytotoxic effects of chemicals and formulations. Altern. Lab. Anim., 17: 28-33. </w:t>
      </w:r>
      <w:proofErr w:type="spellStart"/>
      <w:r w:rsidRPr="00C16A4F">
        <w:rPr>
          <w:i/>
        </w:rPr>
        <w:t>doi</w:t>
      </w:r>
      <w:proofErr w:type="spellEnd"/>
      <w:r w:rsidRPr="00C16A4F">
        <w:rPr>
          <w:i/>
        </w:rPr>
        <w:t>: 10.1177/026119298901700106.</w:t>
      </w:r>
    </w:p>
    <w:p w14:paraId="42C633C2" w14:textId="77777777" w:rsidR="00A1286E" w:rsidRPr="00C16A4F" w:rsidRDefault="00A1286E" w:rsidP="00E82E57">
      <w:pPr>
        <w:tabs>
          <w:tab w:val="left" w:pos="1560"/>
        </w:tabs>
        <w:spacing w:after="240"/>
        <w:ind w:left="1134" w:right="1134"/>
        <w:jc w:val="both"/>
        <w:rPr>
          <w:i/>
        </w:rPr>
      </w:pPr>
      <w:r w:rsidRPr="00C16A4F">
        <w:rPr>
          <w:i/>
        </w:rPr>
        <w:t xml:space="preserve">Reader, S.J., V. Blackwell, R. O’Hara, R.H. Clothier, G. Griffin, and M. Balls. 1990. Neutral red release from pre-loaded cells as an in vitro approach to testing for eye irritancy potential. </w:t>
      </w:r>
      <w:proofErr w:type="spellStart"/>
      <w:r w:rsidRPr="00C16A4F">
        <w:rPr>
          <w:i/>
        </w:rPr>
        <w:t>Toxicol</w:t>
      </w:r>
      <w:proofErr w:type="spellEnd"/>
      <w:r w:rsidRPr="00C16A4F">
        <w:rPr>
          <w:i/>
        </w:rPr>
        <w:t xml:space="preserve">. In Vitro, 4(4-5): 264-266. </w:t>
      </w:r>
      <w:proofErr w:type="spellStart"/>
      <w:r w:rsidRPr="00C16A4F">
        <w:rPr>
          <w:i/>
        </w:rPr>
        <w:t>doi</w:t>
      </w:r>
      <w:proofErr w:type="spellEnd"/>
      <w:r w:rsidRPr="00C16A4F">
        <w:rPr>
          <w:i/>
        </w:rPr>
        <w:t>: 10.1016/0887-2333(90)90060-7.</w:t>
      </w:r>
    </w:p>
    <w:p w14:paraId="48BC79AF" w14:textId="77777777" w:rsidR="00A1286E" w:rsidRPr="00C16A4F" w:rsidRDefault="00A1286E" w:rsidP="00E82E57">
      <w:pPr>
        <w:tabs>
          <w:tab w:val="left" w:pos="1560"/>
        </w:tabs>
        <w:spacing w:after="240"/>
        <w:ind w:left="1134" w:right="1134"/>
        <w:jc w:val="both"/>
        <w:rPr>
          <w:i/>
        </w:rPr>
      </w:pPr>
      <w:proofErr w:type="spellStart"/>
      <w:r w:rsidRPr="00C16A4F">
        <w:rPr>
          <w:i/>
        </w:rPr>
        <w:t>Settivari</w:t>
      </w:r>
      <w:proofErr w:type="spellEnd"/>
      <w:r w:rsidRPr="00C16A4F">
        <w:rPr>
          <w:i/>
        </w:rPr>
        <w:t xml:space="preserve">, R.S., R.A. Amado, M. </w:t>
      </w:r>
      <w:proofErr w:type="spellStart"/>
      <w:r w:rsidRPr="00C16A4F">
        <w:rPr>
          <w:i/>
        </w:rPr>
        <w:t>Corvaro</w:t>
      </w:r>
      <w:proofErr w:type="spellEnd"/>
      <w:r w:rsidRPr="00C16A4F">
        <w:rPr>
          <w:i/>
        </w:rPr>
        <w:t xml:space="preserve">, N.R. Visconti, L. Kan, E.W. Carney, D.R. </w:t>
      </w:r>
      <w:proofErr w:type="spellStart"/>
      <w:r w:rsidRPr="00C16A4F">
        <w:rPr>
          <w:i/>
        </w:rPr>
        <w:t>Boverhof</w:t>
      </w:r>
      <w:proofErr w:type="spellEnd"/>
      <w:r w:rsidRPr="00C16A4F">
        <w:rPr>
          <w:i/>
        </w:rPr>
        <w:t xml:space="preserve">, and S.C. </w:t>
      </w:r>
      <w:proofErr w:type="spellStart"/>
      <w:r w:rsidRPr="00C16A4F">
        <w:rPr>
          <w:i/>
        </w:rPr>
        <w:t>Gehen</w:t>
      </w:r>
      <w:proofErr w:type="spellEnd"/>
      <w:r w:rsidRPr="00C16A4F">
        <w:rPr>
          <w:i/>
        </w:rPr>
        <w:t xml:space="preserve">. 2016. Tiered application of the neutral red release and </w:t>
      </w:r>
      <w:proofErr w:type="spellStart"/>
      <w:r w:rsidRPr="00C16A4F">
        <w:rPr>
          <w:i/>
        </w:rPr>
        <w:t>EpiOcular</w:t>
      </w:r>
      <w:proofErr w:type="spellEnd"/>
      <w:r w:rsidRPr="00C16A4F">
        <w:rPr>
          <w:i/>
        </w:rPr>
        <w:t xml:space="preserve">™ assays for evaluating the eye irritation potential of agrochemical formulations. </w:t>
      </w:r>
      <w:proofErr w:type="spellStart"/>
      <w:r w:rsidRPr="00C16A4F">
        <w:rPr>
          <w:i/>
        </w:rPr>
        <w:t>Regul</w:t>
      </w:r>
      <w:proofErr w:type="spellEnd"/>
      <w:r w:rsidRPr="00C16A4F">
        <w:rPr>
          <w:i/>
        </w:rPr>
        <w:t xml:space="preserve">. </w:t>
      </w:r>
      <w:proofErr w:type="spellStart"/>
      <w:r w:rsidRPr="00C16A4F">
        <w:rPr>
          <w:i/>
        </w:rPr>
        <w:t>Toxicol</w:t>
      </w:r>
      <w:proofErr w:type="spellEnd"/>
      <w:r w:rsidRPr="00C16A4F">
        <w:rPr>
          <w:i/>
        </w:rPr>
        <w:t xml:space="preserve">. </w:t>
      </w:r>
      <w:proofErr w:type="spellStart"/>
      <w:r w:rsidRPr="00C16A4F">
        <w:rPr>
          <w:i/>
        </w:rPr>
        <w:t>Pharmacol</w:t>
      </w:r>
      <w:proofErr w:type="spellEnd"/>
      <w:r w:rsidRPr="00C16A4F">
        <w:rPr>
          <w:i/>
        </w:rPr>
        <w:t xml:space="preserve">., 81: 407-420. </w:t>
      </w:r>
      <w:proofErr w:type="spellStart"/>
      <w:r w:rsidRPr="00C16A4F">
        <w:rPr>
          <w:i/>
        </w:rPr>
        <w:t>doi</w:t>
      </w:r>
      <w:proofErr w:type="spellEnd"/>
      <w:r w:rsidRPr="00C16A4F">
        <w:rPr>
          <w:i/>
        </w:rPr>
        <w:t>: 10.1016/j.yrtph.2016.09.028.</w:t>
      </w:r>
    </w:p>
    <w:p w14:paraId="0195111C" w14:textId="77777777" w:rsidR="00A1286E" w:rsidRPr="00C16A4F" w:rsidRDefault="00A1286E" w:rsidP="00E82E57">
      <w:pPr>
        <w:tabs>
          <w:tab w:val="left" w:pos="1560"/>
        </w:tabs>
        <w:spacing w:after="240"/>
        <w:ind w:left="1134" w:right="1134"/>
        <w:jc w:val="both"/>
        <w:rPr>
          <w:i/>
        </w:rPr>
      </w:pPr>
      <w:proofErr w:type="spellStart"/>
      <w:r w:rsidRPr="00C16A4F">
        <w:rPr>
          <w:i/>
        </w:rPr>
        <w:t>Spielmann</w:t>
      </w:r>
      <w:proofErr w:type="spellEnd"/>
      <w:r w:rsidRPr="00C16A4F">
        <w:rPr>
          <w:i/>
        </w:rPr>
        <w:t xml:space="preserve">, H., S. </w:t>
      </w:r>
      <w:proofErr w:type="spellStart"/>
      <w:r w:rsidRPr="00C16A4F">
        <w:rPr>
          <w:i/>
        </w:rPr>
        <w:t>Kalweit</w:t>
      </w:r>
      <w:proofErr w:type="spellEnd"/>
      <w:r w:rsidRPr="00C16A4F">
        <w:rPr>
          <w:i/>
        </w:rPr>
        <w:t xml:space="preserve">, M. </w:t>
      </w:r>
      <w:proofErr w:type="spellStart"/>
      <w:r w:rsidRPr="00C16A4F">
        <w:rPr>
          <w:i/>
        </w:rPr>
        <w:t>Liebsch</w:t>
      </w:r>
      <w:proofErr w:type="spellEnd"/>
      <w:r w:rsidRPr="00C16A4F">
        <w:rPr>
          <w:i/>
        </w:rPr>
        <w:t xml:space="preserve">, T. </w:t>
      </w:r>
      <w:proofErr w:type="spellStart"/>
      <w:r w:rsidRPr="00C16A4F">
        <w:rPr>
          <w:i/>
        </w:rPr>
        <w:t>Wirnsberger</w:t>
      </w:r>
      <w:proofErr w:type="spellEnd"/>
      <w:r w:rsidRPr="00C16A4F">
        <w:rPr>
          <w:i/>
        </w:rPr>
        <w:t xml:space="preserve">, I. </w:t>
      </w:r>
      <w:proofErr w:type="spellStart"/>
      <w:r w:rsidRPr="00C16A4F">
        <w:rPr>
          <w:i/>
        </w:rPr>
        <w:t>Gerner</w:t>
      </w:r>
      <w:proofErr w:type="spellEnd"/>
      <w:r w:rsidRPr="00C16A4F">
        <w:rPr>
          <w:i/>
        </w:rPr>
        <w:t>, E. Bertram-</w:t>
      </w:r>
      <w:proofErr w:type="spellStart"/>
      <w:r w:rsidRPr="00C16A4F">
        <w:rPr>
          <w:i/>
        </w:rPr>
        <w:t>Neis</w:t>
      </w:r>
      <w:proofErr w:type="spellEnd"/>
      <w:r w:rsidRPr="00C16A4F">
        <w:rPr>
          <w:i/>
        </w:rPr>
        <w:t xml:space="preserve">, K. </w:t>
      </w:r>
      <w:proofErr w:type="spellStart"/>
      <w:r w:rsidRPr="00C16A4F">
        <w:rPr>
          <w:i/>
        </w:rPr>
        <w:t>Krauser</w:t>
      </w:r>
      <w:proofErr w:type="spellEnd"/>
      <w:r w:rsidRPr="00C16A4F">
        <w:rPr>
          <w:i/>
        </w:rPr>
        <w:t xml:space="preserve">, R. </w:t>
      </w:r>
      <w:proofErr w:type="spellStart"/>
      <w:r w:rsidRPr="00C16A4F">
        <w:rPr>
          <w:i/>
        </w:rPr>
        <w:t>Kreiling</w:t>
      </w:r>
      <w:proofErr w:type="spellEnd"/>
      <w:r w:rsidRPr="00C16A4F">
        <w:rPr>
          <w:i/>
        </w:rPr>
        <w:t xml:space="preserve">, H.G. </w:t>
      </w:r>
      <w:proofErr w:type="spellStart"/>
      <w:r w:rsidRPr="00C16A4F">
        <w:rPr>
          <w:i/>
        </w:rPr>
        <w:t>Miltenburger</w:t>
      </w:r>
      <w:proofErr w:type="spellEnd"/>
      <w:r w:rsidRPr="00C16A4F">
        <w:rPr>
          <w:i/>
        </w:rPr>
        <w:t xml:space="preserve">, W. Pape, and W. </w:t>
      </w:r>
      <w:proofErr w:type="spellStart"/>
      <w:r w:rsidRPr="00C16A4F">
        <w:rPr>
          <w:i/>
        </w:rPr>
        <w:t>Steiling</w:t>
      </w:r>
      <w:proofErr w:type="spellEnd"/>
      <w:r w:rsidRPr="00C16A4F">
        <w:rPr>
          <w:i/>
        </w:rPr>
        <w:t xml:space="preserve">. 1993. Validation study of alternatives to the Draize eye irritation test in Germany: Cytotoxicity testing and HET-CAM test with 136 industrial chemicals. </w:t>
      </w:r>
      <w:proofErr w:type="spellStart"/>
      <w:r w:rsidRPr="00C16A4F">
        <w:rPr>
          <w:i/>
        </w:rPr>
        <w:t>Toxicol</w:t>
      </w:r>
      <w:proofErr w:type="spellEnd"/>
      <w:r w:rsidRPr="00C16A4F">
        <w:rPr>
          <w:i/>
        </w:rPr>
        <w:t xml:space="preserve">. In Vitro, 7(4): 505-510. </w:t>
      </w:r>
      <w:proofErr w:type="spellStart"/>
      <w:r w:rsidRPr="00C16A4F">
        <w:rPr>
          <w:i/>
        </w:rPr>
        <w:t>doi</w:t>
      </w:r>
      <w:proofErr w:type="spellEnd"/>
      <w:r w:rsidRPr="00C16A4F">
        <w:rPr>
          <w:i/>
        </w:rPr>
        <w:t>: 10.1016/0887-2333(93)90055-a.</w:t>
      </w:r>
    </w:p>
    <w:p w14:paraId="4EBE0D2D" w14:textId="77777777" w:rsidR="00A1286E" w:rsidRPr="00C16A4F" w:rsidRDefault="00A1286E" w:rsidP="00E82E57">
      <w:pPr>
        <w:tabs>
          <w:tab w:val="left" w:pos="1560"/>
        </w:tabs>
        <w:spacing w:after="240"/>
        <w:ind w:left="1134" w:right="1134"/>
        <w:jc w:val="both"/>
        <w:rPr>
          <w:i/>
        </w:rPr>
      </w:pPr>
      <w:proofErr w:type="spellStart"/>
      <w:r w:rsidRPr="00C16A4F">
        <w:rPr>
          <w:i/>
        </w:rPr>
        <w:t>Spielmann</w:t>
      </w:r>
      <w:proofErr w:type="spellEnd"/>
      <w:r w:rsidRPr="00C16A4F">
        <w:rPr>
          <w:i/>
        </w:rPr>
        <w:t xml:space="preserve">, H., M. </w:t>
      </w:r>
      <w:proofErr w:type="spellStart"/>
      <w:r w:rsidRPr="00C16A4F">
        <w:rPr>
          <w:i/>
        </w:rPr>
        <w:t>Liebsch</w:t>
      </w:r>
      <w:proofErr w:type="spellEnd"/>
      <w:r w:rsidRPr="00C16A4F">
        <w:rPr>
          <w:i/>
        </w:rPr>
        <w:t xml:space="preserve">, S. </w:t>
      </w:r>
      <w:proofErr w:type="spellStart"/>
      <w:r w:rsidRPr="00C16A4F">
        <w:rPr>
          <w:i/>
        </w:rPr>
        <w:t>Kalweit</w:t>
      </w:r>
      <w:proofErr w:type="spellEnd"/>
      <w:r w:rsidRPr="00C16A4F">
        <w:rPr>
          <w:i/>
        </w:rPr>
        <w:t xml:space="preserve">, F. Moldenhauer, T. </w:t>
      </w:r>
      <w:proofErr w:type="spellStart"/>
      <w:r w:rsidRPr="00C16A4F">
        <w:rPr>
          <w:i/>
        </w:rPr>
        <w:t>Wirnsberger</w:t>
      </w:r>
      <w:proofErr w:type="spellEnd"/>
      <w:r w:rsidRPr="00C16A4F">
        <w:rPr>
          <w:i/>
        </w:rPr>
        <w:t xml:space="preserve">, H.-G. </w:t>
      </w:r>
      <w:proofErr w:type="spellStart"/>
      <w:r w:rsidRPr="00C16A4F">
        <w:rPr>
          <w:i/>
        </w:rPr>
        <w:t>Holzhütter</w:t>
      </w:r>
      <w:proofErr w:type="spellEnd"/>
      <w:r w:rsidRPr="00C16A4F">
        <w:rPr>
          <w:i/>
        </w:rPr>
        <w:t xml:space="preserve">, B. Schneider, S. Glaser, I. </w:t>
      </w:r>
      <w:proofErr w:type="spellStart"/>
      <w:r w:rsidRPr="00C16A4F">
        <w:rPr>
          <w:i/>
        </w:rPr>
        <w:t>Gerner</w:t>
      </w:r>
      <w:proofErr w:type="spellEnd"/>
      <w:r w:rsidRPr="00C16A4F">
        <w:rPr>
          <w:i/>
        </w:rPr>
        <w:t xml:space="preserve">, W.J.W. Pape, R. </w:t>
      </w:r>
      <w:proofErr w:type="spellStart"/>
      <w:r w:rsidRPr="00C16A4F">
        <w:rPr>
          <w:i/>
        </w:rPr>
        <w:t>Kreiling</w:t>
      </w:r>
      <w:proofErr w:type="spellEnd"/>
      <w:r w:rsidRPr="00C16A4F">
        <w:rPr>
          <w:i/>
        </w:rPr>
        <w:t xml:space="preserve">, K. </w:t>
      </w:r>
      <w:proofErr w:type="spellStart"/>
      <w:r w:rsidRPr="00C16A4F">
        <w:rPr>
          <w:i/>
        </w:rPr>
        <w:t>Krauser</w:t>
      </w:r>
      <w:proofErr w:type="spellEnd"/>
      <w:r w:rsidRPr="00C16A4F">
        <w:rPr>
          <w:i/>
        </w:rPr>
        <w:t xml:space="preserve">, H.G. </w:t>
      </w:r>
      <w:proofErr w:type="spellStart"/>
      <w:r w:rsidRPr="00C16A4F">
        <w:rPr>
          <w:i/>
        </w:rPr>
        <w:t>Miltenburger</w:t>
      </w:r>
      <w:proofErr w:type="spellEnd"/>
      <w:r w:rsidRPr="00C16A4F">
        <w:rPr>
          <w:i/>
        </w:rPr>
        <w:t xml:space="preserve">, W. </w:t>
      </w:r>
      <w:proofErr w:type="spellStart"/>
      <w:r w:rsidRPr="00C16A4F">
        <w:rPr>
          <w:i/>
        </w:rPr>
        <w:t>Steiling</w:t>
      </w:r>
      <w:proofErr w:type="spellEnd"/>
      <w:r w:rsidRPr="00C16A4F">
        <w:rPr>
          <w:i/>
        </w:rPr>
        <w:t xml:space="preserve">, N.P. Luepke, N. Müller, H. Kreuzer, P. </w:t>
      </w:r>
      <w:proofErr w:type="spellStart"/>
      <w:r w:rsidRPr="00C16A4F">
        <w:rPr>
          <w:i/>
        </w:rPr>
        <w:t>Mürmann</w:t>
      </w:r>
      <w:proofErr w:type="spellEnd"/>
      <w:r w:rsidRPr="00C16A4F">
        <w:rPr>
          <w:i/>
        </w:rPr>
        <w:t>, J. Spengler, E. Bertram-</w:t>
      </w:r>
      <w:proofErr w:type="spellStart"/>
      <w:r w:rsidRPr="00C16A4F">
        <w:rPr>
          <w:i/>
        </w:rPr>
        <w:t>Neis</w:t>
      </w:r>
      <w:proofErr w:type="spellEnd"/>
      <w:r w:rsidRPr="00C16A4F">
        <w:rPr>
          <w:i/>
        </w:rPr>
        <w:t xml:space="preserve">, B. </w:t>
      </w:r>
      <w:proofErr w:type="spellStart"/>
      <w:r w:rsidRPr="00C16A4F">
        <w:rPr>
          <w:i/>
        </w:rPr>
        <w:t>Siegemund</w:t>
      </w:r>
      <w:proofErr w:type="spellEnd"/>
      <w:r w:rsidRPr="00C16A4F">
        <w:rPr>
          <w:i/>
        </w:rPr>
        <w:t xml:space="preserve">, and F.J. </w:t>
      </w:r>
      <w:proofErr w:type="spellStart"/>
      <w:r w:rsidRPr="00C16A4F">
        <w:rPr>
          <w:i/>
        </w:rPr>
        <w:t>Wiebel</w:t>
      </w:r>
      <w:proofErr w:type="spellEnd"/>
      <w:r w:rsidRPr="00C16A4F">
        <w:rPr>
          <w:i/>
        </w:rPr>
        <w:t>. 1996. Results of a validation study in Germany on two in vitro alternatives to the Draize eye irritation test, HET-CAM test and the 3T3 NRU cytotoxicity test. Altern. Lab. Anim., 24: 741-858.</w:t>
      </w:r>
    </w:p>
    <w:p w14:paraId="6C0C656B" w14:textId="77777777" w:rsidR="00A1286E" w:rsidRPr="00C16A4F" w:rsidRDefault="00A1286E" w:rsidP="00E82E57">
      <w:pPr>
        <w:tabs>
          <w:tab w:val="left" w:pos="1560"/>
        </w:tabs>
        <w:spacing w:after="240"/>
        <w:ind w:left="1134" w:right="1134"/>
        <w:jc w:val="both"/>
        <w:rPr>
          <w:i/>
        </w:rPr>
      </w:pPr>
      <w:proofErr w:type="spellStart"/>
      <w:r w:rsidRPr="00C16A4F">
        <w:rPr>
          <w:i/>
        </w:rPr>
        <w:t>Spöler</w:t>
      </w:r>
      <w:proofErr w:type="spellEnd"/>
      <w:r w:rsidRPr="00C16A4F">
        <w:rPr>
          <w:i/>
        </w:rPr>
        <w:t xml:space="preserve">, F., M. </w:t>
      </w:r>
      <w:proofErr w:type="spellStart"/>
      <w:r w:rsidRPr="00C16A4F">
        <w:rPr>
          <w:i/>
        </w:rPr>
        <w:t>Först</w:t>
      </w:r>
      <w:proofErr w:type="spellEnd"/>
      <w:r w:rsidRPr="00C16A4F">
        <w:rPr>
          <w:i/>
        </w:rPr>
        <w:t xml:space="preserve">, H. Kurz, M. </w:t>
      </w:r>
      <w:proofErr w:type="spellStart"/>
      <w:r w:rsidRPr="00C16A4F">
        <w:rPr>
          <w:i/>
        </w:rPr>
        <w:t>Frentz</w:t>
      </w:r>
      <w:proofErr w:type="spellEnd"/>
      <w:r w:rsidRPr="00C16A4F">
        <w:rPr>
          <w:i/>
        </w:rPr>
        <w:t>, and N.F. Schrage. 2007. Dynamic analysis of chemical eye burns using high-resolution optical coherence tomography. J. Biomed. Opt., 12: 041203. doi:10.1117/1.2768018.</w:t>
      </w:r>
    </w:p>
    <w:p w14:paraId="329B98A8" w14:textId="77777777" w:rsidR="00A1286E" w:rsidRPr="00C16A4F" w:rsidRDefault="00A1286E" w:rsidP="00E82E57">
      <w:pPr>
        <w:tabs>
          <w:tab w:val="left" w:pos="1560"/>
        </w:tabs>
        <w:spacing w:after="240"/>
        <w:ind w:left="1134" w:right="1134"/>
        <w:jc w:val="both"/>
        <w:rPr>
          <w:i/>
        </w:rPr>
      </w:pPr>
      <w:proofErr w:type="spellStart"/>
      <w:r w:rsidRPr="00C16A4F">
        <w:rPr>
          <w:i/>
        </w:rPr>
        <w:t>Spöler</w:t>
      </w:r>
      <w:proofErr w:type="spellEnd"/>
      <w:r w:rsidRPr="00C16A4F">
        <w:rPr>
          <w:i/>
        </w:rPr>
        <w:t xml:space="preserve">, F., O. Kray, S. Kray, C. Panfil, and N.F. Schrage. 2015. The Ex Vivo Eye Irritation Test as an alternative test method for serious eye damage/eye irritation. Altern. Lab. Anim., 43(3): 163-179. </w:t>
      </w:r>
      <w:proofErr w:type="spellStart"/>
      <w:r w:rsidRPr="00C16A4F">
        <w:rPr>
          <w:i/>
        </w:rPr>
        <w:t>doi</w:t>
      </w:r>
      <w:proofErr w:type="spellEnd"/>
      <w:r w:rsidRPr="00C16A4F">
        <w:rPr>
          <w:i/>
        </w:rPr>
        <w:t>: 10.1177/026119291504300306.</w:t>
      </w:r>
    </w:p>
    <w:p w14:paraId="163C3655" w14:textId="77777777" w:rsidR="00A1286E" w:rsidRPr="00C16A4F" w:rsidRDefault="00A1286E" w:rsidP="00E82E57">
      <w:pPr>
        <w:tabs>
          <w:tab w:val="left" w:pos="1560"/>
        </w:tabs>
        <w:spacing w:after="240"/>
        <w:ind w:left="1134" w:right="1134"/>
        <w:jc w:val="both"/>
        <w:rPr>
          <w:i/>
        </w:rPr>
      </w:pPr>
      <w:r w:rsidRPr="00C16A4F">
        <w:rPr>
          <w:i/>
        </w:rPr>
        <w:t xml:space="preserve">Whittle, E., D. </w:t>
      </w:r>
      <w:proofErr w:type="spellStart"/>
      <w:r w:rsidRPr="00C16A4F">
        <w:rPr>
          <w:i/>
        </w:rPr>
        <w:t>Basketter</w:t>
      </w:r>
      <w:proofErr w:type="spellEnd"/>
      <w:r w:rsidRPr="00C16A4F">
        <w:rPr>
          <w:i/>
        </w:rPr>
        <w:t xml:space="preserve">, M. York, L. Kelly, T. Hall, J. McCall, P. Botham, D. Esdaile, and J. Gardner. 1992. Findings of an interlaboratory trial of the enucleated eye method as an alternative eye irritation test. </w:t>
      </w:r>
      <w:proofErr w:type="spellStart"/>
      <w:r w:rsidRPr="00C16A4F">
        <w:rPr>
          <w:i/>
        </w:rPr>
        <w:t>Toxicol</w:t>
      </w:r>
      <w:proofErr w:type="spellEnd"/>
      <w:r w:rsidRPr="00C16A4F">
        <w:rPr>
          <w:i/>
        </w:rPr>
        <w:t>. Mech. Methods., 2: 30-41.</w:t>
      </w:r>
    </w:p>
    <w:p w14:paraId="1EFD116E" w14:textId="77777777" w:rsidR="00A1286E" w:rsidRPr="00C16A4F" w:rsidRDefault="00A1286E" w:rsidP="00E82E57">
      <w:pPr>
        <w:tabs>
          <w:tab w:val="left" w:pos="1560"/>
        </w:tabs>
        <w:spacing w:after="240"/>
        <w:ind w:left="1134" w:right="1134"/>
        <w:jc w:val="both"/>
        <w:rPr>
          <w:i/>
        </w:rPr>
      </w:pPr>
      <w:r w:rsidRPr="00C16A4F">
        <w:rPr>
          <w:i/>
        </w:rPr>
        <w:t xml:space="preserve">Young, J.R., M.J. How, A.P. Walker, and W.M. Worth. 1988. Classification as corrosive or irritant to skin of preparations containing acidic or alkaline substances, without testing on animals. </w:t>
      </w:r>
      <w:proofErr w:type="spellStart"/>
      <w:r w:rsidRPr="00C16A4F">
        <w:rPr>
          <w:i/>
        </w:rPr>
        <w:t>Toxicol</w:t>
      </w:r>
      <w:proofErr w:type="spellEnd"/>
      <w:r w:rsidRPr="00C16A4F">
        <w:rPr>
          <w:i/>
        </w:rPr>
        <w:t xml:space="preserve">. In Vitro, 2(1): 19-26. </w:t>
      </w:r>
      <w:proofErr w:type="spellStart"/>
      <w:r w:rsidRPr="00C16A4F">
        <w:rPr>
          <w:i/>
        </w:rPr>
        <w:t>doi</w:t>
      </w:r>
      <w:proofErr w:type="spellEnd"/>
      <w:r w:rsidRPr="00C16A4F">
        <w:rPr>
          <w:i/>
        </w:rPr>
        <w:t>: 10.1016/0887-2333(88)90032-x.</w:t>
      </w:r>
    </w:p>
    <w:p w14:paraId="6D92656D" w14:textId="121F3B8D" w:rsidR="00A1286E" w:rsidRPr="00C16A4F" w:rsidRDefault="00A1286E" w:rsidP="00E82E57">
      <w:pPr>
        <w:tabs>
          <w:tab w:val="left" w:pos="1560"/>
        </w:tabs>
        <w:spacing w:after="240"/>
        <w:ind w:left="1134" w:right="1134"/>
        <w:jc w:val="both"/>
        <w:rPr>
          <w:i/>
        </w:rPr>
      </w:pPr>
      <w:proofErr w:type="spellStart"/>
      <w:r w:rsidRPr="00C16A4F">
        <w:rPr>
          <w:i/>
        </w:rPr>
        <w:t>Zuang</w:t>
      </w:r>
      <w:proofErr w:type="spellEnd"/>
      <w:r w:rsidRPr="00C16A4F">
        <w:rPr>
          <w:i/>
        </w:rPr>
        <w:t xml:space="preserve">, V. 2001. The neutral red release assay: a review. Altern. Lab. Anim., 29(5): 575-599. </w:t>
      </w:r>
      <w:proofErr w:type="spellStart"/>
      <w:r w:rsidRPr="00C16A4F">
        <w:rPr>
          <w:i/>
        </w:rPr>
        <w:t>doi</w:t>
      </w:r>
      <w:proofErr w:type="spellEnd"/>
      <w:r w:rsidRPr="00C16A4F">
        <w:rPr>
          <w:i/>
        </w:rPr>
        <w:t>: 10.1177/026119290102900513.”</w:t>
      </w:r>
      <w:r w:rsidR="0036762A" w:rsidRPr="00C16A4F">
        <w:rPr>
          <w:i/>
        </w:rPr>
        <w:t>.</w:t>
      </w:r>
    </w:p>
    <w:p w14:paraId="533C4067" w14:textId="497F8164" w:rsidR="0036762A" w:rsidRPr="00C16A4F" w:rsidRDefault="0036762A" w:rsidP="0036762A">
      <w:pPr>
        <w:spacing w:before="240"/>
        <w:jc w:val="center"/>
        <w:rPr>
          <w:u w:val="single"/>
        </w:rPr>
      </w:pPr>
      <w:r w:rsidRPr="00C16A4F">
        <w:rPr>
          <w:u w:val="single"/>
        </w:rPr>
        <w:tab/>
      </w:r>
      <w:r w:rsidRPr="00C16A4F">
        <w:rPr>
          <w:u w:val="single"/>
        </w:rPr>
        <w:tab/>
      </w:r>
      <w:r w:rsidRPr="00C16A4F">
        <w:rPr>
          <w:u w:val="single"/>
        </w:rPr>
        <w:tab/>
      </w:r>
    </w:p>
    <w:sectPr w:rsidR="0036762A" w:rsidRPr="00C16A4F" w:rsidSect="00F52C2F">
      <w:headerReference w:type="even" r:id="rId36"/>
      <w:headerReference w:type="default" r:id="rId37"/>
      <w:footerReference w:type="even" r:id="rId38"/>
      <w:footerReference w:type="default" r:id="rId39"/>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FF059" w14:textId="77777777" w:rsidR="0054663D" w:rsidRPr="00C47B2E" w:rsidRDefault="0054663D" w:rsidP="00C47B2E">
      <w:pPr>
        <w:pStyle w:val="Footer"/>
      </w:pPr>
    </w:p>
  </w:endnote>
  <w:endnote w:type="continuationSeparator" w:id="0">
    <w:p w14:paraId="17842EA5" w14:textId="77777777" w:rsidR="0054663D" w:rsidRPr="00C47B2E" w:rsidRDefault="0054663D" w:rsidP="00C47B2E">
      <w:pPr>
        <w:pStyle w:val="Footer"/>
      </w:pPr>
    </w:p>
  </w:endnote>
  <w:endnote w:type="continuationNotice" w:id="1">
    <w:p w14:paraId="68B7E277" w14:textId="77777777" w:rsidR="0054663D" w:rsidRPr="00C47B2E" w:rsidRDefault="0054663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7B50" w14:textId="6F766F14" w:rsidR="008705E7" w:rsidRPr="00E17B7E" w:rsidRDefault="008705E7" w:rsidP="00E17B7E">
    <w:pPr>
      <w:pStyle w:val="Footer"/>
      <w:tabs>
        <w:tab w:val="right" w:pos="9598"/>
        <w:tab w:val="right" w:pos="9638"/>
      </w:tabs>
      <w:rPr>
        <w:sz w:val="18"/>
      </w:rPr>
    </w:pPr>
    <w:r w:rsidRPr="00E17B7E">
      <w:rPr>
        <w:b/>
        <w:sz w:val="18"/>
      </w:rPr>
      <w:fldChar w:fldCharType="begin"/>
    </w:r>
    <w:r w:rsidRPr="00E17B7E">
      <w:rPr>
        <w:b/>
        <w:sz w:val="18"/>
      </w:rPr>
      <w:instrText xml:space="preserve"> PAGE  \* MERGEFORMAT </w:instrText>
    </w:r>
    <w:r w:rsidRPr="00E17B7E">
      <w:rPr>
        <w:b/>
        <w:sz w:val="18"/>
      </w:rPr>
      <w:fldChar w:fldCharType="separate"/>
    </w:r>
    <w:r w:rsidRPr="00E17B7E">
      <w:rPr>
        <w:b/>
        <w:noProof/>
        <w:sz w:val="18"/>
      </w:rPr>
      <w:t>2</w:t>
    </w:r>
    <w:r w:rsidRPr="00E17B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68B9" w14:textId="392372E3" w:rsidR="008705E7" w:rsidRPr="006936FE" w:rsidRDefault="008705E7" w:rsidP="00E17B7E">
    <w:pPr>
      <w:pStyle w:val="Footer"/>
      <w:tabs>
        <w:tab w:val="left" w:pos="5775"/>
        <w:tab w:val="right" w:pos="9598"/>
        <w:tab w:val="right" w:pos="9638"/>
      </w:tabs>
      <w:rPr>
        <w:b/>
        <w:bCs/>
        <w:sz w:val="18"/>
      </w:rPr>
    </w:pPr>
    <w:r>
      <w:rPr>
        <w:b/>
        <w:sz w:val="18"/>
      </w:rPr>
      <w:tab/>
    </w:r>
    <w:r>
      <w:rPr>
        <w:b/>
        <w:sz w:val="18"/>
      </w:rPr>
      <w:tab/>
    </w:r>
    <w:r w:rsidRPr="006936FE">
      <w:rPr>
        <w:b/>
        <w:bCs/>
        <w:sz w:val="18"/>
      </w:rPr>
      <w:fldChar w:fldCharType="begin"/>
    </w:r>
    <w:r w:rsidRPr="006936FE">
      <w:rPr>
        <w:b/>
        <w:bCs/>
        <w:sz w:val="18"/>
      </w:rPr>
      <w:instrText xml:space="preserve"> PAGE  \* MERGEFORMAT </w:instrText>
    </w:r>
    <w:r w:rsidRPr="006936FE">
      <w:rPr>
        <w:b/>
        <w:bCs/>
        <w:sz w:val="18"/>
      </w:rPr>
      <w:fldChar w:fldCharType="separate"/>
    </w:r>
    <w:r w:rsidRPr="006936FE">
      <w:rPr>
        <w:b/>
        <w:bCs/>
        <w:noProof/>
        <w:sz w:val="18"/>
      </w:rPr>
      <w:t>3</w:t>
    </w:r>
    <w:r w:rsidRPr="006936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C4E2" w14:textId="77777777" w:rsidR="008705E7" w:rsidRPr="00E17B7E" w:rsidRDefault="008705E7"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D1877D1" wp14:editId="3EB96617">
          <wp:simplePos x="0" y="0"/>
          <wp:positionH relativeFrom="margin">
            <wp:posOffset>5003800</wp:posOffset>
          </wp:positionH>
          <wp:positionV relativeFrom="margin">
            <wp:posOffset>9323705</wp:posOffset>
          </wp:positionV>
          <wp:extent cx="923925" cy="228600"/>
          <wp:effectExtent l="0" t="0" r="9525" b="0"/>
          <wp:wrapNone/>
          <wp:docPr id="10" name="Picture 1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7808" w14:textId="72C314FD" w:rsidR="008705E7" w:rsidRPr="009D77FE" w:rsidRDefault="008705E7" w:rsidP="009D77FE">
    <w:pPr>
      <w:pStyle w:val="Footer"/>
    </w:pPr>
    <w:r>
      <w:rPr>
        <w:noProof/>
      </w:rPr>
      <mc:AlternateContent>
        <mc:Choice Requires="wps">
          <w:drawing>
            <wp:anchor distT="0" distB="0" distL="114300" distR="114300" simplePos="0" relativeHeight="251663360" behindDoc="0" locked="0" layoutInCell="1" allowOverlap="1" wp14:anchorId="41091217" wp14:editId="3CED7D88">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9A07B4" w14:textId="77777777" w:rsidR="008705E7" w:rsidRPr="00E17B7E" w:rsidRDefault="008705E7" w:rsidP="009D77FE">
                          <w:pPr>
                            <w:pStyle w:val="Footer"/>
                            <w:tabs>
                              <w:tab w:val="right" w:pos="9598"/>
                              <w:tab w:val="right" w:pos="9638"/>
                            </w:tabs>
                            <w:rPr>
                              <w:sz w:val="18"/>
                            </w:rPr>
                          </w:pPr>
                          <w:r w:rsidRPr="00E17B7E">
                            <w:rPr>
                              <w:b/>
                              <w:sz w:val="18"/>
                            </w:rPr>
                            <w:fldChar w:fldCharType="begin"/>
                          </w:r>
                          <w:r w:rsidRPr="00E17B7E">
                            <w:rPr>
                              <w:b/>
                              <w:sz w:val="18"/>
                            </w:rPr>
                            <w:instrText xml:space="preserve"> PAGE  \* MERGEFORMAT </w:instrText>
                          </w:r>
                          <w:r w:rsidRPr="00E17B7E">
                            <w:rPr>
                              <w:b/>
                              <w:sz w:val="18"/>
                            </w:rPr>
                            <w:fldChar w:fldCharType="separate"/>
                          </w:r>
                          <w:r>
                            <w:rPr>
                              <w:b/>
                              <w:sz w:val="18"/>
                            </w:rPr>
                            <w:t>28</w:t>
                          </w:r>
                          <w:r w:rsidRPr="00E17B7E">
                            <w:rPr>
                              <w:b/>
                              <w:sz w:val="18"/>
                            </w:rPr>
                            <w:fldChar w:fldCharType="end"/>
                          </w:r>
                          <w:r>
                            <w:rPr>
                              <w:sz w:val="18"/>
                            </w:rPr>
                            <w:tab/>
                          </w:r>
                        </w:p>
                        <w:p w14:paraId="42120839" w14:textId="77777777" w:rsidR="008705E7" w:rsidRDefault="008705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091217"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A9A07B4" w14:textId="77777777" w:rsidR="008705E7" w:rsidRPr="00E17B7E" w:rsidRDefault="008705E7" w:rsidP="009D77FE">
                    <w:pPr>
                      <w:pStyle w:val="Footer"/>
                      <w:tabs>
                        <w:tab w:val="right" w:pos="9598"/>
                        <w:tab w:val="right" w:pos="9638"/>
                      </w:tabs>
                      <w:rPr>
                        <w:sz w:val="18"/>
                      </w:rPr>
                    </w:pPr>
                    <w:r w:rsidRPr="00E17B7E">
                      <w:rPr>
                        <w:b/>
                        <w:sz w:val="18"/>
                      </w:rPr>
                      <w:fldChar w:fldCharType="begin"/>
                    </w:r>
                    <w:r w:rsidRPr="00E17B7E">
                      <w:rPr>
                        <w:b/>
                        <w:sz w:val="18"/>
                      </w:rPr>
                      <w:instrText xml:space="preserve"> PAGE  \* MERGEFORMAT </w:instrText>
                    </w:r>
                    <w:r w:rsidRPr="00E17B7E">
                      <w:rPr>
                        <w:b/>
                        <w:sz w:val="18"/>
                      </w:rPr>
                      <w:fldChar w:fldCharType="separate"/>
                    </w:r>
                    <w:r>
                      <w:rPr>
                        <w:b/>
                        <w:sz w:val="18"/>
                      </w:rPr>
                      <w:t>28</w:t>
                    </w:r>
                    <w:r w:rsidRPr="00E17B7E">
                      <w:rPr>
                        <w:b/>
                        <w:sz w:val="18"/>
                      </w:rPr>
                      <w:fldChar w:fldCharType="end"/>
                    </w:r>
                    <w:r>
                      <w:rPr>
                        <w:sz w:val="18"/>
                      </w:rPr>
                      <w:tab/>
                    </w:r>
                  </w:p>
                  <w:p w14:paraId="42120839" w14:textId="77777777" w:rsidR="008705E7" w:rsidRDefault="008705E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BFC2" w14:textId="6CCEF105" w:rsidR="008705E7" w:rsidRPr="009D77FE" w:rsidRDefault="008705E7" w:rsidP="009D77FE">
    <w:pPr>
      <w:pStyle w:val="Footer"/>
    </w:pPr>
    <w:r>
      <w:rPr>
        <w:noProof/>
      </w:rPr>
      <mc:AlternateContent>
        <mc:Choice Requires="wps">
          <w:drawing>
            <wp:anchor distT="0" distB="0" distL="114300" distR="114300" simplePos="0" relativeHeight="251661312" behindDoc="0" locked="0" layoutInCell="1" allowOverlap="1" wp14:anchorId="5A014992" wp14:editId="422E1215">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93B781" w14:textId="77777777" w:rsidR="008705E7" w:rsidRPr="00E17B7E" w:rsidRDefault="008705E7" w:rsidP="000C3613">
                          <w:pPr>
                            <w:pStyle w:val="Footer"/>
                            <w:tabs>
                              <w:tab w:val="left" w:pos="5775"/>
                              <w:tab w:val="right" w:pos="9598"/>
                              <w:tab w:val="right" w:pos="9638"/>
                            </w:tabs>
                            <w:jc w:val="right"/>
                            <w:rPr>
                              <w:sz w:val="18"/>
                            </w:rPr>
                          </w:pPr>
                          <w:r>
                            <w:rPr>
                              <w:b/>
                              <w:sz w:val="18"/>
                            </w:rPr>
                            <w:tab/>
                          </w:r>
                          <w:r w:rsidRPr="00E17B7E">
                            <w:rPr>
                              <w:sz w:val="18"/>
                            </w:rPr>
                            <w:fldChar w:fldCharType="begin"/>
                          </w:r>
                          <w:r w:rsidRPr="00E17B7E">
                            <w:rPr>
                              <w:sz w:val="18"/>
                            </w:rPr>
                            <w:instrText xml:space="preserve"> PAGE  \* MERGEFORMAT </w:instrText>
                          </w:r>
                          <w:r w:rsidRPr="00E17B7E">
                            <w:rPr>
                              <w:sz w:val="18"/>
                            </w:rPr>
                            <w:fldChar w:fldCharType="separate"/>
                          </w:r>
                          <w:r>
                            <w:rPr>
                              <w:sz w:val="18"/>
                            </w:rPr>
                            <w:t>27</w:t>
                          </w:r>
                          <w:r w:rsidRPr="00E17B7E">
                            <w:rPr>
                              <w:sz w:val="18"/>
                            </w:rPr>
                            <w:fldChar w:fldCharType="end"/>
                          </w:r>
                        </w:p>
                        <w:p w14:paraId="2A0EA543" w14:textId="77777777" w:rsidR="008705E7" w:rsidRDefault="008705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014992"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093B781" w14:textId="77777777" w:rsidR="008705E7" w:rsidRPr="00E17B7E" w:rsidRDefault="008705E7" w:rsidP="000C3613">
                    <w:pPr>
                      <w:pStyle w:val="Footer"/>
                      <w:tabs>
                        <w:tab w:val="left" w:pos="5775"/>
                        <w:tab w:val="right" w:pos="9598"/>
                        <w:tab w:val="right" w:pos="9638"/>
                      </w:tabs>
                      <w:jc w:val="right"/>
                      <w:rPr>
                        <w:sz w:val="18"/>
                      </w:rPr>
                    </w:pPr>
                    <w:r>
                      <w:rPr>
                        <w:b/>
                        <w:sz w:val="18"/>
                      </w:rPr>
                      <w:tab/>
                    </w:r>
                    <w:r w:rsidRPr="00E17B7E">
                      <w:rPr>
                        <w:sz w:val="18"/>
                      </w:rPr>
                      <w:fldChar w:fldCharType="begin"/>
                    </w:r>
                    <w:r w:rsidRPr="00E17B7E">
                      <w:rPr>
                        <w:sz w:val="18"/>
                      </w:rPr>
                      <w:instrText xml:space="preserve"> PAGE  \* MERGEFORMAT </w:instrText>
                    </w:r>
                    <w:r w:rsidRPr="00E17B7E">
                      <w:rPr>
                        <w:sz w:val="18"/>
                      </w:rPr>
                      <w:fldChar w:fldCharType="separate"/>
                    </w:r>
                    <w:r>
                      <w:rPr>
                        <w:sz w:val="18"/>
                      </w:rPr>
                      <w:t>27</w:t>
                    </w:r>
                    <w:r w:rsidRPr="00E17B7E">
                      <w:rPr>
                        <w:sz w:val="18"/>
                      </w:rPr>
                      <w:fldChar w:fldCharType="end"/>
                    </w:r>
                  </w:p>
                  <w:p w14:paraId="2A0EA543" w14:textId="77777777" w:rsidR="008705E7" w:rsidRDefault="008705E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E878" w14:textId="05AA5952" w:rsidR="008705E7" w:rsidRPr="00F52C2F" w:rsidRDefault="008705E7" w:rsidP="000C3613">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2E77" w14:textId="5F0E52C3" w:rsidR="008705E7" w:rsidRPr="00F52C2F" w:rsidRDefault="000C3613" w:rsidP="000C3613">
    <w:pPr>
      <w:pStyle w:val="Footer"/>
      <w:tabs>
        <w:tab w:val="right" w:pos="9638"/>
      </w:tabs>
      <w:ind w:right="90"/>
      <w:jc w:val="right"/>
      <w:rPr>
        <w:sz w:val="18"/>
      </w:rPr>
    </w:pPr>
    <w:r>
      <w:rPr>
        <w:b/>
        <w:sz w:val="18"/>
      </w:rPr>
      <w:tab/>
    </w:r>
    <w:r w:rsidR="008705E7">
      <w:rPr>
        <w:b/>
        <w:sz w:val="18"/>
      </w:rPr>
      <w:fldChar w:fldCharType="begin"/>
    </w:r>
    <w:r w:rsidR="008705E7">
      <w:rPr>
        <w:b/>
        <w:sz w:val="18"/>
      </w:rPr>
      <w:instrText xml:space="preserve"> PAGE  \* MERGEFORMAT </w:instrText>
    </w:r>
    <w:r w:rsidR="008705E7">
      <w:rPr>
        <w:b/>
        <w:sz w:val="18"/>
      </w:rPr>
      <w:fldChar w:fldCharType="separate"/>
    </w:r>
    <w:r w:rsidR="008705E7">
      <w:rPr>
        <w:b/>
        <w:noProof/>
        <w:sz w:val="18"/>
      </w:rPr>
      <w:t>27</w:t>
    </w:r>
    <w:r w:rsidR="008705E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1DD9" w14:textId="77777777" w:rsidR="0054663D" w:rsidRPr="00C47B2E" w:rsidRDefault="0054663D" w:rsidP="00C47B2E">
      <w:pPr>
        <w:tabs>
          <w:tab w:val="right" w:pos="2155"/>
        </w:tabs>
        <w:spacing w:after="80" w:line="240" w:lineRule="auto"/>
        <w:ind w:left="680"/>
      </w:pPr>
      <w:r>
        <w:rPr>
          <w:u w:val="single"/>
        </w:rPr>
        <w:tab/>
      </w:r>
    </w:p>
  </w:footnote>
  <w:footnote w:type="continuationSeparator" w:id="0">
    <w:p w14:paraId="151E4F42" w14:textId="77777777" w:rsidR="0054663D" w:rsidRPr="00C47B2E" w:rsidRDefault="0054663D" w:rsidP="005E716E">
      <w:pPr>
        <w:tabs>
          <w:tab w:val="right" w:pos="2155"/>
        </w:tabs>
        <w:spacing w:after="80" w:line="240" w:lineRule="auto"/>
        <w:ind w:left="680"/>
      </w:pPr>
      <w:r>
        <w:rPr>
          <w:u w:val="single"/>
        </w:rPr>
        <w:tab/>
      </w:r>
    </w:p>
  </w:footnote>
  <w:footnote w:type="continuationNotice" w:id="1">
    <w:p w14:paraId="366E2CB0" w14:textId="77777777" w:rsidR="0054663D" w:rsidRPr="00C47B2E" w:rsidRDefault="0054663D" w:rsidP="00C47B2E">
      <w:pPr>
        <w:pStyle w:val="Footer"/>
      </w:pPr>
    </w:p>
  </w:footnote>
  <w:footnote w:id="2">
    <w:p w14:paraId="0C22347D" w14:textId="5FFEAF9C" w:rsidR="008705E7" w:rsidRPr="00446E59" w:rsidRDefault="008705E7">
      <w:pPr>
        <w:pStyle w:val="FootnoteText"/>
        <w:rPr>
          <w:lang w:val="fr-CH"/>
        </w:rPr>
      </w:pPr>
      <w:r>
        <w:rPr>
          <w:rStyle w:val="FootnoteReference"/>
        </w:rPr>
        <w:tab/>
      </w:r>
      <w:r w:rsidRPr="00446E59">
        <w:rPr>
          <w:rStyle w:val="FootnoteReference"/>
          <w:sz w:val="20"/>
          <w:vertAlign w:val="baseline"/>
        </w:rPr>
        <w:t>*</w:t>
      </w:r>
      <w:r>
        <w:rPr>
          <w:rStyle w:val="FootnoteReference"/>
          <w:sz w:val="20"/>
          <w:vertAlign w:val="baseline"/>
        </w:rPr>
        <w:tab/>
      </w:r>
      <w:r>
        <w:rPr>
          <w:lang w:val="en-US"/>
        </w:rPr>
        <w:t>A/75/6 (Sect.20), para. 20.51.</w:t>
      </w:r>
    </w:p>
  </w:footnote>
  <w:footnote w:id="3">
    <w:p w14:paraId="6B6C9B1A" w14:textId="6060184E" w:rsidR="008705E7" w:rsidRPr="006417E4" w:rsidRDefault="008705E7">
      <w:pPr>
        <w:pStyle w:val="FootnoteText"/>
        <w:rPr>
          <w:lang w:val="fr-CH"/>
        </w:rPr>
      </w:pPr>
      <w:r>
        <w:tab/>
      </w:r>
      <w:r>
        <w:rPr>
          <w:rStyle w:val="FootnoteReference"/>
        </w:rPr>
        <w:footnoteRef/>
      </w:r>
      <w:r>
        <w:t xml:space="preserve"> </w:t>
      </w:r>
      <w:r>
        <w:tab/>
      </w:r>
      <w:r w:rsidRPr="00A35907">
        <w:rPr>
          <w:lang w:val="en-US"/>
        </w:rPr>
        <w:t>Refer to the report of the Sub-Committee on its thirty-ninth session (ST/SG/AC.10/C.4/78, para. 26 and Annex II, item 1 (b)).</w:t>
      </w:r>
    </w:p>
  </w:footnote>
  <w:footnote w:id="4">
    <w:p w14:paraId="0DD75E93" w14:textId="29CBB0DA" w:rsidR="008705E7" w:rsidRPr="006417E4" w:rsidRDefault="008705E7" w:rsidP="00FE08D9">
      <w:pPr>
        <w:pStyle w:val="FootnoteText"/>
        <w:rPr>
          <w:lang w:val="fr-CH"/>
        </w:rPr>
      </w:pPr>
      <w:r>
        <w:tab/>
      </w:r>
      <w:r>
        <w:rPr>
          <w:rStyle w:val="FootnoteReference"/>
        </w:rPr>
        <w:footnoteRef/>
      </w:r>
      <w:r>
        <w:t xml:space="preserve"> </w:t>
      </w:r>
      <w:r>
        <w:tab/>
      </w:r>
      <w:proofErr w:type="spellStart"/>
      <w:r>
        <w:rPr>
          <w:lang w:val="fr-CH"/>
        </w:rPr>
        <w:t>Refer</w:t>
      </w:r>
      <w:proofErr w:type="spellEnd"/>
      <w:r>
        <w:rPr>
          <w:lang w:val="fr-CH"/>
        </w:rPr>
        <w:t xml:space="preserve"> to the report of the </w:t>
      </w:r>
      <w:proofErr w:type="spellStart"/>
      <w:r>
        <w:rPr>
          <w:lang w:val="fr-CH"/>
        </w:rPr>
        <w:t>Sub-Committee</w:t>
      </w:r>
      <w:proofErr w:type="spellEnd"/>
      <w:r>
        <w:rPr>
          <w:lang w:val="fr-CH"/>
        </w:rPr>
        <w:t xml:space="preserve"> on </w:t>
      </w:r>
      <w:proofErr w:type="spellStart"/>
      <w:r>
        <w:rPr>
          <w:lang w:val="fr-CH"/>
        </w:rPr>
        <w:t>its</w:t>
      </w:r>
      <w:proofErr w:type="spellEnd"/>
      <w:r>
        <w:rPr>
          <w:lang w:val="fr-CH"/>
        </w:rPr>
        <w:t xml:space="preserve"> </w:t>
      </w:r>
      <w:proofErr w:type="spellStart"/>
      <w:r>
        <w:rPr>
          <w:lang w:val="fr-CH"/>
        </w:rPr>
        <w:t>thirty-ninth</w:t>
      </w:r>
      <w:proofErr w:type="spellEnd"/>
      <w:r>
        <w:rPr>
          <w:lang w:val="fr-CH"/>
        </w:rPr>
        <w:t xml:space="preserve"> </w:t>
      </w:r>
      <w:r w:rsidRPr="00E007C7">
        <w:rPr>
          <w:lang w:val="fr-CH"/>
        </w:rPr>
        <w:t>session (</w:t>
      </w:r>
      <w:r w:rsidRPr="00E007C7">
        <w:rPr>
          <w:lang w:val="en-US"/>
        </w:rPr>
        <w:t>ST/SG/AC.10/C.4/78, para. 54 (b) and Annex II, item 1 (e)).</w:t>
      </w:r>
    </w:p>
    <w:p w14:paraId="7641E3E3" w14:textId="1A53F51D" w:rsidR="008705E7" w:rsidRPr="009E307E" w:rsidRDefault="008705E7">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77C4" w14:textId="22E7264A" w:rsidR="008705E7" w:rsidRPr="00E17B7E" w:rsidRDefault="000C1F3E">
    <w:pPr>
      <w:pStyle w:val="Header"/>
    </w:pPr>
    <w:r>
      <w:fldChar w:fldCharType="begin"/>
    </w:r>
    <w:r>
      <w:instrText xml:space="preserve"> TITLE  \* MERGEFORMAT </w:instrText>
    </w:r>
    <w:r>
      <w:fldChar w:fldCharType="separate"/>
    </w:r>
    <w:r>
      <w:t>ST/SG/AC.10/C.4/2021/4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CE22" w14:textId="66B84B63" w:rsidR="008705E7" w:rsidRPr="00E17B7E" w:rsidRDefault="000C1F3E" w:rsidP="00E17B7E">
    <w:pPr>
      <w:pStyle w:val="Header"/>
      <w:jc w:val="right"/>
    </w:pPr>
    <w:r>
      <w:fldChar w:fldCharType="begin"/>
    </w:r>
    <w:r>
      <w:instrText xml:space="preserve"> TITLE  \* MERGEFORMAT </w:instrText>
    </w:r>
    <w:r>
      <w:fldChar w:fldCharType="separate"/>
    </w:r>
    <w:r>
      <w:t>ST/SG/AC.10/C.4/2021/4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F70F" w14:textId="77777777" w:rsidR="000C3613" w:rsidRDefault="000C3613" w:rsidP="00D272E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1A3F" w14:textId="1B53701B" w:rsidR="008705E7" w:rsidRPr="009D77FE" w:rsidRDefault="008705E7" w:rsidP="009D77FE">
    <w:r>
      <w:rPr>
        <w:noProof/>
      </w:rPr>
      <mc:AlternateContent>
        <mc:Choice Requires="wps">
          <w:drawing>
            <wp:anchor distT="0" distB="0" distL="114300" distR="114300" simplePos="0" relativeHeight="251662336" behindDoc="0" locked="0" layoutInCell="1" allowOverlap="1" wp14:anchorId="6B0089CF" wp14:editId="13E95875">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2C45E10" w14:textId="09917059" w:rsidR="008705E7" w:rsidRPr="00E17B7E" w:rsidRDefault="000C1F3E" w:rsidP="009D77FE">
                          <w:pPr>
                            <w:pStyle w:val="Header"/>
                          </w:pPr>
                          <w:r>
                            <w:fldChar w:fldCharType="begin"/>
                          </w:r>
                          <w:r>
                            <w:instrText xml:space="preserve"> TITLE  \* MERGEFORMAT </w:instrText>
                          </w:r>
                          <w:r>
                            <w:fldChar w:fldCharType="separate"/>
                          </w:r>
                          <w:r>
                            <w:t>ST/SG/AC.10/C.4/2021/4</w:t>
                          </w:r>
                          <w:r>
                            <w:fldChar w:fldCharType="end"/>
                          </w:r>
                        </w:p>
                        <w:p w14:paraId="78D257CD" w14:textId="77777777" w:rsidR="008705E7" w:rsidRDefault="008705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0089CF" id="_x0000_t202" coordsize="21600,21600" o:spt="202" path="m,l,21600r21600,l21600,xe">
              <v:stroke joinstyle="miter"/>
              <v:path gradientshapeok="t" o:connecttype="rect"/>
            </v:shapetype>
            <v:shape id="Text Box 5"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52C45E10" w14:textId="09917059" w:rsidR="008705E7" w:rsidRPr="00E17B7E" w:rsidRDefault="000C1F3E" w:rsidP="009D77FE">
                    <w:pPr>
                      <w:pStyle w:val="Header"/>
                    </w:pPr>
                    <w:r>
                      <w:fldChar w:fldCharType="begin"/>
                    </w:r>
                    <w:r>
                      <w:instrText xml:space="preserve"> TITLE  \* MERGEFORMAT </w:instrText>
                    </w:r>
                    <w:r>
                      <w:fldChar w:fldCharType="separate"/>
                    </w:r>
                    <w:r>
                      <w:t>ST/SG/AC.10/C.4/2021/4</w:t>
                    </w:r>
                    <w:r>
                      <w:fldChar w:fldCharType="end"/>
                    </w:r>
                  </w:p>
                  <w:p w14:paraId="78D257CD" w14:textId="77777777" w:rsidR="008705E7" w:rsidRDefault="008705E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A4A6" w14:textId="08D3ACD8" w:rsidR="008705E7" w:rsidRPr="009D77FE" w:rsidRDefault="008705E7" w:rsidP="009D77FE">
    <w:r>
      <w:rPr>
        <w:noProof/>
      </w:rPr>
      <mc:AlternateContent>
        <mc:Choice Requires="wps">
          <w:drawing>
            <wp:anchor distT="0" distB="0" distL="114300" distR="114300" simplePos="0" relativeHeight="251660288" behindDoc="0" locked="0" layoutInCell="1" allowOverlap="1" wp14:anchorId="3B9A9045" wp14:editId="7DAFE18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FCADC1" w14:textId="464D8F8C" w:rsidR="008705E7" w:rsidRPr="00E17B7E" w:rsidRDefault="000C1F3E" w:rsidP="009D77FE">
                          <w:pPr>
                            <w:pStyle w:val="Header"/>
                            <w:jc w:val="right"/>
                          </w:pPr>
                          <w:r>
                            <w:fldChar w:fldCharType="begin"/>
                          </w:r>
                          <w:r>
                            <w:instrText xml:space="preserve"> TITLE  \* MERGEFORMAT </w:instrText>
                          </w:r>
                          <w:r>
                            <w:fldChar w:fldCharType="separate"/>
                          </w:r>
                          <w:r>
                            <w:t>ST/SG/AC.10/C.4/2021/4</w:t>
                          </w:r>
                          <w:r>
                            <w:fldChar w:fldCharType="end"/>
                          </w:r>
                        </w:p>
                        <w:p w14:paraId="2D58A3B5" w14:textId="77777777" w:rsidR="008705E7" w:rsidRDefault="008705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9A9045" id="_x0000_t202" coordsize="21600,21600" o:spt="202" path="m,l,21600r21600,l21600,xe">
              <v:stroke joinstyle="miter"/>
              <v:path gradientshapeok="t" o:connecttype="rect"/>
            </v:shapetype>
            <v:shape id="Text Box 3"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72FCADC1" w14:textId="464D8F8C" w:rsidR="008705E7" w:rsidRPr="00E17B7E" w:rsidRDefault="000C1F3E" w:rsidP="009D77FE">
                    <w:pPr>
                      <w:pStyle w:val="Header"/>
                      <w:jc w:val="right"/>
                    </w:pPr>
                    <w:r>
                      <w:fldChar w:fldCharType="begin"/>
                    </w:r>
                    <w:r>
                      <w:instrText xml:space="preserve"> TITLE  \* MERGEFORMAT </w:instrText>
                    </w:r>
                    <w:r>
                      <w:fldChar w:fldCharType="separate"/>
                    </w:r>
                    <w:r>
                      <w:t>ST/SG/AC.10/C.4/2021/4</w:t>
                    </w:r>
                    <w:r>
                      <w:fldChar w:fldCharType="end"/>
                    </w:r>
                  </w:p>
                  <w:p w14:paraId="2D58A3B5" w14:textId="77777777" w:rsidR="008705E7" w:rsidRDefault="008705E7"/>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F7F8" w14:textId="411443A6" w:rsidR="008705E7" w:rsidRPr="00F52C2F" w:rsidRDefault="000C1F3E" w:rsidP="000C3613">
    <w:pPr>
      <w:pStyle w:val="Header"/>
    </w:pPr>
    <w:r>
      <w:fldChar w:fldCharType="begin"/>
    </w:r>
    <w:r>
      <w:instrText xml:space="preserve"> TITLE  \* MERGEFORMAT </w:instrText>
    </w:r>
    <w:r>
      <w:fldChar w:fldCharType="separate"/>
    </w:r>
    <w:r>
      <w:t>ST/SG/AC.10/C.4/2021/4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8E74" w14:textId="199ACE75" w:rsidR="008705E7" w:rsidRPr="00F52C2F" w:rsidRDefault="000C1F3E" w:rsidP="000C3613">
    <w:pPr>
      <w:pStyle w:val="Header"/>
      <w:jc w:val="right"/>
    </w:pPr>
    <w:r>
      <w:fldChar w:fldCharType="begin"/>
    </w:r>
    <w:r>
      <w:instrText xml:space="preserve"> TITLE  \* MERGEFORMAT </w:instrText>
    </w:r>
    <w:r>
      <w:fldChar w:fldCharType="separate"/>
    </w:r>
    <w:r>
      <w:t>ST/SG/AC.10/C.4/2021/4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DF4558"/>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8A119F"/>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C1AF1"/>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8B572E0"/>
    <w:multiLevelType w:val="hybridMultilevel"/>
    <w:tmpl w:val="9904A45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150B68"/>
    <w:multiLevelType w:val="hybridMultilevel"/>
    <w:tmpl w:val="AC4ED80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37503"/>
    <w:multiLevelType w:val="hybridMultilevel"/>
    <w:tmpl w:val="22EE714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2451A46"/>
    <w:multiLevelType w:val="hybridMultilevel"/>
    <w:tmpl w:val="A5461F7E"/>
    <w:lvl w:ilvl="0" w:tplc="DF2AFC6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739026F1"/>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B611DA"/>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1"/>
  </w:num>
  <w:num w:numId="2">
    <w:abstractNumId w:val="8"/>
  </w:num>
  <w:num w:numId="3">
    <w:abstractNumId w:val="1"/>
  </w:num>
  <w:num w:numId="4">
    <w:abstractNumId w:val="14"/>
  </w:num>
  <w:num w:numId="5">
    <w:abstractNumId w:val="15"/>
  </w:num>
  <w:num w:numId="6">
    <w:abstractNumId w:val="21"/>
  </w:num>
  <w:num w:numId="7">
    <w:abstractNumId w:val="6"/>
  </w:num>
  <w:num w:numId="8">
    <w:abstractNumId w:val="2"/>
  </w:num>
  <w:num w:numId="9">
    <w:abstractNumId w:val="17"/>
  </w:num>
  <w:num w:numId="10">
    <w:abstractNumId w:val="2"/>
  </w:num>
  <w:num w:numId="11">
    <w:abstractNumId w:val="17"/>
  </w:num>
  <w:num w:numId="12">
    <w:abstractNumId w:val="4"/>
  </w:num>
  <w:num w:numId="13">
    <w:abstractNumId w:val="4"/>
  </w:num>
  <w:num w:numId="14">
    <w:abstractNumId w:val="13"/>
  </w:num>
  <w:num w:numId="15">
    <w:abstractNumId w:val="10"/>
  </w:num>
  <w:num w:numId="16">
    <w:abstractNumId w:val="22"/>
  </w:num>
  <w:num w:numId="17">
    <w:abstractNumId w:val="20"/>
  </w:num>
  <w:num w:numId="18">
    <w:abstractNumId w:val="7"/>
  </w:num>
  <w:num w:numId="19">
    <w:abstractNumId w:val="5"/>
  </w:num>
  <w:num w:numId="20">
    <w:abstractNumId w:val="9"/>
  </w:num>
  <w:num w:numId="21">
    <w:abstractNumId w:val="16"/>
  </w:num>
  <w:num w:numId="22">
    <w:abstractNumId w:val="18"/>
  </w:num>
  <w:num w:numId="23">
    <w:abstractNumId w:val="19"/>
  </w:num>
  <w:num w:numId="24">
    <w:abstractNumId w:val="1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NotTrackFormatting/>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7E"/>
    <w:rsid w:val="000052C5"/>
    <w:rsid w:val="000465A2"/>
    <w:rsid w:val="00046E92"/>
    <w:rsid w:val="00050E4E"/>
    <w:rsid w:val="00055DB0"/>
    <w:rsid w:val="0005758A"/>
    <w:rsid w:val="00063C90"/>
    <w:rsid w:val="00067FF0"/>
    <w:rsid w:val="000B7A39"/>
    <w:rsid w:val="000C1F3E"/>
    <w:rsid w:val="000C3613"/>
    <w:rsid w:val="000F363C"/>
    <w:rsid w:val="00100E8C"/>
    <w:rsid w:val="00101B98"/>
    <w:rsid w:val="001073B4"/>
    <w:rsid w:val="00135356"/>
    <w:rsid w:val="001442D8"/>
    <w:rsid w:val="00144EF0"/>
    <w:rsid w:val="001473AD"/>
    <w:rsid w:val="001514D1"/>
    <w:rsid w:val="00163760"/>
    <w:rsid w:val="00174FF7"/>
    <w:rsid w:val="001830F0"/>
    <w:rsid w:val="00194FBB"/>
    <w:rsid w:val="001B5073"/>
    <w:rsid w:val="001B705E"/>
    <w:rsid w:val="001D0DA3"/>
    <w:rsid w:val="001E4AEC"/>
    <w:rsid w:val="002006DE"/>
    <w:rsid w:val="00202CE9"/>
    <w:rsid w:val="0022216F"/>
    <w:rsid w:val="00235CF7"/>
    <w:rsid w:val="00247E2C"/>
    <w:rsid w:val="0028393E"/>
    <w:rsid w:val="00286E0D"/>
    <w:rsid w:val="002966C9"/>
    <w:rsid w:val="002A32CB"/>
    <w:rsid w:val="002A59F5"/>
    <w:rsid w:val="002C4DDB"/>
    <w:rsid w:val="002D5B2C"/>
    <w:rsid w:val="002D6C53"/>
    <w:rsid w:val="002E036F"/>
    <w:rsid w:val="002E2B46"/>
    <w:rsid w:val="002F5595"/>
    <w:rsid w:val="0031610E"/>
    <w:rsid w:val="00317F6C"/>
    <w:rsid w:val="00334F6A"/>
    <w:rsid w:val="00342AC8"/>
    <w:rsid w:val="00343302"/>
    <w:rsid w:val="0036762A"/>
    <w:rsid w:val="00371BC2"/>
    <w:rsid w:val="0038099D"/>
    <w:rsid w:val="003979DE"/>
    <w:rsid w:val="003A5CDE"/>
    <w:rsid w:val="003B4550"/>
    <w:rsid w:val="003C2029"/>
    <w:rsid w:val="003D2A18"/>
    <w:rsid w:val="00413386"/>
    <w:rsid w:val="0043229F"/>
    <w:rsid w:val="004362A3"/>
    <w:rsid w:val="00446E59"/>
    <w:rsid w:val="00461253"/>
    <w:rsid w:val="004858F5"/>
    <w:rsid w:val="004A2814"/>
    <w:rsid w:val="004A439E"/>
    <w:rsid w:val="004C0622"/>
    <w:rsid w:val="004D6506"/>
    <w:rsid w:val="004F12C7"/>
    <w:rsid w:val="004F457E"/>
    <w:rsid w:val="0050272D"/>
    <w:rsid w:val="005042C2"/>
    <w:rsid w:val="00507BDB"/>
    <w:rsid w:val="00532EFE"/>
    <w:rsid w:val="0054663D"/>
    <w:rsid w:val="005C7588"/>
    <w:rsid w:val="005D0E3C"/>
    <w:rsid w:val="005D7EF0"/>
    <w:rsid w:val="005E716E"/>
    <w:rsid w:val="005F2513"/>
    <w:rsid w:val="006417E4"/>
    <w:rsid w:val="006476E1"/>
    <w:rsid w:val="00647F35"/>
    <w:rsid w:val="00650CFA"/>
    <w:rsid w:val="006604DF"/>
    <w:rsid w:val="00671529"/>
    <w:rsid w:val="006936FE"/>
    <w:rsid w:val="006A79EA"/>
    <w:rsid w:val="006B223B"/>
    <w:rsid w:val="0070489D"/>
    <w:rsid w:val="007206E4"/>
    <w:rsid w:val="007268F9"/>
    <w:rsid w:val="00744553"/>
    <w:rsid w:val="00750282"/>
    <w:rsid w:val="00764440"/>
    <w:rsid w:val="00770FCF"/>
    <w:rsid w:val="0077101B"/>
    <w:rsid w:val="00782308"/>
    <w:rsid w:val="007C52B0"/>
    <w:rsid w:val="007C6033"/>
    <w:rsid w:val="007C6D20"/>
    <w:rsid w:val="007D5650"/>
    <w:rsid w:val="0080456E"/>
    <w:rsid w:val="008123E7"/>
    <w:rsid w:val="008147C8"/>
    <w:rsid w:val="00814880"/>
    <w:rsid w:val="0081753A"/>
    <w:rsid w:val="00857D23"/>
    <w:rsid w:val="0086583C"/>
    <w:rsid w:val="008705E7"/>
    <w:rsid w:val="00873863"/>
    <w:rsid w:val="0087491C"/>
    <w:rsid w:val="00897187"/>
    <w:rsid w:val="008E2F6A"/>
    <w:rsid w:val="008E307A"/>
    <w:rsid w:val="008F0B67"/>
    <w:rsid w:val="008F6F60"/>
    <w:rsid w:val="009030C5"/>
    <w:rsid w:val="009411B4"/>
    <w:rsid w:val="00946F1D"/>
    <w:rsid w:val="00965807"/>
    <w:rsid w:val="00971344"/>
    <w:rsid w:val="00982F8C"/>
    <w:rsid w:val="009909DC"/>
    <w:rsid w:val="00997133"/>
    <w:rsid w:val="009A093F"/>
    <w:rsid w:val="009A331B"/>
    <w:rsid w:val="009A4659"/>
    <w:rsid w:val="009B56E8"/>
    <w:rsid w:val="009B578D"/>
    <w:rsid w:val="009B7AE8"/>
    <w:rsid w:val="009D0139"/>
    <w:rsid w:val="009D717D"/>
    <w:rsid w:val="009D77FE"/>
    <w:rsid w:val="009E1958"/>
    <w:rsid w:val="009E307E"/>
    <w:rsid w:val="009F5C22"/>
    <w:rsid w:val="009F5CDC"/>
    <w:rsid w:val="00A03638"/>
    <w:rsid w:val="00A072D7"/>
    <w:rsid w:val="00A1286E"/>
    <w:rsid w:val="00A35907"/>
    <w:rsid w:val="00A467FC"/>
    <w:rsid w:val="00A775CF"/>
    <w:rsid w:val="00A97351"/>
    <w:rsid w:val="00A9749D"/>
    <w:rsid w:val="00AB4479"/>
    <w:rsid w:val="00AC3F49"/>
    <w:rsid w:val="00AC546D"/>
    <w:rsid w:val="00AD1A9C"/>
    <w:rsid w:val="00AE7B21"/>
    <w:rsid w:val="00AF5DE1"/>
    <w:rsid w:val="00B06045"/>
    <w:rsid w:val="00B1324C"/>
    <w:rsid w:val="00B206DD"/>
    <w:rsid w:val="00B20BF1"/>
    <w:rsid w:val="00B235CC"/>
    <w:rsid w:val="00B52EF4"/>
    <w:rsid w:val="00B60E01"/>
    <w:rsid w:val="00B777AD"/>
    <w:rsid w:val="00B81CF5"/>
    <w:rsid w:val="00BC32BD"/>
    <w:rsid w:val="00BE52B7"/>
    <w:rsid w:val="00BF5D8F"/>
    <w:rsid w:val="00C03015"/>
    <w:rsid w:val="00C0358D"/>
    <w:rsid w:val="00C16A4F"/>
    <w:rsid w:val="00C178CF"/>
    <w:rsid w:val="00C33BB1"/>
    <w:rsid w:val="00C35A27"/>
    <w:rsid w:val="00C41B62"/>
    <w:rsid w:val="00C46AE0"/>
    <w:rsid w:val="00C47B2E"/>
    <w:rsid w:val="00C71A98"/>
    <w:rsid w:val="00C828CC"/>
    <w:rsid w:val="00CD3116"/>
    <w:rsid w:val="00CF2F02"/>
    <w:rsid w:val="00D07FD5"/>
    <w:rsid w:val="00D12CDC"/>
    <w:rsid w:val="00D272E8"/>
    <w:rsid w:val="00D47C4A"/>
    <w:rsid w:val="00D63CD2"/>
    <w:rsid w:val="00D720A4"/>
    <w:rsid w:val="00D77B0B"/>
    <w:rsid w:val="00D87DC2"/>
    <w:rsid w:val="00D94B05"/>
    <w:rsid w:val="00D960D0"/>
    <w:rsid w:val="00DB0A71"/>
    <w:rsid w:val="00DB5D5C"/>
    <w:rsid w:val="00DC314A"/>
    <w:rsid w:val="00DC51F1"/>
    <w:rsid w:val="00DE77DF"/>
    <w:rsid w:val="00DF0288"/>
    <w:rsid w:val="00E007C7"/>
    <w:rsid w:val="00E02C2B"/>
    <w:rsid w:val="00E1327F"/>
    <w:rsid w:val="00E17B7E"/>
    <w:rsid w:val="00E21C27"/>
    <w:rsid w:val="00E26BCF"/>
    <w:rsid w:val="00E26F1A"/>
    <w:rsid w:val="00E379C4"/>
    <w:rsid w:val="00E52109"/>
    <w:rsid w:val="00E65BE7"/>
    <w:rsid w:val="00E67E6A"/>
    <w:rsid w:val="00E75317"/>
    <w:rsid w:val="00E82E57"/>
    <w:rsid w:val="00EB04C5"/>
    <w:rsid w:val="00EB1292"/>
    <w:rsid w:val="00EC0CE6"/>
    <w:rsid w:val="00EC1A0D"/>
    <w:rsid w:val="00EC7C1D"/>
    <w:rsid w:val="00ED1705"/>
    <w:rsid w:val="00ED6C48"/>
    <w:rsid w:val="00EE3045"/>
    <w:rsid w:val="00EE748C"/>
    <w:rsid w:val="00EF2094"/>
    <w:rsid w:val="00F352ED"/>
    <w:rsid w:val="00F40C40"/>
    <w:rsid w:val="00F443D6"/>
    <w:rsid w:val="00F52C2F"/>
    <w:rsid w:val="00F65F5D"/>
    <w:rsid w:val="00F86A3A"/>
    <w:rsid w:val="00FA156B"/>
    <w:rsid w:val="00FE08D9"/>
    <w:rsid w:val="00FF014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737C0"/>
  <w15:docId w15:val="{E153A726-4A9D-4538-A2BE-C40825BE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163760"/>
    <w:rPr>
      <w:b/>
      <w:sz w:val="28"/>
    </w:rPr>
  </w:style>
  <w:style w:type="character" w:customStyle="1" w:styleId="SingleTxtGChar">
    <w:name w:val="_ Single Txt_G Char"/>
    <w:link w:val="SingleTxtG"/>
    <w:uiPriority w:val="99"/>
    <w:qFormat/>
    <w:locked/>
    <w:rsid w:val="00163760"/>
  </w:style>
  <w:style w:type="paragraph" w:styleId="ListParagraph">
    <w:name w:val="List Paragraph"/>
    <w:basedOn w:val="Normal"/>
    <w:uiPriority w:val="34"/>
    <w:qFormat/>
    <w:rsid w:val="00163760"/>
    <w:pPr>
      <w:suppressAutoHyphens w:val="0"/>
      <w:kinsoku/>
      <w:overflowPunct/>
      <w:autoSpaceDE/>
      <w:autoSpaceDN/>
      <w:adjustRightInd/>
      <w:snapToGrid/>
      <w:spacing w:line="240" w:lineRule="auto"/>
      <w:ind w:left="720"/>
    </w:pPr>
    <w:rPr>
      <w:rFonts w:ascii="Calibri" w:eastAsiaTheme="minorHAnsi" w:hAnsi="Calibri" w:cs="Calibri"/>
      <w:sz w:val="22"/>
      <w:szCs w:val="22"/>
      <w:lang w:eastAsia="en-US"/>
    </w:rPr>
  </w:style>
  <w:style w:type="character" w:customStyle="1" w:styleId="StyleBold">
    <w:name w:val="Style Bold"/>
    <w:semiHidden/>
    <w:rsid w:val="00163760"/>
    <w:rPr>
      <w:rFonts w:ascii="Times New Roman" w:hAnsi="Times New Roman" w:cs="Times New Roman" w:hint="default"/>
      <w:b/>
      <w:bCs/>
    </w:rPr>
  </w:style>
  <w:style w:type="character" w:customStyle="1" w:styleId="StyleItalic">
    <w:name w:val="Style Italic"/>
    <w:semiHidden/>
    <w:rsid w:val="00163760"/>
    <w:rPr>
      <w:rFonts w:ascii="Times New Roman" w:hAnsi="Times New Roman"/>
      <w:i/>
      <w:iCs/>
    </w:rPr>
  </w:style>
  <w:style w:type="paragraph" w:customStyle="1" w:styleId="Style1">
    <w:name w:val="Style1"/>
    <w:basedOn w:val="Normal"/>
    <w:rsid w:val="00163760"/>
    <w:pPr>
      <w:widowControl w:val="0"/>
      <w:suppressAutoHyphens w:val="0"/>
      <w:kinsoku/>
      <w:overflowPunct/>
      <w:autoSpaceDE/>
      <w:autoSpaceDN/>
      <w:adjustRightInd/>
      <w:snapToGrid/>
      <w:spacing w:line="240" w:lineRule="auto"/>
      <w:jc w:val="both"/>
    </w:pPr>
    <w:rPr>
      <w:rFonts w:eastAsia="Times New Roman"/>
      <w:snapToGrid w:val="0"/>
      <w:sz w:val="24"/>
      <w:lang w:val="en-US" w:eastAsia="en-US"/>
    </w:rPr>
  </w:style>
  <w:style w:type="paragraph" w:customStyle="1" w:styleId="GHSBodyText">
    <w:name w:val="GHSBody Text"/>
    <w:basedOn w:val="BodyText"/>
    <w:link w:val="GHSBodyTextChar"/>
    <w:rsid w:val="00163760"/>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163760"/>
    <w:rPr>
      <w:rFonts w:eastAsia="Times New Roman"/>
      <w:sz w:val="22"/>
      <w:lang w:eastAsia="en-US"/>
    </w:rPr>
  </w:style>
  <w:style w:type="paragraph" w:styleId="BodyText">
    <w:name w:val="Body Text"/>
    <w:basedOn w:val="Normal"/>
    <w:link w:val="BodyTextChar"/>
    <w:uiPriority w:val="99"/>
    <w:semiHidden/>
    <w:unhideWhenUsed/>
    <w:rsid w:val="00163760"/>
    <w:pPr>
      <w:spacing w:after="120"/>
    </w:pPr>
  </w:style>
  <w:style w:type="character" w:customStyle="1" w:styleId="BodyTextChar">
    <w:name w:val="Body Text Char"/>
    <w:basedOn w:val="DefaultParagraphFont"/>
    <w:link w:val="BodyText"/>
    <w:uiPriority w:val="99"/>
    <w:semiHidden/>
    <w:rsid w:val="00163760"/>
  </w:style>
  <w:style w:type="character" w:customStyle="1" w:styleId="H1GChar">
    <w:name w:val="_ H_1_G Char"/>
    <w:link w:val="H1G"/>
    <w:rsid w:val="00163760"/>
    <w:rPr>
      <w:b/>
      <w:sz w:val="24"/>
    </w:rPr>
  </w:style>
  <w:style w:type="character" w:styleId="CommentReference">
    <w:name w:val="annotation reference"/>
    <w:basedOn w:val="DefaultParagraphFont"/>
    <w:uiPriority w:val="99"/>
    <w:unhideWhenUsed/>
    <w:rsid w:val="00163760"/>
    <w:rPr>
      <w:sz w:val="16"/>
      <w:szCs w:val="16"/>
    </w:rPr>
  </w:style>
  <w:style w:type="paragraph" w:styleId="CommentText">
    <w:name w:val="annotation text"/>
    <w:basedOn w:val="Normal"/>
    <w:link w:val="CommentTextChar"/>
    <w:uiPriority w:val="99"/>
    <w:unhideWhenUsed/>
    <w:rsid w:val="00163760"/>
    <w:pPr>
      <w:spacing w:line="240" w:lineRule="auto"/>
    </w:pPr>
  </w:style>
  <w:style w:type="character" w:customStyle="1" w:styleId="CommentTextChar">
    <w:name w:val="Comment Text Char"/>
    <w:basedOn w:val="DefaultParagraphFont"/>
    <w:link w:val="CommentText"/>
    <w:uiPriority w:val="99"/>
    <w:rsid w:val="00163760"/>
  </w:style>
  <w:style w:type="paragraph" w:styleId="CommentSubject">
    <w:name w:val="annotation subject"/>
    <w:basedOn w:val="CommentText"/>
    <w:next w:val="CommentText"/>
    <w:link w:val="CommentSubjectChar"/>
    <w:uiPriority w:val="99"/>
    <w:semiHidden/>
    <w:unhideWhenUsed/>
    <w:rsid w:val="00163760"/>
    <w:rPr>
      <w:b/>
      <w:bCs/>
    </w:rPr>
  </w:style>
  <w:style w:type="character" w:customStyle="1" w:styleId="CommentSubjectChar">
    <w:name w:val="Comment Subject Char"/>
    <w:basedOn w:val="CommentTextChar"/>
    <w:link w:val="CommentSubject"/>
    <w:uiPriority w:val="99"/>
    <w:semiHidden/>
    <w:rsid w:val="00163760"/>
    <w:rPr>
      <w:b/>
      <w:bCs/>
    </w:rPr>
  </w:style>
  <w:style w:type="paragraph" w:styleId="NormalWeb">
    <w:name w:val="Normal (Web)"/>
    <w:basedOn w:val="Normal"/>
    <w:uiPriority w:val="99"/>
    <w:semiHidden/>
    <w:unhideWhenUsed/>
    <w:rsid w:val="00163760"/>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customStyle="1" w:styleId="Default">
    <w:name w:val="Default"/>
    <w:rsid w:val="00163760"/>
    <w:pPr>
      <w:autoSpaceDE w:val="0"/>
      <w:autoSpaceDN w:val="0"/>
      <w:adjustRightInd w:val="0"/>
      <w:spacing w:after="0" w:line="240" w:lineRule="auto"/>
    </w:pPr>
    <w:rPr>
      <w:rFonts w:eastAsiaTheme="minorHAnsi"/>
      <w:color w:val="000000"/>
      <w:sz w:val="24"/>
      <w:szCs w:val="24"/>
      <w:lang w:eastAsia="en-US"/>
    </w:rPr>
  </w:style>
  <w:style w:type="paragraph" w:customStyle="1" w:styleId="GHSHeading4">
    <w:name w:val="GHSHeading4"/>
    <w:basedOn w:val="Normal"/>
    <w:uiPriority w:val="99"/>
    <w:rsid w:val="00163760"/>
    <w:pPr>
      <w:keepNext/>
      <w:keepLines/>
      <w:tabs>
        <w:tab w:val="left" w:pos="1418"/>
        <w:tab w:val="left" w:pos="1985"/>
        <w:tab w:val="left" w:pos="2552"/>
        <w:tab w:val="left" w:pos="3119"/>
        <w:tab w:val="left" w:pos="3686"/>
      </w:tabs>
      <w:suppressAutoHyphens w:val="0"/>
      <w:kinsoku/>
      <w:overflowPunct/>
      <w:snapToGrid/>
      <w:spacing w:line="240" w:lineRule="auto"/>
      <w:jc w:val="both"/>
    </w:pPr>
    <w:rPr>
      <w:rFonts w:eastAsia="Times New Roman"/>
      <w:b/>
      <w:bCs/>
      <w:color w:val="000000"/>
      <w:sz w:val="22"/>
      <w:szCs w:val="22"/>
      <w:lang w:eastAsia="fr-FR"/>
    </w:rPr>
  </w:style>
  <w:style w:type="paragraph" w:customStyle="1" w:styleId="StyleGHSHeading410pt">
    <w:name w:val="Style GHSHeading4 + 10 pt"/>
    <w:basedOn w:val="GHSHeading4"/>
    <w:rsid w:val="00163760"/>
    <w:pPr>
      <w:spacing w:after="240"/>
    </w:pPr>
    <w:rPr>
      <w:sz w:val="20"/>
    </w:rPr>
  </w:style>
  <w:style w:type="character" w:customStyle="1" w:styleId="Funotenzeichen2">
    <w:name w:val="Fußnotenzeichen2"/>
    <w:rsid w:val="00163760"/>
    <w:rPr>
      <w:vertAlign w:val="superscript"/>
    </w:rPr>
  </w:style>
  <w:style w:type="paragraph" w:customStyle="1" w:styleId="GHSHeading3">
    <w:name w:val="GHSHeading3"/>
    <w:basedOn w:val="Heading3"/>
    <w:rsid w:val="00163760"/>
    <w:pPr>
      <w:keepNext/>
      <w:tabs>
        <w:tab w:val="left" w:pos="1418"/>
      </w:tabs>
      <w:suppressAutoHyphens w:val="0"/>
      <w:kinsoku/>
      <w:overflowPunct/>
      <w:snapToGrid/>
    </w:pPr>
    <w:rPr>
      <w:rFonts w:eastAsia="Times New Roman"/>
      <w:b/>
      <w:bCs/>
      <w:color w:val="000000"/>
      <w:sz w:val="22"/>
      <w:szCs w:val="22"/>
      <w:lang w:eastAsia="fr-FR"/>
    </w:rPr>
  </w:style>
  <w:style w:type="character" w:styleId="LineNumber">
    <w:name w:val="line number"/>
    <w:basedOn w:val="DefaultParagraphFont"/>
    <w:uiPriority w:val="99"/>
    <w:semiHidden/>
    <w:unhideWhenUsed/>
    <w:rsid w:val="00163760"/>
  </w:style>
  <w:style w:type="paragraph" w:styleId="List3">
    <w:name w:val="List 3"/>
    <w:basedOn w:val="Normal"/>
    <w:semiHidden/>
    <w:rsid w:val="00163760"/>
    <w:pPr>
      <w:kinsoku/>
      <w:overflowPunct/>
      <w:autoSpaceDE/>
      <w:autoSpaceDN/>
      <w:adjustRightInd/>
      <w:snapToGrid/>
      <w:ind w:left="849" w:hanging="283"/>
    </w:pPr>
    <w:rPr>
      <w:rFonts w:eastAsia="Times New Roman"/>
      <w:lang w:eastAsia="en-US"/>
    </w:rPr>
  </w:style>
  <w:style w:type="paragraph" w:styleId="ListNumber">
    <w:name w:val="List Number"/>
    <w:basedOn w:val="Normal"/>
    <w:semiHidden/>
    <w:rsid w:val="00163760"/>
    <w:pPr>
      <w:numPr>
        <w:numId w:val="26"/>
      </w:numPr>
      <w:kinsoku/>
      <w:overflowPunct/>
      <w:autoSpaceDE/>
      <w:autoSpaceDN/>
      <w:adjustRightInd/>
      <w:snapToGrid/>
    </w:pPr>
    <w:rPr>
      <w:rFonts w:eastAsia="Times New Roman"/>
      <w:lang w:eastAsia="en-US"/>
    </w:rPr>
  </w:style>
  <w:style w:type="paragraph" w:styleId="Revision">
    <w:name w:val="Revision"/>
    <w:hidden/>
    <w:uiPriority w:val="99"/>
    <w:semiHidden/>
    <w:rsid w:val="00163760"/>
    <w:pPr>
      <w:spacing w:after="0" w:line="240" w:lineRule="auto"/>
    </w:pPr>
  </w:style>
  <w:style w:type="character" w:customStyle="1" w:styleId="UnresolvedMention1">
    <w:name w:val="Unresolved Mention1"/>
    <w:basedOn w:val="DefaultParagraphFont"/>
    <w:uiPriority w:val="99"/>
    <w:semiHidden/>
    <w:unhideWhenUsed/>
    <w:rsid w:val="0016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hyperlink" Target="https://tsar.jrc.ec.europa.eu/test-method/tm2004-01"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footer" Target="footer2.xml"/><Relationship Id="rId33" Type="http://schemas.openxmlformats.org/officeDocument/2006/relationships/hyperlink" Target="https://ec.europa.eu/jrc/sites/jrcsh/files/esac31_lvet_20090922.pdf"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32" Type="http://schemas.openxmlformats.org/officeDocument/2006/relationships/hyperlink" Target="https://echa.europa.eu/guidance-documents/guidance-on-clp"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tsar.jrc.ec.europa.eu/test-method/tm2004-0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F169-8D1D-4B9A-B285-439B2DFF7A69}">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4b4a1c0d-4a69-4996-a84a-fc699b9f49de"/>
    <ds:schemaRef ds:uri="acccb6d4-dbe5-46d2-b4d3-5733603d8cc6"/>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D59E29F-10E2-4F4F-B04B-4F3A421658E3}">
  <ds:schemaRefs>
    <ds:schemaRef ds:uri="http://schemas.microsoft.com/sharepoint/v3/contenttype/forms"/>
  </ds:schemaRefs>
</ds:datastoreItem>
</file>

<file path=customXml/itemProps3.xml><?xml version="1.0" encoding="utf-8"?>
<ds:datastoreItem xmlns:ds="http://schemas.openxmlformats.org/officeDocument/2006/customXml" ds:itemID="{C83D577A-81EF-41D7-92EA-6785AE83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85</TotalTime>
  <Pages>28</Pages>
  <Words>11670</Words>
  <Characters>65002</Characters>
  <Application>Microsoft Office Word</Application>
  <DocSecurity>0</DocSecurity>
  <Lines>1300</Lines>
  <Paragraphs>410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ST/SG/AC.10/C.4/2021/4</vt:lpstr>
      <vt:lpstr/>
    </vt:vector>
  </TitlesOfParts>
  <Company/>
  <LinksUpToDate>false</LinksUpToDate>
  <CharactersWithSpaces>76262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ST/SG/AC.10/C.4/2021/4</dc:title>
  <dc:subject/>
  <dc:creator>Rosa Garcia-Couto</dc:creator>
  <cp:lastModifiedBy>Laurence Berthet</cp:lastModifiedBy>
  <cp:revision>39</cp:revision>
  <cp:lastPrinted>2021-04-21T11:52:00Z</cp:lastPrinted>
  <dcterms:created xsi:type="dcterms:W3CDTF">2021-04-20T12:36:00Z</dcterms:created>
  <dcterms:modified xsi:type="dcterms:W3CDTF">2021-04-21T11:52:00Z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